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F06FB">
      <w:pPr>
        <w:adjustRightInd w:val="0"/>
        <w:snapToGrid w:val="0"/>
        <w:jc w:val="center"/>
        <w:outlineLvl w:val="0"/>
        <w:rPr>
          <w:rFonts w:hint="default" w:ascii="方正小标宋_GBK" w:hAnsi="Calibri" w:eastAsia="方正小标宋_GBK" w:cs="Times New Roman"/>
          <w:bCs/>
          <w:color w:val="auto"/>
          <w:spacing w:val="0"/>
          <w:kern w:val="21"/>
          <w:sz w:val="72"/>
          <w:szCs w:val="72"/>
        </w:rPr>
      </w:pPr>
      <w:bookmarkStart w:id="0" w:name="_Toc27109"/>
      <w:r>
        <w:rPr>
          <w:rFonts w:hint="default" w:ascii="方正小标宋_GBK" w:hAnsi="Calibri" w:eastAsia="方正小标宋_GBK" w:cs="Times New Roman"/>
          <w:bCs/>
          <w:color w:val="auto"/>
          <w:spacing w:val="0"/>
          <w:kern w:val="21"/>
          <w:sz w:val="72"/>
          <w:szCs w:val="72"/>
        </w:rPr>
        <w:t>建设项目环境影响报告表</w:t>
      </w:r>
      <w:bookmarkEnd w:id="0"/>
    </w:p>
    <w:p w14:paraId="551C2BF7">
      <w:pPr>
        <w:adjustRightInd w:val="0"/>
        <w:snapToGrid w:val="0"/>
        <w:spacing w:before="192" w:beforeLines="80"/>
        <w:jc w:val="center"/>
        <w:rPr>
          <w:rFonts w:hint="default" w:ascii="楷体_GB2312" w:hAnsi="Calibri" w:eastAsia="楷体_GB2312" w:cs="Times New Roman"/>
          <w:bCs/>
          <w:color w:val="auto"/>
          <w:spacing w:val="0"/>
          <w:kern w:val="21"/>
          <w:sz w:val="48"/>
          <w:szCs w:val="48"/>
        </w:rPr>
      </w:pPr>
      <w:r>
        <w:rPr>
          <w:rFonts w:hint="default" w:ascii="楷体_GB2312" w:hAnsi="Calibri" w:eastAsia="楷体_GB2312" w:cs="Times New Roman"/>
          <w:bCs/>
          <w:color w:val="auto"/>
          <w:spacing w:val="0"/>
          <w:kern w:val="21"/>
          <w:sz w:val="48"/>
          <w:szCs w:val="48"/>
        </w:rPr>
        <w:t>（污染影响类）</w:t>
      </w:r>
    </w:p>
    <w:p w14:paraId="37DCB26A">
      <w:pPr>
        <w:adjustRightInd w:val="0"/>
        <w:snapToGrid w:val="0"/>
        <w:spacing w:before="192" w:beforeLines="80"/>
        <w:jc w:val="center"/>
        <w:rPr>
          <w:rFonts w:hint="eastAsia" w:ascii="楷体_GB2312" w:hAnsi="Calibri" w:eastAsia="楷体_GB2312" w:cs="Times New Roman"/>
          <w:bCs/>
          <w:color w:val="auto"/>
          <w:spacing w:val="0"/>
          <w:kern w:val="21"/>
          <w:sz w:val="48"/>
          <w:szCs w:val="48"/>
          <w:lang w:eastAsia="zh-CN"/>
        </w:rPr>
      </w:pPr>
      <w:r>
        <w:rPr>
          <w:rFonts w:hint="eastAsia" w:ascii="楷体_GB2312" w:hAnsi="Calibri" w:eastAsia="楷体_GB2312" w:cs="Times New Roman"/>
          <w:bCs/>
          <w:color w:val="auto"/>
          <w:spacing w:val="0"/>
          <w:kern w:val="21"/>
          <w:sz w:val="48"/>
          <w:szCs w:val="48"/>
          <w:lang w:eastAsia="zh-CN"/>
        </w:rPr>
        <w:t>（</w:t>
      </w:r>
      <w:r>
        <w:rPr>
          <w:rFonts w:hint="eastAsia" w:ascii="楷体_GB2312" w:hAnsi="Calibri" w:eastAsia="楷体_GB2312" w:cs="Times New Roman"/>
          <w:bCs/>
          <w:color w:val="auto"/>
          <w:spacing w:val="0"/>
          <w:kern w:val="21"/>
          <w:sz w:val="48"/>
          <w:szCs w:val="48"/>
          <w:lang w:val="en-US" w:eastAsia="zh-CN"/>
        </w:rPr>
        <w:t>报批稿</w:t>
      </w:r>
      <w:r>
        <w:rPr>
          <w:rFonts w:hint="eastAsia" w:ascii="楷体_GB2312" w:hAnsi="Calibri" w:eastAsia="楷体_GB2312" w:cs="Times New Roman"/>
          <w:bCs/>
          <w:color w:val="auto"/>
          <w:spacing w:val="0"/>
          <w:kern w:val="21"/>
          <w:sz w:val="48"/>
          <w:szCs w:val="48"/>
          <w:lang w:eastAsia="zh-CN"/>
        </w:rPr>
        <w:t>）</w:t>
      </w:r>
    </w:p>
    <w:p w14:paraId="3E5D2731">
      <w:pPr>
        <w:adjustRightInd w:val="0"/>
        <w:snapToGrid w:val="0"/>
        <w:spacing w:line="288" w:lineRule="auto"/>
        <w:ind w:firstLine="880"/>
        <w:jc w:val="center"/>
        <w:rPr>
          <w:rFonts w:hint="default" w:ascii="Times New Roman" w:hAnsi="Times New Roman" w:eastAsia="宋体" w:cs="Times New Roman"/>
          <w:color w:val="auto"/>
          <w:kern w:val="21"/>
          <w:sz w:val="44"/>
          <w:szCs w:val="44"/>
        </w:rPr>
      </w:pPr>
    </w:p>
    <w:p w14:paraId="5313D3D6">
      <w:pPr>
        <w:ind w:firstLine="880"/>
        <w:rPr>
          <w:rFonts w:hint="default" w:ascii="Times New Roman" w:hAnsi="Times New Roman" w:eastAsia="宋体" w:cs="Times New Roman"/>
          <w:color w:val="auto"/>
          <w:kern w:val="21"/>
          <w:sz w:val="44"/>
          <w:szCs w:val="44"/>
        </w:rPr>
      </w:pPr>
    </w:p>
    <w:p w14:paraId="39ADE2EB">
      <w:pPr>
        <w:ind w:firstLine="880"/>
        <w:rPr>
          <w:rFonts w:hint="default" w:ascii="Times New Roman" w:hAnsi="Times New Roman" w:eastAsia="宋体" w:cs="Times New Roman"/>
          <w:color w:val="auto"/>
          <w:kern w:val="21"/>
          <w:sz w:val="44"/>
          <w:szCs w:val="44"/>
        </w:rPr>
      </w:pPr>
    </w:p>
    <w:p w14:paraId="1A947F68">
      <w:pPr>
        <w:ind w:firstLine="880"/>
        <w:rPr>
          <w:rFonts w:hint="default" w:ascii="Times New Roman" w:hAnsi="Times New Roman" w:eastAsia="宋体" w:cs="Times New Roman"/>
          <w:color w:val="auto"/>
          <w:kern w:val="21"/>
          <w:sz w:val="44"/>
          <w:szCs w:val="44"/>
        </w:rPr>
      </w:pPr>
    </w:p>
    <w:p w14:paraId="464861A3">
      <w:pPr>
        <w:ind w:firstLine="880"/>
        <w:rPr>
          <w:rFonts w:hint="default" w:ascii="Times New Roman" w:hAnsi="Times New Roman" w:eastAsia="宋体" w:cs="Times New Roman"/>
          <w:color w:val="auto"/>
          <w:kern w:val="21"/>
          <w:sz w:val="44"/>
          <w:szCs w:val="44"/>
        </w:rPr>
      </w:pPr>
    </w:p>
    <w:p w14:paraId="3AB7B10B">
      <w:pPr>
        <w:ind w:firstLine="880"/>
        <w:rPr>
          <w:rFonts w:hint="default" w:ascii="Times New Roman" w:hAnsi="Times New Roman" w:eastAsia="宋体" w:cs="Times New Roman"/>
          <w:color w:val="auto"/>
          <w:kern w:val="21"/>
          <w:sz w:val="44"/>
          <w:szCs w:val="44"/>
        </w:rPr>
      </w:pPr>
    </w:p>
    <w:p w14:paraId="1F375D5F">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hint="default" w:ascii="仿宋_GB2312" w:hAnsi="Calibri" w:eastAsia="仿宋_GB2312" w:cs="Times New Roman"/>
          <w:color w:val="auto"/>
          <w:spacing w:val="0"/>
          <w:kern w:val="21"/>
          <w:sz w:val="32"/>
          <w:szCs w:val="32"/>
          <w:u w:val="single"/>
          <w:lang w:val="en-US" w:eastAsia="zh-CN"/>
        </w:rPr>
      </w:pPr>
      <w:r>
        <w:rPr>
          <w:rFonts w:hint="default" w:ascii="仿宋_GB2312" w:hAnsi="Calibri" w:eastAsia="仿宋_GB2312" w:cs="Times New Roman"/>
          <w:color w:val="auto"/>
          <w:spacing w:val="0"/>
          <w:kern w:val="21"/>
          <w:sz w:val="32"/>
          <w:szCs w:val="32"/>
        </w:rPr>
        <w:t>项目名称：</w:t>
      </w:r>
      <w:bookmarkStart w:id="1" w:name="OLE_LINK1"/>
      <w:r>
        <w:rPr>
          <w:rFonts w:hint="eastAsia" w:ascii="仿宋_GB2312" w:hAnsi="Calibri" w:eastAsia="仿宋_GB2312" w:cs="Times New Roman"/>
          <w:color w:val="auto"/>
          <w:spacing w:val="0"/>
          <w:kern w:val="21"/>
          <w:sz w:val="32"/>
          <w:szCs w:val="32"/>
          <w:u w:val="single"/>
          <w:lang w:val="en-US" w:eastAsia="zh-CN"/>
        </w:rPr>
        <w:t>云南玉溪仙福钢铁（集团）有限公司能源综合利用升级改造</w:t>
      </w:r>
      <w:r>
        <w:rPr>
          <w:rFonts w:hint="default" w:ascii="仿宋_GB2312" w:hAnsi="Calibri" w:eastAsia="仿宋_GB2312" w:cs="Times New Roman"/>
          <w:color w:val="auto"/>
          <w:spacing w:val="0"/>
          <w:kern w:val="21"/>
          <w:sz w:val="32"/>
          <w:szCs w:val="32"/>
          <w:u w:val="single"/>
          <w:lang w:val="en-US" w:eastAsia="zh-CN"/>
        </w:rPr>
        <w:t>80</w:t>
      </w:r>
      <w:r>
        <w:rPr>
          <w:rFonts w:hint="eastAsia" w:ascii="仿宋_GB2312" w:hAnsi="Calibri" w:eastAsia="仿宋_GB2312" w:cs="Times New Roman"/>
          <w:color w:val="auto"/>
          <w:spacing w:val="0"/>
          <w:kern w:val="21"/>
          <w:sz w:val="32"/>
          <w:szCs w:val="32"/>
          <w:u w:val="single"/>
          <w:lang w:val="en-US" w:eastAsia="zh-CN"/>
        </w:rPr>
        <w:t>兆瓦富余煤气发电项目</w:t>
      </w:r>
      <w:bookmarkEnd w:id="1"/>
      <w:r>
        <w:rPr>
          <w:rFonts w:hint="eastAsia" w:ascii="仿宋_GB2312" w:hAnsi="Calibri" w:eastAsia="仿宋_GB2312" w:cs="Times New Roman"/>
          <w:color w:val="auto"/>
          <w:spacing w:val="0"/>
          <w:kern w:val="21"/>
          <w:sz w:val="32"/>
          <w:szCs w:val="32"/>
          <w:u w:val="single"/>
          <w:lang w:val="en-US" w:eastAsia="zh-CN"/>
        </w:rPr>
        <w:t xml:space="preserve">          </w:t>
      </w:r>
    </w:p>
    <w:p w14:paraId="48ACEF6A">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default" w:ascii="仿宋_GB2312" w:hAnsi="Calibri" w:eastAsia="仿宋_GB2312" w:cs="Times New Roman"/>
          <w:color w:val="auto"/>
          <w:spacing w:val="0"/>
          <w:kern w:val="21"/>
          <w:sz w:val="32"/>
          <w:szCs w:val="32"/>
          <w:u w:val="single"/>
          <w:lang w:val="en-US" w:eastAsia="zh-CN"/>
        </w:rPr>
      </w:pPr>
      <w:r>
        <w:rPr>
          <w:rFonts w:hint="default" w:ascii="仿宋_GB2312" w:hAnsi="Calibri" w:eastAsia="仿宋_GB2312" w:cs="Times New Roman"/>
          <w:color w:val="auto"/>
          <w:spacing w:val="0"/>
          <w:kern w:val="21"/>
          <w:sz w:val="32"/>
          <w:szCs w:val="32"/>
        </w:rPr>
        <w:t>建设单位（盖章）：</w:t>
      </w:r>
      <w:r>
        <w:rPr>
          <w:rFonts w:hint="default" w:ascii="仿宋_GB2312" w:hAnsi="Calibri" w:eastAsia="仿宋_GB2312" w:cs="Times New Roman"/>
          <w:color w:val="auto"/>
          <w:spacing w:val="0"/>
          <w:kern w:val="21"/>
          <w:sz w:val="32"/>
          <w:szCs w:val="32"/>
          <w:u w:val="single"/>
        </w:rPr>
        <w:t>云南玉溪</w:t>
      </w:r>
      <w:r>
        <w:rPr>
          <w:rFonts w:hint="eastAsia" w:ascii="仿宋_GB2312" w:hAnsi="Calibri" w:eastAsia="仿宋_GB2312" w:cs="Times New Roman"/>
          <w:color w:val="auto"/>
          <w:spacing w:val="0"/>
          <w:kern w:val="21"/>
          <w:sz w:val="32"/>
          <w:szCs w:val="32"/>
          <w:u w:val="single"/>
          <w:lang w:val="en-US" w:eastAsia="zh-CN"/>
        </w:rPr>
        <w:t xml:space="preserve">仙福钢铁（集团）有限公司  </w:t>
      </w:r>
    </w:p>
    <w:p w14:paraId="4F317350">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default" w:ascii="仿宋_GB2312" w:hAnsi="Calibri" w:eastAsia="仿宋_GB2312" w:cs="Times New Roman"/>
          <w:color w:val="auto"/>
          <w:spacing w:val="0"/>
          <w:kern w:val="21"/>
          <w:sz w:val="32"/>
          <w:szCs w:val="32"/>
          <w:u w:val="single"/>
          <w:lang w:val="en-US" w:eastAsia="zh-CN"/>
        </w:rPr>
      </w:pPr>
      <w:r>
        <w:rPr>
          <w:rFonts w:hint="default" w:ascii="仿宋_GB2312" w:hAnsi="Calibri" w:eastAsia="仿宋_GB2312" w:cs="Times New Roman"/>
          <w:color w:val="auto"/>
          <w:spacing w:val="0"/>
          <w:kern w:val="21"/>
          <w:sz w:val="32"/>
          <w:szCs w:val="32"/>
        </w:rPr>
        <w:t>编制日期：</w:t>
      </w:r>
      <w:r>
        <w:rPr>
          <w:rFonts w:hint="default" w:ascii="仿宋_GB2312" w:hAnsi="Calibri" w:eastAsia="仿宋_GB2312" w:cs="Times New Roman"/>
          <w:color w:val="auto"/>
          <w:spacing w:val="0"/>
          <w:kern w:val="21"/>
          <w:sz w:val="32"/>
          <w:szCs w:val="32"/>
          <w:u w:val="single"/>
          <w:lang w:val="en-US" w:eastAsia="zh-CN"/>
        </w:rPr>
        <w:t xml:space="preserve">        </w:t>
      </w:r>
      <w:r>
        <w:rPr>
          <w:rFonts w:hint="eastAsia" w:ascii="仿宋_GB2312" w:hAnsi="Calibri" w:eastAsia="仿宋_GB2312" w:cs="Times New Roman"/>
          <w:color w:val="auto"/>
          <w:spacing w:val="0"/>
          <w:kern w:val="21"/>
          <w:sz w:val="32"/>
          <w:szCs w:val="32"/>
          <w:u w:val="single"/>
          <w:lang w:val="en-US" w:eastAsia="zh-CN"/>
        </w:rPr>
        <w:t xml:space="preserve">  </w:t>
      </w:r>
      <w:r>
        <w:rPr>
          <w:rFonts w:hint="default" w:ascii="仿宋_GB2312" w:hAnsi="Calibri" w:eastAsia="仿宋_GB2312" w:cs="Times New Roman"/>
          <w:color w:val="auto"/>
          <w:spacing w:val="0"/>
          <w:kern w:val="21"/>
          <w:sz w:val="32"/>
          <w:szCs w:val="32"/>
          <w:u w:val="single"/>
          <w:lang w:val="en-US" w:eastAsia="zh-CN"/>
        </w:rPr>
        <w:t xml:space="preserve"> 二零二</w:t>
      </w:r>
      <w:r>
        <w:rPr>
          <w:rFonts w:hint="eastAsia" w:ascii="仿宋_GB2312" w:hAnsi="Calibri" w:eastAsia="仿宋_GB2312" w:cs="Times New Roman"/>
          <w:color w:val="auto"/>
          <w:spacing w:val="0"/>
          <w:kern w:val="21"/>
          <w:sz w:val="32"/>
          <w:szCs w:val="32"/>
          <w:u w:val="single"/>
          <w:lang w:val="en-US" w:eastAsia="zh-CN"/>
        </w:rPr>
        <w:t>六</w:t>
      </w:r>
      <w:r>
        <w:rPr>
          <w:rFonts w:hint="default" w:ascii="仿宋_GB2312" w:hAnsi="Calibri" w:eastAsia="仿宋_GB2312" w:cs="Times New Roman"/>
          <w:color w:val="auto"/>
          <w:spacing w:val="0"/>
          <w:kern w:val="21"/>
          <w:sz w:val="32"/>
          <w:szCs w:val="32"/>
          <w:u w:val="single"/>
          <w:lang w:val="en-US" w:eastAsia="zh-CN"/>
        </w:rPr>
        <w:t>年</w:t>
      </w:r>
      <w:r>
        <w:rPr>
          <w:rFonts w:hint="eastAsia" w:ascii="仿宋_GB2312" w:hAnsi="Calibri" w:eastAsia="仿宋_GB2312" w:cs="Times New Roman"/>
          <w:color w:val="auto"/>
          <w:spacing w:val="0"/>
          <w:kern w:val="21"/>
          <w:sz w:val="32"/>
          <w:szCs w:val="32"/>
          <w:u w:val="single"/>
          <w:lang w:val="en-US" w:eastAsia="zh-CN"/>
        </w:rPr>
        <w:t>四</w:t>
      </w:r>
      <w:r>
        <w:rPr>
          <w:rFonts w:hint="default" w:ascii="仿宋_GB2312" w:hAnsi="Calibri" w:eastAsia="仿宋_GB2312" w:cs="Times New Roman"/>
          <w:color w:val="auto"/>
          <w:spacing w:val="0"/>
          <w:kern w:val="21"/>
          <w:sz w:val="32"/>
          <w:szCs w:val="32"/>
          <w:u w:val="single"/>
          <w:lang w:val="en-US" w:eastAsia="zh-CN"/>
        </w:rPr>
        <w:t xml:space="preserve">月          </w:t>
      </w:r>
      <w:r>
        <w:rPr>
          <w:rFonts w:hint="eastAsia" w:ascii="仿宋_GB2312" w:hAnsi="Calibri" w:eastAsia="仿宋_GB2312" w:cs="Times New Roman"/>
          <w:color w:val="auto"/>
          <w:spacing w:val="0"/>
          <w:kern w:val="21"/>
          <w:sz w:val="32"/>
          <w:szCs w:val="32"/>
          <w:u w:val="single"/>
          <w:lang w:val="en-US" w:eastAsia="zh-CN"/>
        </w:rPr>
        <w:t xml:space="preserve">       </w:t>
      </w:r>
    </w:p>
    <w:p w14:paraId="5D032F87">
      <w:pPr>
        <w:adjustRightInd w:val="0"/>
        <w:snapToGrid w:val="0"/>
        <w:spacing w:line="288" w:lineRule="auto"/>
        <w:rPr>
          <w:rFonts w:hint="default" w:ascii="Times New Roman" w:hAnsi="Times New Roman" w:eastAsia="宋体" w:cs="Times New Roman"/>
          <w:color w:val="auto"/>
          <w:kern w:val="21"/>
          <w:sz w:val="36"/>
          <w:szCs w:val="36"/>
          <w:u w:val="single"/>
        </w:rPr>
      </w:pPr>
      <w:bookmarkStart w:id="2" w:name="_Hlk57884087"/>
    </w:p>
    <w:p w14:paraId="475B3AA0">
      <w:pPr>
        <w:adjustRightInd w:val="0"/>
        <w:snapToGrid w:val="0"/>
        <w:spacing w:line="288" w:lineRule="auto"/>
        <w:rPr>
          <w:rFonts w:hint="default" w:ascii="Times New Roman" w:hAnsi="Times New Roman" w:eastAsia="宋体" w:cs="Times New Roman"/>
          <w:color w:val="auto"/>
          <w:kern w:val="21"/>
          <w:sz w:val="36"/>
          <w:szCs w:val="36"/>
        </w:rPr>
      </w:pPr>
    </w:p>
    <w:p w14:paraId="0FA75BD5">
      <w:pPr>
        <w:adjustRightInd w:val="0"/>
        <w:snapToGrid w:val="0"/>
        <w:spacing w:line="288" w:lineRule="auto"/>
        <w:rPr>
          <w:rFonts w:hint="default" w:ascii="Times New Roman" w:hAnsi="Times New Roman" w:eastAsia="宋体" w:cs="Times New Roman"/>
          <w:color w:val="auto"/>
          <w:kern w:val="21"/>
          <w:sz w:val="36"/>
          <w:szCs w:val="36"/>
        </w:rPr>
      </w:pPr>
    </w:p>
    <w:p w14:paraId="2AE089A8">
      <w:pPr>
        <w:adjustRightInd w:val="0"/>
        <w:snapToGrid w:val="0"/>
        <w:spacing w:line="288" w:lineRule="auto"/>
        <w:rPr>
          <w:rFonts w:hint="default" w:ascii="Times New Roman" w:hAnsi="Times New Roman" w:eastAsia="宋体" w:cs="Times New Roman"/>
          <w:color w:val="auto"/>
          <w:kern w:val="21"/>
          <w:sz w:val="36"/>
          <w:szCs w:val="36"/>
        </w:rPr>
      </w:pPr>
    </w:p>
    <w:bookmarkEnd w:id="2"/>
    <w:p w14:paraId="04C98AA4">
      <w:pPr>
        <w:adjustRightInd w:val="0"/>
        <w:snapToGrid w:val="0"/>
        <w:spacing w:line="288" w:lineRule="auto"/>
        <w:jc w:val="center"/>
        <w:rPr>
          <w:rFonts w:hint="default" w:ascii="Times New Roman" w:hAnsi="Times New Roman" w:eastAsia="宋体" w:cs="Times New Roman"/>
          <w:color w:val="auto"/>
          <w:kern w:val="21"/>
          <w:sz w:val="36"/>
          <w:szCs w:val="36"/>
        </w:rPr>
      </w:pPr>
    </w:p>
    <w:p w14:paraId="279E2C0C">
      <w:pPr>
        <w:ind w:left="0" w:leftChars="0" w:right="0" w:rightChars="0" w:firstLine="0" w:firstLineChars="0"/>
        <w:jc w:val="center"/>
        <w:rPr>
          <w:rFonts w:hint="eastAsia" w:ascii="楷体_GB2312" w:eastAsia="楷体_GB2312"/>
          <w:spacing w:val="0"/>
          <w:kern w:val="21"/>
          <w:sz w:val="36"/>
          <w:szCs w:val="36"/>
        </w:rPr>
      </w:pPr>
      <w:r>
        <w:rPr>
          <w:rFonts w:hint="eastAsia" w:ascii="楷体_GB2312" w:eastAsia="楷体_GB2312"/>
          <w:spacing w:val="0"/>
          <w:kern w:val="21"/>
          <w:sz w:val="36"/>
          <w:szCs w:val="36"/>
        </w:rPr>
        <w:t>中华人民共和国生态环境部制</w:t>
      </w:r>
    </w:p>
    <w:p w14:paraId="7DC203FA">
      <w:pPr>
        <w:pStyle w:val="12"/>
        <w:rPr>
          <w:rFonts w:hint="eastAsia" w:ascii="楷体_GB2312" w:eastAsia="楷体_GB2312"/>
          <w:spacing w:val="0"/>
          <w:kern w:val="21"/>
          <w:sz w:val="36"/>
          <w:szCs w:val="36"/>
        </w:rPr>
      </w:pPr>
    </w:p>
    <w:p w14:paraId="5B61784E">
      <w:pPr>
        <w:pStyle w:val="12"/>
        <w:rPr>
          <w:rFonts w:hint="eastAsia" w:ascii="楷体_GB2312" w:eastAsia="楷体_GB2312"/>
          <w:spacing w:val="0"/>
          <w:kern w:val="21"/>
          <w:sz w:val="36"/>
          <w:szCs w:val="36"/>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E40E70C">
      <w:pPr>
        <w:pStyle w:val="13"/>
        <w:tabs>
          <w:tab w:val="right" w:leader="dot" w:pos="8306"/>
        </w:tabs>
        <w:ind w:left="0" w:leftChars="0" w:right="0" w:rightChars="0" w:firstLine="0" w:firstLineChars="0"/>
        <w:jc w:val="center"/>
        <w:rPr>
          <w:rFonts w:hint="eastAsia" w:eastAsia="楷体_GB2312"/>
          <w:b/>
          <w:bCs/>
          <w:lang w:val="en-US" w:eastAsia="zh-CN"/>
        </w:rPr>
      </w:pPr>
      <w:r>
        <w:rPr>
          <w:rFonts w:hint="eastAsia" w:ascii="楷体_GB2312" w:eastAsia="楷体_GB2312"/>
          <w:spacing w:val="0"/>
          <w:kern w:val="21"/>
          <w:sz w:val="36"/>
          <w:szCs w:val="36"/>
        </w:rPr>
        <w:fldChar w:fldCharType="begin"/>
      </w:r>
      <w:r>
        <w:rPr>
          <w:rFonts w:hint="eastAsia" w:ascii="楷体_GB2312" w:eastAsia="楷体_GB2312"/>
          <w:spacing w:val="0"/>
          <w:kern w:val="21"/>
          <w:sz w:val="36"/>
          <w:szCs w:val="36"/>
        </w:rPr>
        <w:instrText xml:space="preserve">TOC \o "1-1" \h \u </w:instrText>
      </w:r>
      <w:r>
        <w:rPr>
          <w:rFonts w:hint="eastAsia" w:ascii="楷体_GB2312" w:eastAsia="楷体_GB2312"/>
          <w:spacing w:val="0"/>
          <w:kern w:val="21"/>
          <w:sz w:val="36"/>
          <w:szCs w:val="36"/>
        </w:rPr>
        <w:fldChar w:fldCharType="separate"/>
      </w:r>
      <w:r>
        <w:rPr>
          <w:rFonts w:hint="eastAsia" w:ascii="楷体_GB2312" w:eastAsia="楷体_GB2312"/>
          <w:b/>
          <w:bCs/>
          <w:spacing w:val="0"/>
          <w:kern w:val="21"/>
          <w:sz w:val="36"/>
          <w:szCs w:val="36"/>
          <w:lang w:val="en-US" w:eastAsia="zh-CN"/>
        </w:rPr>
        <w:t>目录</w:t>
      </w:r>
    </w:p>
    <w:p w14:paraId="6D05609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_Toc16638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lang w:eastAsia="zh-CN"/>
        </w:rPr>
        <w:t>一、建设项目基本情况</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_Toc16638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7D4CA82B">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_Toc27458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lang w:val="en-US" w:eastAsia="zh-CN"/>
        </w:rPr>
        <w:t>二、建设项目工程分析</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_Toc27458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31</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460302B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_Toc6910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lang w:val="en-US" w:eastAsia="zh-CN"/>
        </w:rPr>
        <w:t>三、区域环境质量现状、环境保护目标及评价标准</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_Toc6910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64</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4875EAE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_Toc2212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lang w:eastAsia="zh-CN"/>
        </w:rPr>
        <w:t>四、主要环境影响和保护措施</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_Toc2212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80</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04ED5DE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_Toc28626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lang w:val="en-US" w:eastAsia="zh-CN"/>
        </w:rPr>
        <w:t>五、环境保护措施监督清单</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_Toc28626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106</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649F419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_Toc30162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lang w:val="en-US" w:eastAsia="zh-CN"/>
        </w:rPr>
        <w:t>六、结论</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_Toc30162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112</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748B5254">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b/>
          <w:bCs/>
          <w:spacing w:val="0"/>
          <w:kern w:val="21"/>
          <w:sz w:val="28"/>
          <w:szCs w:val="28"/>
        </w:rPr>
        <w:fldChar w:fldCharType="begin"/>
      </w:r>
      <w:r>
        <w:rPr>
          <w:rFonts w:hint="default" w:ascii="Times New Roman" w:hAnsi="Times New Roman" w:eastAsia="宋体" w:cs="Times New Roman"/>
          <w:b/>
          <w:bCs/>
          <w:spacing w:val="0"/>
          <w:kern w:val="21"/>
          <w:sz w:val="28"/>
          <w:szCs w:val="28"/>
        </w:rPr>
        <w:instrText xml:space="preserve"> HYPERLINK \l _Toc3431 </w:instrText>
      </w:r>
      <w:r>
        <w:rPr>
          <w:rFonts w:hint="default" w:ascii="Times New Roman" w:hAnsi="Times New Roman" w:eastAsia="宋体" w:cs="Times New Roman"/>
          <w:b/>
          <w:bCs/>
          <w:spacing w:val="0"/>
          <w:kern w:val="21"/>
          <w:sz w:val="28"/>
          <w:szCs w:val="28"/>
        </w:rPr>
        <w:fldChar w:fldCharType="separate"/>
      </w:r>
      <w:r>
        <w:rPr>
          <w:rFonts w:hint="default" w:ascii="Times New Roman" w:hAnsi="Times New Roman" w:eastAsia="宋体" w:cs="Times New Roman"/>
          <w:b/>
          <w:bCs/>
          <w:sz w:val="28"/>
          <w:szCs w:val="28"/>
          <w:highlight w:val="none"/>
          <w:lang w:val="en-US" w:eastAsia="zh-CN"/>
        </w:rPr>
        <w:t>附表</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_Toc3431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113</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pacing w:val="0"/>
          <w:kern w:val="21"/>
          <w:sz w:val="28"/>
          <w:szCs w:val="28"/>
        </w:rPr>
        <w:fldChar w:fldCharType="end"/>
      </w:r>
    </w:p>
    <w:p w14:paraId="0E5A1419">
      <w:pPr>
        <w:pStyle w:val="12"/>
        <w:ind w:left="0" w:leftChars="0" w:firstLine="0" w:firstLineChars="0"/>
        <w:rPr>
          <w:rFonts w:hint="eastAsia" w:ascii="楷体_GB2312" w:eastAsia="楷体_GB2312"/>
          <w:spacing w:val="0"/>
          <w:kern w:val="21"/>
          <w:szCs w:val="36"/>
        </w:rPr>
      </w:pPr>
      <w:r>
        <w:rPr>
          <w:rFonts w:hint="eastAsia" w:ascii="楷体_GB2312" w:eastAsia="楷体_GB2312"/>
          <w:spacing w:val="0"/>
          <w:kern w:val="21"/>
          <w:szCs w:val="36"/>
        </w:rPr>
        <w:fldChar w:fldCharType="end"/>
      </w:r>
    </w:p>
    <w:p w14:paraId="2113CC6C">
      <w:pPr>
        <w:pStyle w:val="12"/>
        <w:ind w:left="0" w:leftChars="0" w:firstLine="0" w:firstLineChars="0"/>
        <w:rPr>
          <w:rFonts w:hint="eastAsia" w:ascii="楷体_GB2312" w:eastAsia="楷体_GB2312"/>
          <w:spacing w:val="0"/>
          <w:kern w:val="21"/>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71A793F">
      <w:pPr>
        <w:keepNext w:val="0"/>
        <w:keepLines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附件：</w:t>
      </w:r>
    </w:p>
    <w:p w14:paraId="0D044571">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spacing w:val="0"/>
          <w:kern w:val="21"/>
          <w:sz w:val="28"/>
          <w:szCs w:val="28"/>
          <w:lang w:val="en-US" w:eastAsia="zh-CN"/>
        </w:rPr>
      </w:pPr>
      <w:r>
        <w:rPr>
          <w:rFonts w:hint="default" w:ascii="Times New Roman" w:hAnsi="Times New Roman" w:eastAsia="宋体" w:cs="Times New Roman"/>
          <w:spacing w:val="0"/>
          <w:kern w:val="21"/>
          <w:sz w:val="28"/>
          <w:szCs w:val="28"/>
          <w:lang w:val="en-US" w:eastAsia="zh-CN"/>
        </w:rPr>
        <w:t>附件1、委托书；</w:t>
      </w:r>
    </w:p>
    <w:p w14:paraId="32508A9E">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spacing w:val="0"/>
          <w:kern w:val="21"/>
          <w:sz w:val="28"/>
          <w:szCs w:val="28"/>
          <w:lang w:val="en-US" w:eastAsia="zh-CN"/>
        </w:rPr>
      </w:pPr>
      <w:r>
        <w:rPr>
          <w:rFonts w:hint="default" w:ascii="Times New Roman" w:hAnsi="Times New Roman" w:eastAsia="宋体" w:cs="Times New Roman"/>
          <w:spacing w:val="0"/>
          <w:kern w:val="21"/>
          <w:sz w:val="28"/>
          <w:szCs w:val="28"/>
          <w:lang w:val="en-US" w:eastAsia="zh-CN"/>
        </w:rPr>
        <w:t>附件2、玉溪市发展和改革委员会关于云南玉溪仙福钢铁（集团）有限公司能源综合利用升级改造80兆瓦富余煤气发电项目核准的批复；</w:t>
      </w:r>
    </w:p>
    <w:p w14:paraId="7BF90C5A">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spacing w:val="0"/>
          <w:kern w:val="21"/>
          <w:sz w:val="28"/>
          <w:szCs w:val="28"/>
          <w:lang w:val="en-US" w:eastAsia="zh-CN"/>
        </w:rPr>
        <w:t>附件3、</w:t>
      </w:r>
      <w:r>
        <w:rPr>
          <w:rFonts w:hint="default" w:ascii="Times New Roman" w:hAnsi="Times New Roman" w:eastAsia="宋体" w:cs="Times New Roman"/>
          <w:b w:val="0"/>
          <w:bCs w:val="0"/>
          <w:color w:val="auto"/>
          <w:sz w:val="28"/>
          <w:szCs w:val="28"/>
          <w:highlight w:val="none"/>
          <w:lang w:val="en-US" w:eastAsia="zh-CN"/>
        </w:rPr>
        <w:t>玉溪市生态环境局关于《云南新平产业园区总体规划修编（2021-2035年）环境影响报告书》审查意见的函及审查意见</w:t>
      </w:r>
      <w:r>
        <w:rPr>
          <w:rFonts w:hint="eastAsia" w:ascii="Times New Roman" w:hAnsi="Times New Roman" w:eastAsia="宋体" w:cs="Times New Roman"/>
          <w:b w:val="0"/>
          <w:bCs w:val="0"/>
          <w:color w:val="auto"/>
          <w:sz w:val="28"/>
          <w:szCs w:val="28"/>
          <w:highlight w:val="none"/>
          <w:lang w:val="en-US" w:eastAsia="zh-CN"/>
        </w:rPr>
        <w:t>；</w:t>
      </w:r>
    </w:p>
    <w:p w14:paraId="2D33243A">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附件</w:t>
      </w:r>
      <w:r>
        <w:rPr>
          <w:rFonts w:hint="eastAsia" w:cs="Times New Roman"/>
          <w:b w:val="0"/>
          <w:bCs w:val="0"/>
          <w:color w:val="auto"/>
          <w:sz w:val="28"/>
          <w:szCs w:val="28"/>
          <w:highlight w:val="none"/>
          <w:lang w:val="en-US" w:eastAsia="zh-CN"/>
        </w:rPr>
        <w:t>4、</w:t>
      </w:r>
      <w:r>
        <w:rPr>
          <w:rFonts w:hint="eastAsia" w:ascii="Times New Roman" w:hAnsi="Times New Roman" w:eastAsia="宋体" w:cs="Times New Roman"/>
          <w:b w:val="0"/>
          <w:bCs w:val="0"/>
          <w:color w:val="auto"/>
          <w:sz w:val="28"/>
          <w:szCs w:val="28"/>
          <w:highlight w:val="none"/>
          <w:lang w:val="en-US" w:eastAsia="zh-CN"/>
        </w:rPr>
        <w:t>玉溪市人民政府关于《云南新平产业园区总体规划修编（2021-2035年</w:t>
      </w:r>
      <w:r>
        <w:rPr>
          <w:rFonts w:hint="default" w:ascii="Times New Roman" w:hAnsi="Times New Roman" w:eastAsia="宋体" w:cs="Times New Roman"/>
          <w:b w:val="0"/>
          <w:bCs w:val="0"/>
          <w:color w:val="auto"/>
          <w:sz w:val="28"/>
          <w:szCs w:val="28"/>
          <w:highlight w:val="none"/>
          <w:lang w:val="en-US" w:eastAsia="zh-CN"/>
        </w:rPr>
        <w:t>）</w:t>
      </w:r>
      <w:r>
        <w:rPr>
          <w:rFonts w:hint="eastAsia" w:ascii="Times New Roman" w:hAnsi="Times New Roman" w:eastAsia="宋体" w:cs="Times New Roman"/>
          <w:b w:val="0"/>
          <w:bCs w:val="0"/>
          <w:color w:val="auto"/>
          <w:sz w:val="28"/>
          <w:szCs w:val="28"/>
          <w:highlight w:val="none"/>
          <w:lang w:val="en-US" w:eastAsia="zh-CN"/>
        </w:rPr>
        <w:t>的批复</w:t>
      </w:r>
      <w:r>
        <w:rPr>
          <w:rFonts w:hint="eastAsia" w:cs="Times New Roman"/>
          <w:b w:val="0"/>
          <w:bCs w:val="0"/>
          <w:color w:val="auto"/>
          <w:sz w:val="28"/>
          <w:szCs w:val="28"/>
          <w:highlight w:val="none"/>
          <w:lang w:val="en-US" w:eastAsia="zh-CN"/>
        </w:rPr>
        <w:t>；</w:t>
      </w:r>
    </w:p>
    <w:p w14:paraId="663428E2">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附件</w:t>
      </w:r>
      <w:r>
        <w:rPr>
          <w:rFonts w:hint="eastAsia" w:cs="Times New Roman"/>
          <w:b w:val="0"/>
          <w:bCs w:val="0"/>
          <w:color w:val="auto"/>
          <w:sz w:val="28"/>
          <w:szCs w:val="28"/>
          <w:highlight w:val="none"/>
          <w:lang w:val="en-US" w:eastAsia="zh-CN"/>
        </w:rPr>
        <w:t>5</w:t>
      </w:r>
      <w:r>
        <w:rPr>
          <w:rFonts w:hint="eastAsia" w:ascii="Times New Roman" w:hAnsi="Times New Roman" w:eastAsia="宋体" w:cs="Times New Roman"/>
          <w:b w:val="0"/>
          <w:bCs w:val="0"/>
          <w:color w:val="auto"/>
          <w:sz w:val="28"/>
          <w:szCs w:val="28"/>
          <w:highlight w:val="none"/>
          <w:lang w:val="en-US" w:eastAsia="zh-CN"/>
        </w:rPr>
        <w:t>、建设单位营业执照；</w:t>
      </w:r>
    </w:p>
    <w:p w14:paraId="0E8AF4EA">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附件</w:t>
      </w:r>
      <w:r>
        <w:rPr>
          <w:rFonts w:hint="eastAsia" w:cs="Times New Roman"/>
          <w:b w:val="0"/>
          <w:bCs w:val="0"/>
          <w:color w:val="auto"/>
          <w:sz w:val="28"/>
          <w:szCs w:val="28"/>
          <w:highlight w:val="none"/>
          <w:lang w:val="en-US" w:eastAsia="zh-CN"/>
        </w:rPr>
        <w:t>6</w:t>
      </w:r>
      <w:r>
        <w:rPr>
          <w:rFonts w:hint="eastAsia" w:ascii="Times New Roman" w:hAnsi="Times New Roman" w:eastAsia="宋体" w:cs="Times New Roman"/>
          <w:b w:val="0"/>
          <w:bCs w:val="0"/>
          <w:color w:val="auto"/>
          <w:sz w:val="28"/>
          <w:szCs w:val="28"/>
          <w:highlight w:val="none"/>
          <w:lang w:val="en-US" w:eastAsia="zh-CN"/>
        </w:rPr>
        <w:t>、排污许可证；</w:t>
      </w:r>
    </w:p>
    <w:p w14:paraId="24FA1D8B">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附件7、引用监测报告</w:t>
      </w:r>
    </w:p>
    <w:p w14:paraId="46001D45">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附件</w:t>
      </w:r>
      <w:r>
        <w:rPr>
          <w:rFonts w:hint="eastAsia" w:cs="Times New Roman"/>
          <w:b w:val="0"/>
          <w:bCs w:val="0"/>
          <w:color w:val="auto"/>
          <w:sz w:val="28"/>
          <w:szCs w:val="28"/>
          <w:highlight w:val="none"/>
          <w:lang w:val="en-US" w:eastAsia="zh-CN"/>
        </w:rPr>
        <w:t>8</w:t>
      </w:r>
      <w:r>
        <w:rPr>
          <w:rFonts w:hint="eastAsia" w:ascii="Times New Roman" w:hAnsi="Times New Roman" w:eastAsia="宋体" w:cs="Times New Roman"/>
          <w:b w:val="0"/>
          <w:bCs w:val="0"/>
          <w:color w:val="auto"/>
          <w:sz w:val="28"/>
          <w:szCs w:val="28"/>
          <w:highlight w:val="none"/>
          <w:lang w:val="en-US" w:eastAsia="zh-CN"/>
        </w:rPr>
        <w:t>、</w:t>
      </w:r>
      <w:r>
        <w:rPr>
          <w:rFonts w:hint="eastAsia" w:cs="Times New Roman"/>
          <w:b w:val="0"/>
          <w:bCs w:val="0"/>
          <w:color w:val="auto"/>
          <w:sz w:val="28"/>
          <w:szCs w:val="28"/>
          <w:highlight w:val="none"/>
          <w:lang w:val="en-US" w:eastAsia="zh-CN"/>
        </w:rPr>
        <w:t>项目</w:t>
      </w:r>
      <w:r>
        <w:rPr>
          <w:rFonts w:hint="eastAsia" w:ascii="Times New Roman" w:hAnsi="Times New Roman" w:eastAsia="宋体" w:cs="Times New Roman"/>
          <w:b w:val="0"/>
          <w:bCs w:val="0"/>
          <w:color w:val="auto"/>
          <w:sz w:val="28"/>
          <w:szCs w:val="28"/>
          <w:highlight w:val="none"/>
          <w:lang w:val="en-US" w:eastAsia="zh-CN"/>
        </w:rPr>
        <w:t>环评合同；</w:t>
      </w:r>
    </w:p>
    <w:p w14:paraId="76A0605A">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附件</w:t>
      </w:r>
      <w:r>
        <w:rPr>
          <w:rFonts w:hint="eastAsia" w:cs="Times New Roman"/>
          <w:b w:val="0"/>
          <w:bCs w:val="0"/>
          <w:color w:val="auto"/>
          <w:sz w:val="28"/>
          <w:szCs w:val="28"/>
          <w:highlight w:val="none"/>
          <w:lang w:val="en-US" w:eastAsia="zh-CN"/>
        </w:rPr>
        <w:t>9</w:t>
      </w:r>
      <w:r>
        <w:rPr>
          <w:rFonts w:hint="eastAsia" w:ascii="Times New Roman" w:hAnsi="Times New Roman" w:eastAsia="宋体" w:cs="Times New Roman"/>
          <w:b w:val="0"/>
          <w:bCs w:val="0"/>
          <w:color w:val="auto"/>
          <w:sz w:val="28"/>
          <w:szCs w:val="28"/>
          <w:highlight w:val="none"/>
          <w:lang w:val="en-US" w:eastAsia="zh-CN"/>
        </w:rPr>
        <w:t>、项目进度表；</w:t>
      </w:r>
    </w:p>
    <w:p w14:paraId="153AC3CB">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附件10、项目内部审核表；</w:t>
      </w:r>
    </w:p>
    <w:p w14:paraId="4BA0E34B">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附件11</w:t>
      </w:r>
      <w:r>
        <w:rPr>
          <w:rFonts w:hint="eastAsia" w:ascii="Times New Roman" w:hAnsi="Times New Roman" w:eastAsia="宋体" w:cs="Times New Roman"/>
          <w:b w:val="0"/>
          <w:bCs w:val="0"/>
          <w:color w:val="auto"/>
          <w:sz w:val="28"/>
          <w:szCs w:val="28"/>
          <w:highlight w:val="none"/>
          <w:lang w:val="en-US" w:eastAsia="zh-CN"/>
        </w:rPr>
        <w:t>、</w:t>
      </w:r>
      <w:r>
        <w:rPr>
          <w:rFonts w:hint="default" w:ascii="Times New Roman" w:hAnsi="Times New Roman" w:eastAsia="宋体" w:cs="Times New Roman"/>
          <w:b w:val="0"/>
          <w:bCs w:val="0"/>
          <w:color w:val="auto"/>
          <w:sz w:val="28"/>
          <w:szCs w:val="28"/>
          <w:highlight w:val="none"/>
          <w:lang w:val="en-US" w:eastAsia="zh-CN"/>
        </w:rPr>
        <w:t>专家审查意见及签到表</w:t>
      </w:r>
      <w:r>
        <w:rPr>
          <w:rFonts w:hint="eastAsia" w:ascii="Times New Roman" w:hAnsi="Times New Roman" w:eastAsia="宋体" w:cs="Times New Roman"/>
          <w:b w:val="0"/>
          <w:bCs w:val="0"/>
          <w:color w:val="auto"/>
          <w:sz w:val="28"/>
          <w:szCs w:val="28"/>
          <w:highlight w:val="none"/>
          <w:lang w:val="en-US" w:eastAsia="zh-CN"/>
        </w:rPr>
        <w:t>；</w:t>
      </w:r>
    </w:p>
    <w:p w14:paraId="24ACB4E3">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附件12</w:t>
      </w:r>
      <w:r>
        <w:rPr>
          <w:rFonts w:hint="eastAsia" w:ascii="Times New Roman" w:hAnsi="Times New Roman" w:eastAsia="宋体" w:cs="Times New Roman"/>
          <w:b w:val="0"/>
          <w:bCs w:val="0"/>
          <w:color w:val="auto"/>
          <w:sz w:val="28"/>
          <w:szCs w:val="28"/>
          <w:highlight w:val="none"/>
          <w:lang w:val="en-US" w:eastAsia="zh-CN"/>
        </w:rPr>
        <w:t>、</w:t>
      </w:r>
      <w:r>
        <w:rPr>
          <w:rFonts w:hint="default" w:ascii="Times New Roman" w:hAnsi="Times New Roman" w:eastAsia="宋体" w:cs="Times New Roman"/>
          <w:b w:val="0"/>
          <w:bCs w:val="0"/>
          <w:color w:val="auto"/>
          <w:sz w:val="28"/>
          <w:szCs w:val="28"/>
          <w:highlight w:val="none"/>
          <w:lang w:val="en-US" w:eastAsia="zh-CN"/>
        </w:rPr>
        <w:t>修改对照表</w:t>
      </w:r>
      <w:r>
        <w:rPr>
          <w:rFonts w:hint="eastAsia" w:ascii="Times New Roman" w:hAnsi="Times New Roman" w:eastAsia="宋体" w:cs="Times New Roman"/>
          <w:b w:val="0"/>
          <w:bCs w:val="0"/>
          <w:color w:val="auto"/>
          <w:sz w:val="28"/>
          <w:szCs w:val="28"/>
          <w:highlight w:val="none"/>
          <w:lang w:val="en-US" w:eastAsia="zh-CN"/>
        </w:rPr>
        <w:t>。</w:t>
      </w:r>
    </w:p>
    <w:p w14:paraId="7EFEE4E2">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p>
    <w:p w14:paraId="5129E495">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DFE49F6">
      <w:pPr>
        <w:keepNext w:val="0"/>
        <w:keepLines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附图：</w:t>
      </w:r>
    </w:p>
    <w:p w14:paraId="5D958A9C">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附图1、项目地理位置图；</w:t>
      </w:r>
    </w:p>
    <w:p w14:paraId="7C6EF211">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附图2、项目区域水系图；</w:t>
      </w:r>
    </w:p>
    <w:p w14:paraId="1886BDF7">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附图3、项目总平面布置图；</w:t>
      </w:r>
    </w:p>
    <w:p w14:paraId="7EE574F3">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附图</w:t>
      </w:r>
      <w:r>
        <w:rPr>
          <w:rFonts w:hint="eastAsia" w:cs="Times New Roman"/>
          <w:b w:val="0"/>
          <w:bCs w:val="0"/>
          <w:color w:val="auto"/>
          <w:sz w:val="28"/>
          <w:szCs w:val="28"/>
          <w:highlight w:val="none"/>
          <w:lang w:val="en-US" w:eastAsia="zh-CN"/>
        </w:rPr>
        <w:t>4</w:t>
      </w:r>
      <w:r>
        <w:rPr>
          <w:rFonts w:hint="eastAsia" w:ascii="Times New Roman" w:hAnsi="Times New Roman" w:eastAsia="宋体" w:cs="Times New Roman"/>
          <w:b w:val="0"/>
          <w:bCs w:val="0"/>
          <w:color w:val="auto"/>
          <w:sz w:val="28"/>
          <w:szCs w:val="28"/>
          <w:highlight w:val="none"/>
          <w:lang w:val="en-US" w:eastAsia="zh-CN"/>
        </w:rPr>
        <w:t>、项目周边关系图</w:t>
      </w:r>
      <w:r>
        <w:rPr>
          <w:rFonts w:hint="eastAsia" w:cs="Times New Roman"/>
          <w:b w:val="0"/>
          <w:bCs w:val="0"/>
          <w:color w:val="auto"/>
          <w:sz w:val="28"/>
          <w:szCs w:val="28"/>
          <w:highlight w:val="none"/>
          <w:lang w:val="en-US" w:eastAsia="zh-CN"/>
        </w:rPr>
        <w:t>。</w:t>
      </w:r>
    </w:p>
    <w:p w14:paraId="526DF0EC">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宋体" w:cs="Times New Roman"/>
          <w:b w:val="0"/>
          <w:bCs w:val="0"/>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3" w:name="_Toc30627"/>
    </w:p>
    <w:bookmarkEnd w:id="3"/>
    <w:p w14:paraId="47A065A8">
      <w:pPr>
        <w:pStyle w:val="2"/>
        <w:keepNext w:val="0"/>
        <w:keepLines w:val="0"/>
        <w:pageBreakBefore/>
        <w:widowControl w:val="0"/>
        <w:kinsoku/>
        <w:wordWrap/>
        <w:overflowPunct/>
        <w:topLinePunct w:val="0"/>
        <w:autoSpaceDE/>
        <w:autoSpaceDN/>
        <w:bidi w:val="0"/>
        <w:adjustRightInd/>
        <w:snapToGrid/>
        <w:textAlignment w:val="auto"/>
        <w:outlineLvl w:val="0"/>
        <w:rPr>
          <w:rFonts w:hint="eastAsia"/>
          <w:lang w:eastAsia="zh-CN"/>
        </w:rPr>
      </w:pPr>
      <w:bookmarkStart w:id="4" w:name="_Toc16638"/>
      <w:bookmarkStart w:id="5" w:name="_Toc27458"/>
      <w:r>
        <w:rPr>
          <w:rFonts w:hint="eastAsia"/>
          <w:lang w:eastAsia="zh-CN"/>
        </w:rPr>
        <w:t>一、建设项目基本情况</w:t>
      </w:r>
      <w:bookmarkEnd w:id="4"/>
    </w:p>
    <w:tbl>
      <w:tblPr>
        <w:tblStyle w:val="17"/>
        <w:tblW w:w="54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0"/>
        <w:gridCol w:w="1812"/>
        <w:gridCol w:w="2113"/>
        <w:gridCol w:w="3521"/>
      </w:tblGrid>
      <w:tr w14:paraId="5E7B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77" w:type="pct"/>
            <w:tcBorders>
              <w:tl2br w:val="nil"/>
              <w:tr2bl w:val="nil"/>
            </w:tcBorders>
            <w:noWrap w:val="0"/>
            <w:tcMar>
              <w:top w:w="16" w:type="dxa"/>
              <w:left w:w="16" w:type="dxa"/>
              <w:right w:w="16" w:type="dxa"/>
            </w:tcMar>
            <w:vAlign w:val="center"/>
          </w:tcPr>
          <w:p w14:paraId="023982CF">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4122" w:type="pct"/>
            <w:gridSpan w:val="3"/>
            <w:tcBorders>
              <w:tl2br w:val="nil"/>
              <w:tr2bl w:val="nil"/>
            </w:tcBorders>
            <w:noWrap w:val="0"/>
            <w:vAlign w:val="center"/>
          </w:tcPr>
          <w:p w14:paraId="5E98124D">
            <w:pPr>
              <w:autoSpaceDE w:val="0"/>
              <w:autoSpaceDN w:val="0"/>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云南玉溪</w:t>
            </w:r>
            <w:r>
              <w:rPr>
                <w:rFonts w:hint="eastAsia" w:cs="Times New Roman"/>
                <w:color w:val="auto"/>
                <w:sz w:val="24"/>
                <w:szCs w:val="24"/>
                <w:lang w:val="en-US" w:eastAsia="zh-CN"/>
              </w:rPr>
              <w:t>仙福钢铁（集团）有限公司能源综合利用升级改造80兆瓦富余煤气发电项目</w:t>
            </w:r>
          </w:p>
        </w:tc>
      </w:tr>
      <w:tr w14:paraId="4ED2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877" w:type="pct"/>
            <w:tcBorders>
              <w:tl2br w:val="nil"/>
              <w:tr2bl w:val="nil"/>
            </w:tcBorders>
            <w:noWrap w:val="0"/>
            <w:tcMar>
              <w:top w:w="16" w:type="dxa"/>
              <w:left w:w="16" w:type="dxa"/>
              <w:right w:w="16" w:type="dxa"/>
            </w:tcMar>
            <w:vAlign w:val="center"/>
          </w:tcPr>
          <w:p w14:paraId="4287C9D3">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4122" w:type="pct"/>
            <w:gridSpan w:val="3"/>
            <w:tcBorders>
              <w:tl2br w:val="nil"/>
              <w:tr2bl w:val="nil"/>
            </w:tcBorders>
            <w:noWrap w:val="0"/>
            <w:vAlign w:val="center"/>
          </w:tcPr>
          <w:p w14:paraId="1652494D">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2512-530400-04-01-937036</w:t>
            </w:r>
          </w:p>
        </w:tc>
      </w:tr>
      <w:tr w14:paraId="6937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exact"/>
          <w:jc w:val="center"/>
        </w:trPr>
        <w:tc>
          <w:tcPr>
            <w:tcW w:w="877" w:type="pct"/>
            <w:tcBorders>
              <w:tl2br w:val="nil"/>
              <w:tr2bl w:val="nil"/>
            </w:tcBorders>
            <w:noWrap w:val="0"/>
            <w:tcMar>
              <w:top w:w="16" w:type="dxa"/>
              <w:left w:w="16" w:type="dxa"/>
              <w:right w:w="16" w:type="dxa"/>
            </w:tcMar>
            <w:vAlign w:val="center"/>
          </w:tcPr>
          <w:p w14:paraId="79887952">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1003" w:type="pct"/>
            <w:tcBorders>
              <w:tl2br w:val="nil"/>
              <w:tr2bl w:val="nil"/>
            </w:tcBorders>
            <w:noWrap w:val="0"/>
            <w:vAlign w:val="center"/>
          </w:tcPr>
          <w:p w14:paraId="47262FE4">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highlight w:val="none"/>
                <w:lang w:val="en-US" w:eastAsia="zh-CN" w:bidi="ar"/>
              </w:rPr>
              <w:t>王跃伟</w:t>
            </w:r>
          </w:p>
        </w:tc>
        <w:tc>
          <w:tcPr>
            <w:tcW w:w="1170" w:type="pct"/>
            <w:tcBorders>
              <w:tl2br w:val="nil"/>
              <w:tr2bl w:val="nil"/>
            </w:tcBorders>
            <w:noWrap w:val="0"/>
            <w:vAlign w:val="center"/>
          </w:tcPr>
          <w:p w14:paraId="10552B8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联系方式</w:t>
            </w:r>
          </w:p>
        </w:tc>
        <w:tc>
          <w:tcPr>
            <w:tcW w:w="1948" w:type="pct"/>
            <w:tcBorders>
              <w:tl2br w:val="nil"/>
              <w:tr2bl w:val="nil"/>
            </w:tcBorders>
            <w:noWrap w:val="0"/>
            <w:vAlign w:val="center"/>
          </w:tcPr>
          <w:p w14:paraId="675186F0">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highlight w:val="none"/>
                <w:lang w:val="en-US" w:eastAsia="zh-CN" w:bidi="ar"/>
              </w:rPr>
              <w:t>13988403123</w:t>
            </w:r>
          </w:p>
        </w:tc>
      </w:tr>
      <w:tr w14:paraId="7C9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877" w:type="pct"/>
            <w:tcBorders>
              <w:tl2br w:val="nil"/>
              <w:tr2bl w:val="nil"/>
            </w:tcBorders>
            <w:noWrap w:val="0"/>
            <w:tcMar>
              <w:top w:w="16" w:type="dxa"/>
              <w:left w:w="16" w:type="dxa"/>
              <w:right w:w="16" w:type="dxa"/>
            </w:tcMar>
            <w:vAlign w:val="center"/>
          </w:tcPr>
          <w:p w14:paraId="516F137B">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4122" w:type="pct"/>
            <w:gridSpan w:val="3"/>
            <w:tcBorders>
              <w:tl2br w:val="nil"/>
              <w:tr2bl w:val="nil"/>
            </w:tcBorders>
            <w:noWrap w:val="0"/>
            <w:vAlign w:val="center"/>
          </w:tcPr>
          <w:p w14:paraId="5F719533">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sz w:val="24"/>
                <w:szCs w:val="24"/>
              </w:rPr>
              <w:t>云南省</w:t>
            </w:r>
            <w:r>
              <w:rPr>
                <w:rFonts w:hint="eastAsia" w:cs="Times New Roman"/>
                <w:color w:val="auto"/>
                <w:sz w:val="24"/>
                <w:szCs w:val="24"/>
                <w:lang w:val="en-US" w:eastAsia="zh-CN"/>
              </w:rPr>
              <w:t>玉溪市新平县扬武镇大开门云南新平产业园区绿色钢城片区</w:t>
            </w:r>
          </w:p>
        </w:tc>
      </w:tr>
      <w:tr w14:paraId="6ACD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877" w:type="pct"/>
            <w:tcBorders>
              <w:tl2br w:val="nil"/>
              <w:tr2bl w:val="nil"/>
            </w:tcBorders>
            <w:noWrap w:val="0"/>
            <w:tcMar>
              <w:top w:w="16" w:type="dxa"/>
              <w:left w:w="16" w:type="dxa"/>
              <w:right w:w="16" w:type="dxa"/>
            </w:tcMar>
            <w:vAlign w:val="center"/>
          </w:tcPr>
          <w:p w14:paraId="5B3BDFFF">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地理坐标</w:t>
            </w:r>
          </w:p>
        </w:tc>
        <w:tc>
          <w:tcPr>
            <w:tcW w:w="4122" w:type="pct"/>
            <w:gridSpan w:val="3"/>
            <w:tcBorders>
              <w:tl2br w:val="nil"/>
              <w:tr2bl w:val="nil"/>
            </w:tcBorders>
            <w:noWrap w:val="0"/>
            <w:vAlign w:val="center"/>
          </w:tcPr>
          <w:p w14:paraId="1B6A3E09">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ascii="Times New Roman" w:hAnsi="Times New Roman"/>
                <w:color w:val="auto"/>
                <w:sz w:val="24"/>
              </w:rPr>
              <w:t>（</w:t>
            </w:r>
            <w:r>
              <w:rPr>
                <w:rFonts w:hint="default" w:ascii="Times New Roman" w:hAnsi="Times New Roman" w:eastAsia="宋体" w:cs="Times New Roman"/>
                <w:color w:val="auto"/>
                <w:sz w:val="24"/>
                <w:szCs w:val="24"/>
                <w:u w:val="single"/>
                <w:lang w:val="en-US" w:eastAsia="zh-CN"/>
              </w:rPr>
              <w:t>102</w:t>
            </w:r>
            <w:r>
              <w:rPr>
                <w:rFonts w:ascii="Times New Roman" w:hAnsi="Times New Roman"/>
                <w:color w:val="auto"/>
                <w:sz w:val="24"/>
              </w:rPr>
              <w:t>度</w:t>
            </w:r>
            <w:r>
              <w:rPr>
                <w:rFonts w:hint="default" w:ascii="Times New Roman" w:hAnsi="Times New Roman" w:eastAsia="宋体" w:cs="Times New Roman"/>
                <w:color w:val="auto"/>
                <w:sz w:val="24"/>
                <w:szCs w:val="24"/>
                <w:u w:val="single"/>
                <w:lang w:val="en-US" w:eastAsia="zh-CN"/>
              </w:rPr>
              <w:t>11</w:t>
            </w:r>
            <w:r>
              <w:rPr>
                <w:rFonts w:ascii="Times New Roman" w:hAnsi="Times New Roman"/>
                <w:color w:val="auto"/>
                <w:sz w:val="24"/>
              </w:rPr>
              <w:t>分</w:t>
            </w:r>
            <w:r>
              <w:rPr>
                <w:rFonts w:hint="default" w:ascii="Times New Roman" w:hAnsi="Times New Roman" w:eastAsia="宋体" w:cs="Times New Roman"/>
                <w:color w:val="auto"/>
                <w:sz w:val="24"/>
                <w:szCs w:val="24"/>
                <w:u w:val="single"/>
                <w:lang w:val="en-US" w:eastAsia="zh-CN"/>
              </w:rPr>
              <w:t>11.35</w:t>
            </w:r>
            <w:r>
              <w:rPr>
                <w:rFonts w:hint="eastAsia" w:cs="Times New Roman"/>
                <w:color w:val="auto"/>
                <w:sz w:val="24"/>
                <w:szCs w:val="24"/>
                <w:u w:val="single"/>
                <w:lang w:val="en-US" w:eastAsia="zh-CN"/>
              </w:rPr>
              <w:t>4</w:t>
            </w:r>
            <w:r>
              <w:rPr>
                <w:rFonts w:ascii="Times New Roman" w:hAnsi="Times New Roman"/>
                <w:color w:val="auto"/>
                <w:sz w:val="24"/>
              </w:rPr>
              <w:t>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u w:val="single"/>
                <w:lang w:val="en-US" w:eastAsia="zh-CN"/>
              </w:rPr>
              <w:t>24</w:t>
            </w:r>
            <w:r>
              <w:rPr>
                <w:rFonts w:ascii="Times New Roman" w:hAnsi="Times New Roman"/>
                <w:color w:val="auto"/>
                <w:sz w:val="24"/>
              </w:rPr>
              <w:t>度</w:t>
            </w:r>
            <w:r>
              <w:rPr>
                <w:rFonts w:hint="default" w:ascii="Times New Roman" w:hAnsi="Times New Roman" w:eastAsia="宋体" w:cs="Times New Roman"/>
                <w:color w:val="auto"/>
                <w:sz w:val="24"/>
                <w:szCs w:val="24"/>
                <w:u w:val="single"/>
                <w:lang w:val="en-US" w:eastAsia="zh-CN"/>
              </w:rPr>
              <w:t>0</w:t>
            </w:r>
            <w:r>
              <w:rPr>
                <w:rFonts w:ascii="Times New Roman" w:hAnsi="Times New Roman"/>
                <w:color w:val="auto"/>
                <w:sz w:val="24"/>
              </w:rPr>
              <w:t>分</w:t>
            </w:r>
            <w:r>
              <w:rPr>
                <w:rFonts w:hint="default" w:ascii="Times New Roman" w:hAnsi="Times New Roman" w:eastAsia="宋体" w:cs="Times New Roman"/>
                <w:color w:val="auto"/>
                <w:sz w:val="24"/>
                <w:szCs w:val="24"/>
                <w:u w:val="single"/>
                <w:lang w:val="en-US" w:eastAsia="zh-CN"/>
              </w:rPr>
              <w:t>47.656</w:t>
            </w:r>
            <w:r>
              <w:rPr>
                <w:rFonts w:ascii="Times New Roman" w:hAnsi="Times New Roman"/>
                <w:color w:val="auto"/>
                <w:sz w:val="24"/>
              </w:rPr>
              <w:t>秒</w:t>
            </w:r>
            <w:r>
              <w:rPr>
                <w:rFonts w:hint="eastAsia" w:cs="Times New Roman"/>
                <w:color w:val="auto"/>
                <w:sz w:val="24"/>
                <w:szCs w:val="24"/>
                <w:lang w:val="en-US" w:eastAsia="zh-CN"/>
              </w:rPr>
              <w:t>）</w:t>
            </w:r>
          </w:p>
        </w:tc>
      </w:tr>
      <w:tr w14:paraId="0E41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77" w:type="pct"/>
            <w:tcBorders>
              <w:tl2br w:val="nil"/>
              <w:tr2bl w:val="nil"/>
            </w:tcBorders>
            <w:noWrap w:val="0"/>
            <w:tcMar>
              <w:top w:w="16" w:type="dxa"/>
              <w:left w:w="16" w:type="dxa"/>
              <w:right w:w="16" w:type="dxa"/>
            </w:tcMar>
            <w:vAlign w:val="center"/>
          </w:tcPr>
          <w:p w14:paraId="22886286">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国民经济行业类别</w:t>
            </w:r>
          </w:p>
        </w:tc>
        <w:tc>
          <w:tcPr>
            <w:tcW w:w="1003" w:type="pct"/>
            <w:tcBorders>
              <w:tl2br w:val="nil"/>
              <w:tr2bl w:val="nil"/>
            </w:tcBorders>
            <w:noWrap w:val="0"/>
            <w:vAlign w:val="center"/>
          </w:tcPr>
          <w:p w14:paraId="66535AE3">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D4412热电联产</w:t>
            </w:r>
          </w:p>
        </w:tc>
        <w:tc>
          <w:tcPr>
            <w:tcW w:w="1170" w:type="pct"/>
            <w:tcBorders>
              <w:tl2br w:val="nil"/>
              <w:tr2bl w:val="nil"/>
            </w:tcBorders>
            <w:noWrap w:val="0"/>
            <w:vAlign w:val="center"/>
          </w:tcPr>
          <w:p w14:paraId="6B011E06">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4"/>
                <w:szCs w:val="24"/>
              </w:rPr>
            </w:pPr>
            <w:bookmarkStart w:id="6" w:name="_Hlk49843745"/>
            <w:r>
              <w:rPr>
                <w:rFonts w:hint="default" w:ascii="Times New Roman" w:hAnsi="Times New Roman" w:cs="Times New Roman"/>
                <w:color w:val="auto"/>
                <w:sz w:val="24"/>
                <w:szCs w:val="24"/>
              </w:rPr>
              <w:t>建设项目行业类别</w:t>
            </w:r>
            <w:bookmarkEnd w:id="6"/>
          </w:p>
        </w:tc>
        <w:tc>
          <w:tcPr>
            <w:tcW w:w="1948" w:type="pct"/>
            <w:tcBorders>
              <w:tl2br w:val="nil"/>
              <w:tr2bl w:val="nil"/>
            </w:tcBorders>
            <w:noWrap w:val="0"/>
            <w:vAlign w:val="center"/>
          </w:tcPr>
          <w:p w14:paraId="649BF1F6">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41-087</w:t>
            </w:r>
            <w:r>
              <w:rPr>
                <w:color w:val="auto"/>
                <w:sz w:val="24"/>
                <w:szCs w:val="24"/>
                <w:lang w:eastAsia="zh-CN"/>
              </w:rPr>
              <w:t>火力发电</w:t>
            </w:r>
            <w:r>
              <w:rPr>
                <w:rFonts w:hint="eastAsia"/>
                <w:color w:val="auto"/>
                <w:sz w:val="24"/>
                <w:szCs w:val="24"/>
                <w:lang w:eastAsia="zh-CN"/>
              </w:rPr>
              <w:t>、</w:t>
            </w:r>
            <w:r>
              <w:rPr>
                <w:color w:val="auto"/>
                <w:sz w:val="24"/>
                <w:szCs w:val="24"/>
                <w:lang w:eastAsia="zh-CN"/>
              </w:rPr>
              <w:t>热电联产</w:t>
            </w:r>
          </w:p>
        </w:tc>
      </w:tr>
      <w:tr w14:paraId="2387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7" w:type="pct"/>
            <w:tcBorders>
              <w:tl2br w:val="nil"/>
              <w:tr2bl w:val="nil"/>
            </w:tcBorders>
            <w:noWrap w:val="0"/>
            <w:tcMar>
              <w:top w:w="16" w:type="dxa"/>
              <w:left w:w="16" w:type="dxa"/>
              <w:right w:w="16" w:type="dxa"/>
            </w:tcMar>
            <w:vAlign w:val="center"/>
          </w:tcPr>
          <w:p w14:paraId="6CA08C9A">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003" w:type="pct"/>
            <w:tcBorders>
              <w:tl2br w:val="nil"/>
              <w:tr2bl w:val="nil"/>
            </w:tcBorders>
            <w:noWrap w:val="0"/>
            <w:vAlign w:val="center"/>
          </w:tcPr>
          <w:p w14:paraId="798D46D1">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新建（迁建）</w:t>
            </w:r>
          </w:p>
          <w:p w14:paraId="0A5E528C">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改建</w:t>
            </w:r>
          </w:p>
          <w:p w14:paraId="02E9CFD2">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14:paraId="1336056C">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技术改造</w:t>
            </w:r>
          </w:p>
        </w:tc>
        <w:tc>
          <w:tcPr>
            <w:tcW w:w="1170" w:type="pct"/>
            <w:tcBorders>
              <w:tl2br w:val="nil"/>
              <w:tr2bl w:val="nil"/>
            </w:tcBorders>
            <w:noWrap w:val="0"/>
            <w:vAlign w:val="center"/>
          </w:tcPr>
          <w:p w14:paraId="7B5027E5">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0D2E8C73">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1948" w:type="pct"/>
            <w:tcBorders>
              <w:tl2br w:val="nil"/>
              <w:tr2bl w:val="nil"/>
            </w:tcBorders>
            <w:noWrap w:val="0"/>
            <w:vAlign w:val="center"/>
          </w:tcPr>
          <w:p w14:paraId="45849F9D">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14:paraId="58ADCDFF">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14:paraId="1E5D4FE5">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14:paraId="577B475A">
            <w:pPr>
              <w:autoSpaceDE w:val="0"/>
              <w:autoSpaceDN w:val="0"/>
              <w:adjustRightInd w:val="0"/>
              <w:snapToGrid w:val="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14:paraId="03B3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exact"/>
          <w:jc w:val="center"/>
        </w:trPr>
        <w:tc>
          <w:tcPr>
            <w:tcW w:w="877" w:type="pct"/>
            <w:tcBorders>
              <w:tl2br w:val="nil"/>
              <w:tr2bl w:val="nil"/>
            </w:tcBorders>
            <w:noWrap w:val="0"/>
            <w:tcMar>
              <w:top w:w="16" w:type="dxa"/>
              <w:left w:w="16" w:type="dxa"/>
              <w:right w:w="16" w:type="dxa"/>
            </w:tcMar>
            <w:vAlign w:val="center"/>
          </w:tcPr>
          <w:p w14:paraId="0CF50A4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1003" w:type="pct"/>
            <w:tcBorders>
              <w:tl2br w:val="nil"/>
              <w:tr2bl w:val="nil"/>
            </w:tcBorders>
            <w:noWrap w:val="0"/>
            <w:vAlign w:val="center"/>
          </w:tcPr>
          <w:p w14:paraId="1E34A14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4"/>
                <w:szCs w:val="24"/>
                <w:highlight w:val="none"/>
                <w:lang w:val="en-US"/>
              </w:rPr>
            </w:pPr>
            <w:r>
              <w:rPr>
                <w:rFonts w:hint="eastAsia" w:ascii="Times New Roman" w:hAnsi="Times New Roman" w:cs="Times New Roman"/>
                <w:color w:val="auto"/>
                <w:sz w:val="24"/>
                <w:szCs w:val="24"/>
                <w:highlight w:val="none"/>
                <w:lang w:val="en-US" w:eastAsia="zh-CN"/>
              </w:rPr>
              <w:t>玉溪市发展和改革委员会</w:t>
            </w:r>
          </w:p>
        </w:tc>
        <w:tc>
          <w:tcPr>
            <w:tcW w:w="1170" w:type="pct"/>
            <w:tcBorders>
              <w:tl2br w:val="nil"/>
              <w:tr2bl w:val="nil"/>
            </w:tcBorders>
            <w:noWrap w:val="0"/>
            <w:vAlign w:val="center"/>
          </w:tcPr>
          <w:p w14:paraId="001950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项目审批（核准/备案）文号（选填）</w:t>
            </w:r>
          </w:p>
        </w:tc>
        <w:tc>
          <w:tcPr>
            <w:tcW w:w="1948" w:type="pct"/>
            <w:tcBorders>
              <w:tl2br w:val="nil"/>
              <w:tr2bl w:val="nil"/>
            </w:tcBorders>
            <w:noWrap w:val="0"/>
            <w:vAlign w:val="center"/>
          </w:tcPr>
          <w:p w14:paraId="4DE71F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玉发改能源复[202</w:t>
            </w:r>
            <w:r>
              <w:rPr>
                <w:rFonts w:hint="eastAsia"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val="en-US" w:eastAsia="zh-CN"/>
              </w:rPr>
              <w:t>号</w:t>
            </w:r>
          </w:p>
        </w:tc>
      </w:tr>
      <w:tr w14:paraId="1A20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877" w:type="pct"/>
            <w:tcBorders>
              <w:tl2br w:val="nil"/>
              <w:tr2bl w:val="nil"/>
            </w:tcBorders>
            <w:noWrap w:val="0"/>
            <w:tcMar>
              <w:top w:w="16" w:type="dxa"/>
              <w:left w:w="16" w:type="dxa"/>
              <w:right w:w="16" w:type="dxa"/>
            </w:tcMar>
            <w:vAlign w:val="center"/>
          </w:tcPr>
          <w:p w14:paraId="22D3569B">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1003" w:type="pct"/>
            <w:tcBorders>
              <w:tl2br w:val="nil"/>
              <w:tr2bl w:val="nil"/>
            </w:tcBorders>
            <w:noWrap w:val="0"/>
            <w:vAlign w:val="center"/>
          </w:tcPr>
          <w:p w14:paraId="0BEAE1C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30237.8</w:t>
            </w:r>
          </w:p>
        </w:tc>
        <w:tc>
          <w:tcPr>
            <w:tcW w:w="1170" w:type="pct"/>
            <w:tcBorders>
              <w:tl2br w:val="nil"/>
              <w:tr2bl w:val="nil"/>
            </w:tcBorders>
            <w:noWrap w:val="0"/>
            <w:tcMar>
              <w:top w:w="16" w:type="dxa"/>
              <w:left w:w="16" w:type="dxa"/>
              <w:right w:w="16" w:type="dxa"/>
            </w:tcMar>
            <w:vAlign w:val="center"/>
          </w:tcPr>
          <w:p w14:paraId="5C515E07">
            <w:pPr>
              <w:autoSpaceDE w:val="0"/>
              <w:autoSpaceDN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1948" w:type="pct"/>
            <w:tcBorders>
              <w:tl2br w:val="nil"/>
              <w:tr2bl w:val="nil"/>
            </w:tcBorders>
            <w:noWrap w:val="0"/>
            <w:vAlign w:val="center"/>
          </w:tcPr>
          <w:p w14:paraId="187A6D0A">
            <w:pPr>
              <w:autoSpaceDE w:val="0"/>
              <w:autoSpaceDN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1011.9</w:t>
            </w:r>
          </w:p>
        </w:tc>
      </w:tr>
      <w:tr w14:paraId="2705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877" w:type="pct"/>
            <w:tcBorders>
              <w:tl2br w:val="nil"/>
              <w:tr2bl w:val="nil"/>
            </w:tcBorders>
            <w:noWrap w:val="0"/>
            <w:tcMar>
              <w:top w:w="16" w:type="dxa"/>
              <w:left w:w="16" w:type="dxa"/>
              <w:right w:w="16" w:type="dxa"/>
            </w:tcMar>
            <w:vAlign w:val="center"/>
          </w:tcPr>
          <w:p w14:paraId="5CFD9A04">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1003" w:type="pct"/>
            <w:tcBorders>
              <w:tl2br w:val="nil"/>
              <w:tr2bl w:val="nil"/>
            </w:tcBorders>
            <w:noWrap w:val="0"/>
            <w:vAlign w:val="center"/>
          </w:tcPr>
          <w:p w14:paraId="2C1D1EB3">
            <w:pPr>
              <w:autoSpaceDE w:val="0"/>
              <w:autoSpaceDN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3.35</w:t>
            </w:r>
          </w:p>
        </w:tc>
        <w:tc>
          <w:tcPr>
            <w:tcW w:w="1170" w:type="pct"/>
            <w:tcBorders>
              <w:tl2br w:val="nil"/>
              <w:tr2bl w:val="nil"/>
            </w:tcBorders>
            <w:noWrap w:val="0"/>
            <w:tcMar>
              <w:top w:w="16" w:type="dxa"/>
              <w:left w:w="16" w:type="dxa"/>
              <w:right w:w="16" w:type="dxa"/>
            </w:tcMar>
            <w:vAlign w:val="center"/>
          </w:tcPr>
          <w:p w14:paraId="31503799">
            <w:pPr>
              <w:autoSpaceDE w:val="0"/>
              <w:autoSpaceDN w:val="0"/>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施工工期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月</w:t>
            </w:r>
            <w:r>
              <w:rPr>
                <w:rFonts w:hint="default" w:ascii="Times New Roman" w:hAnsi="Times New Roman" w:cs="Times New Roman"/>
                <w:color w:val="auto"/>
                <w:sz w:val="24"/>
                <w:szCs w:val="24"/>
                <w:highlight w:val="none"/>
                <w:lang w:eastAsia="zh-CN"/>
              </w:rPr>
              <w:t>）</w:t>
            </w:r>
          </w:p>
        </w:tc>
        <w:tc>
          <w:tcPr>
            <w:tcW w:w="1948" w:type="pct"/>
            <w:tcBorders>
              <w:tl2br w:val="nil"/>
              <w:tr2bl w:val="nil"/>
            </w:tcBorders>
            <w:noWrap w:val="0"/>
            <w:vAlign w:val="center"/>
          </w:tcPr>
          <w:p w14:paraId="50F93DE3">
            <w:pPr>
              <w:autoSpaceDE w:val="0"/>
              <w:autoSpaceDN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16个月</w:t>
            </w:r>
          </w:p>
        </w:tc>
      </w:tr>
      <w:tr w14:paraId="4B05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877" w:type="pct"/>
            <w:tcBorders>
              <w:tl2br w:val="nil"/>
              <w:tr2bl w:val="nil"/>
            </w:tcBorders>
            <w:noWrap w:val="0"/>
            <w:tcMar>
              <w:top w:w="16" w:type="dxa"/>
              <w:left w:w="16" w:type="dxa"/>
              <w:right w:w="16" w:type="dxa"/>
            </w:tcMar>
            <w:vAlign w:val="center"/>
          </w:tcPr>
          <w:p w14:paraId="55A9FD95">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1003" w:type="pct"/>
            <w:tcBorders>
              <w:tl2br w:val="nil"/>
              <w:tr2bl w:val="nil"/>
            </w:tcBorders>
            <w:noWrap w:val="0"/>
            <w:vAlign w:val="center"/>
          </w:tcPr>
          <w:p w14:paraId="14F15734">
            <w:pPr>
              <w:autoSpaceDE w:val="0"/>
              <w:autoSpaceDN w:val="0"/>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379B43BA">
            <w:pPr>
              <w:autoSpaceDE w:val="0"/>
              <w:autoSpaceDN w:val="0"/>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170" w:type="pct"/>
            <w:tcBorders>
              <w:tl2br w:val="nil"/>
              <w:tr2bl w:val="nil"/>
            </w:tcBorders>
            <w:noWrap w:val="0"/>
            <w:tcMar>
              <w:top w:w="16" w:type="dxa"/>
              <w:left w:w="16" w:type="dxa"/>
              <w:right w:w="16" w:type="dxa"/>
            </w:tcMar>
            <w:vAlign w:val="center"/>
          </w:tcPr>
          <w:p w14:paraId="107C4B77">
            <w:pPr>
              <w:autoSpaceDE w:val="0"/>
              <w:autoSpaceDN w:val="0"/>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6C8661FA">
            <w:pPr>
              <w:autoSpaceDE w:val="0"/>
              <w:autoSpaceDN w:val="0"/>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1948" w:type="pct"/>
            <w:tcBorders>
              <w:tl2br w:val="nil"/>
              <w:tr2bl w:val="nil"/>
            </w:tcBorders>
            <w:noWrap w:val="0"/>
            <w:vAlign w:val="center"/>
          </w:tcPr>
          <w:p w14:paraId="118C82D4">
            <w:pPr>
              <w:autoSpaceDE w:val="0"/>
              <w:autoSpaceDN w:val="0"/>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13350</w:t>
            </w:r>
          </w:p>
        </w:tc>
      </w:tr>
      <w:tr w14:paraId="4A9F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7" w:type="pct"/>
            <w:tcBorders>
              <w:tl2br w:val="nil"/>
              <w:tr2bl w:val="nil"/>
            </w:tcBorders>
            <w:noWrap w:val="0"/>
            <w:vAlign w:val="center"/>
          </w:tcPr>
          <w:p w14:paraId="00F7E5F0">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4122" w:type="pct"/>
            <w:gridSpan w:val="3"/>
            <w:tcBorders>
              <w:tl2br w:val="nil"/>
              <w:tr2bl w:val="nil"/>
            </w:tcBorders>
            <w:noWrap w:val="0"/>
            <w:vAlign w:val="center"/>
          </w:tcPr>
          <w:p w14:paraId="5588EC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根据《建设项目环境影响报告表编制技术指南（污染影响类）》（试行）中表1确定是否设置项目专项评价。</w:t>
            </w:r>
          </w:p>
          <w:p w14:paraId="73B5A4C1">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sz w:val="21"/>
                <w:szCs w:val="21"/>
              </w:rPr>
              <w:t>表1-1    专项评价设置原则表</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3151"/>
              <w:gridCol w:w="2334"/>
              <w:gridCol w:w="707"/>
            </w:tblGrid>
            <w:tr w14:paraId="0770A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pct"/>
                  <w:tcBorders>
                    <w:top w:val="single" w:color="auto" w:sz="4" w:space="0"/>
                    <w:bottom w:val="single" w:color="auto" w:sz="4" w:space="0"/>
                    <w:right w:val="single" w:color="auto" w:sz="4" w:space="0"/>
                  </w:tcBorders>
                  <w:noWrap w:val="0"/>
                  <w:vAlign w:val="center"/>
                </w:tcPr>
                <w:p w14:paraId="24E0E88D">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专项评价的类别</w:t>
                  </w:r>
                </w:p>
              </w:tc>
              <w:tc>
                <w:tcPr>
                  <w:tcW w:w="2179" w:type="pct"/>
                  <w:tcBorders>
                    <w:top w:val="single" w:color="auto" w:sz="4" w:space="0"/>
                    <w:left w:val="nil"/>
                    <w:bottom w:val="single" w:color="auto" w:sz="4" w:space="0"/>
                    <w:right w:val="single" w:color="auto" w:sz="4" w:space="0"/>
                  </w:tcBorders>
                  <w:noWrap w:val="0"/>
                  <w:vAlign w:val="center"/>
                </w:tcPr>
                <w:p w14:paraId="01D6E64F">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设置原则</w:t>
                  </w:r>
                </w:p>
              </w:tc>
              <w:tc>
                <w:tcPr>
                  <w:tcW w:w="1614" w:type="pct"/>
                  <w:tcBorders>
                    <w:top w:val="single" w:color="auto" w:sz="4" w:space="0"/>
                    <w:left w:val="nil"/>
                    <w:bottom w:val="single" w:color="auto" w:sz="4" w:space="0"/>
                    <w:right w:val="single" w:color="auto" w:sz="4" w:space="0"/>
                  </w:tcBorders>
                  <w:noWrap w:val="0"/>
                  <w:vAlign w:val="center"/>
                </w:tcPr>
                <w:p w14:paraId="719F9892">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487" w:type="pct"/>
                  <w:tcBorders>
                    <w:top w:val="single" w:color="auto" w:sz="4" w:space="0"/>
                    <w:left w:val="nil"/>
                    <w:bottom w:val="single" w:color="auto" w:sz="4" w:space="0"/>
                  </w:tcBorders>
                  <w:noWrap w:val="0"/>
                  <w:vAlign w:val="center"/>
                </w:tcPr>
                <w:p w14:paraId="67C89D27">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设置与否</w:t>
                  </w:r>
                </w:p>
              </w:tc>
            </w:tr>
            <w:tr w14:paraId="3D3B04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18" w:type="pct"/>
                  <w:tcBorders>
                    <w:top w:val="single" w:color="auto" w:sz="4" w:space="0"/>
                    <w:bottom w:val="single" w:color="auto" w:sz="4" w:space="0"/>
                    <w:right w:val="single" w:color="auto" w:sz="4" w:space="0"/>
                  </w:tcBorders>
                  <w:noWrap w:val="0"/>
                  <w:vAlign w:val="center"/>
                </w:tcPr>
                <w:p w14:paraId="37E0297C">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2179" w:type="pct"/>
                  <w:tcBorders>
                    <w:top w:val="single" w:color="auto" w:sz="4" w:space="0"/>
                    <w:left w:val="nil"/>
                    <w:bottom w:val="single" w:color="auto" w:sz="4" w:space="0"/>
                    <w:right w:val="single" w:color="auto" w:sz="4" w:space="0"/>
                  </w:tcBorders>
                  <w:noWrap w:val="0"/>
                  <w:vAlign w:val="center"/>
                </w:tcPr>
                <w:p w14:paraId="36A1C13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0"/>
                      <w:kern w:val="21"/>
                      <w:sz w:val="18"/>
                      <w:szCs w:val="18"/>
                    </w:rPr>
                    <w:t>排放废气含有毒有害污染物</w:t>
                  </w:r>
                  <w:r>
                    <w:rPr>
                      <w:rFonts w:hint="eastAsia" w:ascii="Times New Roman" w:hAnsi="Times New Roman" w:eastAsia="宋体" w:cs="Times New Roman"/>
                      <w:color w:val="auto"/>
                      <w:spacing w:val="0"/>
                      <w:kern w:val="21"/>
                      <w:sz w:val="18"/>
                      <w:szCs w:val="18"/>
                      <w:vertAlign w:val="superscript"/>
                      <w:lang w:val="en-US" w:eastAsia="zh-CN"/>
                    </w:rPr>
                    <w:t>1</w:t>
                  </w:r>
                  <w:r>
                    <w:rPr>
                      <w:rFonts w:hint="default" w:ascii="Times New Roman" w:hAnsi="Times New Roman" w:eastAsia="宋体" w:cs="Times New Roman"/>
                      <w:color w:val="auto"/>
                      <w:spacing w:val="0"/>
                      <w:kern w:val="21"/>
                      <w:sz w:val="18"/>
                      <w:szCs w:val="18"/>
                      <w:lang w:eastAsia="zh-CN"/>
                    </w:rPr>
                    <w:t>、</w:t>
                  </w:r>
                  <w:r>
                    <w:rPr>
                      <w:rFonts w:hint="default" w:ascii="Times New Roman" w:hAnsi="Times New Roman" w:eastAsia="宋体" w:cs="Times New Roman"/>
                      <w:color w:val="auto"/>
                      <w:spacing w:val="0"/>
                      <w:kern w:val="21"/>
                      <w:sz w:val="18"/>
                      <w:szCs w:val="18"/>
                    </w:rPr>
                    <w:t>二噁英、苯并[a]芘、氰化物、氯气且厂界外500米范围内有环境空气保护目标</w:t>
                  </w:r>
                  <w:r>
                    <w:rPr>
                      <w:rFonts w:hint="eastAsia" w:ascii="Times New Roman" w:hAnsi="Times New Roman" w:eastAsia="宋体" w:cs="Times New Roman"/>
                      <w:color w:val="auto"/>
                      <w:spacing w:val="0"/>
                      <w:kern w:val="21"/>
                      <w:sz w:val="18"/>
                      <w:szCs w:val="18"/>
                      <w:vertAlign w:val="superscript"/>
                      <w:lang w:val="en-US" w:eastAsia="zh-CN"/>
                    </w:rPr>
                    <w:t>2</w:t>
                  </w:r>
                  <w:r>
                    <w:rPr>
                      <w:rFonts w:hint="default" w:ascii="Times New Roman" w:hAnsi="Times New Roman" w:eastAsia="宋体" w:cs="Times New Roman"/>
                      <w:color w:val="auto"/>
                      <w:spacing w:val="0"/>
                      <w:kern w:val="21"/>
                      <w:sz w:val="18"/>
                      <w:szCs w:val="18"/>
                    </w:rPr>
                    <w:t>的建设项目</w:t>
                  </w:r>
                </w:p>
              </w:tc>
              <w:tc>
                <w:tcPr>
                  <w:tcW w:w="1614" w:type="pct"/>
                  <w:tcBorders>
                    <w:top w:val="single" w:color="auto" w:sz="4" w:space="0"/>
                    <w:left w:val="nil"/>
                    <w:bottom w:val="single" w:color="auto" w:sz="4" w:space="0"/>
                    <w:right w:val="single" w:color="auto" w:sz="4" w:space="0"/>
                  </w:tcBorders>
                  <w:noWrap w:val="0"/>
                  <w:vAlign w:val="center"/>
                </w:tcPr>
                <w:p w14:paraId="44C9B7B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项目</w:t>
                  </w:r>
                  <w:r>
                    <w:rPr>
                      <w:rFonts w:hint="default" w:ascii="Times New Roman" w:hAnsi="Times New Roman" w:cs="Times New Roman"/>
                      <w:color w:val="auto"/>
                      <w:kern w:val="0"/>
                      <w:sz w:val="18"/>
                      <w:szCs w:val="18"/>
                    </w:rPr>
                    <w:t>排放的废气中不涉及</w:t>
                  </w:r>
                  <w:r>
                    <w:rPr>
                      <w:rFonts w:hint="default" w:ascii="Times New Roman" w:hAnsi="Times New Roman" w:eastAsia="宋体" w:cs="Times New Roman"/>
                      <w:color w:val="auto"/>
                      <w:kern w:val="0"/>
                      <w:sz w:val="18"/>
                      <w:szCs w:val="18"/>
                      <w:lang w:val="en-US" w:eastAsia="zh-CN" w:bidi="ar"/>
                    </w:rPr>
                    <w:t>《有毒有害大气污染物名录》</w:t>
                  </w:r>
                  <w:r>
                    <w:rPr>
                      <w:rFonts w:hint="eastAsia" w:ascii="Times New Roman" w:hAnsi="Times New Roman" w:eastAsia="宋体" w:cs="Times New Roman"/>
                      <w:color w:val="auto"/>
                      <w:kern w:val="0"/>
                      <w:sz w:val="18"/>
                      <w:szCs w:val="18"/>
                      <w:lang w:val="en-US" w:eastAsia="zh-CN" w:bidi="ar"/>
                    </w:rPr>
                    <w:t>中</w:t>
                  </w:r>
                  <w:r>
                    <w:rPr>
                      <w:rFonts w:hint="default" w:ascii="Times New Roman" w:hAnsi="Times New Roman" w:eastAsia="宋体" w:cs="Times New Roman"/>
                      <w:color w:val="auto"/>
                      <w:kern w:val="0"/>
                      <w:sz w:val="18"/>
                      <w:szCs w:val="18"/>
                      <w:lang w:val="en-US" w:eastAsia="zh-CN" w:bidi="ar"/>
                    </w:rPr>
                    <w:t>的污染物</w:t>
                  </w:r>
                  <w:r>
                    <w:rPr>
                      <w:rFonts w:hint="eastAsia" w:ascii="Times New Roman" w:hAnsi="Times New Roman" w:eastAsia="宋体" w:cs="Times New Roman"/>
                      <w:color w:val="auto"/>
                      <w:kern w:val="0"/>
                      <w:sz w:val="18"/>
                      <w:szCs w:val="18"/>
                      <w:lang w:val="en-US" w:eastAsia="zh-CN" w:bidi="ar"/>
                    </w:rPr>
                    <w:t>及</w:t>
                  </w:r>
                  <w:r>
                    <w:rPr>
                      <w:rFonts w:hint="default" w:ascii="Times New Roman" w:hAnsi="Times New Roman" w:eastAsia="宋体" w:cs="Times New Roman"/>
                      <w:color w:val="auto"/>
                      <w:spacing w:val="0"/>
                      <w:kern w:val="21"/>
                      <w:sz w:val="18"/>
                      <w:szCs w:val="18"/>
                    </w:rPr>
                    <w:t>二噁英、苯并[a]芘、氰化物、氯气</w:t>
                  </w:r>
                  <w:r>
                    <w:rPr>
                      <w:rFonts w:hint="eastAsia" w:cs="Times New Roman"/>
                      <w:color w:val="auto"/>
                      <w:kern w:val="0"/>
                      <w:sz w:val="18"/>
                      <w:szCs w:val="18"/>
                      <w:lang w:eastAsia="zh-CN"/>
                    </w:rPr>
                    <w:t>。</w:t>
                  </w:r>
                </w:p>
              </w:tc>
              <w:tc>
                <w:tcPr>
                  <w:tcW w:w="487" w:type="pct"/>
                  <w:tcBorders>
                    <w:top w:val="single" w:color="auto" w:sz="4" w:space="0"/>
                    <w:left w:val="nil"/>
                    <w:bottom w:val="single" w:color="auto" w:sz="4" w:space="0"/>
                  </w:tcBorders>
                  <w:noWrap w:val="0"/>
                  <w:vAlign w:val="center"/>
                </w:tcPr>
                <w:p w14:paraId="344B1EFA">
                  <w:pPr>
                    <w:jc w:val="center"/>
                    <w:textAlignment w:val="baseline"/>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否</w:t>
                  </w:r>
                </w:p>
              </w:tc>
            </w:tr>
            <w:tr w14:paraId="74C8E6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18" w:type="pct"/>
                  <w:tcBorders>
                    <w:top w:val="single" w:color="auto" w:sz="4" w:space="0"/>
                    <w:bottom w:val="single" w:color="auto" w:sz="4" w:space="0"/>
                    <w:right w:val="single" w:color="auto" w:sz="4" w:space="0"/>
                  </w:tcBorders>
                  <w:noWrap w:val="0"/>
                  <w:vAlign w:val="center"/>
                </w:tcPr>
                <w:p w14:paraId="657FCE2B">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2179" w:type="pct"/>
                  <w:tcBorders>
                    <w:top w:val="single" w:color="auto" w:sz="4" w:space="0"/>
                    <w:left w:val="nil"/>
                    <w:bottom w:val="single" w:color="auto" w:sz="4" w:space="0"/>
                    <w:right w:val="single" w:color="auto" w:sz="4" w:space="0"/>
                  </w:tcBorders>
                  <w:noWrap w:val="0"/>
                  <w:vAlign w:val="center"/>
                </w:tcPr>
                <w:p w14:paraId="5D4972F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spacing w:val="0"/>
                      <w:kern w:val="21"/>
                      <w:sz w:val="18"/>
                      <w:szCs w:val="18"/>
                    </w:rPr>
                  </w:pPr>
                  <w:r>
                    <w:rPr>
                      <w:rFonts w:hint="default" w:ascii="Times New Roman" w:hAnsi="Times New Roman" w:eastAsia="宋体" w:cs="Times New Roman"/>
                      <w:color w:val="auto"/>
                      <w:spacing w:val="0"/>
                      <w:kern w:val="21"/>
                      <w:sz w:val="18"/>
                      <w:szCs w:val="18"/>
                    </w:rPr>
                    <w:t>新增工业废水直排建设项目（槽罐车外送污水处理厂的除外）；</w:t>
                  </w:r>
                </w:p>
                <w:p w14:paraId="6AD9248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0"/>
                      <w:kern w:val="21"/>
                      <w:sz w:val="18"/>
                      <w:szCs w:val="18"/>
                    </w:rPr>
                    <w:t>新增废水直排的污水集中处理厂</w:t>
                  </w:r>
                </w:p>
              </w:tc>
              <w:tc>
                <w:tcPr>
                  <w:tcW w:w="1614" w:type="pct"/>
                  <w:tcBorders>
                    <w:top w:val="single" w:color="auto" w:sz="4" w:space="0"/>
                    <w:left w:val="nil"/>
                    <w:bottom w:val="single" w:color="auto" w:sz="4" w:space="0"/>
                    <w:right w:val="single" w:color="auto" w:sz="4" w:space="0"/>
                  </w:tcBorders>
                  <w:noWrap w:val="0"/>
                  <w:vAlign w:val="center"/>
                </w:tcPr>
                <w:p w14:paraId="77DFA87C">
                  <w:pPr>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本项目</w:t>
                  </w:r>
                  <w:r>
                    <w:rPr>
                      <w:rFonts w:hint="eastAsia" w:ascii="Times New Roman" w:hAnsi="Times New Roman" w:cs="Times New Roman"/>
                      <w:color w:val="auto"/>
                      <w:sz w:val="18"/>
                      <w:szCs w:val="18"/>
                      <w:lang w:val="en-US" w:eastAsia="zh-CN"/>
                    </w:rPr>
                    <w:t>生产废水全部回用，不外排</w:t>
                  </w:r>
                  <w:r>
                    <w:rPr>
                      <w:rFonts w:hint="eastAsia" w:cs="Times New Roman"/>
                      <w:color w:val="auto"/>
                      <w:sz w:val="18"/>
                      <w:szCs w:val="18"/>
                      <w:lang w:val="en-US" w:eastAsia="zh-CN"/>
                    </w:rPr>
                    <w:t>。</w:t>
                  </w:r>
                </w:p>
              </w:tc>
              <w:tc>
                <w:tcPr>
                  <w:tcW w:w="487" w:type="pct"/>
                  <w:tcBorders>
                    <w:top w:val="single" w:color="auto" w:sz="4" w:space="0"/>
                    <w:left w:val="nil"/>
                    <w:bottom w:val="single" w:color="auto" w:sz="4" w:space="0"/>
                  </w:tcBorders>
                  <w:noWrap w:val="0"/>
                  <w:vAlign w:val="center"/>
                </w:tcPr>
                <w:p w14:paraId="0E4F05C6">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49950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8" w:type="pct"/>
                  <w:tcBorders>
                    <w:top w:val="single" w:color="auto" w:sz="4" w:space="0"/>
                    <w:bottom w:val="single" w:color="auto" w:sz="4" w:space="0"/>
                    <w:right w:val="single" w:color="auto" w:sz="4" w:space="0"/>
                  </w:tcBorders>
                  <w:noWrap w:val="0"/>
                  <w:vAlign w:val="center"/>
                </w:tcPr>
                <w:p w14:paraId="2FFA8BBF">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2179" w:type="pct"/>
                  <w:tcBorders>
                    <w:top w:val="single" w:color="auto" w:sz="4" w:space="0"/>
                    <w:left w:val="nil"/>
                    <w:bottom w:val="single" w:color="auto" w:sz="4" w:space="0"/>
                    <w:right w:val="single" w:color="auto" w:sz="4" w:space="0"/>
                  </w:tcBorders>
                  <w:noWrap w:val="0"/>
                  <w:vAlign w:val="center"/>
                </w:tcPr>
                <w:p w14:paraId="69BE391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0"/>
                      <w:kern w:val="21"/>
                      <w:sz w:val="18"/>
                      <w:szCs w:val="18"/>
                    </w:rPr>
                    <w:t>有毒有害和易燃易爆危险物质存储量超过临界量</w:t>
                  </w:r>
                  <w:r>
                    <w:rPr>
                      <w:rFonts w:hint="eastAsia" w:ascii="Times New Roman" w:hAnsi="Times New Roman" w:eastAsia="宋体" w:cs="Times New Roman"/>
                      <w:color w:val="auto"/>
                      <w:spacing w:val="0"/>
                      <w:kern w:val="21"/>
                      <w:sz w:val="18"/>
                      <w:szCs w:val="18"/>
                      <w:vertAlign w:val="superscript"/>
                      <w:lang w:val="en-US" w:eastAsia="zh-CN"/>
                    </w:rPr>
                    <w:t>3</w:t>
                  </w:r>
                  <w:r>
                    <w:rPr>
                      <w:rFonts w:hint="default" w:ascii="Times New Roman" w:hAnsi="Times New Roman" w:eastAsia="宋体" w:cs="Times New Roman"/>
                      <w:color w:val="auto"/>
                      <w:spacing w:val="0"/>
                      <w:kern w:val="21"/>
                      <w:sz w:val="18"/>
                      <w:szCs w:val="18"/>
                    </w:rPr>
                    <w:t>的建设项目</w:t>
                  </w:r>
                </w:p>
              </w:tc>
              <w:tc>
                <w:tcPr>
                  <w:tcW w:w="1614" w:type="pct"/>
                  <w:tcBorders>
                    <w:top w:val="single" w:color="auto" w:sz="4" w:space="0"/>
                    <w:left w:val="nil"/>
                    <w:bottom w:val="single" w:color="auto" w:sz="4" w:space="0"/>
                    <w:right w:val="single" w:color="auto" w:sz="4" w:space="0"/>
                  </w:tcBorders>
                  <w:noWrap w:val="0"/>
                  <w:vAlign w:val="center"/>
                </w:tcPr>
                <w:p w14:paraId="07079047">
                  <w:pPr>
                    <w:jc w:val="center"/>
                    <w:textAlignment w:val="baseline"/>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经计算，本项目焦炉煤气、高炉煤气、转炉煤气在线总量为2.144t，未超过临界量7.5t；项目区设置一个容积为30m</w:t>
                  </w:r>
                  <w:r>
                    <w:rPr>
                      <w:rFonts w:hint="eastAsia" w:cs="Times New Roman"/>
                      <w:color w:val="auto"/>
                      <w:sz w:val="18"/>
                      <w:szCs w:val="18"/>
                      <w:vertAlign w:val="superscript"/>
                      <w:lang w:val="en-US" w:eastAsia="zh-CN"/>
                    </w:rPr>
                    <w:t>3</w:t>
                  </w:r>
                  <w:r>
                    <w:rPr>
                      <w:rFonts w:hint="eastAsia" w:cs="Times New Roman"/>
                      <w:color w:val="auto"/>
                      <w:sz w:val="18"/>
                      <w:szCs w:val="18"/>
                      <w:vertAlign w:val="baseline"/>
                      <w:lang w:val="en-US" w:eastAsia="zh-CN"/>
                    </w:rPr>
                    <w:t>20%氨水罐，最大存储量超过临界量7.5t；</w:t>
                  </w:r>
                  <w:r>
                    <w:rPr>
                      <w:rFonts w:hint="default" w:ascii="Times New Roman" w:hAnsi="Times New Roman" w:eastAsia="宋体" w:cs="Times New Roman"/>
                      <w:color w:val="auto"/>
                      <w:sz w:val="18"/>
                      <w:szCs w:val="18"/>
                      <w:highlight w:val="none"/>
                      <w:lang w:val="en-US" w:eastAsia="zh-CN"/>
                    </w:rPr>
                    <w:t>凝结水精处理间设置两个容积为5m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的盐酸储罐</w:t>
                  </w:r>
                  <w:r>
                    <w:rPr>
                      <w:rFonts w:hint="eastAsia" w:ascii="Times New Roman" w:hAnsi="Times New Roman" w:eastAsia="宋体" w:cs="Times New Roman"/>
                      <w:color w:val="auto"/>
                      <w:sz w:val="18"/>
                      <w:szCs w:val="18"/>
                      <w:highlight w:val="none"/>
                      <w:lang w:val="en-US" w:eastAsia="zh-CN"/>
                    </w:rPr>
                    <w:t>，盐酸最大储存量超过临界量7.5t；</w:t>
                  </w:r>
                  <w:r>
                    <w:rPr>
                      <w:rFonts w:hint="eastAsia" w:cs="Times New Roman"/>
                      <w:color w:val="auto"/>
                      <w:sz w:val="18"/>
                      <w:szCs w:val="18"/>
                      <w:vertAlign w:val="baseline"/>
                      <w:lang w:val="en-US" w:eastAsia="zh-CN"/>
                    </w:rPr>
                    <w:t>因此本项目需设置环境风险专项评价</w:t>
                  </w:r>
                  <w:r>
                    <w:rPr>
                      <w:rFonts w:hint="eastAsia" w:cs="Times New Roman"/>
                      <w:color w:val="auto"/>
                      <w:sz w:val="18"/>
                      <w:szCs w:val="18"/>
                      <w:lang w:eastAsia="zh-CN"/>
                    </w:rPr>
                    <w:t>。</w:t>
                  </w:r>
                </w:p>
              </w:tc>
              <w:tc>
                <w:tcPr>
                  <w:tcW w:w="487" w:type="pct"/>
                  <w:tcBorders>
                    <w:top w:val="single" w:color="auto" w:sz="4" w:space="0"/>
                    <w:left w:val="nil"/>
                    <w:bottom w:val="single" w:color="auto" w:sz="4" w:space="0"/>
                  </w:tcBorders>
                  <w:noWrap w:val="0"/>
                  <w:vAlign w:val="center"/>
                </w:tcPr>
                <w:p w14:paraId="694E87BD">
                  <w:pPr>
                    <w:jc w:val="center"/>
                    <w:textAlignment w:val="baseline"/>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是</w:t>
                  </w:r>
                </w:p>
              </w:tc>
            </w:tr>
            <w:tr w14:paraId="52D3C6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718" w:type="pct"/>
                  <w:tcBorders>
                    <w:top w:val="single" w:color="auto" w:sz="4" w:space="0"/>
                    <w:bottom w:val="single" w:color="auto" w:sz="4" w:space="0"/>
                    <w:right w:val="single" w:color="auto" w:sz="4" w:space="0"/>
                  </w:tcBorders>
                  <w:noWrap w:val="0"/>
                  <w:vAlign w:val="center"/>
                </w:tcPr>
                <w:p w14:paraId="3EEC2126">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2179" w:type="pct"/>
                  <w:tcBorders>
                    <w:top w:val="single" w:color="auto" w:sz="4" w:space="0"/>
                    <w:left w:val="nil"/>
                    <w:bottom w:val="single" w:color="auto" w:sz="4" w:space="0"/>
                    <w:right w:val="single" w:color="auto" w:sz="4" w:space="0"/>
                  </w:tcBorders>
                  <w:noWrap w:val="0"/>
                  <w:vAlign w:val="center"/>
                </w:tcPr>
                <w:p w14:paraId="109EE442">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0"/>
                      <w:kern w:val="21"/>
                      <w:sz w:val="18"/>
                      <w:szCs w:val="18"/>
                    </w:rPr>
                    <w:t>取水口下游500米范围内有重要水生生物的自然产卵场、索饵场、越冬场和洄游通道的新增河道取水的污染类建设项目</w:t>
                  </w:r>
                </w:p>
              </w:tc>
              <w:tc>
                <w:tcPr>
                  <w:tcW w:w="1614" w:type="pct"/>
                  <w:tcBorders>
                    <w:top w:val="single" w:color="auto" w:sz="4" w:space="0"/>
                    <w:left w:val="nil"/>
                    <w:bottom w:val="single" w:color="auto" w:sz="4" w:space="0"/>
                    <w:right w:val="single" w:color="auto" w:sz="4" w:space="0"/>
                  </w:tcBorders>
                  <w:noWrap w:val="0"/>
                  <w:vAlign w:val="center"/>
                </w:tcPr>
                <w:p w14:paraId="224DF975">
                  <w:pPr>
                    <w:jc w:val="center"/>
                    <w:textAlignment w:val="baseline"/>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本项目不从河道直接取水</w:t>
                  </w:r>
                  <w:r>
                    <w:rPr>
                      <w:rFonts w:hint="eastAsia" w:cs="Times New Roman"/>
                      <w:color w:val="auto"/>
                      <w:sz w:val="18"/>
                      <w:szCs w:val="18"/>
                      <w:lang w:eastAsia="zh-CN"/>
                    </w:rPr>
                    <w:t>。</w:t>
                  </w:r>
                </w:p>
              </w:tc>
              <w:tc>
                <w:tcPr>
                  <w:tcW w:w="487" w:type="pct"/>
                  <w:tcBorders>
                    <w:top w:val="single" w:color="auto" w:sz="4" w:space="0"/>
                    <w:left w:val="nil"/>
                    <w:bottom w:val="single" w:color="auto" w:sz="4" w:space="0"/>
                  </w:tcBorders>
                  <w:noWrap w:val="0"/>
                  <w:vAlign w:val="center"/>
                </w:tcPr>
                <w:p w14:paraId="0F6768A6">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689BD2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8" w:type="pct"/>
                  <w:tcBorders>
                    <w:top w:val="single" w:color="auto" w:sz="4" w:space="0"/>
                    <w:bottom w:val="single" w:color="auto" w:sz="4" w:space="0"/>
                    <w:right w:val="single" w:color="auto" w:sz="4" w:space="0"/>
                  </w:tcBorders>
                  <w:noWrap w:val="0"/>
                  <w:vAlign w:val="center"/>
                </w:tcPr>
                <w:p w14:paraId="1F3B66D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海洋</w:t>
                  </w:r>
                </w:p>
              </w:tc>
              <w:tc>
                <w:tcPr>
                  <w:tcW w:w="2179" w:type="pct"/>
                  <w:tcBorders>
                    <w:top w:val="single" w:color="auto" w:sz="4" w:space="0"/>
                    <w:left w:val="nil"/>
                    <w:bottom w:val="single" w:color="auto" w:sz="4" w:space="0"/>
                    <w:right w:val="single" w:color="auto" w:sz="4" w:space="0"/>
                  </w:tcBorders>
                  <w:noWrap w:val="0"/>
                  <w:vAlign w:val="center"/>
                </w:tcPr>
                <w:p w14:paraId="5580C0D1">
                  <w:pPr>
                    <w:keepNext w:val="0"/>
                    <w:keepLines w:val="0"/>
                    <w:widowControl/>
                    <w:suppressLineNumbers w:val="0"/>
                    <w:jc w:val="left"/>
                    <w:rPr>
                      <w:rFonts w:hint="default" w:ascii="Times New Roman" w:hAnsi="Times New Roman" w:eastAsia="宋体" w:cs="Times New Roman"/>
                      <w:color w:val="auto"/>
                      <w:spacing w:val="0"/>
                      <w:kern w:val="21"/>
                      <w:sz w:val="18"/>
                      <w:szCs w:val="18"/>
                    </w:rPr>
                  </w:pPr>
                  <w:r>
                    <w:rPr>
                      <w:rFonts w:hint="eastAsia" w:ascii="宋体" w:hAnsi="宋体" w:eastAsia="宋体" w:cs="宋体"/>
                      <w:color w:val="auto"/>
                      <w:kern w:val="0"/>
                      <w:sz w:val="18"/>
                      <w:szCs w:val="18"/>
                      <w:lang w:val="en-US" w:eastAsia="zh-CN" w:bidi="ar"/>
                    </w:rPr>
                    <w:t>直接向海排放污染物的海洋工程建设项目</w:t>
                  </w:r>
                </w:p>
              </w:tc>
              <w:tc>
                <w:tcPr>
                  <w:tcW w:w="1614" w:type="pct"/>
                  <w:tcBorders>
                    <w:top w:val="single" w:color="auto" w:sz="4" w:space="0"/>
                    <w:left w:val="nil"/>
                    <w:bottom w:val="single" w:color="auto" w:sz="4" w:space="0"/>
                    <w:right w:val="single" w:color="auto" w:sz="4" w:space="0"/>
                  </w:tcBorders>
                  <w:noWrap w:val="0"/>
                  <w:vAlign w:val="center"/>
                </w:tcPr>
                <w:p w14:paraId="16A4FCC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本项目不涉及</w:t>
                  </w:r>
                  <w:r>
                    <w:rPr>
                      <w:rFonts w:hint="eastAsia" w:cs="Times New Roman"/>
                      <w:color w:val="auto"/>
                      <w:sz w:val="18"/>
                      <w:szCs w:val="18"/>
                      <w:lang w:val="en-US" w:eastAsia="zh-CN"/>
                    </w:rPr>
                    <w:t>。</w:t>
                  </w:r>
                </w:p>
              </w:tc>
              <w:tc>
                <w:tcPr>
                  <w:tcW w:w="487" w:type="pct"/>
                  <w:tcBorders>
                    <w:top w:val="single" w:color="auto" w:sz="4" w:space="0"/>
                    <w:left w:val="nil"/>
                    <w:bottom w:val="single" w:color="auto" w:sz="4" w:space="0"/>
                  </w:tcBorders>
                  <w:noWrap w:val="0"/>
                  <w:vAlign w:val="center"/>
                </w:tcPr>
                <w:p w14:paraId="5DA2A16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否</w:t>
                  </w:r>
                </w:p>
              </w:tc>
            </w:tr>
            <w:tr w14:paraId="49EB41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bottom w:val="single" w:color="auto" w:sz="4" w:space="0"/>
                  </w:tcBorders>
                  <w:noWrap w:val="0"/>
                  <w:vAlign w:val="center"/>
                </w:tcPr>
                <w:p w14:paraId="0007635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注：1、废气中有毒有害污染物指纳入《有毒有害大气污染物名录》的污染物（不包括无排放标准的污染物）。</w:t>
                  </w:r>
                </w:p>
                <w:p w14:paraId="0EA3161E">
                  <w:pPr>
                    <w:keepNext w:val="0"/>
                    <w:keepLines w:val="0"/>
                    <w:pageBreakBefore w:val="0"/>
                    <w:widowControl/>
                    <w:suppressLineNumbers w:val="0"/>
                    <w:kinsoku/>
                    <w:wordWrap/>
                    <w:overflowPunct/>
                    <w:topLinePunct w:val="0"/>
                    <w:autoSpaceDE/>
                    <w:autoSpaceDN/>
                    <w:bidi w:val="0"/>
                    <w:adjustRightInd/>
                    <w:snapToGrid/>
                    <w:ind w:firstLine="360" w:firstLineChars="200"/>
                    <w:jc w:val="both"/>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2、环境空气保护目标指自然保护区、风景名胜区、居住区、文化区和农村地区中人群较集中的区域。</w:t>
                  </w:r>
                </w:p>
                <w:p w14:paraId="4A0FECCB">
                  <w:pPr>
                    <w:keepNext w:val="0"/>
                    <w:keepLines w:val="0"/>
                    <w:pageBreakBefore w:val="0"/>
                    <w:widowControl/>
                    <w:suppressLineNumbers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3、临界量及其计算方法可参考《建设项目环境风险评价技术导则》（HJ 169）附录B、附录C。</w:t>
                  </w:r>
                </w:p>
              </w:tc>
            </w:tr>
          </w:tbl>
          <w:p w14:paraId="3059A7D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highlight w:val="none"/>
              </w:rPr>
            </w:pPr>
          </w:p>
        </w:tc>
      </w:tr>
      <w:tr w14:paraId="3C0B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l2br w:val="nil"/>
              <w:tr2bl w:val="nil"/>
            </w:tcBorders>
            <w:noWrap w:val="0"/>
            <w:vAlign w:val="center"/>
          </w:tcPr>
          <w:p w14:paraId="563CE07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0"/>
                <w:sz w:val="24"/>
              </w:rPr>
            </w:pPr>
            <w:r>
              <w:rPr>
                <w:rFonts w:hint="default" w:ascii="Times New Roman" w:hAnsi="Times New Roman" w:cs="Times New Roman"/>
                <w:b w:val="0"/>
                <w:bCs w:val="0"/>
                <w:color w:val="auto"/>
                <w:sz w:val="24"/>
              </w:rPr>
              <w:t>规划情况</w:t>
            </w:r>
          </w:p>
        </w:tc>
        <w:tc>
          <w:tcPr>
            <w:tcW w:w="4122" w:type="pct"/>
            <w:gridSpan w:val="3"/>
            <w:tcBorders>
              <w:tl2br w:val="nil"/>
              <w:tr2bl w:val="nil"/>
            </w:tcBorders>
            <w:noWrap w:val="0"/>
            <w:vAlign w:val="center"/>
          </w:tcPr>
          <w:p w14:paraId="062428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规划</w:t>
            </w:r>
            <w:r>
              <w:rPr>
                <w:rFonts w:hint="default" w:ascii="Times New Roman" w:hAnsi="Times New Roman" w:eastAsia="宋体" w:cs="Times New Roman"/>
                <w:i w:val="0"/>
                <w:iCs w:val="0"/>
                <w:color w:val="auto"/>
                <w:sz w:val="24"/>
                <w:szCs w:val="24"/>
                <w:highlight w:val="none"/>
                <w:u w:val="none"/>
                <w:lang w:val="en-US" w:eastAsia="zh-CN"/>
              </w:rPr>
              <w:t>名称：《云南新平产业园区总体规划修编（2021-2035）》；</w:t>
            </w:r>
          </w:p>
          <w:p w14:paraId="58B2A808">
            <w:pPr>
              <w:pStyle w:val="9"/>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审查机关</w:t>
            </w:r>
            <w:r>
              <w:rPr>
                <w:rFonts w:hint="default" w:ascii="Times New Roman" w:hAnsi="Times New Roman" w:eastAsia="宋体" w:cs="Times New Roman"/>
                <w:i w:val="0"/>
                <w:iCs w:val="0"/>
                <w:color w:val="auto"/>
                <w:sz w:val="24"/>
                <w:szCs w:val="24"/>
                <w:highlight w:val="none"/>
                <w:u w:val="none"/>
                <w:lang w:val="en-US" w:eastAsia="zh-CN"/>
              </w:rPr>
              <w:t>：玉溪市人民政府；</w:t>
            </w:r>
          </w:p>
          <w:p w14:paraId="7D6BEDF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sz w:val="24"/>
                <w:szCs w:val="24"/>
                <w:lang w:val="en-US" w:eastAsia="zh-CN"/>
              </w:rPr>
              <w:t>审批文件名称及文号：</w:t>
            </w:r>
            <w:r>
              <w:rPr>
                <w:rFonts w:hint="default" w:ascii="Times New Roman" w:hAnsi="Times New Roman" w:eastAsia="宋体" w:cs="Times New Roman"/>
                <w:sz w:val="24"/>
                <w:szCs w:val="24"/>
              </w:rPr>
              <w:t>玉政复〔2023〕10</w:t>
            </w:r>
            <w:r>
              <w:rPr>
                <w:rFonts w:hint="eastAsia" w:ascii="Times New Roman" w:hAnsi="Times New Roman" w:eastAsia="宋体" w:cs="Times New Roman"/>
                <w:sz w:val="24"/>
                <w:szCs w:val="24"/>
                <w:lang w:val="en-US" w:eastAsia="zh-CN"/>
              </w:rPr>
              <w:t>号。</w:t>
            </w:r>
          </w:p>
        </w:tc>
      </w:tr>
      <w:tr w14:paraId="4DC7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7" w:type="pct"/>
            <w:tcBorders>
              <w:tl2br w:val="nil"/>
              <w:tr2bl w:val="nil"/>
            </w:tcBorders>
            <w:noWrap w:val="0"/>
            <w:vAlign w:val="center"/>
          </w:tcPr>
          <w:p w14:paraId="5C622F0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规划环境影响</w:t>
            </w:r>
          </w:p>
          <w:p w14:paraId="627FE0F2">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0"/>
                <w:sz w:val="24"/>
              </w:rPr>
            </w:pPr>
            <w:r>
              <w:rPr>
                <w:rFonts w:hint="default" w:ascii="Times New Roman" w:hAnsi="Times New Roman" w:cs="Times New Roman"/>
                <w:b w:val="0"/>
                <w:bCs w:val="0"/>
                <w:color w:val="auto"/>
                <w:sz w:val="24"/>
              </w:rPr>
              <w:t>评价情况</w:t>
            </w:r>
          </w:p>
        </w:tc>
        <w:tc>
          <w:tcPr>
            <w:tcW w:w="4122" w:type="pct"/>
            <w:gridSpan w:val="3"/>
            <w:tcBorders>
              <w:tl2br w:val="nil"/>
              <w:tr2bl w:val="nil"/>
            </w:tcBorders>
            <w:noWrap w:val="0"/>
            <w:vAlign w:val="center"/>
          </w:tcPr>
          <w:p w14:paraId="00461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规划</w:t>
            </w:r>
            <w:r>
              <w:rPr>
                <w:rFonts w:hint="default" w:ascii="Times New Roman" w:hAnsi="Times New Roman" w:eastAsia="宋体" w:cs="Times New Roman"/>
                <w:i w:val="0"/>
                <w:iCs w:val="0"/>
                <w:color w:val="auto"/>
                <w:sz w:val="24"/>
                <w:szCs w:val="24"/>
                <w:highlight w:val="none"/>
                <w:u w:val="none"/>
                <w:lang w:val="en-US" w:eastAsia="zh-CN"/>
              </w:rPr>
              <w:t>名称：《云南新平产业园区总体规划修编（2021-2035）</w:t>
            </w:r>
            <w:r>
              <w:rPr>
                <w:rFonts w:hint="eastAsia" w:ascii="Times New Roman" w:hAnsi="Times New Roman" w:eastAsia="宋体" w:cs="Times New Roman"/>
                <w:i w:val="0"/>
                <w:iCs w:val="0"/>
                <w:color w:val="auto"/>
                <w:sz w:val="24"/>
                <w:szCs w:val="24"/>
                <w:highlight w:val="none"/>
                <w:u w:val="none"/>
                <w:lang w:val="en-US" w:eastAsia="zh-CN"/>
              </w:rPr>
              <w:t>环境影响报告书</w:t>
            </w:r>
            <w:r>
              <w:rPr>
                <w:rFonts w:hint="default" w:ascii="Times New Roman" w:hAnsi="Times New Roman" w:eastAsia="宋体" w:cs="Times New Roman"/>
                <w:i w:val="0"/>
                <w:iCs w:val="0"/>
                <w:color w:val="auto"/>
                <w:sz w:val="24"/>
                <w:szCs w:val="24"/>
                <w:highlight w:val="none"/>
                <w:u w:val="none"/>
                <w:lang w:val="en-US" w:eastAsia="zh-CN"/>
              </w:rPr>
              <w:t>》；</w:t>
            </w:r>
          </w:p>
          <w:p w14:paraId="32F37A7A">
            <w:pPr>
              <w:pStyle w:val="9"/>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审查机关</w:t>
            </w:r>
            <w:r>
              <w:rPr>
                <w:rFonts w:hint="default" w:ascii="Times New Roman" w:hAnsi="Times New Roman" w:eastAsia="宋体" w:cs="Times New Roman"/>
                <w:i w:val="0"/>
                <w:iCs w:val="0"/>
                <w:color w:val="auto"/>
                <w:sz w:val="24"/>
                <w:szCs w:val="24"/>
                <w:highlight w:val="none"/>
                <w:u w:val="none"/>
                <w:lang w:val="en-US" w:eastAsia="zh-CN"/>
              </w:rPr>
              <w:t>：</w:t>
            </w:r>
            <w:r>
              <w:rPr>
                <w:rFonts w:hint="eastAsia" w:ascii="Times New Roman" w:hAnsi="Times New Roman" w:eastAsia="宋体" w:cs="Times New Roman"/>
                <w:i w:val="0"/>
                <w:iCs w:val="0"/>
                <w:color w:val="auto"/>
                <w:sz w:val="24"/>
                <w:szCs w:val="24"/>
                <w:highlight w:val="none"/>
                <w:u w:val="none"/>
                <w:lang w:val="en-US" w:eastAsia="zh-CN"/>
              </w:rPr>
              <w:t>玉溪市生态环境局</w:t>
            </w:r>
            <w:r>
              <w:rPr>
                <w:rFonts w:hint="default" w:ascii="Times New Roman" w:hAnsi="Times New Roman" w:eastAsia="宋体" w:cs="Times New Roman"/>
                <w:i w:val="0"/>
                <w:iCs w:val="0"/>
                <w:color w:val="auto"/>
                <w:sz w:val="24"/>
                <w:szCs w:val="24"/>
                <w:highlight w:val="none"/>
                <w:u w:val="none"/>
                <w:lang w:val="en-US" w:eastAsia="zh-CN"/>
              </w:rPr>
              <w:t>；</w:t>
            </w:r>
          </w:p>
          <w:p w14:paraId="3B511DF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sz w:val="24"/>
                <w:szCs w:val="24"/>
                <w:lang w:val="en-US" w:eastAsia="zh-CN"/>
              </w:rPr>
              <w:t>审</w:t>
            </w:r>
            <w:r>
              <w:rPr>
                <w:rFonts w:hint="eastAsia" w:ascii="Times New Roman" w:hAnsi="Times New Roman" w:eastAsia="宋体" w:cs="Times New Roman"/>
                <w:sz w:val="24"/>
                <w:szCs w:val="24"/>
                <w:lang w:val="en-US" w:eastAsia="zh-CN"/>
              </w:rPr>
              <w:t>查</w:t>
            </w:r>
            <w:r>
              <w:rPr>
                <w:rFonts w:hint="default" w:ascii="Times New Roman" w:hAnsi="Times New Roman" w:eastAsia="宋体" w:cs="Times New Roman"/>
                <w:sz w:val="24"/>
                <w:szCs w:val="24"/>
                <w:lang w:val="en-US" w:eastAsia="zh-CN"/>
              </w:rPr>
              <w:t>文件</w:t>
            </w:r>
            <w:r>
              <w:rPr>
                <w:rFonts w:hint="eastAsia" w:ascii="Times New Roman" w:hAnsi="Times New Roman" w:eastAsia="宋体" w:cs="Times New Roman"/>
                <w:sz w:val="24"/>
                <w:szCs w:val="24"/>
                <w:lang w:val="en-US" w:eastAsia="zh-CN"/>
              </w:rPr>
              <w:t>及名称：“关于云南新平产业园区总体规划修编（2021-2035）环境影响报告书审查意见的函”（玉市环函</w:t>
            </w:r>
            <w:r>
              <w:rPr>
                <w:rFonts w:hint="default" w:ascii="Times New Roman" w:hAnsi="Times New Roman" w:eastAsia="宋体" w:cs="Times New Roman"/>
                <w:sz w:val="24"/>
                <w:szCs w:val="24"/>
              </w:rPr>
              <w:t>〔2023〕</w:t>
            </w:r>
            <w:r>
              <w:rPr>
                <w:rFonts w:hint="eastAsia" w:ascii="Times New Roman" w:hAnsi="Times New Roman" w:eastAsia="宋体" w:cs="Times New Roman"/>
                <w:sz w:val="24"/>
                <w:szCs w:val="24"/>
                <w:lang w:val="en-US" w:eastAsia="zh-CN"/>
              </w:rPr>
              <w:t>23号）。</w:t>
            </w:r>
          </w:p>
        </w:tc>
      </w:tr>
      <w:tr w14:paraId="07A4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7" w:type="pct"/>
            <w:tcBorders>
              <w:tl2br w:val="nil"/>
              <w:tr2bl w:val="nil"/>
            </w:tcBorders>
            <w:noWrap w:val="0"/>
            <w:vAlign w:val="center"/>
          </w:tcPr>
          <w:p w14:paraId="68F610EB">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kern w:val="0"/>
                <w:sz w:val="24"/>
              </w:rPr>
            </w:pPr>
            <w:r>
              <w:rPr>
                <w:rFonts w:hint="default" w:ascii="Times New Roman" w:hAnsi="Times New Roman" w:cs="Times New Roman"/>
                <w:b w:val="0"/>
                <w:bCs w:val="0"/>
                <w:color w:val="auto"/>
                <w:kern w:val="0"/>
                <w:sz w:val="24"/>
              </w:rPr>
              <w:t>规划及规划环境影响评价符合性分析</w:t>
            </w:r>
          </w:p>
        </w:tc>
        <w:tc>
          <w:tcPr>
            <w:tcW w:w="4122" w:type="pct"/>
            <w:gridSpan w:val="3"/>
            <w:tcBorders>
              <w:tl2br w:val="nil"/>
              <w:tr2bl w:val="nil"/>
            </w:tcBorders>
            <w:noWrap w:val="0"/>
            <w:vAlign w:val="center"/>
          </w:tcPr>
          <w:p w14:paraId="62E6A1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eastAsia="zh-CN"/>
              </w:rPr>
              <w:t>1、与</w:t>
            </w:r>
            <w:r>
              <w:rPr>
                <w:rFonts w:hint="eastAsia" w:cs="Times New Roman"/>
                <w:b/>
                <w:bCs/>
                <w:color w:val="auto"/>
                <w:sz w:val="24"/>
                <w:szCs w:val="24"/>
                <w:lang w:val="en-US" w:eastAsia="zh-CN"/>
              </w:rPr>
              <w:t>《云南新平产业园区总体规划修编（2021-2035）》的符合性分析</w:t>
            </w:r>
          </w:p>
          <w:p w14:paraId="45B80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按照《云南省各类开发区优化提升总体方案》（云委〔2020〕287号）、《云南省开发区工作领导小组办公室关于省级以上开发区优化提升审核情况的通知》（云发改产业〔2021〕1070号），云南新平产业园区属于保留的省级开发区之一，根据《玉溪市开发区工作领导小组办公室关于做好有关开发区总体规划调整工作的云通知》要求，调整编制了《云南新平产业园区总体规划修编（2021-2035年）》（以下简称《规划》），云南新平产业园区规划用地总面积为2880.09h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，按照“一园三区”进行空间布局，包括绿色钢城片区2579.69hm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（其中化念地块1265.75hm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，扬武地块1313.94hm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）、桂山片区198.59hm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、戛酒片区101.81hm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，打造</w:t>
            </w:r>
            <w:r>
              <w:rPr>
                <w:rFonts w:hint="eastAsia"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sz w:val="24"/>
                <w:szCs w:val="24"/>
                <w:highlight w:val="none"/>
                <w:u w:val="none"/>
                <w:lang w:val="en-US" w:eastAsia="zh-CN"/>
              </w:rPr>
              <w:t>一主三辅</w:t>
            </w:r>
            <w:r>
              <w:rPr>
                <w:rFonts w:hint="eastAsia"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sz w:val="24"/>
                <w:szCs w:val="24"/>
                <w:highlight w:val="none"/>
                <w:u w:val="none"/>
                <w:lang w:val="en-US" w:eastAsia="zh-CN"/>
              </w:rPr>
              <w:t>的产业集聚阵容，以冶金新材料为主导产业，以装备制造、生物资源加工、轻工制造为辅助产业的园区产业体系。规划期限为2021-2035年。</w:t>
            </w:r>
          </w:p>
          <w:p w14:paraId="34E85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绿色钢城片区是冶金新材料联动装备制造的循环经济集群区，分为钢铁冶金新材料产业组团、装备制造组团、配套产业组团、综合物流核心组团、物流配送组团、综合生活服务组团。</w:t>
            </w:r>
          </w:p>
          <w:p w14:paraId="77D64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本项目位于云南新平产业园区绿色钢城片区，项目利用高炉、转炉、焦化煤气发电，属于冶炼企业配套产业的能源综合利用项目，与绿色钢铁片区团的产业定位相符，符合《云南新平产业园区总体规划修编（2021~2023）》。</w:t>
            </w:r>
          </w:p>
          <w:p w14:paraId="7E6C69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bookmarkStart w:id="7" w:name="_Toc1793"/>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与《</w:t>
            </w:r>
            <w:r>
              <w:rPr>
                <w:rFonts w:hint="eastAsia" w:cs="Times New Roman"/>
                <w:b/>
                <w:bCs/>
                <w:color w:val="auto"/>
                <w:sz w:val="24"/>
                <w:szCs w:val="24"/>
                <w:lang w:val="en-US" w:eastAsia="zh-CN"/>
              </w:rPr>
              <w:t>云南新平产业园区总体规划修编</w:t>
            </w:r>
            <w:r>
              <w:rPr>
                <w:rFonts w:hint="default" w:ascii="Times New Roman" w:hAnsi="Times New Roman" w:cs="Times New Roman"/>
                <w:b/>
                <w:bCs/>
                <w:color w:val="auto"/>
                <w:sz w:val="24"/>
                <w:szCs w:val="24"/>
              </w:rPr>
              <w:t>（20</w:t>
            </w:r>
            <w:r>
              <w:rPr>
                <w:rFonts w:hint="eastAsia" w:cs="Times New Roman"/>
                <w:b/>
                <w:bCs/>
                <w:color w:val="auto"/>
                <w:sz w:val="24"/>
                <w:szCs w:val="24"/>
                <w:lang w:val="en-US" w:eastAsia="zh-CN"/>
              </w:rPr>
              <w:t>21</w:t>
            </w:r>
            <w:r>
              <w:rPr>
                <w:rFonts w:hint="default" w:ascii="Times New Roman" w:hAnsi="Times New Roman" w:cs="Times New Roman"/>
                <w:b/>
                <w:bCs/>
                <w:color w:val="auto"/>
                <w:sz w:val="24"/>
                <w:szCs w:val="24"/>
              </w:rPr>
              <w:t>-2035）环境影响报告书》</w:t>
            </w:r>
            <w:r>
              <w:rPr>
                <w:rFonts w:hint="eastAsia" w:cs="Times New Roman"/>
                <w:b/>
                <w:bCs/>
                <w:color w:val="auto"/>
                <w:sz w:val="24"/>
                <w:szCs w:val="24"/>
                <w:lang w:val="en-US" w:eastAsia="zh-CN"/>
              </w:rPr>
              <w:t>及审查意见的</w:t>
            </w:r>
            <w:r>
              <w:rPr>
                <w:rFonts w:hint="default" w:ascii="Times New Roman" w:hAnsi="Times New Roman" w:cs="Times New Roman"/>
                <w:b/>
                <w:bCs/>
                <w:color w:val="auto"/>
                <w:sz w:val="24"/>
                <w:szCs w:val="24"/>
              </w:rPr>
              <w:t>符合性分析</w:t>
            </w:r>
            <w:bookmarkEnd w:id="7"/>
          </w:p>
          <w:p w14:paraId="2202D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2023</w:t>
            </w:r>
            <w:r>
              <w:rPr>
                <w:rFonts w:hint="eastAsia" w:ascii="Times New Roman" w:hAnsi="Times New Roman" w:eastAsia="宋体" w:cs="Times New Roman"/>
                <w:i w:val="0"/>
                <w:iCs w:val="0"/>
                <w:color w:val="auto"/>
                <w:sz w:val="24"/>
                <w:szCs w:val="24"/>
                <w:highlight w:val="none"/>
                <w:u w:val="none"/>
                <w:lang w:val="en-US" w:eastAsia="zh-CN"/>
              </w:rPr>
              <w:t>年</w:t>
            </w:r>
            <w:r>
              <w:rPr>
                <w:rFonts w:hint="default" w:ascii="Times New Roman" w:hAnsi="Times New Roman" w:eastAsia="宋体" w:cs="Times New Roman"/>
                <w:i w:val="0"/>
                <w:iCs w:val="0"/>
                <w:color w:val="auto"/>
                <w:sz w:val="24"/>
                <w:szCs w:val="24"/>
                <w:highlight w:val="none"/>
                <w:u w:val="none"/>
                <w:lang w:val="en-US" w:eastAsia="zh-CN"/>
              </w:rPr>
              <w:t>8</w:t>
            </w:r>
            <w:r>
              <w:rPr>
                <w:rFonts w:hint="eastAsia" w:ascii="Times New Roman" w:hAnsi="Times New Roman" w:eastAsia="宋体" w:cs="Times New Roman"/>
                <w:i w:val="0"/>
                <w:iCs w:val="0"/>
                <w:color w:val="auto"/>
                <w:sz w:val="24"/>
                <w:szCs w:val="24"/>
                <w:highlight w:val="none"/>
                <w:u w:val="none"/>
                <w:lang w:val="en-US" w:eastAsia="zh-CN"/>
              </w:rPr>
              <w:t>月</w:t>
            </w:r>
            <w:r>
              <w:rPr>
                <w:rFonts w:hint="default" w:ascii="Times New Roman" w:hAnsi="Times New Roman" w:eastAsia="宋体" w:cs="Times New Roman"/>
                <w:i w:val="0"/>
                <w:iCs w:val="0"/>
                <w:color w:val="auto"/>
                <w:sz w:val="24"/>
                <w:szCs w:val="24"/>
                <w:highlight w:val="none"/>
                <w:u w:val="none"/>
                <w:lang w:val="en-US" w:eastAsia="zh-CN"/>
              </w:rPr>
              <w:t>12</w:t>
            </w:r>
            <w:r>
              <w:rPr>
                <w:rFonts w:hint="eastAsia" w:ascii="Times New Roman" w:hAnsi="Times New Roman" w:eastAsia="宋体" w:cs="Times New Roman"/>
                <w:i w:val="0"/>
                <w:iCs w:val="0"/>
                <w:color w:val="auto"/>
                <w:sz w:val="24"/>
                <w:szCs w:val="24"/>
                <w:highlight w:val="none"/>
                <w:u w:val="none"/>
                <w:lang w:val="en-US" w:eastAsia="zh-CN"/>
              </w:rPr>
              <w:t>日，《云南新平产业园区总体规划修编（</w:t>
            </w:r>
            <w:r>
              <w:rPr>
                <w:rFonts w:hint="default" w:ascii="Times New Roman" w:hAnsi="Times New Roman" w:eastAsia="宋体" w:cs="Times New Roman"/>
                <w:i w:val="0"/>
                <w:iCs w:val="0"/>
                <w:color w:val="auto"/>
                <w:sz w:val="24"/>
                <w:szCs w:val="24"/>
                <w:highlight w:val="none"/>
                <w:u w:val="none"/>
                <w:lang w:val="en-US" w:eastAsia="zh-CN"/>
              </w:rPr>
              <w:t>2021-2035</w:t>
            </w:r>
            <w:r>
              <w:rPr>
                <w:rFonts w:hint="eastAsia" w:ascii="Times New Roman" w:hAnsi="Times New Roman" w:eastAsia="宋体" w:cs="Times New Roman"/>
                <w:i w:val="0"/>
                <w:iCs w:val="0"/>
                <w:color w:val="auto"/>
                <w:sz w:val="24"/>
                <w:szCs w:val="24"/>
                <w:highlight w:val="none"/>
                <w:u w:val="none"/>
                <w:lang w:val="en-US" w:eastAsia="zh-CN"/>
              </w:rPr>
              <w:t>）环境影响报告书》已通过玉溪市生态环境局的审查，取得《云南新平产业园区总体规划修编（</w:t>
            </w:r>
            <w:r>
              <w:rPr>
                <w:rFonts w:hint="default" w:ascii="Times New Roman" w:hAnsi="Times New Roman" w:eastAsia="宋体" w:cs="Times New Roman"/>
                <w:i w:val="0"/>
                <w:iCs w:val="0"/>
                <w:color w:val="auto"/>
                <w:sz w:val="24"/>
                <w:szCs w:val="24"/>
                <w:highlight w:val="none"/>
                <w:u w:val="none"/>
                <w:lang w:val="en-US" w:eastAsia="zh-CN"/>
              </w:rPr>
              <w:t>2021-2035</w:t>
            </w:r>
            <w:r>
              <w:rPr>
                <w:rFonts w:hint="eastAsia" w:ascii="Times New Roman" w:hAnsi="Times New Roman" w:eastAsia="宋体" w:cs="Times New Roman"/>
                <w:i w:val="0"/>
                <w:iCs w:val="0"/>
                <w:color w:val="auto"/>
                <w:sz w:val="24"/>
                <w:szCs w:val="24"/>
                <w:highlight w:val="none"/>
                <w:u w:val="none"/>
                <w:lang w:val="en-US" w:eastAsia="zh-CN"/>
              </w:rPr>
              <w:t>）环境影响报告书审查意见》，玉市环函〔</w:t>
            </w:r>
            <w:r>
              <w:rPr>
                <w:rFonts w:hint="default" w:ascii="Times New Roman" w:hAnsi="Times New Roman" w:eastAsia="宋体" w:cs="Times New Roman"/>
                <w:i w:val="0"/>
                <w:iCs w:val="0"/>
                <w:color w:val="auto"/>
                <w:sz w:val="24"/>
                <w:szCs w:val="24"/>
                <w:highlight w:val="none"/>
                <w:u w:val="none"/>
                <w:lang w:val="en-US" w:eastAsia="zh-CN"/>
              </w:rPr>
              <w:t>2023</w:t>
            </w:r>
            <w:r>
              <w:rPr>
                <w:rFonts w:hint="eastAsia" w:ascii="Times New Roman" w:hAnsi="Times New Roman" w:eastAsia="宋体"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sz w:val="24"/>
                <w:szCs w:val="24"/>
                <w:highlight w:val="none"/>
                <w:u w:val="none"/>
                <w:lang w:val="en-US" w:eastAsia="zh-CN"/>
              </w:rPr>
              <w:t>73</w:t>
            </w:r>
            <w:r>
              <w:rPr>
                <w:rFonts w:hint="eastAsia" w:ascii="Times New Roman" w:hAnsi="Times New Roman" w:eastAsia="宋体" w:cs="Times New Roman"/>
                <w:i w:val="0"/>
                <w:iCs w:val="0"/>
                <w:color w:val="auto"/>
                <w:sz w:val="24"/>
                <w:szCs w:val="24"/>
                <w:highlight w:val="none"/>
                <w:u w:val="none"/>
                <w:lang w:val="en-US" w:eastAsia="zh-CN"/>
              </w:rPr>
              <w:t>号。</w:t>
            </w:r>
          </w:p>
          <w:p w14:paraId="55A4E938">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cs="Times New Roman"/>
                <w:i w:val="0"/>
                <w:iCs w:val="0"/>
                <w:color w:val="auto"/>
                <w:sz w:val="24"/>
                <w:szCs w:val="24"/>
                <w:highlight w:val="none"/>
                <w:u w:val="none"/>
                <w:lang w:val="en-US" w:eastAsia="zh-CN"/>
              </w:rPr>
            </w:pPr>
            <w:r>
              <w:rPr>
                <w:rFonts w:hint="eastAsia" w:cs="Times New Roman"/>
                <w:b/>
                <w:bCs/>
                <w:i w:val="0"/>
                <w:iCs w:val="0"/>
                <w:color w:val="auto"/>
                <w:sz w:val="24"/>
                <w:szCs w:val="24"/>
                <w:highlight w:val="none"/>
                <w:u w:val="none"/>
                <w:lang w:val="en-US" w:eastAsia="zh-CN"/>
              </w:rPr>
              <w:t>（一）与规划环评符合性分析</w:t>
            </w:r>
          </w:p>
          <w:p w14:paraId="7C1F1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与规划环评符合性分析见下表：</w:t>
            </w:r>
          </w:p>
          <w:p w14:paraId="3C02288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lang w:val="en-US" w:eastAsia="zh-CN"/>
              </w:rPr>
              <w:t>表</w:t>
            </w:r>
            <w:r>
              <w:rPr>
                <w:rFonts w:hint="default" w:ascii="Times New Roman" w:hAnsi="Times New Roman" w:eastAsia="黑体" w:cs="Times New Roman"/>
                <w:color w:val="auto"/>
                <w:sz w:val="21"/>
                <w:szCs w:val="21"/>
                <w:lang w:val="en-US" w:eastAsia="zh-CN"/>
              </w:rPr>
              <w:t xml:space="preserve">1-2 </w:t>
            </w:r>
            <w:r>
              <w:rPr>
                <w:rFonts w:hint="eastAsia" w:ascii="Times New Roman" w:hAnsi="Times New Roman" w:eastAsia="黑体" w:cs="Times New Roman"/>
                <w:color w:val="auto"/>
                <w:sz w:val="21"/>
                <w:szCs w:val="21"/>
                <w:lang w:val="en-US" w:eastAsia="zh-CN"/>
              </w:rPr>
              <w:t>项目与规划环评符合性分析一览表</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879"/>
              <w:gridCol w:w="2958"/>
              <w:gridCol w:w="639"/>
            </w:tblGrid>
            <w:tr w14:paraId="2880A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l2br w:val="nil"/>
                    <w:tr2bl w:val="nil"/>
                  </w:tcBorders>
                  <w:vAlign w:val="center"/>
                </w:tcPr>
                <w:p w14:paraId="674EE8B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入园要求</w:t>
                  </w:r>
                </w:p>
              </w:tc>
              <w:tc>
                <w:tcPr>
                  <w:tcW w:w="1991" w:type="pct"/>
                  <w:tcBorders>
                    <w:tl2br w:val="nil"/>
                    <w:tr2bl w:val="nil"/>
                  </w:tcBorders>
                  <w:vAlign w:val="center"/>
                </w:tcPr>
                <w:p w14:paraId="79ADDDA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要求情况</w:t>
                  </w:r>
                </w:p>
              </w:tc>
              <w:tc>
                <w:tcPr>
                  <w:tcW w:w="2046" w:type="pct"/>
                  <w:tcBorders>
                    <w:tl2br w:val="nil"/>
                    <w:tr2bl w:val="nil"/>
                  </w:tcBorders>
                  <w:vAlign w:val="center"/>
                </w:tcPr>
                <w:p w14:paraId="60A2B63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本项目情况</w:t>
                  </w:r>
                </w:p>
              </w:tc>
              <w:tc>
                <w:tcPr>
                  <w:tcW w:w="442" w:type="pct"/>
                  <w:tcBorders>
                    <w:tl2br w:val="nil"/>
                    <w:tr2bl w:val="nil"/>
                  </w:tcBorders>
                  <w:vAlign w:val="center"/>
                </w:tcPr>
                <w:p w14:paraId="4B2149B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符合情况</w:t>
                  </w:r>
                </w:p>
              </w:tc>
            </w:tr>
            <w:tr w14:paraId="128184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tcBorders>
                    <w:tl2br w:val="nil"/>
                    <w:tr2bl w:val="nil"/>
                  </w:tcBorders>
                  <w:vAlign w:val="center"/>
                </w:tcPr>
                <w:p w14:paraId="6D66FF9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项目入驻原则</w:t>
                  </w:r>
                </w:p>
              </w:tc>
              <w:tc>
                <w:tcPr>
                  <w:tcW w:w="1991" w:type="pct"/>
                  <w:tcBorders>
                    <w:tl2br w:val="nil"/>
                    <w:tr2bl w:val="nil"/>
                  </w:tcBorders>
                  <w:vAlign w:val="center"/>
                </w:tcPr>
                <w:p w14:paraId="46EBC6C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w:t>
                  </w:r>
                  <w:r>
                    <w:rPr>
                      <w:rFonts w:hint="eastAsia" w:ascii="Times New Roman" w:hAnsi="Times New Roman" w:eastAsia="宋体" w:cs="Times New Roman"/>
                      <w:sz w:val="18"/>
                      <w:szCs w:val="18"/>
                      <w:vertAlign w:val="baseline"/>
                      <w:lang w:val="en-US" w:eastAsia="zh-CN"/>
                    </w:rPr>
                    <w:t>）符合国家及云南省相关产业政策原则：规划区引进的项目，其工艺、规模及产品应符合国家、云南省及玉溪市制定的相关产业政策要求。</w:t>
                  </w:r>
                </w:p>
              </w:tc>
              <w:tc>
                <w:tcPr>
                  <w:tcW w:w="2046" w:type="pct"/>
                  <w:tcBorders>
                    <w:tl2br w:val="nil"/>
                    <w:tr2bl w:val="nil"/>
                  </w:tcBorders>
                  <w:vAlign w:val="center"/>
                </w:tcPr>
                <w:p w14:paraId="13D01F9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根据《产业结构调整指导目录（</w:t>
                  </w:r>
                  <w:r>
                    <w:rPr>
                      <w:rFonts w:hint="default" w:ascii="Times New Roman" w:hAnsi="Times New Roman" w:eastAsia="宋体" w:cs="Times New Roman"/>
                      <w:sz w:val="18"/>
                      <w:szCs w:val="18"/>
                      <w:vertAlign w:val="baseline"/>
                      <w:lang w:val="en-US" w:eastAsia="zh-CN"/>
                    </w:rPr>
                    <w:t>2024</w:t>
                  </w:r>
                  <w:r>
                    <w:rPr>
                      <w:rFonts w:hint="eastAsia" w:ascii="Times New Roman" w:hAnsi="Times New Roman" w:eastAsia="宋体" w:cs="Times New Roman"/>
                      <w:sz w:val="18"/>
                      <w:szCs w:val="18"/>
                      <w:vertAlign w:val="baseline"/>
                      <w:lang w:val="en-US" w:eastAsia="zh-CN"/>
                    </w:rPr>
                    <w:t>年本）》第一类鼓励类中：八、钢铁中“钢铁、焦化、铁合金行业超低排放技术，以及副产物资源化、再利用化”项目。符合国家、云南省及玉溪市制定的相关产业政策要求。</w:t>
                  </w:r>
                </w:p>
              </w:tc>
              <w:tc>
                <w:tcPr>
                  <w:tcW w:w="442" w:type="pct"/>
                  <w:tcBorders>
                    <w:tl2br w:val="nil"/>
                    <w:tr2bl w:val="nil"/>
                  </w:tcBorders>
                  <w:vAlign w:val="center"/>
                </w:tcPr>
                <w:p w14:paraId="0E86F90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65A35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4B934D4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5B6DF43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w:t>
                  </w:r>
                  <w:r>
                    <w:rPr>
                      <w:rFonts w:hint="eastAsia" w:ascii="Times New Roman" w:hAnsi="Times New Roman" w:eastAsia="宋体" w:cs="Times New Roman"/>
                      <w:sz w:val="18"/>
                      <w:szCs w:val="18"/>
                      <w:vertAlign w:val="baseline"/>
                      <w:lang w:val="en-US" w:eastAsia="zh-CN"/>
                    </w:rPr>
                    <w:t>）有利于实现云南新平产业园区产业结构的原则：引进的项目，应有利于实现云南新平产业园区产业结构，有利于云南新平产业园区规划目标的达成。</w:t>
                  </w:r>
                </w:p>
              </w:tc>
              <w:tc>
                <w:tcPr>
                  <w:tcW w:w="2046" w:type="pct"/>
                  <w:tcBorders>
                    <w:tl2br w:val="nil"/>
                    <w:tr2bl w:val="nil"/>
                  </w:tcBorders>
                  <w:vAlign w:val="center"/>
                </w:tcPr>
                <w:p w14:paraId="4EB5A40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cs="Times New Roman"/>
                      <w:sz w:val="18"/>
                      <w:szCs w:val="18"/>
                      <w:vertAlign w:val="baseline"/>
                      <w:lang w:val="en-US" w:eastAsia="zh-CN"/>
                    </w:rPr>
                  </w:pPr>
                  <w:r>
                    <w:rPr>
                      <w:rFonts w:hint="eastAsia" w:cs="Times New Roman"/>
                      <w:sz w:val="18"/>
                      <w:szCs w:val="18"/>
                      <w:vertAlign w:val="baseline"/>
                      <w:lang w:val="en-US" w:eastAsia="zh-CN"/>
                    </w:rPr>
                    <w:t>本项目为钢铁厂能源综合利用项目，主要利用富余高炉煤气、转炉煤气及焦炉煤气发电，有利于实现云南新平产业园区产业结构。</w:t>
                  </w:r>
                </w:p>
              </w:tc>
              <w:tc>
                <w:tcPr>
                  <w:tcW w:w="442" w:type="pct"/>
                  <w:tcBorders>
                    <w:tl2br w:val="nil"/>
                    <w:tr2bl w:val="nil"/>
                  </w:tcBorders>
                  <w:vAlign w:val="center"/>
                </w:tcPr>
                <w:p w14:paraId="77D56E4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461F5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1E4DC93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5BD6051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w:t>
                  </w:r>
                  <w:r>
                    <w:rPr>
                      <w:rFonts w:hint="eastAsia" w:ascii="Times New Roman" w:hAnsi="Times New Roman" w:eastAsia="宋体" w:cs="Times New Roman"/>
                      <w:sz w:val="18"/>
                      <w:szCs w:val="18"/>
                      <w:vertAlign w:val="baseline"/>
                      <w:lang w:val="en-US" w:eastAsia="zh-CN"/>
                    </w:rPr>
                    <w:t>）资源节约原则：引进的项目应能够满足资源节约的原则，清洁生产水平应达到国内先进水平以上。</w:t>
                  </w:r>
                </w:p>
              </w:tc>
              <w:tc>
                <w:tcPr>
                  <w:tcW w:w="2046" w:type="pct"/>
                  <w:tcBorders>
                    <w:tl2br w:val="nil"/>
                    <w:tr2bl w:val="nil"/>
                  </w:tcBorders>
                  <w:vAlign w:val="center"/>
                </w:tcPr>
                <w:p w14:paraId="0E2CCF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本项目利用富余高炉煤气、转炉</w:t>
                  </w:r>
                  <w:r>
                    <w:rPr>
                      <w:rFonts w:hint="eastAsia" w:cs="Times New Roman"/>
                      <w:sz w:val="18"/>
                      <w:szCs w:val="18"/>
                      <w:vertAlign w:val="baseline"/>
                      <w:lang w:val="en-US" w:eastAsia="zh-CN"/>
                    </w:rPr>
                    <w:t>及</w:t>
                  </w:r>
                  <w:r>
                    <w:rPr>
                      <w:rFonts w:hint="default" w:ascii="Times New Roman" w:hAnsi="Times New Roman" w:eastAsia="宋体" w:cs="Times New Roman"/>
                      <w:sz w:val="18"/>
                      <w:szCs w:val="18"/>
                      <w:vertAlign w:val="baseline"/>
                      <w:lang w:val="en-US" w:eastAsia="zh-CN"/>
                    </w:rPr>
                    <w:t>焦炉煤气发电，实现资源的综合利用。</w:t>
                  </w:r>
                </w:p>
              </w:tc>
              <w:tc>
                <w:tcPr>
                  <w:tcW w:w="442" w:type="pct"/>
                  <w:tcBorders>
                    <w:tl2br w:val="nil"/>
                    <w:tr2bl w:val="nil"/>
                  </w:tcBorders>
                  <w:vAlign w:val="center"/>
                </w:tcPr>
                <w:p w14:paraId="272EDA7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3A19E5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67BBF1C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5DF0D95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w:t>
                  </w:r>
                  <w:r>
                    <w:rPr>
                      <w:rFonts w:hint="eastAsia" w:ascii="Times New Roman" w:hAnsi="Times New Roman" w:eastAsia="宋体" w:cs="Times New Roman"/>
                      <w:sz w:val="18"/>
                      <w:szCs w:val="18"/>
                      <w:vertAlign w:val="baseline"/>
                      <w:lang w:val="en-US" w:eastAsia="zh-CN"/>
                    </w:rPr>
                    <w:t>）环境友好原则：引进的项目应符合环境友好的原则，建设项目的新、改扩建对当地环境的影响不能导致当地环境功能的降低。</w:t>
                  </w:r>
                </w:p>
              </w:tc>
              <w:tc>
                <w:tcPr>
                  <w:tcW w:w="2046" w:type="pct"/>
                  <w:tcBorders>
                    <w:tl2br w:val="nil"/>
                    <w:tr2bl w:val="nil"/>
                  </w:tcBorders>
                  <w:vAlign w:val="center"/>
                </w:tcPr>
                <w:p w14:paraId="4E6F715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本项目建成投入运营</w:t>
                  </w:r>
                  <w:r>
                    <w:rPr>
                      <w:rFonts w:hint="default"/>
                      <w:sz w:val="18"/>
                      <w:szCs w:val="18"/>
                      <w:vertAlign w:val="baseline"/>
                      <w:lang w:val="en-US" w:eastAsia="zh-CN"/>
                    </w:rPr>
                    <w:t>后实现全厂污染物减排，有利区区域环境质量的改善。</w:t>
                  </w:r>
                </w:p>
              </w:tc>
              <w:tc>
                <w:tcPr>
                  <w:tcW w:w="442" w:type="pct"/>
                  <w:tcBorders>
                    <w:tl2br w:val="nil"/>
                    <w:tr2bl w:val="nil"/>
                  </w:tcBorders>
                  <w:vAlign w:val="center"/>
                </w:tcPr>
                <w:p w14:paraId="7F64478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4196D9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3D6B5E5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2891C99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w:t>
                  </w:r>
                  <w:r>
                    <w:rPr>
                      <w:rFonts w:hint="eastAsia" w:ascii="Times New Roman" w:hAnsi="Times New Roman" w:eastAsia="宋体" w:cs="Times New Roman"/>
                      <w:sz w:val="18"/>
                      <w:szCs w:val="18"/>
                      <w:vertAlign w:val="baseline"/>
                      <w:lang w:val="en-US" w:eastAsia="zh-CN"/>
                    </w:rPr>
                    <w:t>）协调发展原则：引进的项目应有利于统筹城乡协调发展，有利于改善区域环境质量。</w:t>
                  </w:r>
                </w:p>
              </w:tc>
              <w:tc>
                <w:tcPr>
                  <w:tcW w:w="2046" w:type="pct"/>
                  <w:tcBorders>
                    <w:tl2br w:val="nil"/>
                    <w:tr2bl w:val="nil"/>
                  </w:tcBorders>
                  <w:vAlign w:val="center"/>
                </w:tcPr>
                <w:p w14:paraId="0927D07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本项目采取雨污分流，初期雨水经雨水管网收集后</w:t>
                  </w:r>
                  <w:r>
                    <w:rPr>
                      <w:rFonts w:hint="eastAsia" w:cs="Times New Roman"/>
                      <w:sz w:val="18"/>
                      <w:szCs w:val="18"/>
                      <w:vertAlign w:val="baseline"/>
                      <w:lang w:val="en-US" w:eastAsia="zh-CN"/>
                    </w:rPr>
                    <w:t>依托仙福公司</w:t>
                  </w:r>
                  <w:r>
                    <w:rPr>
                      <w:rFonts w:hint="default" w:ascii="Times New Roman" w:hAnsi="Times New Roman" w:eastAsia="宋体" w:cs="Times New Roman"/>
                      <w:sz w:val="18"/>
                      <w:szCs w:val="18"/>
                      <w:vertAlign w:val="baseline"/>
                      <w:lang w:val="en-US" w:eastAsia="zh-CN"/>
                    </w:rPr>
                    <w:t>初期雨水收集池，经收集处理后全部回用，废水不外排。生产废水全部回用，不外排。生活污水经处理后回用于绿化，不外排。本项目采取了各项废气治理措施，燃气锅炉废气满足《关于推进实施钢铁行业超低排放的意见》（环大气</w:t>
                  </w:r>
                  <w:r>
                    <w:rPr>
                      <w:rFonts w:hint="eastAsia"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2019</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35号）中附件2钢铁企业超低排放指标限值（自备电厂）超低排放限值要求，恶臭</w:t>
                  </w:r>
                  <w:r>
                    <w:rPr>
                      <w:rFonts w:hint="eastAsia" w:cs="Times New Roman"/>
                      <w:sz w:val="18"/>
                      <w:szCs w:val="18"/>
                      <w:vertAlign w:val="baseline"/>
                      <w:lang w:val="en-US" w:eastAsia="zh-CN"/>
                    </w:rPr>
                    <w:t>执行</w:t>
                  </w:r>
                  <w:r>
                    <w:rPr>
                      <w:rFonts w:hint="default" w:ascii="Times New Roman" w:hAnsi="Times New Roman" w:eastAsia="宋体" w:cs="Times New Roman"/>
                      <w:sz w:val="18"/>
                      <w:szCs w:val="18"/>
                      <w:vertAlign w:val="baseline"/>
                      <w:lang w:val="en-US" w:eastAsia="zh-CN"/>
                    </w:rPr>
                    <w:t>《恶臭污染物排放标准》（GB14554-93）表2中排放限值。采取措施后厂界噪声满足《工业企业厂界环境噪声排放标准》（GB12348-2008）3类标准要求。</w:t>
                  </w:r>
                </w:p>
              </w:tc>
              <w:tc>
                <w:tcPr>
                  <w:tcW w:w="442" w:type="pct"/>
                  <w:tcBorders>
                    <w:tl2br w:val="nil"/>
                    <w:tr2bl w:val="nil"/>
                  </w:tcBorders>
                  <w:vAlign w:val="center"/>
                </w:tcPr>
                <w:p w14:paraId="3772C27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69EE40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tcBorders>
                    <w:tl2br w:val="nil"/>
                    <w:tr2bl w:val="nil"/>
                  </w:tcBorders>
                  <w:vAlign w:val="center"/>
                </w:tcPr>
                <w:p w14:paraId="5B8267C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入驻项目环保要求</w:t>
                  </w:r>
                </w:p>
              </w:tc>
              <w:tc>
                <w:tcPr>
                  <w:tcW w:w="1991" w:type="pct"/>
                  <w:tcBorders>
                    <w:tl2br w:val="nil"/>
                    <w:tr2bl w:val="nil"/>
                  </w:tcBorders>
                  <w:vAlign w:val="center"/>
                </w:tcPr>
                <w:p w14:paraId="7438ACB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eastAsia" w:ascii="Times New Roman" w:hAnsi="Times New Roman" w:eastAsia="宋体" w:cs="Times New Roman"/>
                      <w:sz w:val="18"/>
                      <w:szCs w:val="18"/>
                      <w:vertAlign w:val="baseline"/>
                      <w:lang w:val="en-US" w:eastAsia="zh-CN"/>
                    </w:rPr>
                    <w:t>1）项目必须实现达标排放，同时满足规划区总量控制要求。</w:t>
                  </w:r>
                </w:p>
              </w:tc>
              <w:tc>
                <w:tcPr>
                  <w:tcW w:w="2046" w:type="pct"/>
                  <w:tcBorders>
                    <w:tl2br w:val="nil"/>
                    <w:tr2bl w:val="nil"/>
                  </w:tcBorders>
                  <w:vAlign w:val="center"/>
                </w:tcPr>
                <w:p w14:paraId="484D017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项目无废水外排，废气经可行技术处理后达标排放，固废全部合理处置，满足规划区总量控制要求。</w:t>
                  </w:r>
                </w:p>
              </w:tc>
              <w:tc>
                <w:tcPr>
                  <w:tcW w:w="442" w:type="pct"/>
                  <w:tcBorders>
                    <w:tl2br w:val="nil"/>
                    <w:tr2bl w:val="nil"/>
                  </w:tcBorders>
                  <w:vAlign w:val="center"/>
                </w:tcPr>
                <w:p w14:paraId="50FF90F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7FF338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0FCC8D6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56747BF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2）入驻项目应采取满足达标排放要求、运行稳定、技术先进、经济效益好的污染治理设施、措施</w:t>
                  </w:r>
                  <w:r>
                    <w:rPr>
                      <w:rFonts w:hint="eastAsia" w:eastAsia="宋体" w:cs="Times New Roman"/>
                      <w:sz w:val="18"/>
                      <w:szCs w:val="18"/>
                      <w:vertAlign w:val="baseline"/>
                      <w:lang w:val="en-US" w:eastAsia="zh-CN"/>
                    </w:rPr>
                    <w:t>。</w:t>
                  </w:r>
                </w:p>
              </w:tc>
              <w:tc>
                <w:tcPr>
                  <w:tcW w:w="2046" w:type="pct"/>
                  <w:tcBorders>
                    <w:tl2br w:val="nil"/>
                    <w:tr2bl w:val="nil"/>
                  </w:tcBorders>
                  <w:vAlign w:val="center"/>
                </w:tcPr>
                <w:p w14:paraId="29DA70C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default" w:eastAsia="宋体" w:cs="Times New Roman"/>
                      <w:sz w:val="18"/>
                      <w:szCs w:val="18"/>
                      <w:vertAlign w:val="baseline"/>
                      <w:lang w:val="en-US" w:eastAsia="zh-CN"/>
                    </w:rPr>
                    <w:t>本项目无废水外排；项目锅炉采用低氮燃烧+SCR脱硝技术，锅炉烟气经</w:t>
                  </w:r>
                  <w:r>
                    <w:rPr>
                      <w:rFonts w:hint="eastAsia" w:cs="Times New Roman"/>
                      <w:sz w:val="18"/>
                      <w:szCs w:val="18"/>
                      <w:vertAlign w:val="baseline"/>
                      <w:lang w:val="en-US" w:eastAsia="zh-CN"/>
                    </w:rPr>
                    <w:t>钙基干法</w:t>
                  </w:r>
                  <w:r>
                    <w:rPr>
                      <w:rFonts w:hint="default" w:eastAsia="宋体" w:cs="Times New Roman"/>
                      <w:sz w:val="18"/>
                      <w:szCs w:val="18"/>
                      <w:vertAlign w:val="baseline"/>
                      <w:lang w:val="en-US" w:eastAsia="zh-CN"/>
                    </w:rPr>
                    <w:t>脱硫+</w:t>
                  </w:r>
                  <w:r>
                    <w:rPr>
                      <w:rFonts w:hint="eastAsia" w:cs="Times New Roman"/>
                      <w:sz w:val="18"/>
                      <w:szCs w:val="18"/>
                      <w:vertAlign w:val="baseline"/>
                      <w:lang w:val="en-US" w:eastAsia="zh-CN"/>
                    </w:rPr>
                    <w:t>布袋除尘</w:t>
                  </w:r>
                  <w:r>
                    <w:rPr>
                      <w:rFonts w:hint="default" w:eastAsia="宋体" w:cs="Times New Roman"/>
                      <w:sz w:val="18"/>
                      <w:szCs w:val="18"/>
                      <w:vertAlign w:val="baseline"/>
                      <w:lang w:val="en-US" w:eastAsia="zh-CN"/>
                    </w:rPr>
                    <w:t>后，通过1根</w:t>
                  </w:r>
                  <w:r>
                    <w:rPr>
                      <w:rFonts w:hint="eastAsia" w:cs="Times New Roman"/>
                      <w:sz w:val="18"/>
                      <w:szCs w:val="18"/>
                      <w:vertAlign w:val="baseline"/>
                      <w:lang w:val="en-US" w:eastAsia="zh-CN"/>
                    </w:rPr>
                    <w:t>80</w:t>
                  </w:r>
                  <w:r>
                    <w:rPr>
                      <w:rFonts w:hint="default" w:eastAsia="宋体" w:cs="Times New Roman"/>
                      <w:sz w:val="18"/>
                      <w:szCs w:val="18"/>
                      <w:vertAlign w:val="baseline"/>
                      <w:lang w:val="en-US" w:eastAsia="zh-CN"/>
                    </w:rPr>
                    <w:t>m高烟囱排放</w:t>
                  </w:r>
                  <w:r>
                    <w:rPr>
                      <w:rFonts w:hint="eastAsia" w:cs="Times New Roman"/>
                      <w:sz w:val="18"/>
                      <w:szCs w:val="18"/>
                      <w:vertAlign w:val="baseline"/>
                      <w:lang w:val="en-US" w:eastAsia="zh-CN"/>
                    </w:rPr>
                    <w:t>；灰仓粉尘和锅炉烟气一同处理后通过80m烟囱排放，上述措施均</w:t>
                  </w:r>
                  <w:r>
                    <w:rPr>
                      <w:rFonts w:hint="default" w:eastAsia="宋体" w:cs="Times New Roman"/>
                      <w:sz w:val="18"/>
                      <w:szCs w:val="18"/>
                      <w:vertAlign w:val="baseline"/>
                      <w:lang w:val="en-US" w:eastAsia="zh-CN"/>
                    </w:rPr>
                    <w:t>为技术规范推荐</w:t>
                  </w:r>
                  <w:r>
                    <w:rPr>
                      <w:rFonts w:hint="eastAsia" w:cs="Times New Roman"/>
                      <w:sz w:val="18"/>
                      <w:szCs w:val="18"/>
                      <w:vertAlign w:val="baseline"/>
                      <w:lang w:val="en-US" w:eastAsia="zh-CN"/>
                    </w:rPr>
                    <w:t>的可行技术。</w:t>
                  </w:r>
                </w:p>
              </w:tc>
              <w:tc>
                <w:tcPr>
                  <w:tcW w:w="442" w:type="pct"/>
                  <w:tcBorders>
                    <w:tl2br w:val="nil"/>
                    <w:tr2bl w:val="nil"/>
                  </w:tcBorders>
                  <w:vAlign w:val="center"/>
                </w:tcPr>
                <w:p w14:paraId="7FED313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5E93B3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19" w:type="pct"/>
                  <w:vMerge w:val="continue"/>
                  <w:tcBorders>
                    <w:tl2br w:val="nil"/>
                    <w:tr2bl w:val="nil"/>
                  </w:tcBorders>
                  <w:vAlign w:val="center"/>
                </w:tcPr>
                <w:p w14:paraId="5060281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407B08F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3）对排放相同特征污染物的企业，应鼓励企业之间建设联合污染治理措施，以降低污染治理成本</w:t>
                  </w:r>
                  <w:r>
                    <w:rPr>
                      <w:rFonts w:hint="eastAsia" w:eastAsia="宋体" w:cs="Times New Roman"/>
                      <w:sz w:val="18"/>
                      <w:szCs w:val="18"/>
                      <w:vertAlign w:val="baseline"/>
                      <w:lang w:val="en-US" w:eastAsia="zh-CN"/>
                    </w:rPr>
                    <w:t>。</w:t>
                  </w:r>
                </w:p>
              </w:tc>
              <w:tc>
                <w:tcPr>
                  <w:tcW w:w="2046" w:type="pct"/>
                  <w:tcBorders>
                    <w:tl2br w:val="nil"/>
                    <w:tr2bl w:val="nil"/>
                  </w:tcBorders>
                  <w:vAlign w:val="center"/>
                </w:tcPr>
                <w:p w14:paraId="4B74420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cs="Times New Roman"/>
                      <w:sz w:val="18"/>
                      <w:szCs w:val="18"/>
                      <w:vertAlign w:val="baseline"/>
                      <w:lang w:val="en-US" w:eastAsia="zh-CN"/>
                    </w:rPr>
                    <w:t>云南玉溪</w:t>
                  </w:r>
                  <w:r>
                    <w:rPr>
                      <w:rFonts w:hint="eastAsia" w:eastAsia="宋体" w:cs="Times New Roman"/>
                      <w:sz w:val="18"/>
                      <w:szCs w:val="18"/>
                      <w:vertAlign w:val="baseline"/>
                      <w:lang w:val="en-US" w:eastAsia="zh-CN"/>
                    </w:rPr>
                    <w:t>仙福</w:t>
                  </w:r>
                  <w:r>
                    <w:rPr>
                      <w:rFonts w:hint="eastAsia" w:cs="Times New Roman"/>
                      <w:sz w:val="18"/>
                      <w:szCs w:val="18"/>
                      <w:vertAlign w:val="baseline"/>
                      <w:lang w:val="en-US" w:eastAsia="zh-CN"/>
                    </w:rPr>
                    <w:t>钢铁（集团）有限</w:t>
                  </w:r>
                  <w:r>
                    <w:rPr>
                      <w:rFonts w:hint="eastAsia" w:eastAsia="宋体" w:cs="Times New Roman"/>
                      <w:sz w:val="18"/>
                      <w:szCs w:val="18"/>
                      <w:vertAlign w:val="baseline"/>
                      <w:lang w:val="en-US" w:eastAsia="zh-CN"/>
                    </w:rPr>
                    <w:t>公司</w:t>
                  </w:r>
                  <w:r>
                    <w:rPr>
                      <w:rFonts w:hint="eastAsia" w:cs="Times New Roman"/>
                      <w:sz w:val="18"/>
                      <w:szCs w:val="18"/>
                      <w:vertAlign w:val="baseline"/>
                      <w:lang w:val="en-US" w:eastAsia="zh-CN"/>
                    </w:rPr>
                    <w:t>厂区周边</w:t>
                  </w:r>
                  <w:r>
                    <w:rPr>
                      <w:rFonts w:hint="eastAsia" w:eastAsia="宋体" w:cs="Times New Roman"/>
                      <w:sz w:val="18"/>
                      <w:szCs w:val="18"/>
                      <w:vertAlign w:val="baseline"/>
                      <w:lang w:val="en-US" w:eastAsia="zh-CN"/>
                    </w:rPr>
                    <w:t>无</w:t>
                  </w:r>
                  <w:r>
                    <w:rPr>
                      <w:rFonts w:hint="eastAsia" w:cs="Times New Roman"/>
                      <w:sz w:val="18"/>
                      <w:szCs w:val="18"/>
                      <w:vertAlign w:val="baseline"/>
                      <w:lang w:val="en-US" w:eastAsia="zh-CN"/>
                    </w:rPr>
                    <w:t>排放相同污染物的企业</w:t>
                  </w:r>
                  <w:r>
                    <w:rPr>
                      <w:rFonts w:hint="eastAsia" w:eastAsia="宋体" w:cs="Times New Roman"/>
                      <w:sz w:val="18"/>
                      <w:szCs w:val="18"/>
                      <w:vertAlign w:val="baseline"/>
                      <w:lang w:val="en-US" w:eastAsia="zh-CN"/>
                    </w:rPr>
                    <w:t>，其治理设施已独立建立起来。</w:t>
                  </w:r>
                </w:p>
              </w:tc>
              <w:tc>
                <w:tcPr>
                  <w:tcW w:w="442" w:type="pct"/>
                  <w:tcBorders>
                    <w:tl2br w:val="nil"/>
                    <w:tr2bl w:val="nil"/>
                  </w:tcBorders>
                  <w:vAlign w:val="center"/>
                </w:tcPr>
                <w:p w14:paraId="403A03D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0E5480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6F151B6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70D733E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4）入驻企业产生的各种工业固体废弃物，应满足“减量化、资源化、无害化”要求，实现废物的零排放</w:t>
                  </w:r>
                  <w:r>
                    <w:rPr>
                      <w:rFonts w:hint="eastAsia" w:eastAsia="宋体" w:cs="Times New Roman"/>
                      <w:sz w:val="18"/>
                      <w:szCs w:val="18"/>
                      <w:vertAlign w:val="baseline"/>
                      <w:lang w:val="en-US" w:eastAsia="zh-CN"/>
                    </w:rPr>
                    <w:t>。</w:t>
                  </w:r>
                </w:p>
              </w:tc>
              <w:tc>
                <w:tcPr>
                  <w:tcW w:w="2046" w:type="pct"/>
                  <w:tcBorders>
                    <w:tl2br w:val="nil"/>
                    <w:tr2bl w:val="nil"/>
                  </w:tcBorders>
                  <w:vAlign w:val="center"/>
                </w:tcPr>
                <w:p w14:paraId="7C4AD67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本项目运营期废润滑油、危化品包装桶等危废收集后，委托</w:t>
                  </w:r>
                  <w:r>
                    <w:rPr>
                      <w:rFonts w:hint="eastAsia" w:cs="Times New Roman"/>
                      <w:sz w:val="18"/>
                      <w:szCs w:val="18"/>
                      <w:vertAlign w:val="baseline"/>
                      <w:lang w:val="en-US" w:eastAsia="zh-CN"/>
                    </w:rPr>
                    <w:t>云南绿力环保科技有限公司</w:t>
                  </w:r>
                  <w:r>
                    <w:rPr>
                      <w:rFonts w:hint="default" w:ascii="Times New Roman" w:hAnsi="Times New Roman" w:eastAsia="宋体" w:cs="Times New Roman"/>
                      <w:sz w:val="18"/>
                      <w:szCs w:val="18"/>
                      <w:vertAlign w:val="baseline"/>
                      <w:lang w:val="en-US" w:eastAsia="zh-CN"/>
                    </w:rPr>
                    <w:t>清运、处置；废过滤介质、</w:t>
                  </w:r>
                  <w:r>
                    <w:rPr>
                      <w:rFonts w:hint="eastAsia" w:cs="Times New Roman"/>
                      <w:sz w:val="18"/>
                      <w:szCs w:val="18"/>
                      <w:vertAlign w:val="baseline"/>
                      <w:lang w:val="en-US" w:eastAsia="zh-CN"/>
                    </w:rPr>
                    <w:t>废树脂以及脱硫灰等</w:t>
                  </w:r>
                  <w:r>
                    <w:rPr>
                      <w:rFonts w:hint="default" w:ascii="Times New Roman" w:hAnsi="Times New Roman" w:eastAsia="宋体" w:cs="Times New Roman"/>
                      <w:sz w:val="18"/>
                      <w:szCs w:val="18"/>
                      <w:vertAlign w:val="baseline"/>
                      <w:lang w:val="en-US" w:eastAsia="zh-CN"/>
                    </w:rPr>
                    <w:t>一般工业固废委托处置；</w:t>
                  </w:r>
                  <w:r>
                    <w:rPr>
                      <w:rFonts w:hint="eastAsia" w:cs="Times New Roman"/>
                      <w:sz w:val="18"/>
                      <w:szCs w:val="18"/>
                      <w:vertAlign w:val="baseline"/>
                      <w:lang w:val="en-US" w:eastAsia="zh-CN"/>
                    </w:rPr>
                    <w:t>废催化剂不在厂区贮存，更换后由厂家带走回收利用；</w:t>
                  </w:r>
                  <w:r>
                    <w:rPr>
                      <w:rFonts w:hint="default" w:ascii="Times New Roman" w:hAnsi="Times New Roman" w:eastAsia="宋体" w:cs="Times New Roman"/>
                      <w:sz w:val="18"/>
                      <w:szCs w:val="18"/>
                      <w:vertAlign w:val="baseline"/>
                      <w:lang w:val="en-US" w:eastAsia="zh-CN"/>
                    </w:rPr>
                    <w:t>生活垃圾集中收集至垃圾桶委托环卫部门清运处置，固体废物处置率为100%。</w:t>
                  </w:r>
                </w:p>
              </w:tc>
              <w:tc>
                <w:tcPr>
                  <w:tcW w:w="442" w:type="pct"/>
                  <w:tcBorders>
                    <w:tl2br w:val="nil"/>
                    <w:tr2bl w:val="nil"/>
                  </w:tcBorders>
                  <w:vAlign w:val="center"/>
                </w:tcPr>
                <w:p w14:paraId="087B34B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248DD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4C92B42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5B9A5D9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5）限制发展高耗水、高排水产业</w:t>
                  </w:r>
                  <w:r>
                    <w:rPr>
                      <w:rFonts w:hint="eastAsia" w:ascii="Times New Roman" w:hAnsi="Times New Roman" w:eastAsia="宋体" w:cs="Times New Roman"/>
                      <w:sz w:val="18"/>
                      <w:szCs w:val="18"/>
                      <w:vertAlign w:val="baseline"/>
                      <w:lang w:val="en-US" w:eastAsia="zh-CN"/>
                    </w:rPr>
                    <w:t>。</w:t>
                  </w:r>
                </w:p>
              </w:tc>
              <w:tc>
                <w:tcPr>
                  <w:tcW w:w="2046" w:type="pct"/>
                  <w:tcBorders>
                    <w:tl2br w:val="nil"/>
                    <w:tr2bl w:val="nil"/>
                  </w:tcBorders>
                  <w:vAlign w:val="center"/>
                </w:tcPr>
                <w:p w14:paraId="083AD63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cs="Times New Roman"/>
                      <w:sz w:val="18"/>
                      <w:szCs w:val="18"/>
                      <w:vertAlign w:val="baseline"/>
                      <w:lang w:val="en-US" w:eastAsia="zh-CN"/>
                    </w:rPr>
                    <w:t>本项目不属于高耗水、高排水企业。</w:t>
                  </w:r>
                </w:p>
              </w:tc>
              <w:tc>
                <w:tcPr>
                  <w:tcW w:w="442" w:type="pct"/>
                  <w:tcBorders>
                    <w:tl2br w:val="nil"/>
                    <w:tr2bl w:val="nil"/>
                  </w:tcBorders>
                  <w:vAlign w:val="center"/>
                </w:tcPr>
                <w:p w14:paraId="2D3C613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02CE7D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3FB7499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75E43ED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6）应鼓励各入驻企业积极参与和本企业有关的环保技术的研发，并尽快形成生产力</w:t>
                  </w:r>
                  <w:r>
                    <w:rPr>
                      <w:rFonts w:hint="eastAsia" w:ascii="Times New Roman" w:hAnsi="Times New Roman" w:eastAsia="宋体" w:cs="Times New Roman"/>
                      <w:sz w:val="18"/>
                      <w:szCs w:val="18"/>
                      <w:vertAlign w:val="baseline"/>
                      <w:lang w:val="en-US" w:eastAsia="zh-CN"/>
                    </w:rPr>
                    <w:t>。</w:t>
                  </w:r>
                </w:p>
              </w:tc>
              <w:tc>
                <w:tcPr>
                  <w:tcW w:w="2046" w:type="pct"/>
                  <w:tcBorders>
                    <w:tl2br w:val="nil"/>
                    <w:tr2bl w:val="nil"/>
                  </w:tcBorders>
                  <w:vAlign w:val="center"/>
                </w:tcPr>
                <w:p w14:paraId="631D36E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eastAsia="宋体" w:cs="Times New Roman"/>
                      <w:sz w:val="18"/>
                      <w:szCs w:val="18"/>
                      <w:vertAlign w:val="baseline"/>
                      <w:lang w:val="en-US" w:eastAsia="zh-CN"/>
                    </w:rPr>
                    <w:t>本项目采取了各项环保设施，对环境影响较小。</w:t>
                  </w:r>
                </w:p>
              </w:tc>
              <w:tc>
                <w:tcPr>
                  <w:tcW w:w="442" w:type="pct"/>
                  <w:tcBorders>
                    <w:tl2br w:val="nil"/>
                    <w:tr2bl w:val="nil"/>
                  </w:tcBorders>
                  <w:vAlign w:val="center"/>
                </w:tcPr>
                <w:p w14:paraId="64C9105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1B8A54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47F3131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66CC2B7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7）入驻企业清洁生产水平应达到国内先进水平以上</w:t>
                  </w:r>
                  <w:r>
                    <w:rPr>
                      <w:rFonts w:hint="eastAsia" w:ascii="Times New Roman" w:hAnsi="Times New Roman" w:eastAsia="宋体" w:cs="Times New Roman"/>
                      <w:sz w:val="18"/>
                      <w:szCs w:val="18"/>
                      <w:vertAlign w:val="baseline"/>
                      <w:lang w:val="en-US" w:eastAsia="zh-CN"/>
                    </w:rPr>
                    <w:t>。</w:t>
                  </w:r>
                </w:p>
              </w:tc>
              <w:tc>
                <w:tcPr>
                  <w:tcW w:w="2046" w:type="pct"/>
                  <w:tcBorders>
                    <w:tl2br w:val="nil"/>
                    <w:tr2bl w:val="nil"/>
                  </w:tcBorders>
                  <w:vAlign w:val="center"/>
                </w:tcPr>
                <w:p w14:paraId="79544C5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本项目清洁生产水平在国内先进水平以上。</w:t>
                  </w:r>
                </w:p>
              </w:tc>
              <w:tc>
                <w:tcPr>
                  <w:tcW w:w="442" w:type="pct"/>
                  <w:tcBorders>
                    <w:tl2br w:val="nil"/>
                    <w:tr2bl w:val="nil"/>
                  </w:tcBorders>
                  <w:vAlign w:val="center"/>
                </w:tcPr>
                <w:p w14:paraId="586EAC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2A9B3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4D5CE34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1991" w:type="pct"/>
                  <w:tcBorders>
                    <w:tl2br w:val="nil"/>
                    <w:tr2bl w:val="nil"/>
                  </w:tcBorders>
                  <w:vAlign w:val="center"/>
                </w:tcPr>
                <w:p w14:paraId="602167A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8）限制大气污染物排放较大企业的入驻，严格总量控制指标</w:t>
                  </w:r>
                  <w:r>
                    <w:rPr>
                      <w:rFonts w:hint="eastAsia" w:ascii="Times New Roman" w:hAnsi="Times New Roman" w:eastAsia="宋体" w:cs="Times New Roman"/>
                      <w:sz w:val="18"/>
                      <w:szCs w:val="18"/>
                      <w:vertAlign w:val="baseline"/>
                      <w:lang w:val="en-US" w:eastAsia="zh-CN"/>
                    </w:rPr>
                    <w:t>。</w:t>
                  </w:r>
                </w:p>
              </w:tc>
              <w:tc>
                <w:tcPr>
                  <w:tcW w:w="2046" w:type="pct"/>
                  <w:tcBorders>
                    <w:tl2br w:val="nil"/>
                    <w:tr2bl w:val="nil"/>
                  </w:tcBorders>
                  <w:vAlign w:val="center"/>
                </w:tcPr>
                <w:p w14:paraId="53A2FEB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云南玉溪仙福钢铁（集团）有限公司</w:t>
                  </w:r>
                  <w:r>
                    <w:rPr>
                      <w:rFonts w:hint="default" w:ascii="Times New Roman" w:hAnsi="Times New Roman" w:eastAsia="宋体" w:cs="Times New Roman"/>
                      <w:sz w:val="18"/>
                      <w:szCs w:val="18"/>
                      <w:vertAlign w:val="baseline"/>
                      <w:lang w:val="en-US" w:eastAsia="zh-CN"/>
                    </w:rPr>
                    <w:t>为已建企业，本项目锅炉采用低氮燃烧+SCR脱硝技术，锅炉烟气经</w:t>
                  </w:r>
                  <w:r>
                    <w:rPr>
                      <w:rFonts w:hint="eastAsia" w:cs="Times New Roman"/>
                      <w:sz w:val="18"/>
                      <w:szCs w:val="18"/>
                      <w:vertAlign w:val="baseline"/>
                      <w:lang w:val="en-US" w:eastAsia="zh-CN"/>
                    </w:rPr>
                    <w:t>钙基干法</w:t>
                  </w:r>
                  <w:r>
                    <w:rPr>
                      <w:rFonts w:hint="default" w:ascii="Times New Roman" w:hAnsi="Times New Roman" w:eastAsia="宋体" w:cs="Times New Roman"/>
                      <w:sz w:val="18"/>
                      <w:szCs w:val="18"/>
                      <w:vertAlign w:val="baseline"/>
                      <w:lang w:val="en-US" w:eastAsia="zh-CN"/>
                    </w:rPr>
                    <w:t>脱硫+</w:t>
                  </w:r>
                  <w:r>
                    <w:rPr>
                      <w:rFonts w:hint="eastAsia" w:cs="Times New Roman"/>
                      <w:sz w:val="18"/>
                      <w:szCs w:val="18"/>
                      <w:vertAlign w:val="baseline"/>
                      <w:lang w:val="en-US" w:eastAsia="zh-CN"/>
                    </w:rPr>
                    <w:t>布袋除尘</w:t>
                  </w:r>
                  <w:r>
                    <w:rPr>
                      <w:rFonts w:hint="default" w:ascii="Times New Roman" w:hAnsi="Times New Roman" w:eastAsia="宋体" w:cs="Times New Roman"/>
                      <w:sz w:val="18"/>
                      <w:szCs w:val="18"/>
                      <w:vertAlign w:val="baseline"/>
                      <w:lang w:val="en-US" w:eastAsia="zh-CN"/>
                    </w:rPr>
                    <w:t>后，通过1根</w:t>
                  </w:r>
                  <w:r>
                    <w:rPr>
                      <w:rFonts w:hint="eastAsia" w:cs="Times New Roman"/>
                      <w:sz w:val="18"/>
                      <w:szCs w:val="18"/>
                      <w:vertAlign w:val="baseline"/>
                      <w:lang w:val="en-US" w:eastAsia="zh-CN"/>
                    </w:rPr>
                    <w:t>80</w:t>
                  </w:r>
                  <w:r>
                    <w:rPr>
                      <w:rFonts w:hint="default" w:ascii="Times New Roman" w:hAnsi="Times New Roman" w:eastAsia="宋体" w:cs="Times New Roman"/>
                      <w:sz w:val="18"/>
                      <w:szCs w:val="18"/>
                      <w:vertAlign w:val="baseline"/>
                      <w:lang w:val="en-US" w:eastAsia="zh-CN"/>
                    </w:rPr>
                    <w:t>m高烟囱排放，</w:t>
                  </w:r>
                  <w:r>
                    <w:rPr>
                      <w:rFonts w:hint="eastAsia" w:cs="Times New Roman"/>
                      <w:sz w:val="18"/>
                      <w:szCs w:val="18"/>
                      <w:vertAlign w:val="baseline"/>
                      <w:lang w:val="en-US" w:eastAsia="zh-CN"/>
                    </w:rPr>
                    <w:t>灰仓粉尘和锅炉烟气一同处理后通过80m烟囱排放</w:t>
                  </w:r>
                  <w:r>
                    <w:rPr>
                      <w:rFonts w:hint="default" w:ascii="Times New Roman" w:hAnsi="Times New Roman" w:eastAsia="宋体" w:cs="Times New Roman"/>
                      <w:sz w:val="18"/>
                      <w:szCs w:val="18"/>
                      <w:vertAlign w:val="baseline"/>
                      <w:lang w:val="en-US" w:eastAsia="zh-CN"/>
                    </w:rPr>
                    <w:t>，本项目不新增废气总量。</w:t>
                  </w:r>
                </w:p>
              </w:tc>
              <w:tc>
                <w:tcPr>
                  <w:tcW w:w="442" w:type="pct"/>
                  <w:tcBorders>
                    <w:tl2br w:val="nil"/>
                    <w:tr2bl w:val="nil"/>
                  </w:tcBorders>
                  <w:vAlign w:val="center"/>
                </w:tcPr>
                <w:p w14:paraId="2067F33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1F416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519" w:type="pct"/>
                  <w:tcBorders>
                    <w:tl2br w:val="nil"/>
                    <w:tr2bl w:val="nil"/>
                  </w:tcBorders>
                  <w:vAlign w:val="center"/>
                </w:tcPr>
                <w:p w14:paraId="2CC5EA0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入驻企业的产业要求</w:t>
                  </w:r>
                </w:p>
              </w:tc>
              <w:tc>
                <w:tcPr>
                  <w:tcW w:w="1991" w:type="pct"/>
                  <w:tcBorders>
                    <w:tl2br w:val="nil"/>
                    <w:tr2bl w:val="nil"/>
                  </w:tcBorders>
                  <w:vAlign w:val="center"/>
                </w:tcPr>
                <w:p w14:paraId="71399C6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1）禁止建设《产业结构调整指导目录（2019年版）》限制类和淘汰类项目；要求符合《市场准入负面清单（2018年版）》（发改经体[2018]1892号）等。</w:t>
                  </w:r>
                </w:p>
                <w:p w14:paraId="70C2A6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2）符合云南省总体管控要求和重点流域管控要求。</w:t>
                  </w:r>
                </w:p>
                <w:p w14:paraId="4488B20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3）不得引入违反国家和省产业政策、不符合规划和清洁生产要求的项目。</w:t>
                  </w:r>
                </w:p>
              </w:tc>
              <w:tc>
                <w:tcPr>
                  <w:tcW w:w="2046" w:type="pct"/>
                  <w:tcBorders>
                    <w:tl2br w:val="nil"/>
                    <w:tr2bl w:val="nil"/>
                  </w:tcBorders>
                  <w:vAlign w:val="center"/>
                </w:tcPr>
                <w:p w14:paraId="46BFF0F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根据《产业结构调整指导目录（</w:t>
                  </w:r>
                  <w:r>
                    <w:rPr>
                      <w:rFonts w:hint="default" w:ascii="Times New Roman" w:hAnsi="Times New Roman" w:eastAsia="宋体" w:cs="Times New Roman"/>
                      <w:sz w:val="18"/>
                      <w:szCs w:val="18"/>
                      <w:vertAlign w:val="baseline"/>
                      <w:lang w:val="en-US" w:eastAsia="zh-CN"/>
                    </w:rPr>
                    <w:t>2024</w:t>
                  </w:r>
                  <w:r>
                    <w:rPr>
                      <w:rFonts w:hint="eastAsia" w:ascii="Times New Roman" w:hAnsi="Times New Roman" w:eastAsia="宋体" w:cs="Times New Roman"/>
                      <w:sz w:val="18"/>
                      <w:szCs w:val="18"/>
                      <w:vertAlign w:val="baseline"/>
                      <w:lang w:val="en-US" w:eastAsia="zh-CN"/>
                    </w:rPr>
                    <w:t>年本）》第一类鼓励类中：八、钢铁中“钢铁、焦化、铁合金行业超低排放技术，以及副产物资源化、再利用化”项目。符合国家、云南省及玉溪市制定的相关产业政策要求。</w:t>
                  </w:r>
                </w:p>
              </w:tc>
              <w:tc>
                <w:tcPr>
                  <w:tcW w:w="442" w:type="pct"/>
                  <w:tcBorders>
                    <w:tl2br w:val="nil"/>
                    <w:tr2bl w:val="nil"/>
                  </w:tcBorders>
                  <w:vAlign w:val="center"/>
                </w:tcPr>
                <w:p w14:paraId="1817B44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bl>
          <w:p w14:paraId="36BC3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cs="Times New Roman"/>
                <w:i w:val="0"/>
                <w:iCs w:val="0"/>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lang w:val="en-US" w:eastAsia="zh-CN"/>
              </w:rPr>
              <w:t>据上表分析，项目符合《云南新平产业园区总体规划修编（</w:t>
            </w:r>
            <w:r>
              <w:rPr>
                <w:rFonts w:hint="default" w:ascii="Times New Roman" w:hAnsi="Times New Roman" w:eastAsia="宋体" w:cs="Times New Roman"/>
                <w:color w:val="auto"/>
                <w:sz w:val="24"/>
                <w:szCs w:val="24"/>
                <w:highlight w:val="none"/>
                <w:lang w:val="en-US" w:eastAsia="zh-CN"/>
              </w:rPr>
              <w:t>2021~2035</w:t>
            </w:r>
            <w:r>
              <w:rPr>
                <w:rFonts w:hint="eastAsia" w:ascii="Times New Roman" w:hAnsi="Times New Roman" w:eastAsia="宋体" w:cs="Times New Roman"/>
                <w:color w:val="auto"/>
                <w:sz w:val="24"/>
                <w:szCs w:val="24"/>
                <w:highlight w:val="none"/>
                <w:lang w:val="en-US" w:eastAsia="zh-CN"/>
              </w:rPr>
              <w:t>）环境影响报告书》要求。</w:t>
            </w:r>
          </w:p>
          <w:p w14:paraId="2C6E7BBB">
            <w:pPr>
              <w:autoSpaceDE w:val="0"/>
              <w:autoSpaceDN w:val="0"/>
              <w:spacing w:line="360" w:lineRule="auto"/>
              <w:ind w:firstLine="482" w:firstLineChars="200"/>
              <w:rPr>
                <w:rFonts w:hint="eastAsia" w:cs="Times New Roman"/>
                <w:b/>
                <w:bCs/>
                <w:color w:val="auto"/>
                <w:kern w:val="0"/>
                <w:sz w:val="24"/>
                <w:highlight w:val="none"/>
                <w:lang w:val="en-US" w:eastAsia="zh-CN"/>
              </w:rPr>
            </w:pPr>
            <w:r>
              <w:rPr>
                <w:rFonts w:hint="eastAsia" w:cs="Times New Roman"/>
                <w:b/>
                <w:bCs/>
                <w:color w:val="auto"/>
                <w:kern w:val="0"/>
                <w:sz w:val="24"/>
                <w:highlight w:val="none"/>
                <w:lang w:val="en-US" w:eastAsia="zh-CN"/>
              </w:rPr>
              <w:t>（二）与审查意见符合性分析</w:t>
            </w:r>
          </w:p>
          <w:p w14:paraId="59F5E1E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本项目与园区规划环评审查意见的符合性分析见表</w:t>
            </w:r>
            <w:r>
              <w:rPr>
                <w:rFonts w:hint="default" w:ascii="Times New Roman" w:hAnsi="Times New Roman" w:eastAsia="宋体"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lang w:val="en-US" w:eastAsia="zh-CN"/>
              </w:rPr>
              <w:t>。</w:t>
            </w:r>
          </w:p>
          <w:p w14:paraId="6765C3F4">
            <w:pPr>
              <w:ind w:left="0" w:leftChars="0" w:right="0" w:rightChars="0" w:firstLine="0" w:firstLineChars="0"/>
              <w:jc w:val="center"/>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表1-3 本项目与园区规划环评审查意见的符合性分析</w:t>
            </w:r>
          </w:p>
          <w:tbl>
            <w:tblPr>
              <w:tblStyle w:val="18"/>
              <w:tblW w:w="72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3064"/>
              <w:gridCol w:w="2916"/>
              <w:gridCol w:w="695"/>
            </w:tblGrid>
            <w:tr w14:paraId="20F19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38933AA8">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序号</w:t>
                  </w:r>
                </w:p>
              </w:tc>
              <w:tc>
                <w:tcPr>
                  <w:tcW w:w="3064" w:type="dxa"/>
                  <w:tcBorders>
                    <w:tl2br w:val="nil"/>
                    <w:tr2bl w:val="nil"/>
                  </w:tcBorders>
                  <w:vAlign w:val="center"/>
                </w:tcPr>
                <w:p w14:paraId="0CE4351A">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规划环评审查意见内容</w:t>
                  </w:r>
                </w:p>
              </w:tc>
              <w:tc>
                <w:tcPr>
                  <w:tcW w:w="2916" w:type="dxa"/>
                  <w:tcBorders>
                    <w:tl2br w:val="nil"/>
                    <w:tr2bl w:val="nil"/>
                  </w:tcBorders>
                  <w:vAlign w:val="center"/>
                </w:tcPr>
                <w:p w14:paraId="0745AE6B">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本项目情况</w:t>
                  </w:r>
                </w:p>
              </w:tc>
              <w:tc>
                <w:tcPr>
                  <w:tcW w:w="695" w:type="dxa"/>
                  <w:tcBorders>
                    <w:tl2br w:val="nil"/>
                    <w:tr2bl w:val="nil"/>
                  </w:tcBorders>
                  <w:vAlign w:val="center"/>
                </w:tcPr>
                <w:p w14:paraId="77FC4D3B">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符合性</w:t>
                  </w:r>
                </w:p>
              </w:tc>
            </w:tr>
            <w:tr w14:paraId="68465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66786D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w:t>
                  </w:r>
                </w:p>
              </w:tc>
              <w:tc>
                <w:tcPr>
                  <w:tcW w:w="3064" w:type="dxa"/>
                  <w:tcBorders>
                    <w:tl2br w:val="nil"/>
                    <w:tr2bl w:val="nil"/>
                  </w:tcBorders>
                  <w:vAlign w:val="center"/>
                </w:tcPr>
                <w:p w14:paraId="7C8016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加强规划引导，坚持绿色低碳高质量发展理念，结合生态环境分区管控要求，区域统筹保护好生态空间。落实国家区域发展战略，坚持生态优先、集约高效，以生态环境质量改善为核心，做好与</w:t>
                  </w:r>
                  <w:r>
                    <w:rPr>
                      <w:rFonts w:hint="eastAsia" w:cs="Times New Roman"/>
                      <w:sz w:val="18"/>
                      <w:szCs w:val="18"/>
                      <w:vertAlign w:val="baseline"/>
                      <w:lang w:val="en-US" w:eastAsia="zh-CN"/>
                    </w:rPr>
                    <w:t>国土</w:t>
                  </w:r>
                  <w:r>
                    <w:rPr>
                      <w:rFonts w:hint="default" w:ascii="Times New Roman" w:hAnsi="Times New Roman" w:eastAsia="宋体" w:cs="Times New Roman"/>
                      <w:sz w:val="18"/>
                      <w:szCs w:val="18"/>
                      <w:vertAlign w:val="baseline"/>
                      <w:lang w:val="en-US" w:eastAsia="zh-CN"/>
                    </w:rPr>
                    <w:t>空间规划和“三线一单”（生态保护红线、环境质量底线、资源利用上线、生态环境准入清单）生态环境分区管控体系的协调衔接，产业园区应与新平、峨山县“三区三线”充分衔接，符合“三区三线”规划管控要求。按国家生态工业示范园区标准推进《规划》实施，进一步优化《规划》的布局和发展规模。</w:t>
                  </w:r>
                </w:p>
              </w:tc>
              <w:tc>
                <w:tcPr>
                  <w:tcW w:w="2916" w:type="dxa"/>
                  <w:tcBorders>
                    <w:tl2br w:val="nil"/>
                    <w:tr2bl w:val="nil"/>
                  </w:tcBorders>
                  <w:vAlign w:val="center"/>
                </w:tcPr>
                <w:p w14:paraId="04C9A6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本项目属于钢铁企业能源综合利用项目，在</w:t>
                  </w:r>
                  <w:r>
                    <w:rPr>
                      <w:rFonts w:hint="eastAsia" w:ascii="Times New Roman" w:hAnsi="Times New Roman" w:eastAsia="宋体" w:cs="Times New Roman"/>
                      <w:sz w:val="18"/>
                      <w:szCs w:val="18"/>
                      <w:vertAlign w:val="baseline"/>
                      <w:lang w:val="en-US" w:eastAsia="zh-CN"/>
                    </w:rPr>
                    <w:t>云南玉溪仙福钢铁（集团）有限公司厂区</w:t>
                  </w:r>
                  <w:r>
                    <w:rPr>
                      <w:rFonts w:hint="default" w:ascii="Times New Roman" w:hAnsi="Times New Roman" w:eastAsia="宋体" w:cs="Times New Roman"/>
                      <w:sz w:val="18"/>
                      <w:szCs w:val="18"/>
                      <w:vertAlign w:val="baseline"/>
                      <w:lang w:val="en-US" w:eastAsia="zh-CN"/>
                    </w:rPr>
                    <w:t>空地上建设，不新增占地，不会对区域生态环境造成影响，且项目属于仙福公司资源综合利用项目配套工程，与园区功能定位相符。本项目位于</w:t>
                  </w:r>
                  <w:r>
                    <w:rPr>
                      <w:rFonts w:hint="eastAsia" w:cs="Times New Roman"/>
                      <w:sz w:val="18"/>
                      <w:szCs w:val="18"/>
                      <w:vertAlign w:val="baseline"/>
                      <w:lang w:val="en-US" w:eastAsia="zh-CN"/>
                    </w:rPr>
                    <w:t>云南</w:t>
                  </w:r>
                  <w:r>
                    <w:rPr>
                      <w:rFonts w:hint="default" w:ascii="Times New Roman" w:hAnsi="Times New Roman" w:eastAsia="宋体" w:cs="Times New Roman"/>
                      <w:sz w:val="18"/>
                      <w:szCs w:val="18"/>
                      <w:vertAlign w:val="baseline"/>
                      <w:lang w:val="en-US" w:eastAsia="zh-CN"/>
                    </w:rPr>
                    <w:t>新平产业园区绿色钢城片区仙福公司厂内，</w:t>
                  </w:r>
                  <w:r>
                    <w:rPr>
                      <w:rFonts w:hint="eastAsia" w:cs="Times New Roman"/>
                      <w:sz w:val="18"/>
                      <w:szCs w:val="18"/>
                      <w:vertAlign w:val="baseline"/>
                      <w:lang w:val="en-US" w:eastAsia="zh-CN"/>
                    </w:rPr>
                    <w:t>属于</w:t>
                  </w:r>
                  <w:r>
                    <w:rPr>
                      <w:rFonts w:hint="default" w:ascii="Times New Roman" w:hAnsi="Times New Roman" w:eastAsia="宋体" w:cs="Times New Roman"/>
                      <w:sz w:val="18"/>
                      <w:szCs w:val="18"/>
                      <w:vertAlign w:val="baseline"/>
                      <w:lang w:val="en-US" w:eastAsia="zh-CN"/>
                    </w:rPr>
                    <w:t>新平产业园区重点管控单元。根据分析，本项目符合玉溪市生态环境分区管控动态更新调整方案（2023年）中生态环境管控要求。</w:t>
                  </w:r>
                </w:p>
              </w:tc>
              <w:tc>
                <w:tcPr>
                  <w:tcW w:w="695" w:type="dxa"/>
                  <w:tcBorders>
                    <w:tl2br w:val="nil"/>
                    <w:tr2bl w:val="nil"/>
                  </w:tcBorders>
                  <w:vAlign w:val="center"/>
                </w:tcPr>
                <w:p w14:paraId="652B8333">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2C0543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150E61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w:t>
                  </w:r>
                </w:p>
              </w:tc>
              <w:tc>
                <w:tcPr>
                  <w:tcW w:w="3064" w:type="dxa"/>
                  <w:tcBorders>
                    <w:tl2br w:val="nil"/>
                    <w:tr2bl w:val="nil"/>
                  </w:tcBorders>
                  <w:vAlign w:val="center"/>
                </w:tcPr>
                <w:p w14:paraId="071D1B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根据国家及地方碳减排和碳达峰行动方案及其他专项规划要求，推进园区绿色低碳发展。优化能源结构、产业结构等规划内容，推动钢铁冶炼、钢铁压延、建材制造等重点碳排放行业的燃料和原料替代、能源利用效率提升、绿色清洁能源利用、废弃物资源化利用等技术革新，促进减污降碳协同增效。</w:t>
                  </w:r>
                </w:p>
              </w:tc>
              <w:tc>
                <w:tcPr>
                  <w:tcW w:w="2916" w:type="dxa"/>
                  <w:tcBorders>
                    <w:tl2br w:val="nil"/>
                    <w:tr2bl w:val="nil"/>
                  </w:tcBorders>
                  <w:vAlign w:val="center"/>
                </w:tcPr>
                <w:p w14:paraId="0C2ABA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本项目为钢铁厂能源综合利用项目，主要利用富余高炉煤气、转炉煤气</w:t>
                  </w:r>
                  <w:r>
                    <w:rPr>
                      <w:rFonts w:hint="eastAsia" w:cs="Times New Roman"/>
                      <w:sz w:val="18"/>
                      <w:szCs w:val="18"/>
                      <w:vertAlign w:val="baseline"/>
                      <w:lang w:val="en-US" w:eastAsia="zh-CN"/>
                    </w:rPr>
                    <w:t>以及</w:t>
                  </w:r>
                  <w:r>
                    <w:rPr>
                      <w:rFonts w:hint="default" w:ascii="Times New Roman" w:hAnsi="Times New Roman" w:eastAsia="宋体" w:cs="Times New Roman"/>
                      <w:sz w:val="18"/>
                      <w:szCs w:val="18"/>
                      <w:vertAlign w:val="baseline"/>
                      <w:lang w:val="en-US" w:eastAsia="zh-CN"/>
                    </w:rPr>
                    <w:t>焦炉煤气发电，项目的实施符合《云南新平产业园区总体规划修编（2021-2035年）》及相关规划环评及审核意见、实现污染物排放区域削减、碳排放达峰目标等相关要求，提升能源的利用效率。</w:t>
                  </w:r>
                </w:p>
              </w:tc>
              <w:tc>
                <w:tcPr>
                  <w:tcW w:w="695" w:type="dxa"/>
                  <w:tcBorders>
                    <w:tl2br w:val="nil"/>
                    <w:tr2bl w:val="nil"/>
                  </w:tcBorders>
                  <w:vAlign w:val="center"/>
                </w:tcPr>
                <w:p w14:paraId="786162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101F9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2E37B6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w:t>
                  </w:r>
                </w:p>
              </w:tc>
              <w:tc>
                <w:tcPr>
                  <w:tcW w:w="3064" w:type="dxa"/>
                  <w:tcBorders>
                    <w:tl2br w:val="nil"/>
                    <w:tr2bl w:val="nil"/>
                  </w:tcBorders>
                  <w:vAlign w:val="center"/>
                </w:tcPr>
                <w:p w14:paraId="0373D3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严格控制发展规模，合理安排开发时序。实施“雨污分流”，加强建设初期雨水收集处理系统，加强园区企业废水的梯级利用，平甸河等河流水环境质量未达到水质目标前，除城镇污水处理厂入河排污口外，严格控制新设、改设或者扩大排污口，结合水污染防治方案等实施相应的水环境质量改善工程，切实削减COD、氨氮等污染物，配合新平县、峨山县相关政府部门，加强平甸河、化念河等河道的水环境综合整治与生态修复工程，切实改善地表水环境质量。</w:t>
                  </w:r>
                </w:p>
              </w:tc>
              <w:tc>
                <w:tcPr>
                  <w:tcW w:w="2916" w:type="dxa"/>
                  <w:tcBorders>
                    <w:tl2br w:val="nil"/>
                    <w:tr2bl w:val="nil"/>
                  </w:tcBorders>
                  <w:vAlign w:val="center"/>
                </w:tcPr>
                <w:p w14:paraId="12DDB7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项目无生产废水外排，生活污水经中央水处理站处理达标后回用于绿化，不外排。项目位于仙福公司厂内，利用仙福公司</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雨污分流</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系统，初期雨水经初期雨水收集池收集后处理后回用于生产，不外排。项目运营不会对区域表水环境造成影响。</w:t>
                  </w:r>
                </w:p>
              </w:tc>
              <w:tc>
                <w:tcPr>
                  <w:tcW w:w="695" w:type="dxa"/>
                  <w:tcBorders>
                    <w:tl2br w:val="nil"/>
                    <w:tr2bl w:val="nil"/>
                  </w:tcBorders>
                  <w:vAlign w:val="center"/>
                </w:tcPr>
                <w:p w14:paraId="49DDA0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52724C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0B89CA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w:t>
                  </w:r>
                </w:p>
              </w:tc>
              <w:tc>
                <w:tcPr>
                  <w:tcW w:w="3064" w:type="dxa"/>
                  <w:tcBorders>
                    <w:tl2br w:val="nil"/>
                    <w:tr2bl w:val="nil"/>
                  </w:tcBorders>
                  <w:vAlign w:val="center"/>
                </w:tcPr>
                <w:p w14:paraId="320EDE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进一步优化园区空间布局，加强空间管控，加大对环境敏感区的保护力度，严禁不符合管控要求的各类开发和建设活动。《规划》范围内的一般生态空间等敏感区域，严格进行保护，原则上不进行开发建设，绿色钢城片区不得建设有色金属冶炼产业，并按要求设置大气环境防护距离。园区按《云南省人民政府办公厅关于推动落后和低端低效产能退出的实施意见》（云政办发（2022）17号）相关要求，依法依规关停退出能耗、环保、质量、安全不达标和落后、过剩产能，分行业有序退出“限制类”产能；现有重污染企业要开展技术升级改造和环保设施的提标改造，钢铁、焦化等行业应达到超低排放要求；绿色钢城片区、桂山片区、夏洒片区应设置隔离带，按园区绿化美化要求，留出必要的防护距离，加强对各片区内及周边集中居住区等生活空间防护，确保园区产业布局与生态环境保护、人居环境安全相协调。</w:t>
                  </w:r>
                </w:p>
              </w:tc>
              <w:tc>
                <w:tcPr>
                  <w:tcW w:w="2916" w:type="dxa"/>
                  <w:tcBorders>
                    <w:tl2br w:val="nil"/>
                    <w:tr2bl w:val="nil"/>
                  </w:tcBorders>
                  <w:vAlign w:val="center"/>
                </w:tcPr>
                <w:p w14:paraId="1AB112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位于云南新平产业园区绿色钢城片区，利用厂内富余高炉、转炉、焦炉煤气发电，属于冶炼企业配套产业的能源综合利用项目，为《产业结构调整指导目录（2024年本）》中第一类鼓励类，不属于能耗、环保、质量、安全不达标和落后、过剩产能的项目。本项目选址不涉及生态保护红线</w:t>
                  </w:r>
                  <w:r>
                    <w:rPr>
                      <w:rFonts w:hint="eastAsia" w:cs="Times New Roman"/>
                      <w:sz w:val="18"/>
                      <w:szCs w:val="18"/>
                      <w:vertAlign w:val="baseline"/>
                      <w:lang w:val="en-US" w:eastAsia="zh-CN"/>
                    </w:rPr>
                    <w:t>，</w:t>
                  </w:r>
                  <w:r>
                    <w:rPr>
                      <w:rFonts w:hint="eastAsia" w:ascii="Times New Roman" w:hAnsi="Times New Roman" w:eastAsia="宋体" w:cs="Times New Roman"/>
                      <w:sz w:val="18"/>
                      <w:szCs w:val="18"/>
                      <w:vertAlign w:val="baseline"/>
                      <w:lang w:val="en-US" w:eastAsia="zh-CN"/>
                    </w:rPr>
                    <w:t>环境防护距离内无居民点</w:t>
                  </w:r>
                  <w:r>
                    <w:rPr>
                      <w:rFonts w:hint="default" w:ascii="Times New Roman" w:hAnsi="Times New Roman" w:eastAsia="宋体" w:cs="Times New Roman"/>
                      <w:sz w:val="18"/>
                      <w:szCs w:val="18"/>
                      <w:vertAlign w:val="baseline"/>
                      <w:lang w:val="en-US" w:eastAsia="zh-CN"/>
                    </w:rPr>
                    <w:t>。</w:t>
                  </w:r>
                </w:p>
              </w:tc>
              <w:tc>
                <w:tcPr>
                  <w:tcW w:w="695" w:type="dxa"/>
                  <w:tcBorders>
                    <w:tl2br w:val="nil"/>
                    <w:tr2bl w:val="nil"/>
                  </w:tcBorders>
                  <w:vAlign w:val="center"/>
                </w:tcPr>
                <w:p w14:paraId="439093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32E47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04B595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5</w:t>
                  </w:r>
                </w:p>
              </w:tc>
              <w:tc>
                <w:tcPr>
                  <w:tcW w:w="3064" w:type="dxa"/>
                  <w:tcBorders>
                    <w:tl2br w:val="nil"/>
                    <w:tr2bl w:val="nil"/>
                  </w:tcBorders>
                  <w:vAlign w:val="center"/>
                </w:tcPr>
                <w:p w14:paraId="454125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强化污染物排放总量管控。根据国家和云南省污染防治规划和区域“三线一单”生态环境分区管控相关要求，落实园区污染减排措施和要求，采取有效措施减少重金属、颗粒物和挥发性有机物等特征污染物的排放量。推进挥发性有机物和氮氧化物协同治理，促进产业发展与生态环境保护相协调。新建钢铁、焦化等重点行业建设项目应执行国家超低排放限值、实行主要污染物区域削减。</w:t>
                  </w:r>
                </w:p>
              </w:tc>
              <w:tc>
                <w:tcPr>
                  <w:tcW w:w="2916" w:type="dxa"/>
                  <w:tcBorders>
                    <w:tl2br w:val="nil"/>
                    <w:tr2bl w:val="nil"/>
                  </w:tcBorders>
                  <w:vAlign w:val="center"/>
                </w:tcPr>
                <w:p w14:paraId="50ECB6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根据1.3章节分析，本项目符合玉溪市生态环境分区管控动态更新调整方案（2023年）中生态环境管控要求。本项目主要污染物为颗粒物、SO</w:t>
                  </w:r>
                  <w:r>
                    <w:rPr>
                      <w:rFonts w:hint="default" w:ascii="Times New Roman" w:hAnsi="Times New Roman" w:eastAsia="宋体" w:cs="Times New Roman"/>
                      <w:sz w:val="18"/>
                      <w:szCs w:val="18"/>
                      <w:vertAlign w:val="subscript"/>
                      <w:lang w:val="en-US" w:eastAsia="zh-CN"/>
                    </w:rPr>
                    <w:t>2</w:t>
                  </w:r>
                  <w:r>
                    <w:rPr>
                      <w:rFonts w:hint="default" w:ascii="Times New Roman" w:hAnsi="Times New Roman" w:eastAsia="宋体" w:cs="Times New Roman"/>
                      <w:sz w:val="18"/>
                      <w:szCs w:val="18"/>
                      <w:vertAlign w:val="baseline"/>
                      <w:lang w:val="en-US" w:eastAsia="zh-CN"/>
                    </w:rPr>
                    <w:t>、NO</w:t>
                  </w:r>
                  <w:r>
                    <w:rPr>
                      <w:rFonts w:hint="eastAsia" w:ascii="Times New Roman" w:hAnsi="Times New Roman" w:eastAsia="宋体" w:cs="Times New Roman"/>
                      <w:sz w:val="18"/>
                      <w:szCs w:val="18"/>
                      <w:vertAlign w:val="baseline"/>
                      <w:lang w:val="en-US" w:eastAsia="zh-CN"/>
                    </w:rPr>
                    <w:t>x</w:t>
                  </w:r>
                  <w:r>
                    <w:rPr>
                      <w:rFonts w:hint="default" w:ascii="Times New Roman" w:hAnsi="Times New Roman" w:eastAsia="宋体" w:cs="Times New Roman"/>
                      <w:sz w:val="18"/>
                      <w:szCs w:val="18"/>
                      <w:vertAlign w:val="baseline"/>
                      <w:lang w:val="en-US" w:eastAsia="zh-CN"/>
                    </w:rPr>
                    <w:t>，项目运行过程中未产生挥发性有机物（VOCs）、有毒有害大气污染物和刺激性气味气体，通过采取本环评提出的措施，项目的建设均实现全厂颗粒物、SO</w:t>
                  </w:r>
                  <w:r>
                    <w:rPr>
                      <w:rFonts w:hint="eastAsia" w:ascii="Times New Roman" w:hAnsi="Times New Roman" w:eastAsia="宋体" w:cs="Times New Roman"/>
                      <w:sz w:val="18"/>
                      <w:szCs w:val="18"/>
                      <w:vertAlign w:val="subscript"/>
                      <w:lang w:val="en-US" w:eastAsia="zh-CN"/>
                    </w:rPr>
                    <w:t>2</w:t>
                  </w:r>
                  <w:r>
                    <w:rPr>
                      <w:rFonts w:hint="default" w:ascii="Times New Roman" w:hAnsi="Times New Roman" w:eastAsia="宋体" w:cs="Times New Roman"/>
                      <w:sz w:val="18"/>
                      <w:szCs w:val="18"/>
                      <w:vertAlign w:val="baseline"/>
                      <w:lang w:val="en-US" w:eastAsia="zh-CN"/>
                    </w:rPr>
                    <w:t>、NO</w:t>
                  </w:r>
                  <w:r>
                    <w:rPr>
                      <w:rFonts w:hint="eastAsia" w:ascii="Times New Roman" w:hAnsi="Times New Roman" w:eastAsia="宋体" w:cs="Times New Roman"/>
                      <w:sz w:val="18"/>
                      <w:szCs w:val="18"/>
                      <w:vertAlign w:val="baseline"/>
                      <w:lang w:val="en-US" w:eastAsia="zh-CN"/>
                    </w:rPr>
                    <w:t>x</w:t>
                  </w:r>
                  <w:r>
                    <w:rPr>
                      <w:rFonts w:hint="default" w:ascii="Times New Roman" w:hAnsi="Times New Roman" w:eastAsia="宋体" w:cs="Times New Roman"/>
                      <w:sz w:val="18"/>
                      <w:szCs w:val="18"/>
                      <w:vertAlign w:val="baseline"/>
                      <w:lang w:val="en-US" w:eastAsia="zh-CN"/>
                    </w:rPr>
                    <w:t>排放量的消减。</w:t>
                  </w:r>
                </w:p>
              </w:tc>
              <w:tc>
                <w:tcPr>
                  <w:tcW w:w="695" w:type="dxa"/>
                  <w:tcBorders>
                    <w:tl2br w:val="nil"/>
                    <w:tr2bl w:val="nil"/>
                  </w:tcBorders>
                  <w:vAlign w:val="center"/>
                </w:tcPr>
                <w:p w14:paraId="6C3E6D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62BAC1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31C887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w:t>
                  </w:r>
                </w:p>
              </w:tc>
              <w:tc>
                <w:tcPr>
                  <w:tcW w:w="3064" w:type="dxa"/>
                  <w:tcBorders>
                    <w:tl2br w:val="nil"/>
                    <w:tr2bl w:val="nil"/>
                  </w:tcBorders>
                  <w:vAlign w:val="center"/>
                </w:tcPr>
                <w:p w14:paraId="08A145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w:t>
                  </w:r>
                </w:p>
                <w:p w14:paraId="710F49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高度重视园区废水收集、处理、回用、排放的环境管理，实施“雨污分流”，加快各片区污水管网、回用管网的建设，结合区域的建设时序适时建设污水处理厂、再生水处理设施，区域河流纳污容量有限，应严格控制废水外排量，确保受纳水体水质满足环境功能要求。</w:t>
                  </w:r>
                </w:p>
                <w:p w14:paraId="5E3A96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严格执行《地下水管理条例》中相关规定，在泉域保护范围以及岩溶强发育、存在较多落水洞和岩溶漏斗的区域内，不得新建、改建、扩建可能造成地下水污染的建设项目。</w:t>
                  </w:r>
                </w:p>
                <w:p w14:paraId="2DC53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将土壤污染防治工作纳入园区规划及相关环境保护规划，采取有效预防措施，防止、减少土壤污染，确保满足土壤环境管控要求。入园企业产生的危险废物按照规定严格管控，积极推进工业固体废物综合利用。</w:t>
                  </w:r>
                </w:p>
              </w:tc>
              <w:tc>
                <w:tcPr>
                  <w:tcW w:w="2916" w:type="dxa"/>
                  <w:tcBorders>
                    <w:tl2br w:val="nil"/>
                    <w:tr2bl w:val="nil"/>
                  </w:tcBorders>
                  <w:vAlign w:val="center"/>
                </w:tcPr>
                <w:p w14:paraId="715C9C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本项目废水不外排</w:t>
                  </w: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项目采取</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雨污分流</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，初期雨水经初期雨水收集池收集后处理后回用于生产，不外排。运营期废气主要是锅炉废气及</w:t>
                  </w:r>
                  <w:r>
                    <w:rPr>
                      <w:rFonts w:hint="eastAsia" w:cs="Times New Roman"/>
                      <w:sz w:val="18"/>
                      <w:szCs w:val="18"/>
                      <w:vertAlign w:val="baseline"/>
                      <w:lang w:val="en-US" w:eastAsia="zh-CN"/>
                    </w:rPr>
                    <w:t>灰仓粉尘</w:t>
                  </w:r>
                  <w:r>
                    <w:rPr>
                      <w:rFonts w:hint="default" w:ascii="Times New Roman" w:hAnsi="Times New Roman" w:eastAsia="宋体" w:cs="Times New Roman"/>
                      <w:sz w:val="18"/>
                      <w:szCs w:val="18"/>
                      <w:vertAlign w:val="baseline"/>
                      <w:lang w:val="en-US" w:eastAsia="zh-CN"/>
                    </w:rPr>
                    <w:t>，项目锅炉采用低氮燃烧+SCR脱硝技术，锅炉烟气经</w:t>
                  </w:r>
                  <w:r>
                    <w:rPr>
                      <w:rFonts w:hint="eastAsia" w:cs="Times New Roman"/>
                      <w:sz w:val="18"/>
                      <w:szCs w:val="18"/>
                      <w:vertAlign w:val="baseline"/>
                      <w:lang w:val="en-US" w:eastAsia="zh-CN"/>
                    </w:rPr>
                    <w:t>钙基干法</w:t>
                  </w:r>
                  <w:r>
                    <w:rPr>
                      <w:rFonts w:hint="default" w:ascii="Times New Roman" w:hAnsi="Times New Roman" w:eastAsia="宋体" w:cs="Times New Roman"/>
                      <w:sz w:val="18"/>
                      <w:szCs w:val="18"/>
                      <w:vertAlign w:val="baseline"/>
                      <w:lang w:val="en-US" w:eastAsia="zh-CN"/>
                    </w:rPr>
                    <w:t>脱硫+</w:t>
                  </w:r>
                  <w:r>
                    <w:rPr>
                      <w:rFonts w:hint="eastAsia" w:cs="Times New Roman"/>
                      <w:sz w:val="18"/>
                      <w:szCs w:val="18"/>
                      <w:vertAlign w:val="baseline"/>
                      <w:lang w:val="en-US" w:eastAsia="zh-CN"/>
                    </w:rPr>
                    <w:t>布袋</w:t>
                  </w:r>
                  <w:r>
                    <w:rPr>
                      <w:rFonts w:hint="default" w:ascii="Times New Roman" w:hAnsi="Times New Roman" w:eastAsia="宋体" w:cs="Times New Roman"/>
                      <w:sz w:val="18"/>
                      <w:szCs w:val="18"/>
                      <w:vertAlign w:val="baseline"/>
                      <w:lang w:val="en-US" w:eastAsia="zh-CN"/>
                    </w:rPr>
                    <w:t>除尘后，通过1根</w:t>
                  </w:r>
                  <w:r>
                    <w:rPr>
                      <w:rFonts w:hint="eastAsia" w:cs="Times New Roman"/>
                      <w:sz w:val="18"/>
                      <w:szCs w:val="18"/>
                      <w:vertAlign w:val="baseline"/>
                      <w:lang w:val="en-US" w:eastAsia="zh-CN"/>
                    </w:rPr>
                    <w:t>80</w:t>
                  </w:r>
                  <w:r>
                    <w:rPr>
                      <w:rFonts w:hint="default" w:ascii="Times New Roman" w:hAnsi="Times New Roman" w:eastAsia="宋体" w:cs="Times New Roman"/>
                      <w:sz w:val="18"/>
                      <w:szCs w:val="18"/>
                      <w:vertAlign w:val="baseline"/>
                      <w:lang w:val="en-US" w:eastAsia="zh-CN"/>
                    </w:rPr>
                    <w:t>m高烟囱排放。</w:t>
                  </w:r>
                  <w:r>
                    <w:rPr>
                      <w:rFonts w:hint="eastAsia" w:cs="Times New Roman"/>
                      <w:sz w:val="18"/>
                      <w:szCs w:val="18"/>
                      <w:vertAlign w:val="baseline"/>
                      <w:lang w:val="en-US" w:eastAsia="zh-CN"/>
                    </w:rPr>
                    <w:t>灰仓粉尘和锅炉烟气一同处理后通过80m烟囱排放。</w:t>
                  </w:r>
                  <w:r>
                    <w:rPr>
                      <w:rFonts w:hint="default" w:ascii="Times New Roman" w:hAnsi="Times New Roman" w:eastAsia="宋体" w:cs="Times New Roman"/>
                      <w:sz w:val="18"/>
                      <w:szCs w:val="18"/>
                      <w:vertAlign w:val="baseline"/>
                      <w:lang w:val="en-US" w:eastAsia="zh-CN"/>
                    </w:rPr>
                    <w:t>燃气锅炉废气满足《关于推进实施钢铁行业超低排放的意见》（环大气</w:t>
                  </w:r>
                  <w:r>
                    <w:rPr>
                      <w:rFonts w:hint="eastAsia"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2019</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35号）中附件2钢铁企业超低排放指标限值（自备电厂）超低排放限值要求。通过采取本环评提出的措施，项目的建设均实现全厂颗粒物、SO</w:t>
                  </w:r>
                  <w:r>
                    <w:rPr>
                      <w:rFonts w:hint="eastAsia" w:ascii="Times New Roman" w:hAnsi="Times New Roman" w:eastAsia="宋体" w:cs="Times New Roman"/>
                      <w:sz w:val="18"/>
                      <w:szCs w:val="18"/>
                      <w:vertAlign w:val="subscript"/>
                      <w:lang w:val="en-US" w:eastAsia="zh-CN"/>
                    </w:rPr>
                    <w:t>2</w:t>
                  </w:r>
                  <w:r>
                    <w:rPr>
                      <w:rFonts w:hint="default" w:ascii="Times New Roman" w:hAnsi="Times New Roman" w:eastAsia="宋体" w:cs="Times New Roman"/>
                      <w:sz w:val="18"/>
                      <w:szCs w:val="18"/>
                      <w:vertAlign w:val="baseline"/>
                      <w:lang w:val="en-US" w:eastAsia="zh-CN"/>
                    </w:rPr>
                    <w:t>、NO</w:t>
                  </w:r>
                  <w:r>
                    <w:rPr>
                      <w:rFonts w:hint="eastAsia" w:ascii="Times New Roman" w:hAnsi="Times New Roman" w:eastAsia="宋体" w:cs="Times New Roman"/>
                      <w:sz w:val="18"/>
                      <w:szCs w:val="18"/>
                      <w:vertAlign w:val="baseline"/>
                      <w:lang w:val="en-US" w:eastAsia="zh-CN"/>
                    </w:rPr>
                    <w:t>x</w:t>
                  </w:r>
                  <w:r>
                    <w:rPr>
                      <w:rFonts w:hint="default" w:ascii="Times New Roman" w:hAnsi="Times New Roman" w:eastAsia="宋体" w:cs="Times New Roman"/>
                      <w:sz w:val="18"/>
                      <w:szCs w:val="18"/>
                      <w:vertAlign w:val="baseline"/>
                      <w:lang w:val="en-US" w:eastAsia="zh-CN"/>
                    </w:rPr>
                    <w:t>排放量的消减。项目采取</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雨污分流</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，生产废水全部回用不外排，不设排污口。初期雨水经初期雨水收集池收集后处理后回用于生产，不外排。运营期废润滑油、危化品包装桶、等危废收集后，委托有资质的单位清运、处置；废过滤介质、</w:t>
                  </w:r>
                  <w:r>
                    <w:rPr>
                      <w:rFonts w:hint="eastAsia" w:cs="Times New Roman"/>
                      <w:sz w:val="18"/>
                      <w:szCs w:val="18"/>
                      <w:vertAlign w:val="baseline"/>
                      <w:lang w:val="en-US" w:eastAsia="zh-CN"/>
                    </w:rPr>
                    <w:t>废树脂以及脱硫灰等</w:t>
                  </w:r>
                  <w:r>
                    <w:rPr>
                      <w:rFonts w:hint="default" w:ascii="Times New Roman" w:hAnsi="Times New Roman" w:eastAsia="宋体" w:cs="Times New Roman"/>
                      <w:sz w:val="18"/>
                      <w:szCs w:val="18"/>
                      <w:vertAlign w:val="baseline"/>
                      <w:lang w:val="en-US" w:eastAsia="zh-CN"/>
                    </w:rPr>
                    <w:t>一般工业固废委托处置</w:t>
                  </w: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脱硝</w:t>
                  </w:r>
                  <w:r>
                    <w:rPr>
                      <w:rFonts w:hint="eastAsia" w:ascii="Times New Roman" w:hAnsi="Times New Roman" w:eastAsia="宋体" w:cs="Times New Roman"/>
                      <w:sz w:val="18"/>
                      <w:szCs w:val="18"/>
                      <w:vertAlign w:val="baseline"/>
                      <w:lang w:val="en-US" w:eastAsia="zh-CN"/>
                    </w:rPr>
                    <w:t>废</w:t>
                  </w:r>
                  <w:r>
                    <w:rPr>
                      <w:rFonts w:hint="default" w:ascii="Times New Roman" w:hAnsi="Times New Roman" w:eastAsia="宋体" w:cs="Times New Roman"/>
                      <w:sz w:val="18"/>
                      <w:szCs w:val="18"/>
                      <w:vertAlign w:val="baseline"/>
                      <w:lang w:val="en-US" w:eastAsia="zh-CN"/>
                    </w:rPr>
                    <w:t>催化剂</w:t>
                  </w:r>
                  <w:r>
                    <w:rPr>
                      <w:rFonts w:hint="eastAsia" w:ascii="Times New Roman" w:hAnsi="Times New Roman" w:eastAsia="宋体" w:cs="Times New Roman"/>
                      <w:sz w:val="18"/>
                      <w:szCs w:val="18"/>
                      <w:vertAlign w:val="baseline"/>
                      <w:lang w:val="en-US" w:eastAsia="zh-CN"/>
                    </w:rPr>
                    <w:t>不在厂区贮存，更换后由厂家带走回收利用；</w:t>
                  </w:r>
                  <w:r>
                    <w:rPr>
                      <w:rFonts w:hint="eastAsia" w:cs="Times New Roman"/>
                      <w:sz w:val="18"/>
                      <w:szCs w:val="18"/>
                      <w:vertAlign w:val="baseline"/>
                      <w:lang w:val="en-US" w:eastAsia="zh-CN"/>
                    </w:rPr>
                    <w:t>生活垃圾统一收集后委托环卫部门清运</w:t>
                  </w:r>
                  <w:r>
                    <w:rPr>
                      <w:rFonts w:hint="default" w:ascii="Times New Roman" w:hAnsi="Times New Roman" w:eastAsia="宋体" w:cs="Times New Roman"/>
                      <w:sz w:val="18"/>
                      <w:szCs w:val="18"/>
                      <w:vertAlign w:val="baseline"/>
                      <w:lang w:val="en-US" w:eastAsia="zh-CN"/>
                    </w:rPr>
                    <w:t>。厂区采取分区防渗，按分区防渗原则，对项目区进行分区防渗，避免对地下水、土壤造成污染。</w:t>
                  </w:r>
                </w:p>
              </w:tc>
              <w:tc>
                <w:tcPr>
                  <w:tcW w:w="695" w:type="dxa"/>
                  <w:tcBorders>
                    <w:tl2br w:val="nil"/>
                    <w:tr2bl w:val="nil"/>
                  </w:tcBorders>
                  <w:vAlign w:val="center"/>
                </w:tcPr>
                <w:p w14:paraId="13623D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15A01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66E512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w:t>
                  </w:r>
                </w:p>
              </w:tc>
              <w:tc>
                <w:tcPr>
                  <w:tcW w:w="3064" w:type="dxa"/>
                  <w:tcBorders>
                    <w:tl2br w:val="nil"/>
                    <w:tr2bl w:val="nil"/>
                  </w:tcBorders>
                  <w:vAlign w:val="center"/>
                </w:tcPr>
                <w:p w14:paraId="51A504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严格执行环境准入要求，加强入园项目生态环境准入管理。落实蓝天、碧水、净土保卫战有关管控要求，加强“两高”行业生态环境源头防控，引进项目的生产工艺、设备、污染物排放和资源利用等，应达到清洁生产国内先进水平；推进技术研发型、创新型产业发展，提升产业的技术水平和园区的绿色低碳化水平；园区招商引资、入园项目环评审批应严格执行生态环境准入要求，要以园区的资源环境承载能力为基础，充分论证、有序发展，严禁引进工艺装备落后，不符合污染物排放总量控制要求的企业。</w:t>
                  </w:r>
                </w:p>
              </w:tc>
              <w:tc>
                <w:tcPr>
                  <w:tcW w:w="2916" w:type="dxa"/>
                  <w:tcBorders>
                    <w:tl2br w:val="nil"/>
                    <w:tr2bl w:val="nil"/>
                  </w:tcBorders>
                  <w:vAlign w:val="center"/>
                </w:tcPr>
                <w:p w14:paraId="40B6FA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仙福公司能源综合利用升级改造项目，属于钢铁冶炼、焦化工程的配套工程，与园区功能定位相符，在仙福公司空地上建设，所采用生产工艺及污染防治技术为行业规范推荐的先进生产工艺和污染防治技术，可确保污染物达标排放，</w:t>
                  </w:r>
                  <w:r>
                    <w:rPr>
                      <w:rFonts w:hint="eastAsia" w:cs="Times New Roman"/>
                      <w:sz w:val="18"/>
                      <w:szCs w:val="18"/>
                      <w:vertAlign w:val="baseline"/>
                      <w:lang w:val="en-US" w:eastAsia="zh-CN"/>
                    </w:rPr>
                    <w:t>对周边环境影响较小</w:t>
                  </w:r>
                  <w:r>
                    <w:rPr>
                      <w:rFonts w:hint="default" w:ascii="Times New Roman" w:hAnsi="Times New Roman" w:eastAsia="宋体" w:cs="Times New Roman"/>
                      <w:sz w:val="18"/>
                      <w:szCs w:val="18"/>
                      <w:vertAlign w:val="baseline"/>
                      <w:lang w:val="en-US" w:eastAsia="zh-CN"/>
                    </w:rPr>
                    <w:t>。</w:t>
                  </w:r>
                </w:p>
              </w:tc>
              <w:tc>
                <w:tcPr>
                  <w:tcW w:w="695" w:type="dxa"/>
                  <w:tcBorders>
                    <w:tl2br w:val="nil"/>
                    <w:tr2bl w:val="nil"/>
                  </w:tcBorders>
                  <w:vAlign w:val="center"/>
                </w:tcPr>
                <w:p w14:paraId="7B2CF4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364811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3DAA04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8</w:t>
                  </w:r>
                </w:p>
              </w:tc>
              <w:tc>
                <w:tcPr>
                  <w:tcW w:w="3064" w:type="dxa"/>
                  <w:tcBorders>
                    <w:tl2br w:val="nil"/>
                    <w:tr2bl w:val="nil"/>
                  </w:tcBorders>
                  <w:vAlign w:val="center"/>
                </w:tcPr>
                <w:p w14:paraId="29E959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2916" w:type="dxa"/>
                  <w:tcBorders>
                    <w:tl2br w:val="nil"/>
                    <w:tr2bl w:val="nil"/>
                  </w:tcBorders>
                  <w:vAlign w:val="center"/>
                </w:tcPr>
                <w:p w14:paraId="159FAA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项目建成后，企业将及时修编应急预案，并严格按照突发环境事件应急预案中相关要求，成立突发环境事件应急救援指挥中心，明确应急指挥部组成及职责，配备应急救援物资，建立应急防控体系。</w:t>
                  </w:r>
                </w:p>
              </w:tc>
              <w:tc>
                <w:tcPr>
                  <w:tcW w:w="695" w:type="dxa"/>
                  <w:tcBorders>
                    <w:tl2br w:val="nil"/>
                    <w:tr2bl w:val="nil"/>
                  </w:tcBorders>
                  <w:vAlign w:val="center"/>
                </w:tcPr>
                <w:p w14:paraId="411858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695F3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06AC10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9</w:t>
                  </w:r>
                </w:p>
              </w:tc>
              <w:tc>
                <w:tcPr>
                  <w:tcW w:w="3064" w:type="dxa"/>
                  <w:tcBorders>
                    <w:tl2br w:val="nil"/>
                    <w:tr2bl w:val="nil"/>
                  </w:tcBorders>
                  <w:vAlign w:val="center"/>
                </w:tcPr>
                <w:p w14:paraId="59B8F3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加快园区环保基础设施建设，促进区域环境质量持续改善。各片区应根据用地规模、开发程度、产业聚集程度及排水条件，因地制宜规划建设污水集中处理设施及中水回用设施，并同步建设污水管网、雨水管网及中水回用管网，确保各片区污水得到有效收集和处理；积极推进集中供热的建设，督促园区企业加强废气、废水、噪声、固废等环保设施建设和运行管理。</w:t>
                  </w:r>
                </w:p>
              </w:tc>
              <w:tc>
                <w:tcPr>
                  <w:tcW w:w="2916" w:type="dxa"/>
                  <w:tcBorders>
                    <w:tl2br w:val="nil"/>
                    <w:tr2bl w:val="nil"/>
                  </w:tcBorders>
                  <w:vAlign w:val="center"/>
                </w:tcPr>
                <w:p w14:paraId="6EF62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eastAsia="宋体"/>
                      <w:sz w:val="18"/>
                      <w:szCs w:val="18"/>
                      <w:vertAlign w:val="baseline"/>
                      <w:lang w:val="en-US" w:eastAsia="zh-CN"/>
                    </w:rPr>
                    <w:t>本项目按要求</w:t>
                  </w:r>
                  <w:r>
                    <w:rPr>
                      <w:rFonts w:hint="eastAsia"/>
                      <w:sz w:val="18"/>
                      <w:szCs w:val="18"/>
                      <w:vertAlign w:val="baseline"/>
                      <w:lang w:val="en-US" w:eastAsia="zh-CN"/>
                    </w:rPr>
                    <w:t>制定</w:t>
                  </w:r>
                  <w:r>
                    <w:rPr>
                      <w:rFonts w:hint="eastAsia" w:eastAsia="宋体"/>
                      <w:sz w:val="18"/>
                      <w:szCs w:val="18"/>
                      <w:vertAlign w:val="baseline"/>
                      <w:lang w:val="en-US" w:eastAsia="zh-CN"/>
                    </w:rPr>
                    <w:t>了</w:t>
                  </w:r>
                  <w:r>
                    <w:rPr>
                      <w:rFonts w:hint="eastAsia"/>
                      <w:sz w:val="18"/>
                      <w:szCs w:val="18"/>
                      <w:vertAlign w:val="baseline"/>
                      <w:lang w:val="en-US" w:eastAsia="zh-CN"/>
                    </w:rPr>
                    <w:t>废气、噪声</w:t>
                  </w:r>
                  <w:r>
                    <w:rPr>
                      <w:rFonts w:hint="eastAsia" w:eastAsia="宋体"/>
                      <w:sz w:val="18"/>
                      <w:szCs w:val="18"/>
                      <w:vertAlign w:val="baseline"/>
                      <w:lang w:val="en-US" w:eastAsia="zh-CN"/>
                    </w:rPr>
                    <w:t>监测计划</w:t>
                  </w:r>
                  <w:r>
                    <w:rPr>
                      <w:rFonts w:hint="eastAsia"/>
                      <w:sz w:val="18"/>
                      <w:szCs w:val="18"/>
                      <w:vertAlign w:val="baseline"/>
                      <w:lang w:val="en-US" w:eastAsia="zh-CN"/>
                    </w:rPr>
                    <w:t>；锅炉废气采用低氮燃烧+SCR脱硝技术+脱硫塔（钙基干法脱硫）+布袋除尘器处理后通过1根80m高排气筒排放；废水收集至全厂中央水处理站，处理后回用于各用水环节；通过选用低噪声设备、厂房隔声、基础减震、加强厂区绿化等措施减小噪声对周边环境影响；废过滤介质、废树脂由厂家回收利用，脱硫灰统一收集后外售，脱硝废</w:t>
                  </w:r>
                  <w:r>
                    <w:rPr>
                      <w:rFonts w:hint="eastAsia" w:ascii="Times New Roman" w:hAnsi="Times New Roman" w:eastAsia="宋体" w:cs="Times New Roman"/>
                      <w:sz w:val="18"/>
                      <w:szCs w:val="18"/>
                      <w:vertAlign w:val="baseline"/>
                      <w:lang w:val="en-US" w:eastAsia="zh-CN"/>
                    </w:rPr>
                    <w:t>催化剂</w:t>
                  </w:r>
                  <w:r>
                    <w:rPr>
                      <w:rFonts w:hint="eastAsia" w:cs="Times New Roman"/>
                      <w:color w:val="auto"/>
                      <w:sz w:val="18"/>
                      <w:szCs w:val="18"/>
                      <w:highlight w:val="none"/>
                      <w:lang w:val="en-US" w:eastAsia="zh-CN"/>
                    </w:rPr>
                    <w:t>不在厂区贮存，更</w:t>
                  </w:r>
                  <w:r>
                    <w:rPr>
                      <w:rFonts w:hint="eastAsia" w:ascii="Times New Roman" w:hAnsi="Times New Roman" w:eastAsia="宋体" w:cs="Times New Roman"/>
                      <w:sz w:val="18"/>
                      <w:szCs w:val="18"/>
                      <w:vertAlign w:val="baseline"/>
                      <w:lang w:val="en-US" w:eastAsia="zh-CN"/>
                    </w:rPr>
                    <w:t>换后由厂家带走回收利用</w:t>
                  </w:r>
                  <w:r>
                    <w:rPr>
                      <w:rFonts w:hint="eastAsia"/>
                      <w:sz w:val="18"/>
                      <w:szCs w:val="18"/>
                      <w:vertAlign w:val="baseline"/>
                      <w:lang w:val="en-US" w:eastAsia="zh-CN"/>
                    </w:rPr>
                    <w:t>，废润滑油和废危化品包装桶收集后依托仙福公司现有危险废物贮存库暂存，委托有资质定期清运处置，固体废物处置率100%。</w:t>
                  </w:r>
                </w:p>
              </w:tc>
              <w:tc>
                <w:tcPr>
                  <w:tcW w:w="695" w:type="dxa"/>
                  <w:tcBorders>
                    <w:tl2br w:val="nil"/>
                    <w:tr2bl w:val="nil"/>
                  </w:tcBorders>
                  <w:vAlign w:val="center"/>
                </w:tcPr>
                <w:p w14:paraId="2D0F91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35E5CA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6B8EC3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3064" w:type="dxa"/>
                  <w:tcBorders>
                    <w:tl2br w:val="nil"/>
                    <w:tr2bl w:val="nil"/>
                  </w:tcBorders>
                  <w:vAlign w:val="center"/>
                </w:tcPr>
                <w:p w14:paraId="36706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定期发布环境信息，建立畅通的公众参与平台。加强与周边公众的沟通，主动接受社会监督，妥善处理好园区建设与周边居民的关系，及时解决公众关心的环境问题，满足公众合理的环境诉求。</w:t>
                  </w:r>
                </w:p>
              </w:tc>
              <w:tc>
                <w:tcPr>
                  <w:tcW w:w="2916" w:type="dxa"/>
                  <w:tcBorders>
                    <w:tl2br w:val="nil"/>
                    <w:tr2bl w:val="nil"/>
                  </w:tcBorders>
                  <w:shd w:val="clear" w:color="auto" w:fill="auto"/>
                  <w:vAlign w:val="center"/>
                </w:tcPr>
                <w:p w14:paraId="5CED13A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b w:val="0"/>
                      <w:bCs w:val="0"/>
                      <w:color w:val="auto"/>
                      <w:kern w:val="0"/>
                      <w:sz w:val="18"/>
                      <w:szCs w:val="18"/>
                      <w:vertAlign w:val="baseline"/>
                      <w:lang w:val="en-US" w:eastAsia="zh-CN" w:bidi="ar"/>
                    </w:rPr>
                    <w:t>项目建成后将严格按要求公开环境信息，主动接受社会监督。</w:t>
                  </w:r>
                </w:p>
              </w:tc>
              <w:tc>
                <w:tcPr>
                  <w:tcW w:w="695" w:type="dxa"/>
                  <w:tcBorders>
                    <w:tl2br w:val="nil"/>
                    <w:tr2bl w:val="nil"/>
                  </w:tcBorders>
                  <w:vAlign w:val="center"/>
                </w:tcPr>
                <w:p w14:paraId="54ED25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5081B5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62128B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11</w:t>
                  </w:r>
                </w:p>
              </w:tc>
              <w:tc>
                <w:tcPr>
                  <w:tcW w:w="3064" w:type="dxa"/>
                  <w:tcBorders>
                    <w:tl2br w:val="nil"/>
                    <w:tr2bl w:val="nil"/>
                  </w:tcBorders>
                  <w:vAlign w:val="center"/>
                </w:tcPr>
                <w:p w14:paraId="6D381C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《规划》在实施范围、适用期限、规模、结构和布局等方面进行重大调整或修订时，应重新编制环境影响报告书。</w:t>
                  </w:r>
                </w:p>
              </w:tc>
              <w:tc>
                <w:tcPr>
                  <w:tcW w:w="2916" w:type="dxa"/>
                  <w:tcBorders>
                    <w:tl2br w:val="nil"/>
                    <w:tr2bl w:val="nil"/>
                  </w:tcBorders>
                  <w:vAlign w:val="center"/>
                </w:tcPr>
                <w:p w14:paraId="4049B5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本项目不涉及</w:t>
                  </w:r>
                </w:p>
              </w:tc>
              <w:tc>
                <w:tcPr>
                  <w:tcW w:w="695" w:type="dxa"/>
                  <w:tcBorders>
                    <w:tl2br w:val="nil"/>
                    <w:tr2bl w:val="nil"/>
                  </w:tcBorders>
                  <w:vAlign w:val="center"/>
                </w:tcPr>
                <w:p w14:paraId="2329F7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142C90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1EF8C1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p>
              </w:tc>
              <w:tc>
                <w:tcPr>
                  <w:tcW w:w="3064" w:type="dxa"/>
                  <w:tcBorders>
                    <w:tl2br w:val="nil"/>
                    <w:tr2bl w:val="nil"/>
                  </w:tcBorders>
                  <w:vAlign w:val="center"/>
                </w:tcPr>
                <w:p w14:paraId="067BB6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拟入园建设项目，应结合规划环评提出的指导意见做好环境影响评价工作，落实相关要求，加强与规划环评的联动，严格项目生态环境准入条件，重点开展工程分析、污染物允许排放量测算和环保措施、固体废物综合利用途径及危险废物处理处置措施的可行性论证等工作，强化环境保护相关措施的落实；规划环评中协调性分析、环境现状、污染源调查等符合要求的资料可供建设项目环评共享，项目环评相应评价内容可结合实际情况予以简化。</w:t>
                  </w:r>
                </w:p>
              </w:tc>
              <w:tc>
                <w:tcPr>
                  <w:tcW w:w="2916" w:type="dxa"/>
                  <w:tcBorders>
                    <w:tl2br w:val="nil"/>
                    <w:tr2bl w:val="nil"/>
                  </w:tcBorders>
                  <w:vAlign w:val="center"/>
                </w:tcPr>
                <w:p w14:paraId="7025AA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仙福公司处于绿色钢铁城片区，通过严格控制污染防治措施，实现污染物达标排放。</w:t>
                  </w:r>
                </w:p>
              </w:tc>
              <w:tc>
                <w:tcPr>
                  <w:tcW w:w="695" w:type="dxa"/>
                  <w:tcBorders>
                    <w:tl2br w:val="nil"/>
                    <w:tr2bl w:val="nil"/>
                  </w:tcBorders>
                  <w:vAlign w:val="center"/>
                </w:tcPr>
                <w:p w14:paraId="32B15B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bl>
          <w:p w14:paraId="19F349A1">
            <w:pPr>
              <w:autoSpaceDE w:val="0"/>
              <w:autoSpaceDN w:val="0"/>
              <w:spacing w:line="360" w:lineRule="auto"/>
              <w:ind w:firstLine="480" w:firstLineChars="200"/>
              <w:rPr>
                <w:rFonts w:hint="default" w:cs="Times New Roman"/>
                <w:b/>
                <w:bCs/>
                <w:color w:val="auto"/>
                <w:kern w:val="0"/>
                <w:sz w:val="24"/>
                <w:highlight w:val="none"/>
                <w:lang w:val="en-US" w:eastAsia="zh-CN"/>
              </w:rPr>
            </w:pPr>
            <w:r>
              <w:rPr>
                <w:rFonts w:hint="eastAsia" w:ascii="Times New Roman" w:hAnsi="Times New Roman" w:eastAsia="宋体" w:cs="Times New Roman"/>
                <w:color w:val="auto"/>
                <w:sz w:val="24"/>
                <w:szCs w:val="24"/>
                <w:highlight w:val="none"/>
                <w:lang w:val="en-US" w:eastAsia="zh-CN"/>
              </w:rPr>
              <w:t>据上表分析可知，本项目建设符合《云南新平产业园区总体规划修编（</w:t>
            </w:r>
            <w:r>
              <w:rPr>
                <w:rFonts w:hint="default" w:ascii="Times New Roman" w:hAnsi="Times New Roman" w:eastAsia="宋体" w:cs="Times New Roman"/>
                <w:color w:val="auto"/>
                <w:sz w:val="24"/>
                <w:szCs w:val="24"/>
                <w:highlight w:val="none"/>
                <w:lang w:val="en-US" w:eastAsia="zh-CN"/>
              </w:rPr>
              <w:t>2021-2035</w:t>
            </w:r>
            <w:r>
              <w:rPr>
                <w:rFonts w:hint="eastAsia" w:ascii="Times New Roman" w:hAnsi="Times New Roman" w:eastAsia="宋体" w:cs="Times New Roman"/>
                <w:color w:val="auto"/>
                <w:sz w:val="24"/>
                <w:szCs w:val="24"/>
                <w:highlight w:val="none"/>
                <w:lang w:val="en-US" w:eastAsia="zh-CN"/>
              </w:rPr>
              <w:t>）环境影响报告书审查意见》的要求。</w:t>
            </w:r>
          </w:p>
        </w:tc>
      </w:tr>
      <w:tr w14:paraId="2B25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l2br w:val="nil"/>
              <w:tr2bl w:val="nil"/>
            </w:tcBorders>
            <w:noWrap w:val="0"/>
            <w:vAlign w:val="center"/>
          </w:tcPr>
          <w:p w14:paraId="750067DE">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val="0"/>
                <w:bCs w:val="0"/>
                <w:color w:val="auto"/>
                <w:kern w:val="0"/>
                <w:sz w:val="24"/>
                <w:lang w:val="en-US" w:eastAsia="zh-CN"/>
              </w:rPr>
            </w:pPr>
            <w:r>
              <w:rPr>
                <w:rFonts w:hint="eastAsia" w:cs="Times New Roman"/>
                <w:b w:val="0"/>
                <w:bCs w:val="0"/>
                <w:color w:val="auto"/>
                <w:kern w:val="0"/>
                <w:sz w:val="24"/>
                <w:lang w:val="en-US" w:eastAsia="zh-CN"/>
              </w:rPr>
              <w:t>其他符合性分析</w:t>
            </w:r>
          </w:p>
        </w:tc>
        <w:tc>
          <w:tcPr>
            <w:tcW w:w="4122" w:type="pct"/>
            <w:gridSpan w:val="3"/>
            <w:tcBorders>
              <w:tl2br w:val="nil"/>
              <w:tr2bl w:val="nil"/>
            </w:tcBorders>
            <w:noWrap w:val="0"/>
            <w:vAlign w:val="center"/>
          </w:tcPr>
          <w:p w14:paraId="54FE7CAA">
            <w:pPr>
              <w:numPr>
                <w:ilvl w:val="0"/>
                <w:numId w:val="1"/>
              </w:numPr>
              <w:autoSpaceDE w:val="0"/>
              <w:autoSpaceDN w:val="0"/>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产业政策符合性分析</w:t>
            </w:r>
          </w:p>
          <w:p w14:paraId="38E4D590">
            <w:pPr>
              <w:autoSpaceDE w:val="0"/>
              <w:autoSpaceDN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本项目为钢铁厂能源综合利用项目，主要利用富余高炉煤气、转炉煤气、焦炉煤气发电，属于《产业结构调整指导目录（</w:t>
            </w:r>
            <w:r>
              <w:rPr>
                <w:rFonts w:hint="default" w:ascii="Times New Roman" w:hAnsi="Times New Roman" w:eastAsia="宋体" w:cs="Times New Roman"/>
                <w:color w:val="auto"/>
                <w:sz w:val="24"/>
                <w:szCs w:val="24"/>
                <w:highlight w:val="none"/>
                <w:lang w:val="en-US" w:eastAsia="zh-CN"/>
              </w:rPr>
              <w:t>2024</w:t>
            </w:r>
            <w:r>
              <w:rPr>
                <w:rFonts w:hint="eastAsia" w:ascii="Times New Roman" w:hAnsi="Times New Roman" w:eastAsia="宋体" w:cs="Times New Roman"/>
                <w:color w:val="auto"/>
                <w:sz w:val="24"/>
                <w:szCs w:val="24"/>
                <w:highlight w:val="none"/>
                <w:lang w:val="en-US" w:eastAsia="zh-CN"/>
              </w:rPr>
              <w:t>年本）》第一类鼓励类中：八、钢铁中“钢铁、焦化、铁合金行业超低排放技术，以及副产物资源化、再利用化”项目。生产过程中未使用国家明令禁止淘汰类和限制类工艺和设备。</w:t>
            </w:r>
          </w:p>
          <w:p w14:paraId="52BC4FF5">
            <w:pPr>
              <w:autoSpaceDE w:val="0"/>
              <w:autoSpaceDN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项目于</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日取得</w:t>
            </w:r>
            <w:r>
              <w:rPr>
                <w:rFonts w:hint="eastAsia" w:cs="Times New Roman"/>
                <w:color w:val="auto"/>
                <w:sz w:val="24"/>
                <w:szCs w:val="24"/>
                <w:highlight w:val="none"/>
                <w:lang w:val="en-US" w:eastAsia="zh-CN"/>
              </w:rPr>
              <w:t>玉溪市发展和改革委员会关于云南玉溪仙福钢铁（集团）有限公司能源综合利用升级改造80兆瓦富余煤气发电项目核准的批复（玉发改能源复</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号），项目代码：</w:t>
            </w:r>
            <w:r>
              <w:rPr>
                <w:rFonts w:hint="default" w:ascii="Times New Roman" w:hAnsi="Times New Roman" w:eastAsia="宋体" w:cs="Times New Roman"/>
                <w:color w:val="auto"/>
                <w:sz w:val="24"/>
                <w:szCs w:val="24"/>
                <w:highlight w:val="none"/>
                <w:lang w:val="en-US" w:eastAsia="zh-CN"/>
              </w:rPr>
              <w:t>2512-530400-04-01-937036</w:t>
            </w:r>
            <w:r>
              <w:rPr>
                <w:rFonts w:hint="eastAsia" w:ascii="Times New Roman" w:hAnsi="Times New Roman" w:eastAsia="宋体" w:cs="Times New Roman"/>
                <w:color w:val="auto"/>
                <w:sz w:val="24"/>
                <w:szCs w:val="24"/>
                <w:highlight w:val="none"/>
                <w:lang w:val="en-US" w:eastAsia="zh-CN"/>
              </w:rPr>
              <w:t>。项目符合国家相关产业政策。</w:t>
            </w:r>
          </w:p>
          <w:p w14:paraId="30877337">
            <w:pPr>
              <w:numPr>
                <w:ilvl w:val="0"/>
                <w:numId w:val="1"/>
              </w:numPr>
              <w:autoSpaceDE w:val="0"/>
              <w:autoSpaceDN w:val="0"/>
              <w:spacing w:line="360" w:lineRule="auto"/>
              <w:ind w:firstLine="482" w:firstLineChars="200"/>
              <w:rPr>
                <w:rFonts w:hint="default" w:cs="Times New Roman"/>
                <w:b/>
                <w:bCs/>
                <w:color w:val="auto"/>
                <w:sz w:val="24"/>
                <w:szCs w:val="24"/>
                <w:highlight w:val="none"/>
                <w:lang w:val="en-US" w:eastAsia="zh-CN"/>
              </w:rPr>
            </w:pPr>
            <w:r>
              <w:rPr>
                <w:rFonts w:hint="default" w:cs="Times New Roman"/>
                <w:b/>
                <w:bCs/>
                <w:color w:val="auto"/>
                <w:sz w:val="24"/>
                <w:szCs w:val="24"/>
                <w:highlight w:val="none"/>
                <w:lang w:val="en-US" w:eastAsia="zh-CN"/>
              </w:rPr>
              <w:t>与《玉溪市生态环境分区管控动态更新调整方案（2023年）》符合性分析</w:t>
            </w:r>
          </w:p>
          <w:p w14:paraId="35877526">
            <w:pPr>
              <w:autoSpaceDE w:val="0"/>
              <w:autoSpaceDN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2024年6月7日玉溪市生态环境局印发了《玉溪市生态环境局关于印发玉溪市生态环境分区管控动态更新调整方案（2023年）的通知》（玉市环[2024]40号）。</w:t>
            </w:r>
            <w:r>
              <w:rPr>
                <w:rFonts w:hint="eastAsia" w:cs="Times New Roman"/>
                <w:color w:val="auto"/>
                <w:sz w:val="24"/>
                <w:szCs w:val="24"/>
                <w:highlight w:val="none"/>
                <w:lang w:val="en-US" w:eastAsia="zh-CN"/>
              </w:rPr>
              <w:t>通过在</w:t>
            </w:r>
            <w:r>
              <w:rPr>
                <w:rFonts w:hint="default" w:ascii="Times New Roman" w:hAnsi="Times New Roman" w:eastAsia="宋体" w:cs="Times New Roman"/>
                <w:color w:val="auto"/>
                <w:sz w:val="24"/>
                <w:szCs w:val="24"/>
                <w:highlight w:val="none"/>
                <w:lang w:val="en-US" w:eastAsia="zh-CN"/>
              </w:rPr>
              <w:t>云南省生态环境分区管控公共查询平台</w:t>
            </w:r>
            <w:r>
              <w:rPr>
                <w:rFonts w:hint="eastAsia" w:cs="Times New Roman"/>
                <w:color w:val="auto"/>
                <w:sz w:val="24"/>
                <w:szCs w:val="24"/>
                <w:highlight w:val="none"/>
                <w:lang w:val="en-US" w:eastAsia="zh-CN"/>
              </w:rPr>
              <w:t>查询</w:t>
            </w:r>
            <w:r>
              <w:rPr>
                <w:rFonts w:hint="eastAsia"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color w:val="auto"/>
                <w:sz w:val="24"/>
                <w:szCs w:val="24"/>
                <w:highlight w:val="none"/>
                <w:lang w:val="en-US" w:eastAsia="zh-CN"/>
              </w:rPr>
              <w:t>本项目位于新平县产业园区重点管控单元</w:t>
            </w:r>
            <w:r>
              <w:rPr>
                <w:rFonts w:hint="eastAsia" w:ascii="Times New Roman" w:hAnsi="Times New Roman" w:eastAsia="宋体" w:cs="Times New Roman"/>
                <w:color w:val="auto"/>
                <w:sz w:val="24"/>
                <w:szCs w:val="24"/>
                <w:highlight w:val="none"/>
                <w:lang w:val="en-US" w:eastAsia="zh-CN"/>
              </w:rPr>
              <w:t>（管控单元编码</w:t>
            </w:r>
            <w:r>
              <w:rPr>
                <w:rFonts w:hint="default" w:ascii="Times New Roman" w:hAnsi="Times New Roman" w:eastAsia="宋体" w:cs="Times New Roman"/>
                <w:color w:val="auto"/>
                <w:sz w:val="24"/>
                <w:szCs w:val="24"/>
                <w:highlight w:val="none"/>
                <w:lang w:val="en-US" w:eastAsia="zh-CN"/>
              </w:rPr>
              <w:t>ZH53042720001</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，查询截图如下图所示</w:t>
            </w:r>
            <w:r>
              <w:rPr>
                <w:rFonts w:hint="default" w:ascii="Times New Roman" w:hAnsi="Times New Roman" w:eastAsia="宋体" w:cs="Times New Roman"/>
                <w:color w:val="auto"/>
                <w:sz w:val="24"/>
                <w:szCs w:val="24"/>
                <w:highlight w:val="none"/>
                <w:lang w:val="en-US" w:eastAsia="zh-CN"/>
              </w:rPr>
              <w:t>，本项目与生态环境分区管控符合性分析如下表。</w:t>
            </w:r>
          </w:p>
          <w:p w14:paraId="57671F43">
            <w:pPr>
              <w:pStyle w:val="21"/>
              <w:ind w:left="0" w:leftChars="0" w:firstLine="0" w:firstLineChars="0"/>
              <w:jc w:val="both"/>
              <w:rPr>
                <w:rFonts w:hint="default"/>
                <w:lang w:val="en-US" w:eastAsia="zh-CN"/>
              </w:rPr>
            </w:pPr>
            <w:r>
              <w:rPr>
                <w:rFonts w:hint="default"/>
                <w:lang w:val="en-US" w:eastAsia="zh-CN"/>
              </w:rPr>
              <w:drawing>
                <wp:inline distT="0" distB="0" distL="114300" distR="114300">
                  <wp:extent cx="4575810" cy="4570095"/>
                  <wp:effectExtent l="0" t="0" r="15240" b="1905"/>
                  <wp:docPr id="18" name="图片 18" descr="管控单元截图2026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管控单元截图20260309"/>
                          <pic:cNvPicPr>
                            <a:picLocks noChangeAspect="1"/>
                          </pic:cNvPicPr>
                        </pic:nvPicPr>
                        <pic:blipFill>
                          <a:blip r:embed="rId7"/>
                          <a:stretch>
                            <a:fillRect/>
                          </a:stretch>
                        </pic:blipFill>
                        <pic:spPr>
                          <a:xfrm>
                            <a:off x="0" y="0"/>
                            <a:ext cx="4575810" cy="4570095"/>
                          </a:xfrm>
                          <a:prstGeom prst="rect">
                            <a:avLst/>
                          </a:prstGeom>
                        </pic:spPr>
                      </pic:pic>
                    </a:graphicData>
                  </a:graphic>
                </wp:inline>
              </w:drawing>
            </w:r>
          </w:p>
          <w:p w14:paraId="34B82057">
            <w:pPr>
              <w:pStyle w:val="23"/>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lang w:val="en-US" w:eastAsia="zh-CN"/>
              </w:rPr>
            </w:pPr>
            <w:r>
              <w:rPr>
                <w:rFonts w:hint="default" w:ascii="Times New Roman" w:hAnsi="Times New Roman" w:eastAsia="黑体" w:cs="Times New Roman"/>
                <w:color w:val="auto"/>
                <w:szCs w:val="21"/>
                <w:lang w:val="en-US" w:eastAsia="zh-CN"/>
              </w:rPr>
              <w:t>图1</w:t>
            </w:r>
            <w:r>
              <w:rPr>
                <w:rFonts w:hint="eastAsia"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lang w:val="en-US" w:eastAsia="zh-CN"/>
              </w:rPr>
              <w:t xml:space="preserve">   项目</w:t>
            </w:r>
            <w:r>
              <w:rPr>
                <w:rFonts w:hint="default" w:ascii="Times New Roman" w:hAnsi="Times New Roman" w:eastAsia="黑体" w:cs="Times New Roman"/>
                <w:color w:val="auto"/>
                <w:szCs w:val="21"/>
              </w:rPr>
              <w:t>与管控单元位置</w:t>
            </w:r>
            <w:r>
              <w:rPr>
                <w:rFonts w:hint="eastAsia" w:ascii="Times New Roman" w:hAnsi="Times New Roman" w:eastAsia="黑体" w:cs="Times New Roman"/>
                <w:color w:val="auto"/>
                <w:szCs w:val="21"/>
                <w:lang w:val="en-US" w:eastAsia="zh-CN"/>
              </w:rPr>
              <w:t>关系</w:t>
            </w:r>
            <w:r>
              <w:rPr>
                <w:rFonts w:hint="default" w:ascii="Times New Roman" w:hAnsi="Times New Roman" w:eastAsia="黑体" w:cs="Times New Roman"/>
                <w:color w:val="auto"/>
                <w:szCs w:val="21"/>
              </w:rPr>
              <w:t>图</w:t>
            </w:r>
          </w:p>
          <w:p w14:paraId="54D3B9A0">
            <w:pPr>
              <w:autoSpaceDE w:val="0"/>
              <w:autoSpaceDN w:val="0"/>
              <w:spacing w:line="360" w:lineRule="auto"/>
              <w:jc w:val="center"/>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表1-4 本项目与生态环境分区管控符合性分析对照表</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518"/>
              <w:gridCol w:w="3034"/>
              <w:gridCol w:w="2496"/>
              <w:gridCol w:w="519"/>
            </w:tblGrid>
            <w:tr w14:paraId="2ECA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6FAF16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管控单元</w:t>
                  </w:r>
                </w:p>
              </w:tc>
              <w:tc>
                <w:tcPr>
                  <w:tcW w:w="3552" w:type="dxa"/>
                  <w:gridSpan w:val="2"/>
                  <w:vAlign w:val="center"/>
                </w:tcPr>
                <w:p w14:paraId="1D418A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《通知》要求</w:t>
                  </w:r>
                </w:p>
              </w:tc>
              <w:tc>
                <w:tcPr>
                  <w:tcW w:w="2496" w:type="dxa"/>
                  <w:vAlign w:val="center"/>
                </w:tcPr>
                <w:p w14:paraId="5510D8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本项目情况</w:t>
                  </w:r>
                </w:p>
              </w:tc>
              <w:tc>
                <w:tcPr>
                  <w:tcW w:w="519" w:type="dxa"/>
                  <w:tcBorders>
                    <w:right w:val="nil"/>
                  </w:tcBorders>
                  <w:vAlign w:val="center"/>
                </w:tcPr>
                <w:p w14:paraId="776EFC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符合性</w:t>
                  </w:r>
                </w:p>
              </w:tc>
            </w:tr>
            <w:tr w14:paraId="4C87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restart"/>
                  <w:tcBorders>
                    <w:left w:val="nil"/>
                  </w:tcBorders>
                  <w:vAlign w:val="center"/>
                </w:tcPr>
                <w:p w14:paraId="233D71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新平县产业园区重点管控单元</w:t>
                  </w:r>
                </w:p>
              </w:tc>
              <w:tc>
                <w:tcPr>
                  <w:tcW w:w="518" w:type="dxa"/>
                  <w:vAlign w:val="center"/>
                </w:tcPr>
                <w:p w14:paraId="3F8842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空间布局约束</w:t>
                  </w:r>
                </w:p>
              </w:tc>
              <w:tc>
                <w:tcPr>
                  <w:tcW w:w="3034" w:type="dxa"/>
                  <w:vAlign w:val="center"/>
                </w:tcPr>
                <w:p w14:paraId="098682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合理规划产业分区和功能定位，禁止不符合产业政策、产业结构调整指导目录和园区规划要求的项目入园区。钢铁产业禁止新增产能，严格执行产能置换，大力推进非高炉炼铁技术示范，提升废钢资源回收利用水平，推行全废钢电炉工艺。推广高温高压干熄焦、干法除尘、煤气余热余压回收利用、烧结烟气脱硫等循环经济和节能减排新技术新工艺，加强和完善废钢铁综合利用，鼓励发展短流程炼钢。</w:t>
                  </w:r>
                </w:p>
              </w:tc>
              <w:tc>
                <w:tcPr>
                  <w:tcW w:w="2496" w:type="dxa"/>
                  <w:vAlign w:val="center"/>
                </w:tcPr>
                <w:p w14:paraId="51E5BD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本项目属于钢铁企业能源综合利用项目，属于《产业结构调整指导目录（2024年）》中鼓励类项目，且项目符合园区产业定位。</w:t>
                  </w:r>
                </w:p>
              </w:tc>
              <w:tc>
                <w:tcPr>
                  <w:tcW w:w="519" w:type="dxa"/>
                  <w:tcBorders>
                    <w:right w:val="nil"/>
                  </w:tcBorders>
                  <w:vAlign w:val="center"/>
                </w:tcPr>
                <w:p w14:paraId="005049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符合</w:t>
                  </w:r>
                </w:p>
              </w:tc>
            </w:tr>
            <w:tr w14:paraId="7CE5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left w:val="nil"/>
                  </w:tcBorders>
                  <w:vAlign w:val="center"/>
                </w:tcPr>
                <w:p w14:paraId="101DBE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p>
              </w:tc>
              <w:tc>
                <w:tcPr>
                  <w:tcW w:w="518" w:type="dxa"/>
                  <w:vAlign w:val="center"/>
                </w:tcPr>
                <w:p w14:paraId="033AF8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污染物排放管控</w:t>
                  </w:r>
                </w:p>
              </w:tc>
              <w:tc>
                <w:tcPr>
                  <w:tcW w:w="3034" w:type="dxa"/>
                  <w:vAlign w:val="center"/>
                </w:tcPr>
                <w:p w14:paraId="4CAD1A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1.新建</w:t>
                  </w:r>
                  <w:r>
                    <w:rPr>
                      <w:rFonts w:hint="eastAsia" w:cs="Times New Roman"/>
                      <w:sz w:val="18"/>
                      <w:szCs w:val="18"/>
                      <w:vertAlign w:val="baseline"/>
                      <w:lang w:val="en-US" w:eastAsia="zh-CN"/>
                    </w:rPr>
                    <w:t>“两高”</w:t>
                  </w:r>
                  <w:r>
                    <w:rPr>
                      <w:rFonts w:hint="default" w:ascii="Times New Roman" w:hAnsi="Times New Roman" w:eastAsia="宋体" w:cs="Times New Roman"/>
                      <w:sz w:val="18"/>
                      <w:szCs w:val="18"/>
                      <w:vertAlign w:val="baseline"/>
                      <w:lang w:val="en-US" w:eastAsia="zh-CN"/>
                    </w:rPr>
                    <w:t>项目依据区域环境质量改善目标，制定配套区域污染物削减方案，采取有效的污染物区域削减措施，腾出足够的环境容量。新建、扩建（转型升级）的“两高”项目应采用先进适用的工艺技术和装备，单位产品物耗、能耗、水耗等达到清洁生产先进水平，依法制定并严格落实防治土壤与地下水污染的措施。已出台超低排放要求的“两高”行业建设项目应满足超低排放要求。</w:t>
                  </w:r>
                </w:p>
                <w:p w14:paraId="7BAA32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2.使用电能、天然气、生物质燃料等清洁能源为主要能源，利用工厂余热、电厂热力等进行替代，逐步降低煤炭等高污染燃料的使用，降低大气污染物以及温室气体的排放。</w:t>
                  </w:r>
                </w:p>
                <w:p w14:paraId="078D88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4.大气污染排放量较大的钢铁冶炼、现代矿冶等企业，工业用地与居住用地的交界处设置20~30米宽的绿化隔离带。</w:t>
                  </w:r>
                </w:p>
                <w:p w14:paraId="3A3457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6.生产废水由企业自建污水处理站处理达标后回用，剩余排至片区污水处理厂。</w:t>
                  </w:r>
                </w:p>
              </w:tc>
              <w:tc>
                <w:tcPr>
                  <w:tcW w:w="2496" w:type="dxa"/>
                  <w:vAlign w:val="center"/>
                </w:tcPr>
                <w:p w14:paraId="300F54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1、本项目为钢铁企业能源综合利用项目，自备电厂，燃气锅炉废气满足《关于推进实施钢铁行业超低排放的意见》（环大气</w:t>
                  </w:r>
                  <w:r>
                    <w:rPr>
                      <w:rFonts w:hint="eastAsia"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2019</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35号）中附件2钢铁企业超低排放指标限值（自备电厂）超低排放限值要求。</w:t>
                  </w:r>
                </w:p>
                <w:p w14:paraId="1D3CBA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2、本项目利用公司富余高炉煤气、转炉煤气及焦炉煤气发电，实现能源的综合利用，大大降低煤炭燃料的使用，降低大气污染物的排放。</w:t>
                  </w:r>
                </w:p>
                <w:p w14:paraId="661683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3、本项目在仙福公司</w:t>
                  </w:r>
                  <w:r>
                    <w:rPr>
                      <w:rFonts w:hint="eastAsia" w:cs="Times New Roman"/>
                      <w:sz w:val="18"/>
                      <w:szCs w:val="18"/>
                      <w:vertAlign w:val="baseline"/>
                      <w:lang w:val="en-US" w:eastAsia="zh-CN"/>
                    </w:rPr>
                    <w:t>厂区空地建设</w:t>
                  </w:r>
                  <w:r>
                    <w:rPr>
                      <w:rFonts w:hint="default" w:ascii="Times New Roman" w:hAnsi="Times New Roman" w:eastAsia="宋体" w:cs="Times New Roman"/>
                      <w:sz w:val="18"/>
                      <w:szCs w:val="18"/>
                      <w:vertAlign w:val="baseline"/>
                      <w:lang w:val="en-US" w:eastAsia="zh-CN"/>
                    </w:rPr>
                    <w:t>，不新增用地，用地周边200m范围内无居住用地。</w:t>
                  </w:r>
                </w:p>
                <w:p w14:paraId="27F88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4、本项目生产废水、生活污水依托仙福公司现有中央水处理系统处理后全部回用，废水不外排。</w:t>
                  </w:r>
                </w:p>
              </w:tc>
              <w:tc>
                <w:tcPr>
                  <w:tcW w:w="519" w:type="dxa"/>
                  <w:tcBorders>
                    <w:right w:val="nil"/>
                  </w:tcBorders>
                  <w:vAlign w:val="center"/>
                </w:tcPr>
                <w:p w14:paraId="61BF3F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符合</w:t>
                  </w:r>
                </w:p>
              </w:tc>
            </w:tr>
            <w:tr w14:paraId="36AA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left w:val="nil"/>
                  </w:tcBorders>
                  <w:vAlign w:val="center"/>
                </w:tcPr>
                <w:p w14:paraId="51A123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p>
              </w:tc>
              <w:tc>
                <w:tcPr>
                  <w:tcW w:w="518" w:type="dxa"/>
                  <w:vAlign w:val="center"/>
                </w:tcPr>
                <w:p w14:paraId="065C62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环境风险防控</w:t>
                  </w:r>
                </w:p>
              </w:tc>
              <w:tc>
                <w:tcPr>
                  <w:tcW w:w="3034" w:type="dxa"/>
                  <w:vAlign w:val="center"/>
                </w:tcPr>
                <w:p w14:paraId="430C2F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1.地质灾害点和居民分布密集区周边区域不宜布置日常储量构成重大危险源的使用危险化学品的项目。</w:t>
                  </w:r>
                </w:p>
                <w:p w14:paraId="13F991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2.工业企业应有完善的风险防范措施，其最大可信事故半致死浓度范围内不得有居民点存在。</w:t>
                  </w:r>
                </w:p>
                <w:p w14:paraId="29AA94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4.制定突发环境事件应急预案，完善风险管理机制，加强风险控制防范。建立区域环境监测制度，加强规划实施的跟踪监测与管理。</w:t>
                  </w:r>
                </w:p>
              </w:tc>
              <w:tc>
                <w:tcPr>
                  <w:tcW w:w="2496" w:type="dxa"/>
                  <w:vAlign w:val="center"/>
                </w:tcPr>
                <w:p w14:paraId="434A96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1、本项目</w:t>
                  </w:r>
                  <w:r>
                    <w:rPr>
                      <w:rFonts w:hint="eastAsia" w:cs="Times New Roman"/>
                      <w:sz w:val="18"/>
                      <w:szCs w:val="18"/>
                      <w:vertAlign w:val="baseline"/>
                      <w:lang w:val="en-US" w:eastAsia="zh-CN"/>
                    </w:rPr>
                    <w:t>氨水</w:t>
                  </w:r>
                  <w:r>
                    <w:rPr>
                      <w:rFonts w:hint="default" w:ascii="Times New Roman" w:hAnsi="Times New Roman" w:eastAsia="宋体" w:cs="Times New Roman"/>
                      <w:sz w:val="18"/>
                      <w:szCs w:val="18"/>
                      <w:vertAlign w:val="baseline"/>
                      <w:lang w:val="en-US" w:eastAsia="zh-CN"/>
                    </w:rPr>
                    <w:t>储罐区</w:t>
                  </w:r>
                  <w:r>
                    <w:rPr>
                      <w:rFonts w:hint="eastAsia" w:cs="Times New Roman"/>
                      <w:sz w:val="18"/>
                      <w:szCs w:val="18"/>
                      <w:vertAlign w:val="baseline"/>
                      <w:lang w:val="en-US" w:eastAsia="zh-CN"/>
                    </w:rPr>
                    <w:t>和盐酸储罐区</w:t>
                  </w:r>
                  <w:r>
                    <w:rPr>
                      <w:rFonts w:hint="default" w:ascii="Times New Roman" w:hAnsi="Times New Roman" w:eastAsia="宋体" w:cs="Times New Roman"/>
                      <w:sz w:val="18"/>
                      <w:szCs w:val="18"/>
                      <w:vertAlign w:val="baseline"/>
                      <w:lang w:val="en-US" w:eastAsia="zh-CN"/>
                    </w:rPr>
                    <w:t>建设地点地质稳定，无地质灾害，也无居民。</w:t>
                  </w:r>
                </w:p>
                <w:p w14:paraId="69285A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2、企业设</w:t>
                  </w:r>
                  <w:r>
                    <w:rPr>
                      <w:rFonts w:hint="eastAsia" w:cs="Times New Roman"/>
                      <w:sz w:val="18"/>
                      <w:szCs w:val="18"/>
                      <w:vertAlign w:val="baseline"/>
                      <w:lang w:val="en-US" w:eastAsia="zh-CN"/>
                    </w:rPr>
                    <w:t>有完善的</w:t>
                  </w:r>
                  <w:r>
                    <w:rPr>
                      <w:rFonts w:hint="default" w:ascii="Times New Roman" w:hAnsi="Times New Roman" w:eastAsia="宋体" w:cs="Times New Roman"/>
                      <w:sz w:val="18"/>
                      <w:szCs w:val="18"/>
                      <w:vertAlign w:val="baseline"/>
                      <w:lang w:val="en-US" w:eastAsia="zh-CN"/>
                    </w:rPr>
                    <w:t>风险防范措施</w:t>
                  </w:r>
                  <w:r>
                    <w:rPr>
                      <w:rFonts w:hint="eastAsia" w:cs="Times New Roman"/>
                      <w:sz w:val="18"/>
                      <w:szCs w:val="18"/>
                      <w:vertAlign w:val="baseline"/>
                      <w:lang w:val="en-US" w:eastAsia="zh-CN"/>
                    </w:rPr>
                    <w:t>。</w:t>
                  </w:r>
                </w:p>
                <w:p w14:paraId="0510A9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3、仙福公司已编制并发布了《突发环境事件应急预案》，待本项目环评批复后将及时对预案进行修编、备案。</w:t>
                  </w:r>
                </w:p>
                <w:p w14:paraId="6D6F8D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4、企业已制定自行监测方案，定期对污染源进行监测，定期对环境质量进行跟踪监测。</w:t>
                  </w:r>
                </w:p>
              </w:tc>
              <w:tc>
                <w:tcPr>
                  <w:tcW w:w="519" w:type="dxa"/>
                  <w:tcBorders>
                    <w:right w:val="nil"/>
                  </w:tcBorders>
                  <w:vAlign w:val="center"/>
                </w:tcPr>
                <w:p w14:paraId="5EC717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符合</w:t>
                  </w:r>
                </w:p>
              </w:tc>
            </w:tr>
            <w:tr w14:paraId="24EA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left w:val="nil"/>
                  </w:tcBorders>
                  <w:vAlign w:val="center"/>
                </w:tcPr>
                <w:p w14:paraId="38CF27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p>
              </w:tc>
              <w:tc>
                <w:tcPr>
                  <w:tcW w:w="518" w:type="dxa"/>
                  <w:vAlign w:val="center"/>
                </w:tcPr>
                <w:p w14:paraId="6E228D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资源开发效率要求</w:t>
                  </w:r>
                </w:p>
              </w:tc>
              <w:tc>
                <w:tcPr>
                  <w:tcW w:w="3034" w:type="dxa"/>
                  <w:vAlign w:val="center"/>
                </w:tcPr>
                <w:p w14:paraId="639984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工业水循环利用率必须大于</w:t>
                  </w:r>
                  <w:r>
                    <w:rPr>
                      <w:rFonts w:hint="default" w:ascii="Times New Roman" w:hAnsi="Times New Roman" w:eastAsia="宋体" w:cs="Times New Roman"/>
                      <w:sz w:val="18"/>
                      <w:szCs w:val="18"/>
                      <w:vertAlign w:val="baseline"/>
                      <w:lang w:val="en-US" w:eastAsia="zh-CN"/>
                    </w:rPr>
                    <w:t>80%</w:t>
                  </w:r>
                  <w:r>
                    <w:rPr>
                      <w:rFonts w:hint="eastAsia" w:ascii="Times New Roman" w:hAnsi="Times New Roman" w:eastAsia="宋体" w:cs="Times New Roman"/>
                      <w:sz w:val="18"/>
                      <w:szCs w:val="18"/>
                      <w:vertAlign w:val="baseline"/>
                      <w:lang w:val="en-US" w:eastAsia="zh-CN"/>
                    </w:rPr>
                    <w:t>，中水回用率大于</w:t>
                  </w:r>
                  <w:r>
                    <w:rPr>
                      <w:rFonts w:hint="default" w:ascii="Times New Roman" w:hAnsi="Times New Roman" w:eastAsia="宋体" w:cs="Times New Roman"/>
                      <w:sz w:val="18"/>
                      <w:szCs w:val="18"/>
                      <w:vertAlign w:val="baseline"/>
                      <w:lang w:val="en-US" w:eastAsia="zh-CN"/>
                    </w:rPr>
                    <w:t>30%</w:t>
                  </w:r>
                  <w:r>
                    <w:rPr>
                      <w:rFonts w:hint="eastAsia" w:ascii="Times New Roman" w:hAnsi="Times New Roman" w:eastAsia="宋体" w:cs="Times New Roman"/>
                      <w:sz w:val="18"/>
                      <w:szCs w:val="18"/>
                      <w:vertAlign w:val="baseline"/>
                      <w:lang w:val="en-US" w:eastAsia="zh-CN"/>
                    </w:rPr>
                    <w:t>，入驻项目水耗指标必须优于行业水平。</w:t>
                  </w:r>
                </w:p>
              </w:tc>
              <w:tc>
                <w:tcPr>
                  <w:tcW w:w="2496" w:type="dxa"/>
                  <w:vAlign w:val="center"/>
                </w:tcPr>
                <w:p w14:paraId="6184FE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本项目生产废水、生活污水经处理后全部回用，废水回用率</w:t>
                  </w:r>
                  <w:r>
                    <w:rPr>
                      <w:rFonts w:hint="default" w:ascii="Times New Roman" w:hAnsi="Times New Roman" w:eastAsia="宋体" w:cs="Times New Roman"/>
                      <w:sz w:val="18"/>
                      <w:szCs w:val="18"/>
                      <w:vertAlign w:val="baseline"/>
                      <w:lang w:val="en-US" w:eastAsia="zh-CN"/>
                    </w:rPr>
                    <w:t>100%</w:t>
                  </w:r>
                  <w:r>
                    <w:rPr>
                      <w:rFonts w:hint="eastAsia" w:ascii="Times New Roman" w:hAnsi="Times New Roman" w:eastAsia="宋体" w:cs="Times New Roman"/>
                      <w:sz w:val="18"/>
                      <w:szCs w:val="18"/>
                      <w:vertAlign w:val="baseline"/>
                      <w:lang w:val="en-US" w:eastAsia="zh-CN"/>
                    </w:rPr>
                    <w:t>。</w:t>
                  </w:r>
                </w:p>
              </w:tc>
              <w:tc>
                <w:tcPr>
                  <w:tcW w:w="519" w:type="dxa"/>
                  <w:tcBorders>
                    <w:right w:val="nil"/>
                  </w:tcBorders>
                  <w:vAlign w:val="center"/>
                </w:tcPr>
                <w:p w14:paraId="063BEC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符合</w:t>
                  </w:r>
                </w:p>
              </w:tc>
            </w:tr>
          </w:tbl>
          <w:p w14:paraId="24DC01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综上，本项目符合《玉溪市生态环境分区管控动态更新调整方案（2023年）》的相关要求。</w:t>
            </w:r>
          </w:p>
          <w:p w14:paraId="34150AF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5</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与《钢铁工业环境保护设计规范》（</w:t>
            </w:r>
            <w:r>
              <w:rPr>
                <w:rFonts w:hint="default" w:ascii="Times New Roman" w:hAnsi="Times New Roman" w:eastAsia="宋体" w:cs="Times New Roman"/>
                <w:b/>
                <w:bCs/>
                <w:sz w:val="24"/>
                <w:szCs w:val="24"/>
                <w:lang w:val="en-US" w:eastAsia="zh-CN"/>
              </w:rPr>
              <w:t>GB50406-2007</w:t>
            </w:r>
            <w:r>
              <w:rPr>
                <w:rFonts w:hint="eastAsia" w:ascii="Times New Roman" w:hAnsi="Times New Roman" w:eastAsia="宋体" w:cs="Times New Roman"/>
                <w:b/>
                <w:bCs/>
                <w:sz w:val="24"/>
                <w:szCs w:val="24"/>
                <w:lang w:val="en-US" w:eastAsia="zh-CN"/>
              </w:rPr>
              <w:t>）的符合性分析</w:t>
            </w:r>
          </w:p>
          <w:p w14:paraId="620E65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钢铁工业环境保护设计规范》中要求：对工艺过程中产生的具有利用价值的可再生资源和二次能源（废气、废水、固体废物、可燃气体、余热、余压等），应按照清洁生产、循环经济的原则，采用有效的综合利用技术，进行回收利用。且建设项目产生的各种污染物的排放，必须满足国家现行有关污染物（因子）排放标准和有关法规的要求。</w:t>
            </w:r>
          </w:p>
          <w:p w14:paraId="3886DB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本项目利用厂内富余高炉、转炉</w:t>
            </w:r>
            <w:r>
              <w:rPr>
                <w:rFonts w:hint="eastAsia" w:cs="Times New Roman"/>
                <w:color w:val="000000"/>
                <w:kern w:val="0"/>
                <w:sz w:val="24"/>
                <w:szCs w:val="24"/>
                <w:lang w:val="en-US" w:eastAsia="zh-CN" w:bidi="ar"/>
              </w:rPr>
              <w:t>及</w:t>
            </w:r>
            <w:r>
              <w:rPr>
                <w:rFonts w:hint="eastAsia" w:ascii="Times New Roman" w:hAnsi="Times New Roman" w:eastAsia="宋体" w:cs="Times New Roman"/>
                <w:color w:val="000000"/>
                <w:kern w:val="0"/>
                <w:sz w:val="24"/>
                <w:szCs w:val="24"/>
                <w:lang w:val="en-US" w:eastAsia="zh-CN" w:bidi="ar"/>
              </w:rPr>
              <w:t>焦炉煤气</w:t>
            </w:r>
            <w:r>
              <w:rPr>
                <w:rFonts w:hint="eastAsia" w:cs="Times New Roman"/>
                <w:color w:val="000000"/>
                <w:kern w:val="0"/>
                <w:sz w:val="24"/>
                <w:szCs w:val="24"/>
                <w:lang w:val="en-US" w:eastAsia="zh-CN" w:bidi="ar"/>
              </w:rPr>
              <w:t>发电</w:t>
            </w:r>
            <w:r>
              <w:rPr>
                <w:rFonts w:hint="eastAsia" w:ascii="Times New Roman" w:hAnsi="Times New Roman" w:eastAsia="宋体" w:cs="Times New Roman"/>
                <w:color w:val="000000"/>
                <w:kern w:val="0"/>
                <w:sz w:val="24"/>
                <w:szCs w:val="24"/>
                <w:lang w:val="en-US" w:eastAsia="zh-CN" w:bidi="ar"/>
              </w:rPr>
              <w:t>，项目建成后全厂不新增大气污染物种类，通过后端治理措施的实施，本项目产生的“三废”通过采取本项目提出的对策措施后，能保证污染物满足国家现行有关污染物（因子）排放标准和有关法规的要求达标排放，符合《钢铁工业环境保护设计规范》。</w:t>
            </w:r>
          </w:p>
          <w:p w14:paraId="7ED288F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6</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与《钢铁行业碳达峰及降碳行动方案》的符合性分析</w:t>
            </w:r>
          </w:p>
          <w:p w14:paraId="22B0BC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行业碳达峰目标初</w:t>
            </w:r>
            <w:r>
              <w:rPr>
                <w:rFonts w:hint="eastAsia" w:cs="Times New Roman"/>
                <w:color w:val="000000"/>
                <w:kern w:val="0"/>
                <w:sz w:val="24"/>
                <w:szCs w:val="24"/>
                <w:lang w:val="en-US" w:eastAsia="zh-CN" w:bidi="ar"/>
              </w:rPr>
              <w:t>步确</w:t>
            </w:r>
            <w:r>
              <w:rPr>
                <w:rFonts w:hint="eastAsia" w:ascii="Times New Roman" w:hAnsi="Times New Roman" w:eastAsia="宋体" w:cs="Times New Roman"/>
                <w:color w:val="000000"/>
                <w:kern w:val="0"/>
                <w:sz w:val="24"/>
                <w:szCs w:val="24"/>
                <w:lang w:val="en-US" w:eastAsia="zh-CN" w:bidi="ar"/>
              </w:rPr>
              <w:t>定为：</w:t>
            </w:r>
            <w:r>
              <w:rPr>
                <w:rFonts w:hint="default" w:ascii="Times New Roman" w:hAnsi="Times New Roman" w:eastAsia="宋体" w:cs="Times New Roman"/>
                <w:color w:val="000000"/>
                <w:kern w:val="0"/>
                <w:sz w:val="24"/>
                <w:szCs w:val="24"/>
                <w:lang w:val="en-US" w:eastAsia="zh-CN" w:bidi="ar"/>
              </w:rPr>
              <w:t>2025</w:t>
            </w:r>
            <w:r>
              <w:rPr>
                <w:rFonts w:hint="eastAsia" w:ascii="Times New Roman" w:hAnsi="Times New Roman" w:eastAsia="宋体" w:cs="Times New Roman"/>
                <w:color w:val="000000"/>
                <w:kern w:val="0"/>
                <w:sz w:val="24"/>
                <w:szCs w:val="24"/>
                <w:lang w:val="en-US" w:eastAsia="zh-CN" w:bidi="ar"/>
              </w:rPr>
              <w:t>年前，钢铁行业实现碳排放达峰；到</w:t>
            </w:r>
            <w:r>
              <w:rPr>
                <w:rFonts w:hint="default" w:ascii="Times New Roman" w:hAnsi="Times New Roman" w:eastAsia="宋体" w:cs="Times New Roman"/>
                <w:color w:val="000000"/>
                <w:kern w:val="0"/>
                <w:sz w:val="24"/>
                <w:szCs w:val="24"/>
                <w:lang w:val="en-US" w:eastAsia="zh-CN" w:bidi="ar"/>
              </w:rPr>
              <w:t>2030</w:t>
            </w:r>
            <w:r>
              <w:rPr>
                <w:rFonts w:hint="eastAsia" w:ascii="Times New Roman" w:hAnsi="Times New Roman" w:eastAsia="宋体" w:cs="Times New Roman"/>
                <w:color w:val="000000"/>
                <w:kern w:val="0"/>
                <w:sz w:val="24"/>
                <w:szCs w:val="24"/>
                <w:lang w:val="en-US" w:eastAsia="zh-CN" w:bidi="ar"/>
              </w:rPr>
              <w:t>年，钢铁行业碳排放量较峰值降低</w:t>
            </w:r>
            <w:r>
              <w:rPr>
                <w:rFonts w:hint="default" w:ascii="Times New Roman" w:hAnsi="Times New Roman" w:eastAsia="宋体" w:cs="Times New Roman"/>
                <w:color w:val="000000"/>
                <w:kern w:val="0"/>
                <w:sz w:val="24"/>
                <w:szCs w:val="24"/>
                <w:lang w:val="en-US" w:eastAsia="zh-CN" w:bidi="ar"/>
              </w:rPr>
              <w:t>30%</w:t>
            </w:r>
            <w:r>
              <w:rPr>
                <w:rFonts w:hint="eastAsia" w:ascii="Times New Roman" w:hAnsi="Times New Roman" w:eastAsia="宋体" w:cs="Times New Roman"/>
                <w:color w:val="000000"/>
                <w:kern w:val="0"/>
                <w:sz w:val="24"/>
                <w:szCs w:val="24"/>
                <w:lang w:val="en-US" w:eastAsia="zh-CN" w:bidi="ar"/>
              </w:rPr>
              <w:t>，预计将实现碳减排量</w:t>
            </w:r>
            <w:r>
              <w:rPr>
                <w:rFonts w:hint="default" w:ascii="Times New Roman" w:hAnsi="Times New Roman" w:eastAsia="宋体" w:cs="Times New Roman"/>
                <w:color w:val="000000"/>
                <w:kern w:val="0"/>
                <w:sz w:val="24"/>
                <w:szCs w:val="24"/>
                <w:lang w:val="en-US" w:eastAsia="zh-CN" w:bidi="ar"/>
              </w:rPr>
              <w:t>4.2</w:t>
            </w:r>
            <w:r>
              <w:rPr>
                <w:rFonts w:hint="eastAsia" w:ascii="Times New Roman" w:hAnsi="Times New Roman" w:eastAsia="宋体" w:cs="Times New Roman"/>
                <w:color w:val="000000"/>
                <w:kern w:val="0"/>
                <w:sz w:val="24"/>
                <w:szCs w:val="24"/>
                <w:lang w:val="en-US" w:eastAsia="zh-CN" w:bidi="ar"/>
              </w:rPr>
              <w:t>亿吨。实现目标有五大路径，分别是推动绿色布局、节能及提升能效、优化用能及流程结构、构建循环经济产业链、应用突破性低碳技术。</w:t>
            </w:r>
          </w:p>
          <w:p w14:paraId="1126B7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本项目充分回收利用高炉、转炉</w:t>
            </w:r>
            <w:r>
              <w:rPr>
                <w:rFonts w:hint="eastAsia" w:cs="Times New Roman"/>
                <w:color w:val="000000"/>
                <w:kern w:val="0"/>
                <w:sz w:val="24"/>
                <w:szCs w:val="24"/>
                <w:lang w:val="en-US" w:eastAsia="zh-CN" w:bidi="ar"/>
              </w:rPr>
              <w:t>及</w:t>
            </w:r>
            <w:r>
              <w:rPr>
                <w:rFonts w:hint="eastAsia" w:ascii="Times New Roman" w:hAnsi="Times New Roman" w:eastAsia="宋体" w:cs="Times New Roman"/>
                <w:color w:val="000000"/>
                <w:kern w:val="0"/>
                <w:sz w:val="24"/>
                <w:szCs w:val="24"/>
                <w:lang w:val="en-US" w:eastAsia="zh-CN" w:bidi="ar"/>
              </w:rPr>
              <w:t>焦炉煤气进行发电，避免煤气资源直接放散，为余气资源综合利用发电项目，煤气发电作为最主要的产能降碳单元，符合钢铁高质量发展要求，且本项目的建设优化了空间布局，提高了企业的自发电率，缓解碳排放问题，同时，新建机组配套低氮燃烧技术，烟气经脱硫系统（</w:t>
            </w:r>
            <w:r>
              <w:rPr>
                <w:rFonts w:hint="eastAsia" w:cs="Times New Roman"/>
                <w:color w:val="000000"/>
                <w:kern w:val="0"/>
                <w:sz w:val="24"/>
                <w:szCs w:val="24"/>
                <w:lang w:val="en-US" w:eastAsia="zh-CN" w:bidi="ar"/>
              </w:rPr>
              <w:t>钙基干法脱硫</w:t>
            </w:r>
            <w:r>
              <w:rPr>
                <w:rFonts w:hint="eastAsia" w:ascii="Times New Roman" w:hAnsi="Times New Roman" w:eastAsia="宋体" w:cs="Times New Roman"/>
                <w:color w:val="000000"/>
                <w:kern w:val="0"/>
                <w:sz w:val="24"/>
                <w:szCs w:val="24"/>
                <w:lang w:val="en-US" w:eastAsia="zh-CN" w:bidi="ar"/>
              </w:rPr>
              <w:t>）和</w:t>
            </w:r>
            <w:r>
              <w:rPr>
                <w:rFonts w:hint="eastAsia" w:cs="Times New Roman"/>
                <w:color w:val="000000"/>
                <w:kern w:val="0"/>
                <w:sz w:val="24"/>
                <w:szCs w:val="24"/>
                <w:lang w:val="en-US" w:eastAsia="zh-CN" w:bidi="ar"/>
              </w:rPr>
              <w:t>布袋除尘</w:t>
            </w:r>
            <w:r>
              <w:rPr>
                <w:rFonts w:hint="eastAsia" w:ascii="Times New Roman" w:hAnsi="Times New Roman" w:eastAsia="宋体" w:cs="Times New Roman"/>
                <w:color w:val="000000"/>
                <w:kern w:val="0"/>
                <w:sz w:val="24"/>
                <w:szCs w:val="24"/>
                <w:lang w:val="en-US" w:eastAsia="zh-CN" w:bidi="ar"/>
              </w:rPr>
              <w:t>处理，烟气排放执行超低排放要求，减少了污染物对环境的排放量。项目建设符合国家及地方产业政策鼓励发展方向，符合《钢铁行业碳达峰及降碳行动方案》。</w:t>
            </w:r>
          </w:p>
          <w:p w14:paraId="58BE632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cs="Times New Roman"/>
                <w:b/>
                <w:bCs/>
                <w:sz w:val="24"/>
                <w:szCs w:val="24"/>
                <w:lang w:val="en-US" w:eastAsia="zh-CN"/>
              </w:rPr>
              <w:t>与《关于推进实施钢铁行业超低排放的意见》（环大气〔</w:t>
            </w:r>
            <w:r>
              <w:rPr>
                <w:rFonts w:hint="default" w:cs="Times New Roman"/>
                <w:b/>
                <w:bCs/>
                <w:sz w:val="24"/>
                <w:szCs w:val="24"/>
                <w:lang w:val="en-US" w:eastAsia="zh-CN"/>
              </w:rPr>
              <w:t>2019</w:t>
            </w:r>
            <w:r>
              <w:rPr>
                <w:rFonts w:hint="eastAsia" w:cs="Times New Roman"/>
                <w:b/>
                <w:bCs/>
                <w:sz w:val="24"/>
                <w:szCs w:val="24"/>
                <w:lang w:val="en-US" w:eastAsia="zh-CN"/>
              </w:rPr>
              <w:t>〕</w:t>
            </w:r>
            <w:r>
              <w:rPr>
                <w:rFonts w:hint="default" w:cs="Times New Roman"/>
                <w:b/>
                <w:bCs/>
                <w:sz w:val="24"/>
                <w:szCs w:val="24"/>
                <w:lang w:val="en-US" w:eastAsia="zh-CN"/>
              </w:rPr>
              <w:t>35</w:t>
            </w:r>
            <w:r>
              <w:rPr>
                <w:rFonts w:hint="eastAsia" w:cs="Times New Roman"/>
                <w:b/>
                <w:bCs/>
                <w:sz w:val="24"/>
                <w:szCs w:val="24"/>
                <w:lang w:val="en-US" w:eastAsia="zh-CN"/>
              </w:rPr>
              <w:t>号）符合性分析</w:t>
            </w:r>
          </w:p>
          <w:p w14:paraId="72131A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国家生态环境部发布的《关于推进实施钢铁行业超低排放的意见》要求，具体如下表所示。</w:t>
            </w:r>
          </w:p>
          <w:p w14:paraId="39EB7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表1-5 本项目与钢铁行业超低排放的意见符合性对比一览表</w:t>
            </w:r>
          </w:p>
          <w:tbl>
            <w:tblPr>
              <w:tblStyle w:val="18"/>
              <w:tblW w:w="72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509"/>
              <w:gridCol w:w="3213"/>
              <w:gridCol w:w="2086"/>
              <w:gridCol w:w="803"/>
            </w:tblGrid>
            <w:tr w14:paraId="25318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l2br w:val="nil"/>
                    <w:tr2bl w:val="nil"/>
                  </w:tcBorders>
                  <w:vAlign w:val="center"/>
                </w:tcPr>
                <w:p w14:paraId="1FF81E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序号</w:t>
                  </w:r>
                </w:p>
              </w:tc>
              <w:tc>
                <w:tcPr>
                  <w:tcW w:w="3722" w:type="dxa"/>
                  <w:gridSpan w:val="2"/>
                  <w:tcBorders>
                    <w:tl2br w:val="nil"/>
                    <w:tr2bl w:val="nil"/>
                  </w:tcBorders>
                  <w:vAlign w:val="center"/>
                </w:tcPr>
                <w:p w14:paraId="089ECD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相关要求</w:t>
                  </w:r>
                </w:p>
              </w:tc>
              <w:tc>
                <w:tcPr>
                  <w:tcW w:w="2086" w:type="dxa"/>
                  <w:tcBorders>
                    <w:tl2br w:val="nil"/>
                    <w:tr2bl w:val="nil"/>
                  </w:tcBorders>
                  <w:vAlign w:val="center"/>
                </w:tcPr>
                <w:p w14:paraId="651FEBE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本项目情况</w:t>
                  </w:r>
                </w:p>
              </w:tc>
              <w:tc>
                <w:tcPr>
                  <w:tcW w:w="803" w:type="dxa"/>
                  <w:tcBorders>
                    <w:tl2br w:val="nil"/>
                    <w:tr2bl w:val="nil"/>
                  </w:tcBorders>
                  <w:vAlign w:val="center"/>
                </w:tcPr>
                <w:p w14:paraId="135D28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结论</w:t>
                  </w:r>
                </w:p>
              </w:tc>
            </w:tr>
            <w:tr w14:paraId="77A1B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l2br w:val="nil"/>
                    <w:tr2bl w:val="nil"/>
                  </w:tcBorders>
                  <w:vAlign w:val="center"/>
                </w:tcPr>
                <w:p w14:paraId="3C6DF1B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1</w:t>
                  </w:r>
                </w:p>
              </w:tc>
              <w:tc>
                <w:tcPr>
                  <w:tcW w:w="509" w:type="dxa"/>
                  <w:tcBorders>
                    <w:tl2br w:val="nil"/>
                    <w:tr2bl w:val="nil"/>
                  </w:tcBorders>
                  <w:vAlign w:val="center"/>
                </w:tcPr>
                <w:p w14:paraId="3572F1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主要目标</w:t>
                  </w:r>
                </w:p>
              </w:tc>
              <w:tc>
                <w:tcPr>
                  <w:tcW w:w="3213" w:type="dxa"/>
                  <w:tcBorders>
                    <w:tl2br w:val="nil"/>
                    <w:tr2bl w:val="nil"/>
                  </w:tcBorders>
                  <w:vAlign w:val="center"/>
                </w:tcPr>
                <w:p w14:paraId="54F5BE3D">
                  <w:pPr>
                    <w:keepNext w:val="0"/>
                    <w:keepLines w:val="0"/>
                    <w:widowControl/>
                    <w:suppressLineNumbers w:val="0"/>
                    <w:jc w:val="center"/>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全国新建（含搬迁）钢铁项目原则上要达到超低排放水平。推动现有钢铁企业超低排放改造，到2020年底前，重点区域钢铁企业超低排放改造取得明显进展，力争60%左右产能完成改造，有序推进其他地区钢铁企业超低排放改造工作；到2025年底前，重点区域钢铁企业超低排放改造基本完成，全国力争80%以上产能完成改造。</w:t>
                  </w:r>
                </w:p>
              </w:tc>
              <w:tc>
                <w:tcPr>
                  <w:tcW w:w="2086" w:type="dxa"/>
                  <w:tcBorders>
                    <w:tl2br w:val="nil"/>
                    <w:tr2bl w:val="nil"/>
                  </w:tcBorders>
                  <w:vAlign w:val="center"/>
                </w:tcPr>
                <w:p w14:paraId="4F5F0782">
                  <w:pPr>
                    <w:keepNext w:val="0"/>
                    <w:keepLines w:val="0"/>
                    <w:widowControl/>
                    <w:suppressLineNumbers w:val="0"/>
                    <w:jc w:val="center"/>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本项目位于云南省玉溪市新平县扬武镇大开门</w:t>
                  </w:r>
                  <w:r>
                    <w:rPr>
                      <w:rFonts w:hint="eastAsia" w:cs="Times New Roman"/>
                      <w:color w:val="000000"/>
                      <w:kern w:val="0"/>
                      <w:sz w:val="18"/>
                      <w:szCs w:val="18"/>
                      <w:lang w:val="en-US" w:eastAsia="zh-CN" w:bidi="ar"/>
                    </w:rPr>
                    <w:t>云南新平产业园区绿色钢城片区</w:t>
                  </w:r>
                  <w:r>
                    <w:rPr>
                      <w:rFonts w:hint="default" w:ascii="Times New Roman" w:hAnsi="Times New Roman" w:eastAsia="宋体" w:cs="Times New Roman"/>
                      <w:color w:val="000000"/>
                      <w:kern w:val="0"/>
                      <w:sz w:val="18"/>
                      <w:szCs w:val="18"/>
                      <w:lang w:val="en-US" w:eastAsia="zh-CN" w:bidi="ar"/>
                    </w:rPr>
                    <w:t>，本项目排放的污染物标准按照超低排放要求执行。</w:t>
                  </w:r>
                </w:p>
              </w:tc>
              <w:tc>
                <w:tcPr>
                  <w:tcW w:w="803" w:type="dxa"/>
                  <w:tcBorders>
                    <w:tl2br w:val="nil"/>
                    <w:tr2bl w:val="nil"/>
                  </w:tcBorders>
                  <w:vAlign w:val="center"/>
                </w:tcPr>
                <w:p w14:paraId="029AFF3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r w14:paraId="3606A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l2br w:val="nil"/>
                    <w:tr2bl w:val="nil"/>
                  </w:tcBorders>
                  <w:vAlign w:val="center"/>
                </w:tcPr>
                <w:p w14:paraId="311633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2</w:t>
                  </w:r>
                </w:p>
              </w:tc>
              <w:tc>
                <w:tcPr>
                  <w:tcW w:w="509" w:type="dxa"/>
                  <w:tcBorders>
                    <w:tl2br w:val="nil"/>
                    <w:tr2bl w:val="nil"/>
                  </w:tcBorders>
                  <w:vAlign w:val="center"/>
                </w:tcPr>
                <w:p w14:paraId="08B39A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有组织排放控制要求</w:t>
                  </w:r>
                </w:p>
              </w:tc>
              <w:tc>
                <w:tcPr>
                  <w:tcW w:w="3213" w:type="dxa"/>
                  <w:tcBorders>
                    <w:tl2br w:val="nil"/>
                    <w:tr2bl w:val="nil"/>
                  </w:tcBorders>
                  <w:vAlign w:val="center"/>
                </w:tcPr>
                <w:p w14:paraId="69331508">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烧结机机头、球团焙烧烟气颗粒物、二氧化硫、氮氧化物排放浓度小时均值分别不高于</w:t>
                  </w: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35</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50</w:t>
                  </w:r>
                  <w:r>
                    <w:rPr>
                      <w:rFonts w:hint="eastAsia" w:ascii="Times New Roman" w:hAnsi="Times New Roman" w:eastAsia="宋体" w:cs="Times New Roman"/>
                      <w:color w:val="000000"/>
                      <w:kern w:val="0"/>
                      <w:sz w:val="18"/>
                      <w:szCs w:val="18"/>
                      <w:lang w:val="en-US" w:eastAsia="zh-CN" w:bidi="ar"/>
                    </w:rPr>
                    <w:t>毫克</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Times New Roman"/>
                      <w:color w:val="000000"/>
                      <w:kern w:val="0"/>
                      <w:sz w:val="18"/>
                      <w:szCs w:val="18"/>
                      <w:lang w:val="en-US" w:eastAsia="zh-CN" w:bidi="ar"/>
                    </w:rPr>
                    <w:t>立方米；其他主要污染源颗粒物、二氧化硫、氮氧化物排放浓度小时均值原则上分别不高于</w:t>
                  </w: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50</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200</w:t>
                  </w:r>
                  <w:r>
                    <w:rPr>
                      <w:rFonts w:hint="eastAsia" w:ascii="Times New Roman" w:hAnsi="Times New Roman" w:eastAsia="宋体" w:cs="Times New Roman"/>
                      <w:color w:val="000000"/>
                      <w:kern w:val="0"/>
                      <w:sz w:val="18"/>
                      <w:szCs w:val="18"/>
                      <w:lang w:val="en-US" w:eastAsia="zh-CN" w:bidi="ar"/>
                    </w:rPr>
                    <w:t>毫克</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Times New Roman"/>
                      <w:color w:val="000000"/>
                      <w:kern w:val="0"/>
                      <w:sz w:val="18"/>
                      <w:szCs w:val="18"/>
                      <w:lang w:val="en-US" w:eastAsia="zh-CN" w:bidi="ar"/>
                    </w:rPr>
                    <w:t>立方米。达到超低排放的钢铁企业每月至少</w:t>
                  </w:r>
                  <w:r>
                    <w:rPr>
                      <w:rFonts w:hint="default" w:ascii="Times New Roman" w:hAnsi="Times New Roman" w:eastAsia="宋体" w:cs="Times New Roman"/>
                      <w:color w:val="000000"/>
                      <w:kern w:val="0"/>
                      <w:sz w:val="18"/>
                      <w:szCs w:val="18"/>
                      <w:lang w:val="en-US" w:eastAsia="zh-CN" w:bidi="ar"/>
                    </w:rPr>
                    <w:t>95%</w:t>
                  </w:r>
                  <w:r>
                    <w:rPr>
                      <w:rFonts w:hint="eastAsia" w:ascii="Times New Roman" w:hAnsi="Times New Roman" w:eastAsia="宋体" w:cs="Times New Roman"/>
                      <w:color w:val="000000"/>
                      <w:kern w:val="0"/>
                      <w:sz w:val="18"/>
                      <w:szCs w:val="18"/>
                      <w:lang w:val="en-US" w:eastAsia="zh-CN" w:bidi="ar"/>
                    </w:rPr>
                    <w:t>以上时段小时均值排放浓度满足上述要求。</w:t>
                  </w:r>
                </w:p>
              </w:tc>
              <w:tc>
                <w:tcPr>
                  <w:tcW w:w="2086" w:type="dxa"/>
                  <w:tcBorders>
                    <w:tl2br w:val="nil"/>
                    <w:tr2bl w:val="nil"/>
                  </w:tcBorders>
                  <w:vAlign w:val="center"/>
                </w:tcPr>
                <w:p w14:paraId="1FCF212F">
                  <w:pPr>
                    <w:keepNext w:val="0"/>
                    <w:keepLines w:val="0"/>
                    <w:widowControl/>
                    <w:suppressLineNumbers w:val="0"/>
                    <w:jc w:val="center"/>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lang w:val="en-US" w:eastAsia="zh-CN" w:bidi="ar"/>
                    </w:rPr>
                    <w:t>本项目锅炉烟气排放的污染物颗粒物、</w:t>
                  </w:r>
                  <w:r>
                    <w:rPr>
                      <w:rFonts w:hint="default" w:ascii="Times New Roman" w:hAnsi="Times New Roman" w:eastAsia="宋体" w:cs="Times New Roman"/>
                      <w:color w:val="000000"/>
                      <w:kern w:val="0"/>
                      <w:sz w:val="18"/>
                      <w:szCs w:val="18"/>
                      <w:lang w:val="en-US" w:eastAsia="zh-CN" w:bidi="ar"/>
                    </w:rPr>
                    <w:t>SO</w:t>
                  </w:r>
                  <w:r>
                    <w:rPr>
                      <w:rFonts w:hint="default" w:ascii="Times New Roman" w:hAnsi="Times New Roman" w:eastAsia="宋体" w:cs="Times New Roman"/>
                      <w:color w:val="000000"/>
                      <w:kern w:val="0"/>
                      <w:sz w:val="18"/>
                      <w:szCs w:val="18"/>
                      <w:vertAlign w:val="subscript"/>
                      <w:lang w:val="en-US" w:eastAsia="zh-CN" w:bidi="ar"/>
                    </w:rPr>
                    <w:t>2</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NO</w:t>
                  </w:r>
                  <w:r>
                    <w:rPr>
                      <w:rFonts w:hint="eastAsia" w:cs="Times New Roman"/>
                      <w:color w:val="000000"/>
                      <w:kern w:val="0"/>
                      <w:sz w:val="18"/>
                      <w:szCs w:val="18"/>
                      <w:lang w:val="en-US" w:eastAsia="zh-CN" w:bidi="ar"/>
                    </w:rPr>
                    <w:t>x</w:t>
                  </w:r>
                  <w:r>
                    <w:rPr>
                      <w:rFonts w:hint="eastAsia" w:ascii="Times New Roman" w:hAnsi="Times New Roman" w:eastAsia="宋体" w:cs="Times New Roman"/>
                      <w:color w:val="000000"/>
                      <w:kern w:val="0"/>
                      <w:sz w:val="18"/>
                      <w:szCs w:val="18"/>
                      <w:lang w:val="en-US" w:eastAsia="zh-CN" w:bidi="ar"/>
                    </w:rPr>
                    <w:t>排放浓度均满足《关于推进实施钢铁行业超低排放的意见》（环大气〔</w:t>
                  </w:r>
                  <w:r>
                    <w:rPr>
                      <w:rFonts w:hint="default" w:ascii="Times New Roman" w:hAnsi="Times New Roman" w:eastAsia="宋体" w:cs="Times New Roman"/>
                      <w:color w:val="000000"/>
                      <w:kern w:val="0"/>
                      <w:sz w:val="18"/>
                      <w:szCs w:val="18"/>
                      <w:lang w:val="en-US" w:eastAsia="zh-CN" w:bidi="ar"/>
                    </w:rPr>
                    <w:t>2019</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35</w:t>
                  </w:r>
                  <w:r>
                    <w:rPr>
                      <w:rFonts w:hint="eastAsia" w:ascii="Times New Roman" w:hAnsi="Times New Roman" w:eastAsia="宋体" w:cs="Times New Roman"/>
                      <w:color w:val="000000"/>
                      <w:kern w:val="0"/>
                      <w:sz w:val="18"/>
                      <w:szCs w:val="18"/>
                      <w:lang w:val="en-US" w:eastAsia="zh-CN" w:bidi="ar"/>
                    </w:rPr>
                    <w:t>号）中</w:t>
                  </w:r>
                  <w:r>
                    <w:rPr>
                      <w:rFonts w:hint="eastAsia" w:cs="Times New Roman"/>
                      <w:color w:val="000000"/>
                      <w:kern w:val="0"/>
                      <w:sz w:val="18"/>
                      <w:szCs w:val="18"/>
                      <w:lang w:val="en-US" w:eastAsia="zh-CN" w:bidi="ar"/>
                    </w:rPr>
                    <w:t>自备电厂燃气锅炉排放标准限值，即颗粒物5</w:t>
                  </w:r>
                  <w:r>
                    <w:rPr>
                      <w:rFonts w:hint="default" w:ascii="Times New Roman" w:hAnsi="Times New Roman" w:eastAsia="宋体" w:cs="Times New Roman"/>
                      <w:color w:val="000000"/>
                      <w:kern w:val="0"/>
                      <w:sz w:val="18"/>
                      <w:szCs w:val="18"/>
                      <w:lang w:val="en-US" w:eastAsia="zh-CN" w:bidi="ar"/>
                    </w:rPr>
                    <w:t>mg/m</w:t>
                  </w:r>
                  <w:r>
                    <w:rPr>
                      <w:rFonts w:hint="default"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SO</w:t>
                  </w:r>
                  <w:r>
                    <w:rPr>
                      <w:rFonts w:hint="default" w:ascii="Times New Roman" w:hAnsi="Times New Roman" w:eastAsia="宋体" w:cs="Times New Roman"/>
                      <w:color w:val="000000"/>
                      <w:kern w:val="0"/>
                      <w:sz w:val="18"/>
                      <w:szCs w:val="18"/>
                      <w:vertAlign w:val="subscript"/>
                      <w:lang w:val="en-US" w:eastAsia="zh-CN" w:bidi="ar"/>
                    </w:rPr>
                    <w:t>2</w:t>
                  </w:r>
                  <w:r>
                    <w:rPr>
                      <w:rFonts w:hint="eastAsia" w:cs="Times New Roman"/>
                      <w:color w:val="000000"/>
                      <w:kern w:val="0"/>
                      <w:sz w:val="18"/>
                      <w:szCs w:val="18"/>
                      <w:lang w:val="en-US" w:eastAsia="zh-CN" w:bidi="ar"/>
                    </w:rPr>
                    <w:t>35</w:t>
                  </w:r>
                  <w:r>
                    <w:rPr>
                      <w:rFonts w:hint="default" w:ascii="Times New Roman" w:hAnsi="Times New Roman" w:eastAsia="宋体" w:cs="Times New Roman"/>
                      <w:color w:val="000000"/>
                      <w:kern w:val="0"/>
                      <w:sz w:val="18"/>
                      <w:szCs w:val="18"/>
                      <w:lang w:val="en-US" w:eastAsia="zh-CN" w:bidi="ar"/>
                    </w:rPr>
                    <w:t>mg/m</w:t>
                  </w:r>
                  <w:r>
                    <w:rPr>
                      <w:rFonts w:hint="default"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NO</w:t>
                  </w:r>
                  <w:r>
                    <w:rPr>
                      <w:rFonts w:hint="eastAsia" w:cs="Times New Roman"/>
                      <w:color w:val="000000"/>
                      <w:kern w:val="0"/>
                      <w:sz w:val="18"/>
                      <w:szCs w:val="18"/>
                      <w:lang w:val="en-US" w:eastAsia="zh-CN" w:bidi="ar"/>
                    </w:rPr>
                    <w:t>x50</w:t>
                  </w:r>
                  <w:r>
                    <w:rPr>
                      <w:rFonts w:hint="default" w:ascii="Times New Roman" w:hAnsi="Times New Roman" w:eastAsia="宋体" w:cs="Times New Roman"/>
                      <w:color w:val="000000"/>
                      <w:kern w:val="0"/>
                      <w:sz w:val="18"/>
                      <w:szCs w:val="18"/>
                      <w:lang w:val="en-US" w:eastAsia="zh-CN" w:bidi="ar"/>
                    </w:rPr>
                    <w:t>mg/m</w:t>
                  </w:r>
                  <w:r>
                    <w:rPr>
                      <w:rFonts w:hint="default" w:ascii="Times New Roman" w:hAnsi="Times New Roman" w:eastAsia="宋体" w:cs="Times New Roman"/>
                      <w:color w:val="000000"/>
                      <w:kern w:val="0"/>
                      <w:sz w:val="18"/>
                      <w:szCs w:val="18"/>
                      <w:vertAlign w:val="superscript"/>
                      <w:lang w:val="en-US" w:eastAsia="zh-CN" w:bidi="ar"/>
                    </w:rPr>
                    <w:t>3</w:t>
                  </w:r>
                  <w:r>
                    <w:rPr>
                      <w:rFonts w:hint="eastAsia" w:cs="Times New Roman"/>
                      <w:color w:val="000000"/>
                      <w:kern w:val="0"/>
                      <w:sz w:val="18"/>
                      <w:szCs w:val="18"/>
                      <w:vertAlign w:val="baseline"/>
                      <w:lang w:val="en-US" w:eastAsia="zh-CN" w:bidi="ar"/>
                    </w:rPr>
                    <w:t>。</w:t>
                  </w:r>
                </w:p>
              </w:tc>
              <w:tc>
                <w:tcPr>
                  <w:tcW w:w="803" w:type="dxa"/>
                  <w:tcBorders>
                    <w:tl2br w:val="nil"/>
                    <w:tr2bl w:val="nil"/>
                  </w:tcBorders>
                  <w:vAlign w:val="center"/>
                </w:tcPr>
                <w:p w14:paraId="157FA84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r w14:paraId="7CF13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vMerge w:val="restart"/>
                  <w:tcBorders>
                    <w:tl2br w:val="nil"/>
                    <w:tr2bl w:val="nil"/>
                  </w:tcBorders>
                  <w:vAlign w:val="center"/>
                </w:tcPr>
                <w:p w14:paraId="670A70F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3</w:t>
                  </w:r>
                </w:p>
              </w:tc>
              <w:tc>
                <w:tcPr>
                  <w:tcW w:w="509" w:type="dxa"/>
                  <w:vMerge w:val="restart"/>
                  <w:tcBorders>
                    <w:tl2br w:val="nil"/>
                    <w:tr2bl w:val="nil"/>
                  </w:tcBorders>
                  <w:vAlign w:val="center"/>
                </w:tcPr>
                <w:p w14:paraId="3C68B2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无组织排放控制措施</w:t>
                  </w:r>
                </w:p>
              </w:tc>
              <w:tc>
                <w:tcPr>
                  <w:tcW w:w="3213" w:type="dxa"/>
                  <w:tcBorders>
                    <w:tl2br w:val="nil"/>
                    <w:tr2bl w:val="nil"/>
                  </w:tcBorders>
                  <w:vAlign w:val="center"/>
                </w:tcPr>
                <w:p w14:paraId="4AA837D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物料储存。石灰、除尘灰、脱硫灰、粉煤灰等粉状物料，应采用料仓、储罐等方式密闭储存。铁精矿、煤、焦炭、烧结矿、球团矿、石灰石、白云石、铁合金、钢渣、脱硫石膏等块状或粘湿物料，应采用密闭料仓或封闭料棚等方式储存。其他干渣堆存应采用喷淋（雾）等抑尘措施。</w:t>
                  </w:r>
                </w:p>
              </w:tc>
              <w:tc>
                <w:tcPr>
                  <w:tcW w:w="2086" w:type="dxa"/>
                  <w:tcBorders>
                    <w:tl2br w:val="nil"/>
                    <w:tr2bl w:val="nil"/>
                  </w:tcBorders>
                  <w:vAlign w:val="center"/>
                </w:tcPr>
                <w:p w14:paraId="08647C04">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b w:val="0"/>
                      <w:bCs w:val="0"/>
                      <w:color w:val="auto"/>
                      <w:kern w:val="0"/>
                      <w:sz w:val="18"/>
                      <w:szCs w:val="18"/>
                      <w:lang w:val="en-US" w:eastAsia="zh-CN" w:bidi="ar"/>
                    </w:rPr>
                    <w:t>本项目除尘灰、脱硫灰等粉状物料采用料仓密闭储存，</w:t>
                  </w:r>
                  <w:r>
                    <w:rPr>
                      <w:rFonts w:hint="eastAsia" w:ascii="Times New Roman" w:hAnsi="Times New Roman" w:eastAsia="宋体" w:cs="Times New Roman"/>
                      <w:b w:val="0"/>
                      <w:bCs w:val="0"/>
                      <w:color w:val="auto"/>
                      <w:kern w:val="0"/>
                      <w:sz w:val="18"/>
                      <w:szCs w:val="18"/>
                      <w:lang w:val="en-US" w:eastAsia="zh-CN" w:bidi="ar"/>
                    </w:rPr>
                    <w:t>脱硫灰储存于灰仓内，</w:t>
                  </w:r>
                  <w:r>
                    <w:rPr>
                      <w:rFonts w:hint="eastAsia" w:cs="Times New Roman"/>
                      <w:sz w:val="18"/>
                      <w:szCs w:val="18"/>
                      <w:vertAlign w:val="baseline"/>
                      <w:lang w:val="en-US" w:eastAsia="zh-CN"/>
                    </w:rPr>
                    <w:t>灰仓粉尘和锅炉烟气一同处理后通过80m烟囱排放。</w:t>
                  </w:r>
                </w:p>
              </w:tc>
              <w:tc>
                <w:tcPr>
                  <w:tcW w:w="803" w:type="dxa"/>
                  <w:tcBorders>
                    <w:tl2br w:val="nil"/>
                    <w:tr2bl w:val="nil"/>
                  </w:tcBorders>
                  <w:vAlign w:val="center"/>
                </w:tcPr>
                <w:p w14:paraId="668A4A17">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7A25E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vMerge w:val="continue"/>
                  <w:tcBorders>
                    <w:tl2br w:val="nil"/>
                    <w:tr2bl w:val="nil"/>
                  </w:tcBorders>
                  <w:vAlign w:val="center"/>
                </w:tcPr>
                <w:p w14:paraId="4D8A53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509" w:type="dxa"/>
                  <w:vMerge w:val="continue"/>
                  <w:tcBorders>
                    <w:tl2br w:val="nil"/>
                    <w:tr2bl w:val="nil"/>
                  </w:tcBorders>
                  <w:vAlign w:val="center"/>
                </w:tcPr>
                <w:p w14:paraId="58E047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3213" w:type="dxa"/>
                  <w:tcBorders>
                    <w:tl2br w:val="nil"/>
                    <w:tr2bl w:val="nil"/>
                  </w:tcBorders>
                  <w:vAlign w:val="center"/>
                </w:tcPr>
                <w:p w14:paraId="46EBE9A9">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物料输送。石灰、除尘灰、脱硫灰、粉煤灰等粉状物料，应采用管状带式输送机、气力输送设备、罐车等方式密闭输送。铁精矿、煤、焦炭、烧结矿、球团矿、石灰石、白云石、铁合金、高炉渣、钢渣、脱硫石膏等块状或粘湿物料，应采用管状带式输送机等方式密闭输送，或采用皮带通廊等方式封闭输送；确需汽车运输的，应使用封闭车厢或苫盖严密，装卸车时应采取加湿等抑尘措施。物料输送落料点等应配备集气罩和除尘设施，或采取喷雾等抑尘措施。料场出口应设置车轮和车身清洗设施。厂区道路应硬化，并采取清扫、洒水等措施，保持清洁。</w:t>
                  </w:r>
                </w:p>
              </w:tc>
              <w:tc>
                <w:tcPr>
                  <w:tcW w:w="2086" w:type="dxa"/>
                  <w:tcBorders>
                    <w:tl2br w:val="nil"/>
                    <w:tr2bl w:val="nil"/>
                  </w:tcBorders>
                  <w:vAlign w:val="center"/>
                </w:tcPr>
                <w:p w14:paraId="5F9309D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w:t>
                  </w:r>
                  <w:r>
                    <w:rPr>
                      <w:rFonts w:hint="eastAsia" w:cs="Times New Roman"/>
                      <w:color w:val="000000"/>
                      <w:kern w:val="0"/>
                      <w:sz w:val="18"/>
                      <w:szCs w:val="18"/>
                      <w:lang w:val="en-US" w:eastAsia="zh-CN" w:bidi="ar"/>
                    </w:rPr>
                    <w:t>高活性氢氧化钙</w:t>
                  </w:r>
                  <w:r>
                    <w:rPr>
                      <w:rFonts w:hint="eastAsia" w:ascii="Times New Roman" w:hAnsi="Times New Roman" w:eastAsia="宋体" w:cs="Times New Roman"/>
                      <w:color w:val="000000"/>
                      <w:kern w:val="0"/>
                      <w:sz w:val="18"/>
                      <w:szCs w:val="18"/>
                      <w:lang w:val="en-US" w:eastAsia="zh-CN" w:bidi="ar"/>
                    </w:rPr>
                    <w:t>采用筒仓密闭储存、密闭输送方式，不涉及露天装卸或倒运物料。</w:t>
                  </w:r>
                  <w:r>
                    <w:rPr>
                      <w:rFonts w:hint="eastAsia" w:cs="Times New Roman"/>
                      <w:color w:val="000000"/>
                      <w:kern w:val="0"/>
                      <w:sz w:val="18"/>
                      <w:szCs w:val="18"/>
                      <w:lang w:val="en-US" w:eastAsia="zh-CN" w:bidi="ar"/>
                    </w:rPr>
                    <w:t>脱硫灰收集暂存于密闭灰仓内，包装间打包堆存。</w:t>
                  </w:r>
                  <w:r>
                    <w:rPr>
                      <w:rFonts w:hint="eastAsia" w:ascii="Times New Roman" w:hAnsi="Times New Roman" w:eastAsia="宋体" w:cs="Times New Roman"/>
                      <w:color w:val="000000"/>
                      <w:kern w:val="0"/>
                      <w:sz w:val="18"/>
                      <w:szCs w:val="18"/>
                      <w:lang w:val="en-US" w:eastAsia="zh-CN" w:bidi="ar"/>
                    </w:rPr>
                    <w:t>汽车运输使用封闭车厢或苫盖严密，装卸车时采取加湿等抑尘措施。厂区道路硬化，并采取清扫、洒水等措施，保持清洁。</w:t>
                  </w:r>
                </w:p>
              </w:tc>
              <w:tc>
                <w:tcPr>
                  <w:tcW w:w="803" w:type="dxa"/>
                  <w:tcBorders>
                    <w:tl2br w:val="nil"/>
                    <w:tr2bl w:val="nil"/>
                  </w:tcBorders>
                  <w:vAlign w:val="center"/>
                </w:tcPr>
                <w:p w14:paraId="114B1A8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r w14:paraId="663CF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vMerge w:val="continue"/>
                  <w:tcBorders>
                    <w:tl2br w:val="nil"/>
                    <w:tr2bl w:val="nil"/>
                  </w:tcBorders>
                  <w:vAlign w:val="center"/>
                </w:tcPr>
                <w:p w14:paraId="6A446AC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509" w:type="dxa"/>
                  <w:vMerge w:val="continue"/>
                  <w:tcBorders>
                    <w:tl2br w:val="nil"/>
                    <w:tr2bl w:val="nil"/>
                  </w:tcBorders>
                  <w:vAlign w:val="center"/>
                </w:tcPr>
                <w:p w14:paraId="2D964D8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3213" w:type="dxa"/>
                  <w:tcBorders>
                    <w:tl2br w:val="nil"/>
                    <w:tr2bl w:val="nil"/>
                  </w:tcBorders>
                  <w:vAlign w:val="center"/>
                </w:tcPr>
                <w:p w14:paraId="132CE6A0">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生产工艺过程。烧结、球团、炼铁、焦化等工序的物料破碎、筛分、混合等设备应设置密闭罩，并配备除尘设施。烧结机、烧结矿环冷机、球团焙烧设备，高炉炉顶上料、矿槽、高炉出铁场，混铁炉、炼钢铁水预处理、转炉、电炉、精炼炉，高炉出铁场平台应封闭或半封闭，铁沟、渣沟应加盖封闭；炼钢车间应封闭，设置屋顶罩并配备除尘设施。高炉炉顶料罐均压放散废气应采取回收或净化措施。废钢切割应在封闭空间内进行，设置集气罩，并配备除尘设施。</w:t>
                  </w:r>
                </w:p>
              </w:tc>
              <w:tc>
                <w:tcPr>
                  <w:tcW w:w="2086" w:type="dxa"/>
                  <w:tcBorders>
                    <w:tl2br w:val="nil"/>
                    <w:tr2bl w:val="nil"/>
                  </w:tcBorders>
                  <w:vAlign w:val="center"/>
                </w:tcPr>
                <w:p w14:paraId="40030BD5">
                  <w:pPr>
                    <w:keepNext w:val="0"/>
                    <w:keepLines w:val="0"/>
                    <w:widowControl/>
                    <w:suppressLineNumbers w:val="0"/>
                    <w:jc w:val="center"/>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color w:val="000000"/>
                      <w:kern w:val="0"/>
                      <w:sz w:val="18"/>
                      <w:szCs w:val="18"/>
                      <w:lang w:val="en-US" w:eastAsia="zh-CN" w:bidi="ar"/>
                    </w:rPr>
                    <w:t>本项目不涉及</w:t>
                  </w:r>
                </w:p>
              </w:tc>
              <w:tc>
                <w:tcPr>
                  <w:tcW w:w="803" w:type="dxa"/>
                  <w:tcBorders>
                    <w:tl2br w:val="nil"/>
                    <w:tr2bl w:val="nil"/>
                  </w:tcBorders>
                  <w:vAlign w:val="center"/>
                </w:tcPr>
                <w:p w14:paraId="407A31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w:t>
                  </w:r>
                </w:p>
              </w:tc>
            </w:tr>
            <w:tr w14:paraId="01E85E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l2br w:val="nil"/>
                    <w:tr2bl w:val="nil"/>
                  </w:tcBorders>
                  <w:vAlign w:val="center"/>
                </w:tcPr>
                <w:p w14:paraId="40BBA5B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4</w:t>
                  </w:r>
                </w:p>
              </w:tc>
              <w:tc>
                <w:tcPr>
                  <w:tcW w:w="509" w:type="dxa"/>
                  <w:tcBorders>
                    <w:tl2br w:val="nil"/>
                    <w:tr2bl w:val="nil"/>
                  </w:tcBorders>
                  <w:vAlign w:val="center"/>
                </w:tcPr>
                <w:p w14:paraId="68C7D88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大宗物料产品清洁运输要求</w:t>
                  </w:r>
                </w:p>
              </w:tc>
              <w:tc>
                <w:tcPr>
                  <w:tcW w:w="3213" w:type="dxa"/>
                  <w:tcBorders>
                    <w:tl2br w:val="nil"/>
                    <w:tr2bl w:val="nil"/>
                  </w:tcBorders>
                  <w:vAlign w:val="center"/>
                </w:tcPr>
                <w:p w14:paraId="0F785AC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进出钢铁企业的铁精矿、煤炭、焦炭等大宗物料和产品采用铁路、水路、管道或管状带式输送机等清洁方式运输比例不低于</w:t>
                  </w:r>
                  <w:r>
                    <w:rPr>
                      <w:rFonts w:hint="default" w:ascii="Times New Roman" w:hAnsi="Times New Roman" w:eastAsia="宋体" w:cs="Times New Roman"/>
                      <w:color w:val="000000"/>
                      <w:kern w:val="0"/>
                      <w:sz w:val="18"/>
                      <w:szCs w:val="18"/>
                      <w:lang w:val="en-US" w:eastAsia="zh-CN" w:bidi="ar"/>
                    </w:rPr>
                    <w:t>80%</w:t>
                  </w:r>
                  <w:r>
                    <w:rPr>
                      <w:rFonts w:hint="eastAsia" w:ascii="Times New Roman" w:hAnsi="Times New Roman" w:eastAsia="宋体" w:cs="Times New Roman"/>
                      <w:color w:val="000000"/>
                      <w:kern w:val="0"/>
                      <w:sz w:val="18"/>
                      <w:szCs w:val="18"/>
                      <w:lang w:val="en-US" w:eastAsia="zh-CN" w:bidi="ar"/>
                    </w:rPr>
                    <w:t>；达不到的，汽车运输部分应全部采用新能源汽车或达到国六排放标准的汽车（</w:t>
                  </w:r>
                  <w:r>
                    <w:rPr>
                      <w:rFonts w:hint="default" w:ascii="Times New Roman" w:hAnsi="Times New Roman" w:eastAsia="宋体" w:cs="Times New Roman"/>
                      <w:color w:val="000000"/>
                      <w:kern w:val="0"/>
                      <w:sz w:val="18"/>
                      <w:szCs w:val="18"/>
                      <w:lang w:val="en-US" w:eastAsia="zh-CN" w:bidi="ar"/>
                    </w:rPr>
                    <w:t>2021</w:t>
                  </w:r>
                  <w:r>
                    <w:rPr>
                      <w:rFonts w:hint="eastAsia" w:ascii="Times New Roman" w:hAnsi="Times New Roman" w:eastAsia="宋体" w:cs="Times New Roman"/>
                      <w:color w:val="000000"/>
                      <w:kern w:val="0"/>
                      <w:sz w:val="18"/>
                      <w:szCs w:val="18"/>
                      <w:lang w:val="en-US" w:eastAsia="zh-CN" w:bidi="ar"/>
                    </w:rPr>
                    <w:t>年底前可采用国五排放标准的汽车）。</w:t>
                  </w:r>
                </w:p>
              </w:tc>
              <w:tc>
                <w:tcPr>
                  <w:tcW w:w="2086" w:type="dxa"/>
                  <w:tcBorders>
                    <w:tl2br w:val="nil"/>
                    <w:tr2bl w:val="nil"/>
                  </w:tcBorders>
                  <w:vAlign w:val="center"/>
                </w:tcPr>
                <w:p w14:paraId="5488C52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本项目不涉及</w:t>
                  </w:r>
                </w:p>
              </w:tc>
              <w:tc>
                <w:tcPr>
                  <w:tcW w:w="803" w:type="dxa"/>
                  <w:tcBorders>
                    <w:tl2br w:val="nil"/>
                    <w:tr2bl w:val="nil"/>
                  </w:tcBorders>
                  <w:vAlign w:val="center"/>
                </w:tcPr>
                <w:p w14:paraId="48B6C1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w:t>
                  </w:r>
                </w:p>
              </w:tc>
            </w:tr>
            <w:tr w14:paraId="06C02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l2br w:val="nil"/>
                    <w:tr2bl w:val="nil"/>
                  </w:tcBorders>
                  <w:vAlign w:val="center"/>
                </w:tcPr>
                <w:p w14:paraId="373BBCB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5</w:t>
                  </w:r>
                </w:p>
              </w:tc>
              <w:tc>
                <w:tcPr>
                  <w:tcW w:w="509" w:type="dxa"/>
                  <w:tcBorders>
                    <w:tl2br w:val="nil"/>
                    <w:tr2bl w:val="nil"/>
                  </w:tcBorders>
                  <w:vAlign w:val="center"/>
                </w:tcPr>
                <w:p w14:paraId="4940D58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严格新改扩建项目环境准入</w:t>
                  </w:r>
                </w:p>
              </w:tc>
              <w:tc>
                <w:tcPr>
                  <w:tcW w:w="3213" w:type="dxa"/>
                  <w:tcBorders>
                    <w:tl2br w:val="nil"/>
                    <w:tr2bl w:val="nil"/>
                  </w:tcBorders>
                  <w:vAlign w:val="center"/>
                </w:tcPr>
                <w:p w14:paraId="25EB4BD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严禁新增钢铁冶炼产能，新改扩建（含搬迁）钢铁项目要严格执行产能置换实施办法，按照钢铁企业超低排放指标要求，同步配套建设高效脱硫、脱硝、除尘设施，落实物料储存、输送及生产工艺过程无组织排放管控措施，大宗物料和产品采取清洁方式运输。</w:t>
                  </w:r>
                </w:p>
              </w:tc>
              <w:tc>
                <w:tcPr>
                  <w:tcW w:w="2086" w:type="dxa"/>
                  <w:tcBorders>
                    <w:tl2br w:val="nil"/>
                    <w:tr2bl w:val="nil"/>
                  </w:tcBorders>
                  <w:vAlign w:val="center"/>
                </w:tcPr>
                <w:p w14:paraId="664222B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钢铁配套能源综合利用项目，项目按照钢铁企业超低排放指标要求，同步配套建设高效脱硫、脱硝、除尘设施，落实物料储存、输送及生产工艺过程无组织排放管控措施，大宗物料和产品采取清洁方式运输。</w:t>
                  </w:r>
                </w:p>
              </w:tc>
              <w:tc>
                <w:tcPr>
                  <w:tcW w:w="803" w:type="dxa"/>
                  <w:tcBorders>
                    <w:tl2br w:val="nil"/>
                    <w:tr2bl w:val="nil"/>
                  </w:tcBorders>
                  <w:vAlign w:val="center"/>
                </w:tcPr>
                <w:p w14:paraId="1D0316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r w14:paraId="6054D8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vMerge w:val="restart"/>
                  <w:tcBorders>
                    <w:tl2br w:val="nil"/>
                    <w:tr2bl w:val="nil"/>
                  </w:tcBorders>
                  <w:vAlign w:val="center"/>
                </w:tcPr>
                <w:p w14:paraId="33EDB54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6</w:t>
                  </w:r>
                </w:p>
              </w:tc>
              <w:tc>
                <w:tcPr>
                  <w:tcW w:w="509" w:type="dxa"/>
                  <w:vMerge w:val="restart"/>
                  <w:tcBorders>
                    <w:tl2br w:val="nil"/>
                    <w:tr2bl w:val="nil"/>
                  </w:tcBorders>
                  <w:vAlign w:val="center"/>
                </w:tcPr>
                <w:p w14:paraId="34433FE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积极有序推进现有钢铁企业超低排放</w:t>
                  </w:r>
                </w:p>
              </w:tc>
              <w:tc>
                <w:tcPr>
                  <w:tcW w:w="3213" w:type="dxa"/>
                  <w:tcBorders>
                    <w:tl2br w:val="nil"/>
                    <w:tr2bl w:val="nil"/>
                  </w:tcBorders>
                  <w:vAlign w:val="center"/>
                </w:tcPr>
                <w:p w14:paraId="26452F5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除尘设施鼓励采用湿式静电除尘器、覆膜滤料袋式除尘器、滤筒除尘器等先进工艺，推进聚四氟乙烯微孔覆膜滤料、超细纤维多梯度面层滤料、金属间化合物多孔（膜）材料等产业化应用。加强源头控制，高炉煤气、焦炉煤气应实施精脱硫，高炉热风炉、轧钢热处理炉应采用低氮燃烧技术</w:t>
                  </w:r>
                  <w:r>
                    <w:rPr>
                      <w:rFonts w:hint="eastAsia" w:cs="Times New Roman"/>
                      <w:color w:val="000000"/>
                      <w:kern w:val="0"/>
                      <w:sz w:val="18"/>
                      <w:szCs w:val="18"/>
                      <w:lang w:val="en-US" w:eastAsia="zh-CN" w:bidi="ar"/>
                    </w:rPr>
                    <w:t>。</w:t>
                  </w:r>
                </w:p>
              </w:tc>
              <w:tc>
                <w:tcPr>
                  <w:tcW w:w="2086" w:type="dxa"/>
                  <w:tcBorders>
                    <w:tl2br w:val="nil"/>
                    <w:tr2bl w:val="nil"/>
                  </w:tcBorders>
                  <w:vAlign w:val="center"/>
                </w:tcPr>
                <w:p w14:paraId="76A5275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项目锅炉采用低氮燃烧</w:t>
                  </w:r>
                  <w:r>
                    <w:rPr>
                      <w:rFonts w:hint="default" w:ascii="Times New Roman" w:hAnsi="Times New Roman" w:eastAsia="宋体" w:cs="Times New Roman"/>
                      <w:color w:val="000000"/>
                      <w:kern w:val="0"/>
                      <w:sz w:val="18"/>
                      <w:szCs w:val="18"/>
                      <w:lang w:val="en-US" w:eastAsia="zh-CN" w:bidi="ar"/>
                    </w:rPr>
                    <w:t>+SCR</w:t>
                  </w:r>
                  <w:r>
                    <w:rPr>
                      <w:rFonts w:hint="eastAsia" w:ascii="Times New Roman" w:hAnsi="Times New Roman" w:eastAsia="宋体" w:cs="Times New Roman"/>
                      <w:color w:val="000000"/>
                      <w:kern w:val="0"/>
                      <w:sz w:val="18"/>
                      <w:szCs w:val="18"/>
                      <w:lang w:val="en-US" w:eastAsia="zh-CN" w:bidi="ar"/>
                    </w:rPr>
                    <w:t>脱硝技术，锅炉烟气经</w:t>
                  </w:r>
                  <w:r>
                    <w:rPr>
                      <w:rFonts w:hint="eastAsia" w:cs="Times New Roman"/>
                      <w:color w:val="000000"/>
                      <w:kern w:val="0"/>
                      <w:sz w:val="18"/>
                      <w:szCs w:val="18"/>
                      <w:lang w:val="en-US" w:eastAsia="zh-CN" w:bidi="ar"/>
                    </w:rPr>
                    <w:t>钙基干法</w:t>
                  </w:r>
                  <w:r>
                    <w:rPr>
                      <w:rFonts w:hint="eastAsia" w:ascii="Times New Roman" w:hAnsi="Times New Roman" w:eastAsia="宋体" w:cs="Times New Roman"/>
                      <w:color w:val="000000"/>
                      <w:kern w:val="0"/>
                      <w:sz w:val="18"/>
                      <w:szCs w:val="18"/>
                      <w:lang w:val="en-US" w:eastAsia="zh-CN" w:bidi="ar"/>
                    </w:rPr>
                    <w:t>脱硫</w:t>
                  </w:r>
                  <w:r>
                    <w:rPr>
                      <w:rFonts w:hint="default" w:ascii="Times New Roman" w:hAnsi="Times New Roman" w:eastAsia="宋体" w:cs="Times New Roman"/>
                      <w:color w:val="000000"/>
                      <w:kern w:val="0"/>
                      <w:sz w:val="18"/>
                      <w:szCs w:val="18"/>
                      <w:lang w:val="en-US" w:eastAsia="zh-CN" w:bidi="ar"/>
                    </w:rPr>
                    <w:t>+</w:t>
                  </w:r>
                  <w:r>
                    <w:rPr>
                      <w:rFonts w:hint="eastAsia" w:cs="Times New Roman"/>
                      <w:color w:val="000000"/>
                      <w:kern w:val="0"/>
                      <w:sz w:val="18"/>
                      <w:szCs w:val="18"/>
                      <w:lang w:val="en-US" w:eastAsia="zh-CN" w:bidi="ar"/>
                    </w:rPr>
                    <w:t>布袋</w:t>
                  </w:r>
                  <w:r>
                    <w:rPr>
                      <w:rFonts w:hint="eastAsia" w:ascii="Times New Roman" w:hAnsi="Times New Roman" w:eastAsia="宋体" w:cs="Times New Roman"/>
                      <w:color w:val="000000"/>
                      <w:kern w:val="0"/>
                      <w:sz w:val="18"/>
                      <w:szCs w:val="18"/>
                      <w:lang w:val="en-US" w:eastAsia="zh-CN" w:bidi="ar"/>
                    </w:rPr>
                    <w:t>除尘后，通过</w:t>
                  </w:r>
                  <w:r>
                    <w:rPr>
                      <w:rFonts w:hint="default" w:ascii="Times New Roman" w:hAnsi="Times New Roman" w:eastAsia="宋体" w:cs="Times New Roman"/>
                      <w:color w:val="000000"/>
                      <w:kern w:val="0"/>
                      <w:sz w:val="18"/>
                      <w:szCs w:val="18"/>
                      <w:lang w:val="en-US" w:eastAsia="zh-CN" w:bidi="ar"/>
                    </w:rPr>
                    <w:t>1</w:t>
                  </w:r>
                  <w:r>
                    <w:rPr>
                      <w:rFonts w:hint="eastAsia" w:ascii="Times New Roman" w:hAnsi="Times New Roman" w:eastAsia="宋体" w:cs="Times New Roman"/>
                      <w:color w:val="000000"/>
                      <w:kern w:val="0"/>
                      <w:sz w:val="18"/>
                      <w:szCs w:val="18"/>
                      <w:lang w:val="en-US" w:eastAsia="zh-CN" w:bidi="ar"/>
                    </w:rPr>
                    <w:t>根</w:t>
                  </w:r>
                  <w:r>
                    <w:rPr>
                      <w:rFonts w:hint="eastAsia" w:cs="Times New Roman"/>
                      <w:color w:val="000000"/>
                      <w:kern w:val="0"/>
                      <w:sz w:val="18"/>
                      <w:szCs w:val="18"/>
                      <w:lang w:val="en-US" w:eastAsia="zh-CN" w:bidi="ar"/>
                    </w:rPr>
                    <w:t>80</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高烟囱排放。</w:t>
                  </w:r>
                </w:p>
              </w:tc>
              <w:tc>
                <w:tcPr>
                  <w:tcW w:w="803" w:type="dxa"/>
                  <w:tcBorders>
                    <w:tl2br w:val="nil"/>
                    <w:tr2bl w:val="nil"/>
                  </w:tcBorders>
                  <w:vAlign w:val="center"/>
                </w:tcPr>
                <w:p w14:paraId="2DF042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r w14:paraId="357A4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vMerge w:val="continue"/>
                  <w:tcBorders>
                    <w:tl2br w:val="nil"/>
                    <w:tr2bl w:val="nil"/>
                  </w:tcBorders>
                  <w:vAlign w:val="center"/>
                </w:tcPr>
                <w:p w14:paraId="42C635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509" w:type="dxa"/>
                  <w:vMerge w:val="continue"/>
                  <w:tcBorders>
                    <w:tl2br w:val="nil"/>
                    <w:tr2bl w:val="nil"/>
                  </w:tcBorders>
                  <w:vAlign w:val="center"/>
                </w:tcPr>
                <w:p w14:paraId="0CFDA50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3213" w:type="dxa"/>
                  <w:tcBorders>
                    <w:tl2br w:val="nil"/>
                    <w:tr2bl w:val="nil"/>
                  </w:tcBorders>
                  <w:vAlign w:val="center"/>
                </w:tcPr>
                <w:p w14:paraId="71CC972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企业无组织排放控制应采用密闭、封闭等有效管控措施，鼓励采用全封闭机械化料场、筒仓等物料储存方式；产尘点应按照“应收尽收”原则配置废气收集设施，强化运行管理，确保收集治理设施与生产工艺设备同步运转</w:t>
                  </w:r>
                  <w:r>
                    <w:rPr>
                      <w:rFonts w:hint="eastAsia" w:cs="Times New Roman"/>
                      <w:color w:val="000000"/>
                      <w:kern w:val="0"/>
                      <w:sz w:val="18"/>
                      <w:szCs w:val="18"/>
                      <w:lang w:val="en-US" w:eastAsia="zh-CN" w:bidi="ar"/>
                    </w:rPr>
                    <w:t>。</w:t>
                  </w:r>
                </w:p>
              </w:tc>
              <w:tc>
                <w:tcPr>
                  <w:tcW w:w="2086" w:type="dxa"/>
                  <w:tcBorders>
                    <w:tl2br w:val="nil"/>
                    <w:tr2bl w:val="nil"/>
                  </w:tcBorders>
                  <w:vAlign w:val="center"/>
                </w:tcPr>
                <w:p w14:paraId="012E3506">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本项目不涉及</w:t>
                  </w:r>
                  <w:r>
                    <w:rPr>
                      <w:rFonts w:hint="eastAsia" w:cs="Times New Roman"/>
                      <w:color w:val="000000"/>
                      <w:kern w:val="0"/>
                      <w:sz w:val="18"/>
                      <w:szCs w:val="18"/>
                      <w:lang w:val="en-US" w:eastAsia="zh-CN" w:bidi="ar"/>
                    </w:rPr>
                    <w:t>。</w:t>
                  </w:r>
                </w:p>
              </w:tc>
              <w:tc>
                <w:tcPr>
                  <w:tcW w:w="803" w:type="dxa"/>
                  <w:tcBorders>
                    <w:tl2br w:val="nil"/>
                    <w:tr2bl w:val="nil"/>
                  </w:tcBorders>
                  <w:vAlign w:val="center"/>
                </w:tcPr>
                <w:p w14:paraId="7F5333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r w14:paraId="0702F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vMerge w:val="continue"/>
                  <w:tcBorders>
                    <w:tl2br w:val="nil"/>
                    <w:tr2bl w:val="nil"/>
                  </w:tcBorders>
                  <w:vAlign w:val="center"/>
                </w:tcPr>
                <w:p w14:paraId="2E5209B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509" w:type="dxa"/>
                  <w:vMerge w:val="continue"/>
                  <w:tcBorders>
                    <w:tl2br w:val="nil"/>
                    <w:tr2bl w:val="nil"/>
                  </w:tcBorders>
                  <w:vAlign w:val="center"/>
                </w:tcPr>
                <w:p w14:paraId="76ACD0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val="0"/>
                      <w:sz w:val="18"/>
                      <w:szCs w:val="18"/>
                      <w:vertAlign w:val="baseline"/>
                      <w:lang w:val="en-US" w:eastAsia="zh-CN"/>
                    </w:rPr>
                  </w:pPr>
                </w:p>
              </w:tc>
              <w:tc>
                <w:tcPr>
                  <w:tcW w:w="3213" w:type="dxa"/>
                  <w:tcBorders>
                    <w:tl2br w:val="nil"/>
                    <w:tr2bl w:val="nil"/>
                  </w:tcBorders>
                  <w:vAlign w:val="center"/>
                </w:tcPr>
                <w:p w14:paraId="2453B9B6">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企业应通过新建或利用已有铁路专用线、打通与主干线连接等方式，有效增加铁路运力；对短距离运输的大宗物料，鼓励采用管道或管状带式输送机等密闭方式运输。</w:t>
                  </w:r>
                </w:p>
              </w:tc>
              <w:tc>
                <w:tcPr>
                  <w:tcW w:w="2086" w:type="dxa"/>
                  <w:tcBorders>
                    <w:tl2br w:val="nil"/>
                    <w:tr2bl w:val="nil"/>
                  </w:tcBorders>
                  <w:vAlign w:val="center"/>
                </w:tcPr>
                <w:p w14:paraId="1DC80154">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本项目不涉及</w:t>
                  </w:r>
                  <w:r>
                    <w:rPr>
                      <w:rFonts w:hint="eastAsia" w:cs="Times New Roman"/>
                      <w:color w:val="000000"/>
                      <w:kern w:val="0"/>
                      <w:sz w:val="18"/>
                      <w:szCs w:val="18"/>
                      <w:lang w:val="en-US" w:eastAsia="zh-CN" w:bidi="ar"/>
                    </w:rPr>
                    <w:t>。</w:t>
                  </w:r>
                </w:p>
              </w:tc>
              <w:tc>
                <w:tcPr>
                  <w:tcW w:w="803" w:type="dxa"/>
                  <w:tcBorders>
                    <w:tl2br w:val="nil"/>
                    <w:tr2bl w:val="nil"/>
                  </w:tcBorders>
                  <w:vAlign w:val="center"/>
                </w:tcPr>
                <w:p w14:paraId="6ED2A9F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w:t>
                  </w:r>
                </w:p>
              </w:tc>
            </w:tr>
            <w:tr w14:paraId="11562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l2br w:val="nil"/>
                    <w:tr2bl w:val="nil"/>
                  </w:tcBorders>
                  <w:vAlign w:val="center"/>
                </w:tcPr>
                <w:p w14:paraId="0732A0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7</w:t>
                  </w:r>
                </w:p>
              </w:tc>
              <w:tc>
                <w:tcPr>
                  <w:tcW w:w="509" w:type="dxa"/>
                  <w:tcBorders>
                    <w:tl2br w:val="nil"/>
                    <w:tr2bl w:val="nil"/>
                  </w:tcBorders>
                  <w:vAlign w:val="center"/>
                </w:tcPr>
                <w:p w14:paraId="4ED8FE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加强企业污染排放监测监控</w:t>
                  </w:r>
                </w:p>
              </w:tc>
              <w:tc>
                <w:tcPr>
                  <w:tcW w:w="3213" w:type="dxa"/>
                  <w:tcBorders>
                    <w:tl2br w:val="nil"/>
                    <w:tr2bl w:val="nil"/>
                  </w:tcBorders>
                  <w:vAlign w:val="center"/>
                </w:tcPr>
                <w:p w14:paraId="4DFB7CE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钢铁企业应依法全面加强污染排放自动监控设施等建设，并与生态环境及有关部门联网，按照钢铁工业及炼焦化学工业自行监测技术指南要求，编制自行监测方案，开展自行监测，如实向社会公开监测信息。实施超低排放改造的钢铁企业，应全面加强自动监控、过程监控和视频监控设施建设。烧结机机头、烧结机机尾、球团焙烧、焦炉烟囱、装煤地面站、推焦地面站、干法熄焦地面站、高炉矿槽、高炉出铁场、铁水预处理、转炉二次烟气、电炉烟气、石灰窑、白云石窑、燃用发生炉煤气的轧钢热处理炉、自备电站排气筒等均应安装自动监控设施。上述污染源污染治理设施应安装分布式控制系统（</w:t>
                  </w:r>
                  <w:r>
                    <w:rPr>
                      <w:rFonts w:hint="default" w:ascii="Times New Roman" w:hAnsi="Times New Roman" w:eastAsia="宋体" w:cs="Times New Roman"/>
                      <w:color w:val="000000"/>
                      <w:kern w:val="0"/>
                      <w:sz w:val="18"/>
                      <w:szCs w:val="18"/>
                      <w:lang w:val="en-US" w:eastAsia="zh-CN" w:bidi="ar"/>
                    </w:rPr>
                    <w:t>DCS</w:t>
                  </w:r>
                  <w:r>
                    <w:rPr>
                      <w:rFonts w:hint="eastAsia" w:ascii="Times New Roman" w:hAnsi="Times New Roman" w:eastAsia="宋体" w:cs="Times New Roman"/>
                      <w:color w:val="000000"/>
                      <w:kern w:val="0"/>
                      <w:sz w:val="18"/>
                      <w:szCs w:val="18"/>
                      <w:lang w:val="en-US" w:eastAsia="zh-CN" w:bidi="ar"/>
                    </w:rPr>
                    <w:t>），记录企业环保设施运行及相关生产过程主要参数。料场出入口、焦炉炉体、烧结环冷区域、高炉矿槽和炉顶区域、炼钢车间顶部等易产尘点，应安装高清视频监控设施。在厂区内主要产尘点周边、运输道路两侧布设空气质量监测微站点，监控颗粒物等管控情况。建设门禁系统和视频监控系统，监控运输车辆进出厂区情况。自动监控、</w:t>
                  </w:r>
                  <w:r>
                    <w:rPr>
                      <w:rFonts w:hint="default" w:ascii="Times New Roman" w:hAnsi="Times New Roman" w:eastAsia="宋体" w:cs="Times New Roman"/>
                      <w:color w:val="000000"/>
                      <w:kern w:val="0"/>
                      <w:sz w:val="18"/>
                      <w:szCs w:val="18"/>
                      <w:lang w:val="en-US" w:eastAsia="zh-CN" w:bidi="ar"/>
                    </w:rPr>
                    <w:t>DCS</w:t>
                  </w:r>
                  <w:r>
                    <w:rPr>
                      <w:rFonts w:hint="eastAsia" w:ascii="Times New Roman" w:hAnsi="Times New Roman" w:eastAsia="宋体" w:cs="Times New Roman"/>
                      <w:color w:val="000000"/>
                      <w:kern w:val="0"/>
                      <w:sz w:val="18"/>
                      <w:szCs w:val="18"/>
                      <w:lang w:val="en-US" w:eastAsia="zh-CN" w:bidi="ar"/>
                    </w:rPr>
                    <w:t>监控等数据</w:t>
                  </w:r>
                  <w:r>
                    <w:rPr>
                      <w:rFonts w:hint="eastAsia" w:cs="Times New Roman"/>
                      <w:color w:val="000000"/>
                      <w:kern w:val="0"/>
                      <w:sz w:val="18"/>
                      <w:szCs w:val="18"/>
                      <w:lang w:val="en-US" w:eastAsia="zh-CN" w:bidi="ar"/>
                    </w:rPr>
                    <w:t>至少要保存一年</w:t>
                  </w:r>
                  <w:r>
                    <w:rPr>
                      <w:rFonts w:hint="eastAsia" w:ascii="Times New Roman" w:hAnsi="Times New Roman" w:eastAsia="宋体" w:cs="Times New Roman"/>
                      <w:color w:val="000000"/>
                      <w:kern w:val="0"/>
                      <w:sz w:val="18"/>
                      <w:szCs w:val="18"/>
                      <w:lang w:val="en-US" w:eastAsia="zh-CN" w:bidi="ar"/>
                    </w:rPr>
                    <w:t>，视频监控数据至少要保存三个月以上。</w:t>
                  </w:r>
                </w:p>
              </w:tc>
              <w:tc>
                <w:tcPr>
                  <w:tcW w:w="2086" w:type="dxa"/>
                  <w:tcBorders>
                    <w:tl2br w:val="nil"/>
                    <w:tr2bl w:val="nil"/>
                  </w:tcBorders>
                  <w:vAlign w:val="center"/>
                </w:tcPr>
                <w:p w14:paraId="4967F3D3">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实施后对主要排放口安装在线监控并与生态环境部门联网，其他一般排放口按照要求提出相关监测计划，并按技术规范要求设计永久采样口，采样测试平台和排污口标志。并按照钢铁工业及炼焦化学工业自行监测技术指南要求，编制自行监测方案，开展自行监测，如实向社会公开监测信息，设置了管理机构保存相关资料。</w:t>
                  </w:r>
                </w:p>
              </w:tc>
              <w:tc>
                <w:tcPr>
                  <w:tcW w:w="803" w:type="dxa"/>
                  <w:tcBorders>
                    <w:tl2br w:val="nil"/>
                    <w:tr2bl w:val="nil"/>
                  </w:tcBorders>
                  <w:vAlign w:val="center"/>
                </w:tcPr>
                <w:p w14:paraId="60B4B65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符合</w:t>
                  </w:r>
                </w:p>
              </w:tc>
            </w:tr>
          </w:tbl>
          <w:p w14:paraId="42A66D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综上，本项目符合《关于推进实施钢铁行业超低排放的意见》（环大气[2019]35号）的相关政策要求。</w:t>
            </w:r>
          </w:p>
          <w:p w14:paraId="4E3B2F5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、与《国务院关于加快建立健全绿色低碳循环发展经济体系的指导意见》（国发〔2021〕4号）符合性分析</w:t>
            </w:r>
          </w:p>
          <w:p w14:paraId="78D1E6FA">
            <w:pPr>
              <w:keepNext w:val="0"/>
              <w:keepLines w:val="0"/>
              <w:widowControl/>
              <w:suppressLineNumbers w:val="0"/>
              <w:jc w:val="center"/>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表1-6 本项目与国发[2021]4号的符合性分析</w:t>
            </w:r>
          </w:p>
          <w:tbl>
            <w:tblPr>
              <w:tblStyle w:val="18"/>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139"/>
              <w:gridCol w:w="2477"/>
              <w:gridCol w:w="812"/>
            </w:tblGrid>
            <w:tr w14:paraId="1DEC2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27" w:type="dxa"/>
                  <w:gridSpan w:val="2"/>
                  <w:tcBorders>
                    <w:tl2br w:val="nil"/>
                    <w:tr2bl w:val="nil"/>
                  </w:tcBorders>
                  <w:vAlign w:val="center"/>
                </w:tcPr>
                <w:p w14:paraId="6AB98670">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国发</w:t>
                  </w:r>
                  <w:r>
                    <w:rPr>
                      <w:rFonts w:hint="default" w:ascii="Times New Roman" w:hAnsi="Times New Roman" w:eastAsia="宋体" w:cs="Times New Roman"/>
                      <w:color w:val="000000"/>
                      <w:kern w:val="0"/>
                      <w:sz w:val="18"/>
                      <w:szCs w:val="18"/>
                      <w:lang w:val="en-US" w:eastAsia="zh-CN" w:bidi="ar"/>
                    </w:rPr>
                    <w:t>[2021]4</w:t>
                  </w:r>
                  <w:r>
                    <w:rPr>
                      <w:rFonts w:hint="eastAsia" w:ascii="Times New Roman" w:hAnsi="Times New Roman" w:eastAsia="宋体" w:cs="Times New Roman"/>
                      <w:color w:val="000000"/>
                      <w:kern w:val="0"/>
                      <w:sz w:val="18"/>
                      <w:szCs w:val="18"/>
                      <w:lang w:val="en-US" w:eastAsia="zh-CN" w:bidi="ar"/>
                    </w:rPr>
                    <w:t>号内容</w:t>
                  </w:r>
                </w:p>
              </w:tc>
              <w:tc>
                <w:tcPr>
                  <w:tcW w:w="2477" w:type="dxa"/>
                  <w:tcBorders>
                    <w:tl2br w:val="nil"/>
                    <w:tr2bl w:val="nil"/>
                  </w:tcBorders>
                  <w:vAlign w:val="center"/>
                </w:tcPr>
                <w:p w14:paraId="328920B0">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本项目内容</w:t>
                  </w:r>
                </w:p>
              </w:tc>
              <w:tc>
                <w:tcPr>
                  <w:tcW w:w="812" w:type="dxa"/>
                  <w:tcBorders>
                    <w:tl2br w:val="nil"/>
                    <w:tr2bl w:val="nil"/>
                  </w:tcBorders>
                  <w:vAlign w:val="center"/>
                </w:tcPr>
                <w:p w14:paraId="335B898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符合性</w:t>
                  </w:r>
                </w:p>
              </w:tc>
            </w:tr>
            <w:tr w14:paraId="61216B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restart"/>
                  <w:tcBorders>
                    <w:tl2br w:val="nil"/>
                    <w:tr2bl w:val="nil"/>
                  </w:tcBorders>
                  <w:vAlign w:val="center"/>
                </w:tcPr>
                <w:p w14:paraId="591B295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二、健全绿色低碳循环发展的生产体系</w:t>
                  </w:r>
                </w:p>
              </w:tc>
              <w:tc>
                <w:tcPr>
                  <w:tcW w:w="3139" w:type="dxa"/>
                  <w:tcBorders>
                    <w:tl2br w:val="nil"/>
                    <w:tr2bl w:val="nil"/>
                  </w:tcBorders>
                  <w:vAlign w:val="center"/>
                </w:tcPr>
                <w:p w14:paraId="62C008FE">
                  <w:pPr>
                    <w:keepNext w:val="0"/>
                    <w:keepLines w:val="0"/>
                    <w:widowControl/>
                    <w:suppressLineNumbers w:val="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四）推进工业绿色升级。加快实施钢铁、石化、化工、有色、建材、纺织、造纸、皮革等行业绿色化改造。推行产品绿色设计，建设绿色制造体系。大力发展再制造产业，加强再制造产品认证与推广应用。建设资源综合利用基地，促进工业固体废物综合利用。全面推行清洁生产，依法在“双超双有高耗能”行业实施强制性清洁生产审核。完善“散乱污”企业认定办法，分类实施关停取缔、整合搬迁、整改提升等措施。加快实施排污许可制度。加强工业生产过程中危险废物</w:t>
                  </w:r>
                </w:p>
                <w:p w14:paraId="7E23F2A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管理。</w:t>
                  </w:r>
                </w:p>
              </w:tc>
              <w:tc>
                <w:tcPr>
                  <w:tcW w:w="2477" w:type="dxa"/>
                  <w:tcBorders>
                    <w:tl2br w:val="nil"/>
                    <w:tr2bl w:val="nil"/>
                  </w:tcBorders>
                  <w:vAlign w:val="center"/>
                </w:tcPr>
                <w:p w14:paraId="5F7DF21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本项目为厂内富余高炉、转炉煤气</w:t>
                  </w:r>
                  <w:r>
                    <w:rPr>
                      <w:rFonts w:hint="eastAsia" w:cs="Times New Roman"/>
                      <w:color w:val="000000"/>
                      <w:kern w:val="0"/>
                      <w:sz w:val="18"/>
                      <w:szCs w:val="18"/>
                      <w:lang w:val="en-US" w:eastAsia="zh-CN" w:bidi="ar"/>
                    </w:rPr>
                    <w:t>及</w:t>
                  </w:r>
                  <w:r>
                    <w:rPr>
                      <w:rFonts w:hint="eastAsia" w:ascii="Times New Roman" w:hAnsi="Times New Roman" w:eastAsia="宋体" w:cs="Times New Roman"/>
                      <w:color w:val="000000"/>
                      <w:kern w:val="0"/>
                      <w:sz w:val="18"/>
                      <w:szCs w:val="18"/>
                      <w:lang w:val="en-US" w:eastAsia="zh-CN" w:bidi="ar"/>
                    </w:rPr>
                    <w:t>焦炉煤气发电项目，不涉及该条要求</w:t>
                  </w:r>
                  <w:r>
                    <w:rPr>
                      <w:rFonts w:hint="eastAsia" w:cs="Times New Roman"/>
                      <w:color w:val="000000"/>
                      <w:kern w:val="0"/>
                      <w:sz w:val="18"/>
                      <w:szCs w:val="18"/>
                      <w:lang w:val="en-US" w:eastAsia="zh-CN" w:bidi="ar"/>
                    </w:rPr>
                    <w:t>。</w:t>
                  </w:r>
                </w:p>
              </w:tc>
              <w:tc>
                <w:tcPr>
                  <w:tcW w:w="812" w:type="dxa"/>
                  <w:tcBorders>
                    <w:tl2br w:val="nil"/>
                    <w:tr2bl w:val="nil"/>
                  </w:tcBorders>
                  <w:vAlign w:val="center"/>
                </w:tcPr>
                <w:p w14:paraId="1F8DE1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w:t>
                  </w:r>
                </w:p>
              </w:tc>
            </w:tr>
            <w:tr w14:paraId="4B7DD7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5CA61F8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p>
              </w:tc>
              <w:tc>
                <w:tcPr>
                  <w:tcW w:w="3139" w:type="dxa"/>
                  <w:tcBorders>
                    <w:tl2br w:val="nil"/>
                    <w:tr2bl w:val="nil"/>
                  </w:tcBorders>
                  <w:vAlign w:val="center"/>
                </w:tcPr>
                <w:p w14:paraId="27EEB49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八）提升产业园区和产业集群循环化水平。科学编制新建产业园区开发建设规划，依法依规开展规划环境影响评价，严格准入标准，完善循环产业链条，推动形成产业循环耦合。推进既有产业园区和产业集群循环化改造，推动公共设施共建共享、能源梯级利用、资源循环利用和污染物集中安全处置等。鼓励建设电、热、冷、气等多种能源协同互济的综合能源项目。鼓励化工等产业园区配套建设危险废物集中贮存、预处理和处置设施。</w:t>
                  </w:r>
                </w:p>
              </w:tc>
              <w:tc>
                <w:tcPr>
                  <w:tcW w:w="2477" w:type="dxa"/>
                  <w:tcBorders>
                    <w:tl2br w:val="nil"/>
                    <w:tr2bl w:val="nil"/>
                  </w:tcBorders>
                  <w:vAlign w:val="center"/>
                </w:tcPr>
                <w:p w14:paraId="61095187">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本项目为产能置换升级改造项目配套工程，位于云南省玉溪市新平县扬武镇大开门云南新平产业园区</w:t>
                  </w:r>
                  <w:r>
                    <w:rPr>
                      <w:rFonts w:hint="eastAsia" w:cs="Times New Roman"/>
                      <w:color w:val="000000"/>
                      <w:kern w:val="0"/>
                      <w:sz w:val="18"/>
                      <w:szCs w:val="18"/>
                      <w:lang w:val="en-US" w:eastAsia="zh-CN" w:bidi="ar"/>
                    </w:rPr>
                    <w:t>绿色钢城片区，</w:t>
                  </w:r>
                  <w:r>
                    <w:rPr>
                      <w:rFonts w:hint="eastAsia" w:ascii="Times New Roman" w:hAnsi="Times New Roman" w:eastAsia="宋体" w:cs="Times New Roman"/>
                      <w:color w:val="000000"/>
                      <w:kern w:val="0"/>
                      <w:sz w:val="18"/>
                      <w:szCs w:val="18"/>
                      <w:lang w:val="en-US" w:eastAsia="zh-CN" w:bidi="ar"/>
                    </w:rPr>
                    <w:t>本次环评不涉及该条规定。</w:t>
                  </w:r>
                </w:p>
              </w:tc>
              <w:tc>
                <w:tcPr>
                  <w:tcW w:w="812" w:type="dxa"/>
                  <w:tcBorders>
                    <w:tl2br w:val="nil"/>
                    <w:tr2bl w:val="nil"/>
                  </w:tcBorders>
                  <w:vAlign w:val="center"/>
                </w:tcPr>
                <w:p w14:paraId="1D9878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w:t>
                  </w:r>
                </w:p>
              </w:tc>
            </w:tr>
            <w:tr w14:paraId="00A40B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tcBorders>
                    <w:tl2br w:val="nil"/>
                    <w:tr2bl w:val="nil"/>
                  </w:tcBorders>
                  <w:vAlign w:val="center"/>
                </w:tcPr>
                <w:p w14:paraId="229E7719">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三、健全绿色低碳循环发展的流通体系</w:t>
                  </w:r>
                </w:p>
              </w:tc>
              <w:tc>
                <w:tcPr>
                  <w:tcW w:w="3139" w:type="dxa"/>
                  <w:tcBorders>
                    <w:tl2br w:val="nil"/>
                    <w:tr2bl w:val="nil"/>
                  </w:tcBorders>
                  <w:vAlign w:val="center"/>
                </w:tcPr>
                <w:p w14:paraId="4B623BEF">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十）打造绿色物流。积极调整运输结构，推进铁水、公铁、公水等多式联运，加快铁路专用线建设。加强物流运输组织管理，加快相关公共信息平台建设和信息共享，发展甩挂运输、共同配送。推广绿色低碳运输工具，淘汰更新或改造老旧车船，港口和机场服务、城市物流配送、邮政快递等领域要优先使用新能源或清洁能源汽车；加大推广绿色船舶示范应用力度，推进内河船型标准化。加快港口岸电设施建设，支持机场开展飞机辅助动力装置替代设备建设和应用。支持物流企业构建数字化运营平台，鼓励发展智慧仓储、智慧运输，推动建立标准化托盘循环共用制度。</w:t>
                  </w:r>
                </w:p>
              </w:tc>
              <w:tc>
                <w:tcPr>
                  <w:tcW w:w="2477" w:type="dxa"/>
                  <w:tcBorders>
                    <w:tl2br w:val="nil"/>
                    <w:tr2bl w:val="nil"/>
                  </w:tcBorders>
                  <w:vAlign w:val="center"/>
                </w:tcPr>
                <w:p w14:paraId="19F43FE3">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本项目为云南玉溪仙福钢铁（集团）有限公司产能置换升级改造项目配套工程，使用厂内富余高炉、转炉</w:t>
                  </w:r>
                  <w:r>
                    <w:rPr>
                      <w:rFonts w:hint="eastAsia" w:cs="Times New Roman"/>
                      <w:color w:val="000000"/>
                      <w:kern w:val="0"/>
                      <w:sz w:val="18"/>
                      <w:szCs w:val="18"/>
                      <w:lang w:val="en-US" w:eastAsia="zh-CN" w:bidi="ar"/>
                    </w:rPr>
                    <w:t>以及</w:t>
                  </w:r>
                  <w:r>
                    <w:rPr>
                      <w:rFonts w:hint="eastAsia" w:ascii="Times New Roman" w:hAnsi="Times New Roman" w:eastAsia="宋体" w:cs="Times New Roman"/>
                      <w:color w:val="000000"/>
                      <w:kern w:val="0"/>
                      <w:sz w:val="18"/>
                      <w:szCs w:val="18"/>
                      <w:lang w:val="en-US" w:eastAsia="zh-CN" w:bidi="ar"/>
                    </w:rPr>
                    <w:t>焦炉煤气发电，采用管道输送，不涉及老旧车船，港口和机场服务、城市物流配送。</w:t>
                  </w:r>
                </w:p>
              </w:tc>
              <w:tc>
                <w:tcPr>
                  <w:tcW w:w="812" w:type="dxa"/>
                  <w:tcBorders>
                    <w:tl2br w:val="nil"/>
                    <w:tr2bl w:val="nil"/>
                  </w:tcBorders>
                  <w:vAlign w:val="center"/>
                </w:tcPr>
                <w:p w14:paraId="6BDDC9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符合</w:t>
                  </w:r>
                </w:p>
              </w:tc>
            </w:tr>
          </w:tbl>
          <w:p w14:paraId="2EE15A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综上，本项目符合《国务院关于加快建立健全绿色低碳循环发展经济体系的指导意见》（国发[2021]4号）相关要求。</w:t>
            </w:r>
          </w:p>
          <w:p w14:paraId="6AFDCF7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rPr>
            </w:pPr>
            <w:r>
              <w:rPr>
                <w:rFonts w:hint="eastAsia"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CN" w:bidi="ar"/>
              </w:rPr>
              <w:t>、与《云南省大气污染防治条例》的符合性分析</w:t>
            </w:r>
          </w:p>
          <w:p w14:paraId="4318A2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2018年11月29日云南省第十三届人民代表大会常务委员会第七次会议通过《云南省大气污染防治条例》，</w:t>
            </w:r>
            <w:r>
              <w:rPr>
                <w:rFonts w:hint="eastAsia" w:cs="Times New Roman"/>
                <w:color w:val="000000"/>
                <w:kern w:val="0"/>
                <w:sz w:val="24"/>
                <w:szCs w:val="24"/>
                <w:lang w:val="en-US" w:eastAsia="zh-CN" w:bidi="ar"/>
              </w:rPr>
              <w:t>项目与该条例符合性分析</w:t>
            </w:r>
            <w:r>
              <w:rPr>
                <w:rFonts w:hint="default" w:ascii="Times New Roman" w:hAnsi="Times New Roman" w:eastAsia="宋体" w:cs="Times New Roman"/>
                <w:color w:val="000000"/>
                <w:kern w:val="0"/>
                <w:sz w:val="24"/>
                <w:szCs w:val="24"/>
                <w:lang w:val="en-US" w:eastAsia="zh-CN" w:bidi="ar"/>
              </w:rPr>
              <w:t>如下。</w:t>
            </w:r>
          </w:p>
          <w:p w14:paraId="74DF8EE6">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 xml:space="preserve">1-7 </w:t>
            </w:r>
            <w:r>
              <w:rPr>
                <w:rFonts w:hint="eastAsia" w:ascii="黑体" w:hAnsi="黑体" w:eastAsia="黑体" w:cs="黑体"/>
                <w:b w:val="0"/>
                <w:bCs w:val="0"/>
                <w:color w:val="000000"/>
                <w:kern w:val="0"/>
                <w:sz w:val="21"/>
                <w:szCs w:val="21"/>
                <w:lang w:val="en-US" w:eastAsia="zh-CN" w:bidi="ar"/>
              </w:rPr>
              <w:t>与《云南省大气污染防治条例》符合性分析</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3862"/>
              <w:gridCol w:w="942"/>
            </w:tblGrid>
            <w:tr w14:paraId="7180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Borders>
                    <w:left w:val="nil"/>
                  </w:tcBorders>
                  <w:vAlign w:val="center"/>
                </w:tcPr>
                <w:p w14:paraId="05440120">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相关要求</w:t>
                  </w:r>
                </w:p>
              </w:tc>
              <w:tc>
                <w:tcPr>
                  <w:tcW w:w="3862" w:type="dxa"/>
                  <w:vAlign w:val="center"/>
                </w:tcPr>
                <w:p w14:paraId="7CD4DE1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本项目情况</w:t>
                  </w:r>
                </w:p>
              </w:tc>
              <w:tc>
                <w:tcPr>
                  <w:tcW w:w="942" w:type="dxa"/>
                  <w:tcBorders>
                    <w:right w:val="nil"/>
                  </w:tcBorders>
                  <w:vAlign w:val="center"/>
                </w:tcPr>
                <w:p w14:paraId="51DB7D56">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符合性</w:t>
                  </w:r>
                </w:p>
              </w:tc>
            </w:tr>
            <w:tr w14:paraId="2BF2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Borders>
                    <w:left w:val="nil"/>
                  </w:tcBorders>
                  <w:vAlign w:val="center"/>
                </w:tcPr>
                <w:p w14:paraId="2DB160A3">
                  <w:pPr>
                    <w:keepNext w:val="0"/>
                    <w:keepLines w:val="0"/>
                    <w:widowControl/>
                    <w:suppressLineNumbers w:val="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第十四条 向大气排放污染物的企业事业单位和其他生产经营者应当按照有关规定设置大气污染物排放口。根据国家规定开展自行监测的排污单位应当对监测数据的真实性、准确性负责，自行监测的原始记录保存期限不得少于</w:t>
                  </w:r>
                  <w:r>
                    <w:rPr>
                      <w:rFonts w:hint="default" w:ascii="Times New Roman" w:hAnsi="Times New Roman" w:eastAsia="宋体" w:cs="Times New Roman"/>
                      <w:color w:val="000000"/>
                      <w:kern w:val="0"/>
                      <w:sz w:val="18"/>
                      <w:szCs w:val="18"/>
                      <w:lang w:val="en-US" w:eastAsia="zh-CN" w:bidi="ar"/>
                    </w:rPr>
                    <w:t>3</w:t>
                  </w:r>
                  <w:r>
                    <w:rPr>
                      <w:rFonts w:hint="eastAsia" w:ascii="Times New Roman" w:hAnsi="Times New Roman" w:eastAsia="宋体" w:cs="Times New Roman"/>
                      <w:color w:val="000000"/>
                      <w:kern w:val="0"/>
                      <w:sz w:val="18"/>
                      <w:szCs w:val="18"/>
                      <w:lang w:val="en-US" w:eastAsia="zh-CN" w:bidi="ar"/>
                    </w:rPr>
                    <w:t>年。</w:t>
                  </w:r>
                </w:p>
                <w:p w14:paraId="64BEBB71">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重点排污单位应当按照规定安装使用大气污染物排放自动监测设施，与生态环境主管部门的监控平台联网，保证监测设备正常运行并依法公开排放信息。</w:t>
                  </w:r>
                </w:p>
              </w:tc>
              <w:tc>
                <w:tcPr>
                  <w:tcW w:w="3862" w:type="dxa"/>
                  <w:vAlign w:val="center"/>
                </w:tcPr>
                <w:p w14:paraId="1E14698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本项目产生的锅炉废气经处理后通过</w:t>
                  </w:r>
                  <w:r>
                    <w:rPr>
                      <w:rFonts w:hint="default" w:ascii="Times New Roman" w:hAnsi="Times New Roman" w:eastAsia="宋体" w:cs="Times New Roman"/>
                      <w:color w:val="000000"/>
                      <w:kern w:val="0"/>
                      <w:sz w:val="18"/>
                      <w:szCs w:val="18"/>
                      <w:lang w:val="en-US" w:eastAsia="zh-CN" w:bidi="ar"/>
                    </w:rPr>
                    <w:t>1</w:t>
                  </w:r>
                  <w:r>
                    <w:rPr>
                      <w:rFonts w:hint="eastAsia" w:ascii="Times New Roman" w:hAnsi="Times New Roman" w:eastAsia="宋体" w:cs="Times New Roman"/>
                      <w:color w:val="000000"/>
                      <w:kern w:val="0"/>
                      <w:sz w:val="18"/>
                      <w:szCs w:val="18"/>
                      <w:lang w:val="en-US" w:eastAsia="zh-CN" w:bidi="ar"/>
                    </w:rPr>
                    <w:t>根高</w:t>
                  </w:r>
                  <w:r>
                    <w:rPr>
                      <w:rFonts w:hint="eastAsia" w:cs="Times New Roman"/>
                      <w:color w:val="000000"/>
                      <w:kern w:val="0"/>
                      <w:sz w:val="18"/>
                      <w:szCs w:val="18"/>
                      <w:lang w:val="en-US" w:eastAsia="zh-CN" w:bidi="ar"/>
                    </w:rPr>
                    <w:t>80</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的高烟囱排放，</w:t>
                  </w:r>
                  <w:r>
                    <w:rPr>
                      <w:rFonts w:hint="eastAsia" w:cs="Times New Roman"/>
                      <w:sz w:val="18"/>
                      <w:szCs w:val="18"/>
                      <w:vertAlign w:val="baseline"/>
                      <w:lang w:val="en-US" w:eastAsia="zh-CN"/>
                    </w:rPr>
                    <w:t>灰仓粉尘和锅炉烟气一同处理后通过80m烟囱排放，</w:t>
                  </w:r>
                  <w:r>
                    <w:rPr>
                      <w:rFonts w:hint="eastAsia" w:ascii="Times New Roman" w:hAnsi="Times New Roman" w:eastAsia="宋体" w:cs="Times New Roman"/>
                      <w:color w:val="000000"/>
                      <w:kern w:val="0"/>
                      <w:sz w:val="18"/>
                      <w:szCs w:val="18"/>
                      <w:lang w:val="en-US" w:eastAsia="zh-CN" w:bidi="ar"/>
                    </w:rPr>
                    <w:t>环评报告中提出自行监测方案，项目投</w:t>
                  </w:r>
                  <w:r>
                    <w:rPr>
                      <w:rFonts w:hint="eastAsia" w:cs="Times New Roman"/>
                      <w:color w:val="000000"/>
                      <w:kern w:val="0"/>
                      <w:sz w:val="18"/>
                      <w:szCs w:val="18"/>
                      <w:lang w:val="en-US" w:eastAsia="zh-CN" w:bidi="ar"/>
                    </w:rPr>
                    <w:t>产后</w:t>
                  </w:r>
                  <w:r>
                    <w:rPr>
                      <w:rFonts w:hint="eastAsia" w:ascii="Times New Roman" w:hAnsi="Times New Roman" w:eastAsia="宋体" w:cs="Times New Roman"/>
                      <w:color w:val="000000"/>
                      <w:kern w:val="0"/>
                      <w:sz w:val="18"/>
                      <w:szCs w:val="18"/>
                      <w:lang w:val="en-US" w:eastAsia="zh-CN" w:bidi="ar"/>
                    </w:rPr>
                    <w:t>按要求开展自行监测，自行监测的原始记录保存期限不得少于</w:t>
                  </w:r>
                  <w:r>
                    <w:rPr>
                      <w:rFonts w:hint="default" w:ascii="Times New Roman" w:hAnsi="Times New Roman" w:eastAsia="宋体" w:cs="Times New Roman"/>
                      <w:color w:val="000000"/>
                      <w:kern w:val="0"/>
                      <w:sz w:val="18"/>
                      <w:szCs w:val="18"/>
                      <w:lang w:val="en-US" w:eastAsia="zh-CN" w:bidi="ar"/>
                    </w:rPr>
                    <w:t>5</w:t>
                  </w:r>
                  <w:r>
                    <w:rPr>
                      <w:rFonts w:hint="eastAsia" w:ascii="Times New Roman" w:hAnsi="Times New Roman" w:eastAsia="宋体" w:cs="Times New Roman"/>
                      <w:color w:val="000000"/>
                      <w:kern w:val="0"/>
                      <w:sz w:val="18"/>
                      <w:szCs w:val="18"/>
                      <w:lang w:val="en-US" w:eastAsia="zh-CN" w:bidi="ar"/>
                    </w:rPr>
                    <w:t>年。锅炉燃烧废气装设烟气自动连续监测系统；监测项目包括：</w:t>
                  </w:r>
                  <w:r>
                    <w:rPr>
                      <w:rFonts w:hint="default" w:ascii="Times New Roman" w:hAnsi="Times New Roman" w:eastAsia="宋体" w:cs="Times New Roman"/>
                      <w:color w:val="000000"/>
                      <w:kern w:val="0"/>
                      <w:sz w:val="18"/>
                      <w:szCs w:val="18"/>
                      <w:lang w:val="en-US" w:eastAsia="zh-CN" w:bidi="ar"/>
                    </w:rPr>
                    <w:t>SO</w:t>
                  </w:r>
                  <w:r>
                    <w:rPr>
                      <w:rFonts w:hint="default" w:ascii="Times New Roman" w:hAnsi="Times New Roman" w:eastAsia="宋体" w:cs="Times New Roman"/>
                      <w:color w:val="000000"/>
                      <w:kern w:val="0"/>
                      <w:sz w:val="18"/>
                      <w:szCs w:val="18"/>
                      <w:vertAlign w:val="subscript"/>
                      <w:lang w:val="en-US" w:eastAsia="zh-CN" w:bidi="ar"/>
                    </w:rPr>
                    <w:t>2</w:t>
                  </w:r>
                  <w:r>
                    <w:rPr>
                      <w:rFonts w:hint="eastAsia" w:ascii="Times New Roman" w:hAnsi="Times New Roman" w:eastAsia="宋体" w:cs="Times New Roman"/>
                      <w:color w:val="000000"/>
                      <w:kern w:val="0"/>
                      <w:sz w:val="18"/>
                      <w:szCs w:val="18"/>
                      <w:lang w:val="en-US" w:eastAsia="zh-CN" w:bidi="ar"/>
                    </w:rPr>
                    <w:t>、烟尘、</w:t>
                  </w:r>
                  <w:r>
                    <w:rPr>
                      <w:rFonts w:hint="default" w:ascii="Times New Roman" w:hAnsi="Times New Roman" w:eastAsia="宋体" w:cs="Times New Roman"/>
                      <w:color w:val="000000"/>
                      <w:kern w:val="0"/>
                      <w:sz w:val="18"/>
                      <w:szCs w:val="18"/>
                      <w:lang w:val="en-US" w:eastAsia="zh-CN" w:bidi="ar"/>
                    </w:rPr>
                    <w:t>NOx</w:t>
                  </w:r>
                  <w:r>
                    <w:rPr>
                      <w:rFonts w:hint="eastAsia" w:ascii="Times New Roman" w:hAnsi="Times New Roman" w:eastAsia="宋体" w:cs="Times New Roman"/>
                      <w:color w:val="000000"/>
                      <w:kern w:val="0"/>
                      <w:sz w:val="18"/>
                      <w:szCs w:val="18"/>
                      <w:lang w:val="en-US" w:eastAsia="zh-CN" w:bidi="ar"/>
                    </w:rPr>
                    <w:t>、</w:t>
                  </w:r>
                  <w:r>
                    <w:rPr>
                      <w:rFonts w:hint="eastAsia" w:cs="Times New Roman"/>
                      <w:color w:val="000000"/>
                      <w:kern w:val="0"/>
                      <w:sz w:val="18"/>
                      <w:szCs w:val="18"/>
                      <w:lang w:val="en-US" w:eastAsia="zh-CN" w:bidi="ar"/>
                    </w:rPr>
                    <w:t>O</w:t>
                  </w:r>
                  <w:r>
                    <w:rPr>
                      <w:rFonts w:hint="default" w:ascii="Times New Roman" w:hAnsi="Times New Roman" w:eastAsia="宋体" w:cs="Times New Roman"/>
                      <w:color w:val="000000"/>
                      <w:kern w:val="0"/>
                      <w:sz w:val="18"/>
                      <w:szCs w:val="18"/>
                      <w:vertAlign w:val="subscript"/>
                      <w:lang w:val="en-US" w:eastAsia="zh-CN" w:bidi="ar"/>
                    </w:rPr>
                    <w:t>2</w:t>
                  </w:r>
                  <w:r>
                    <w:rPr>
                      <w:rFonts w:hint="eastAsia" w:ascii="Times New Roman" w:hAnsi="Times New Roman" w:eastAsia="宋体" w:cs="Times New Roman"/>
                      <w:color w:val="000000"/>
                      <w:kern w:val="0"/>
                      <w:sz w:val="18"/>
                      <w:szCs w:val="18"/>
                      <w:lang w:val="en-US" w:eastAsia="zh-CN" w:bidi="ar"/>
                    </w:rPr>
                    <w:t>、烟温、流量等，并与生态环境管理部门联网。</w:t>
                  </w:r>
                </w:p>
              </w:tc>
              <w:tc>
                <w:tcPr>
                  <w:tcW w:w="942" w:type="dxa"/>
                  <w:tcBorders>
                    <w:right w:val="nil"/>
                  </w:tcBorders>
                  <w:vAlign w:val="center"/>
                </w:tcPr>
                <w:p w14:paraId="0BD4EBCB">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0836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Borders>
                    <w:left w:val="nil"/>
                  </w:tcBorders>
                  <w:vAlign w:val="center"/>
                </w:tcPr>
                <w:p w14:paraId="07333A4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第二十一条 钢铁、有色金属、建材、石油、炼焦、化工、铁合金、火电等工业企业以及燃煤锅炉使用单位应当按照规定配套建设、使用和维护除尘、脱硫、脱硝等装置。</w:t>
                  </w:r>
                </w:p>
              </w:tc>
              <w:tc>
                <w:tcPr>
                  <w:tcW w:w="3862" w:type="dxa"/>
                  <w:vAlign w:val="center"/>
                </w:tcPr>
                <w:p w14:paraId="33BE070B">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本项目为产能置换升级改造项目配套工程，锅炉</w:t>
                  </w:r>
                  <w:r>
                    <w:rPr>
                      <w:rFonts w:hint="eastAsia" w:cs="Times New Roman"/>
                      <w:color w:val="000000"/>
                      <w:kern w:val="0"/>
                      <w:sz w:val="18"/>
                      <w:szCs w:val="18"/>
                      <w:lang w:val="en-US" w:eastAsia="zh-CN" w:bidi="ar"/>
                    </w:rPr>
                    <w:t>设置低氮燃烧器和SCR脱硝装置，锅炉烟气经钙基干</w:t>
                  </w:r>
                  <w:r>
                    <w:rPr>
                      <w:rFonts w:hint="eastAsia" w:ascii="Times New Roman" w:hAnsi="Times New Roman" w:eastAsia="宋体" w:cs="Times New Roman"/>
                      <w:color w:val="000000"/>
                      <w:kern w:val="0"/>
                      <w:sz w:val="18"/>
                      <w:szCs w:val="18"/>
                      <w:lang w:val="en-US" w:eastAsia="zh-CN" w:bidi="ar"/>
                    </w:rPr>
                    <w:t>法脱硫</w:t>
                  </w:r>
                  <w:r>
                    <w:rPr>
                      <w:rFonts w:hint="default" w:ascii="Times New Roman" w:hAnsi="Times New Roman" w:eastAsia="宋体" w:cs="Times New Roman"/>
                      <w:color w:val="000000"/>
                      <w:kern w:val="0"/>
                      <w:sz w:val="18"/>
                      <w:szCs w:val="18"/>
                      <w:lang w:val="en-US" w:eastAsia="zh-CN" w:bidi="ar"/>
                    </w:rPr>
                    <w:t>+</w:t>
                  </w:r>
                  <w:r>
                    <w:rPr>
                      <w:rFonts w:hint="eastAsia" w:cs="Times New Roman"/>
                      <w:color w:val="000000"/>
                      <w:kern w:val="0"/>
                      <w:sz w:val="18"/>
                      <w:szCs w:val="18"/>
                      <w:lang w:val="en-US" w:eastAsia="zh-CN" w:bidi="ar"/>
                    </w:rPr>
                    <w:t>布袋除尘器除尘处理</w:t>
                  </w:r>
                  <w:r>
                    <w:rPr>
                      <w:rFonts w:hint="eastAsia" w:ascii="Times New Roman" w:hAnsi="Times New Roman" w:eastAsia="宋体" w:cs="Times New Roman"/>
                      <w:color w:val="000000"/>
                      <w:kern w:val="0"/>
                      <w:sz w:val="18"/>
                      <w:szCs w:val="18"/>
                      <w:lang w:val="en-US" w:eastAsia="zh-CN" w:bidi="ar"/>
                    </w:rPr>
                    <w:t>后，通过</w:t>
                  </w:r>
                  <w:r>
                    <w:rPr>
                      <w:rFonts w:hint="default" w:ascii="Times New Roman" w:hAnsi="Times New Roman" w:eastAsia="宋体" w:cs="Times New Roman"/>
                      <w:color w:val="000000"/>
                      <w:kern w:val="0"/>
                      <w:sz w:val="18"/>
                      <w:szCs w:val="18"/>
                      <w:lang w:val="en-US" w:eastAsia="zh-CN" w:bidi="ar"/>
                    </w:rPr>
                    <w:t>1</w:t>
                  </w:r>
                  <w:r>
                    <w:rPr>
                      <w:rFonts w:hint="eastAsia" w:ascii="Times New Roman" w:hAnsi="Times New Roman" w:eastAsia="宋体" w:cs="Times New Roman"/>
                      <w:color w:val="000000"/>
                      <w:kern w:val="0"/>
                      <w:sz w:val="18"/>
                      <w:szCs w:val="18"/>
                      <w:lang w:val="en-US" w:eastAsia="zh-CN" w:bidi="ar"/>
                    </w:rPr>
                    <w:t>根</w:t>
                  </w:r>
                  <w:r>
                    <w:rPr>
                      <w:rFonts w:hint="eastAsia" w:cs="Times New Roman"/>
                      <w:color w:val="000000"/>
                      <w:kern w:val="0"/>
                      <w:sz w:val="18"/>
                      <w:szCs w:val="18"/>
                      <w:lang w:val="en-US" w:eastAsia="zh-CN" w:bidi="ar"/>
                    </w:rPr>
                    <w:t>80</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高烟囱排放。</w:t>
                  </w:r>
                  <w:r>
                    <w:rPr>
                      <w:rFonts w:hint="eastAsia" w:cs="Times New Roman"/>
                      <w:color w:val="000000"/>
                      <w:kern w:val="0"/>
                      <w:sz w:val="18"/>
                      <w:szCs w:val="18"/>
                      <w:lang w:val="en-US" w:eastAsia="zh-CN" w:bidi="ar"/>
                    </w:rPr>
                    <w:t>灰仓</w:t>
                  </w:r>
                  <w:r>
                    <w:rPr>
                      <w:rFonts w:hint="eastAsia" w:ascii="Times New Roman" w:hAnsi="Times New Roman" w:eastAsia="宋体" w:cs="Times New Roman"/>
                      <w:color w:val="000000"/>
                      <w:kern w:val="0"/>
                      <w:sz w:val="18"/>
                      <w:szCs w:val="18"/>
                      <w:lang w:val="en-US" w:eastAsia="zh-CN" w:bidi="ar"/>
                    </w:rPr>
                    <w:t>采用筒仓贮存，</w:t>
                  </w:r>
                  <w:r>
                    <w:rPr>
                      <w:rFonts w:hint="eastAsia" w:cs="Times New Roman"/>
                      <w:sz w:val="18"/>
                      <w:szCs w:val="18"/>
                      <w:vertAlign w:val="baseline"/>
                      <w:lang w:val="en-US" w:eastAsia="zh-CN"/>
                    </w:rPr>
                    <w:t>灰仓粉尘和锅炉烟气一同处理后通过80m烟囱排放</w:t>
                  </w:r>
                </w:p>
              </w:tc>
              <w:tc>
                <w:tcPr>
                  <w:tcW w:w="942" w:type="dxa"/>
                  <w:tcBorders>
                    <w:right w:val="nil"/>
                  </w:tcBorders>
                  <w:vAlign w:val="center"/>
                </w:tcPr>
                <w:p w14:paraId="58BDE1C9">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150C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Borders>
                    <w:left w:val="nil"/>
                  </w:tcBorders>
                  <w:vAlign w:val="center"/>
                </w:tcPr>
                <w:p w14:paraId="5CAD242B">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第三十二条 运输煤炭、垃圾、渣土、砂石、土方、灰浆等散装、流体物料的车辆应当采取密闭或者其他措施防止物料遗撒造成扬尘污染，并按照规定路线和时间行驶。</w:t>
                  </w:r>
                </w:p>
              </w:tc>
              <w:tc>
                <w:tcPr>
                  <w:tcW w:w="3862" w:type="dxa"/>
                  <w:vAlign w:val="center"/>
                </w:tcPr>
                <w:p w14:paraId="7BA86F4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项目脱硫所用高活性氢氧化钙采用专用罐车运至灰仓附近，由罐车产生的压缩空气将高活性氢氧化钙送到石灰仓内，完成卸料工作。</w:t>
                  </w:r>
                </w:p>
              </w:tc>
              <w:tc>
                <w:tcPr>
                  <w:tcW w:w="942" w:type="dxa"/>
                  <w:tcBorders>
                    <w:right w:val="nil"/>
                  </w:tcBorders>
                  <w:vAlign w:val="center"/>
                </w:tcPr>
                <w:p w14:paraId="1BCD6443">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bl>
          <w:p w14:paraId="293E8F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综上，项目符合《云南省大气污染防治条例》相关要求。</w:t>
            </w:r>
          </w:p>
          <w:p w14:paraId="2325E7B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10</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符合《空气质量持续改善行动计划》分析</w:t>
            </w:r>
          </w:p>
          <w:p w14:paraId="0B3958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2023年11月30日，国务院发布了《空气质量持续改善行动计划》（国发〔2023〕24号），与项目相关要求如下。</w:t>
            </w:r>
          </w:p>
          <w:p w14:paraId="08B27FD4">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 xml:space="preserve">1-8 </w:t>
            </w:r>
            <w:r>
              <w:rPr>
                <w:rFonts w:hint="eastAsia" w:ascii="黑体" w:hAnsi="黑体" w:eastAsia="黑体" w:cs="黑体"/>
                <w:b w:val="0"/>
                <w:bCs w:val="0"/>
                <w:color w:val="000000"/>
                <w:kern w:val="0"/>
                <w:sz w:val="21"/>
                <w:szCs w:val="21"/>
                <w:lang w:val="en-US" w:eastAsia="zh-CN" w:bidi="ar"/>
              </w:rPr>
              <w:t>与《空气质量持续改善行动计划》符合性分析</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3168"/>
              <w:gridCol w:w="2554"/>
              <w:gridCol w:w="856"/>
            </w:tblGrid>
            <w:tr w14:paraId="5A93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6" w:type="dxa"/>
                  <w:gridSpan w:val="2"/>
                  <w:tcBorders>
                    <w:left w:val="nil"/>
                  </w:tcBorders>
                  <w:vAlign w:val="center"/>
                </w:tcPr>
                <w:p w14:paraId="5838A616">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国发〔</w:t>
                  </w:r>
                  <w:r>
                    <w:rPr>
                      <w:rFonts w:hint="default" w:ascii="Times New Roman" w:hAnsi="Times New Roman" w:eastAsia="宋体" w:cs="Times New Roman"/>
                      <w:color w:val="000000"/>
                      <w:kern w:val="0"/>
                      <w:sz w:val="18"/>
                      <w:szCs w:val="18"/>
                      <w:lang w:val="en-US" w:eastAsia="zh-CN" w:bidi="ar"/>
                    </w:rPr>
                    <w:t>2023</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24</w:t>
                  </w:r>
                  <w:r>
                    <w:rPr>
                      <w:rFonts w:hint="eastAsia" w:ascii="Times New Roman" w:hAnsi="Times New Roman" w:eastAsia="宋体" w:cs="Times New Roman"/>
                      <w:color w:val="000000"/>
                      <w:kern w:val="0"/>
                      <w:sz w:val="18"/>
                      <w:szCs w:val="18"/>
                      <w:lang w:val="en-US" w:eastAsia="zh-CN" w:bidi="ar"/>
                    </w:rPr>
                    <w:t>号内容</w:t>
                  </w:r>
                </w:p>
              </w:tc>
              <w:tc>
                <w:tcPr>
                  <w:tcW w:w="2554" w:type="dxa"/>
                  <w:vAlign w:val="center"/>
                </w:tcPr>
                <w:p w14:paraId="5FEF5B0D">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本项目情况</w:t>
                  </w:r>
                </w:p>
              </w:tc>
              <w:tc>
                <w:tcPr>
                  <w:tcW w:w="856" w:type="dxa"/>
                  <w:tcBorders>
                    <w:right w:val="nil"/>
                  </w:tcBorders>
                  <w:vAlign w:val="center"/>
                </w:tcPr>
                <w:p w14:paraId="29A77E1F">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符合性</w:t>
                  </w:r>
                </w:p>
              </w:tc>
            </w:tr>
            <w:tr w14:paraId="01EC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tcBorders>
                    <w:left w:val="nil"/>
                  </w:tcBorders>
                  <w:vAlign w:val="center"/>
                </w:tcPr>
                <w:p w14:paraId="7547C05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二、优化产业结构，促进产业产品绿色升级</w:t>
                  </w:r>
                </w:p>
              </w:tc>
              <w:tc>
                <w:tcPr>
                  <w:tcW w:w="3168" w:type="dxa"/>
                  <w:tcBorders>
                    <w:left w:val="nil"/>
                  </w:tcBorders>
                  <w:vAlign w:val="center"/>
                </w:tcPr>
                <w:p w14:paraId="2235F1B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到</w:t>
                  </w:r>
                  <w:r>
                    <w:rPr>
                      <w:rFonts w:hint="default" w:ascii="Times New Roman" w:hAnsi="Times New Roman" w:eastAsia="宋体" w:cs="Times New Roman"/>
                      <w:color w:val="000000"/>
                      <w:kern w:val="0"/>
                      <w:sz w:val="18"/>
                      <w:szCs w:val="18"/>
                      <w:lang w:val="en-US" w:eastAsia="zh-CN" w:bidi="ar"/>
                    </w:rPr>
                    <w:t>2025</w:t>
                  </w:r>
                  <w:r>
                    <w:rPr>
                      <w:rFonts w:hint="eastAsia" w:ascii="Times New Roman" w:hAnsi="Times New Roman" w:eastAsia="宋体" w:cs="Times New Roman"/>
                      <w:color w:val="000000"/>
                      <w:kern w:val="0"/>
                      <w:sz w:val="18"/>
                      <w:szCs w:val="18"/>
                      <w:lang w:val="en-US" w:eastAsia="zh-CN" w:bidi="ar"/>
                    </w:rPr>
                    <w:t>年，短流程炼钢产量占比达</w:t>
                  </w:r>
                  <w:r>
                    <w:rPr>
                      <w:rFonts w:hint="default" w:ascii="Times New Roman" w:hAnsi="Times New Roman" w:eastAsia="宋体" w:cs="Times New Roman"/>
                      <w:color w:val="000000"/>
                      <w:kern w:val="0"/>
                      <w:sz w:val="18"/>
                      <w:szCs w:val="18"/>
                      <w:lang w:val="en-US" w:eastAsia="zh-CN" w:bidi="ar"/>
                    </w:rPr>
                    <w:t>15%</w:t>
                  </w:r>
                  <w:r>
                    <w:rPr>
                      <w:rFonts w:hint="eastAsia" w:ascii="Times New Roman" w:hAnsi="Times New Roman" w:eastAsia="宋体" w:cs="Times New Roman"/>
                      <w:color w:val="000000"/>
                      <w:kern w:val="0"/>
                      <w:sz w:val="18"/>
                      <w:szCs w:val="18"/>
                      <w:lang w:val="en-US" w:eastAsia="zh-CN" w:bidi="ar"/>
                    </w:rPr>
                    <w:t>。京津冀及周边地区继续实施“以钢定焦”，炼焦产能与长流程炼钢产能比控制在</w:t>
                  </w:r>
                  <w:r>
                    <w:rPr>
                      <w:rFonts w:hint="default" w:ascii="Times New Roman" w:hAnsi="Times New Roman" w:eastAsia="宋体" w:cs="Times New Roman"/>
                      <w:color w:val="000000"/>
                      <w:kern w:val="0"/>
                      <w:sz w:val="18"/>
                      <w:szCs w:val="18"/>
                      <w:lang w:val="en-US" w:eastAsia="zh-CN" w:bidi="ar"/>
                    </w:rPr>
                    <w:t>0.4</w:t>
                  </w:r>
                  <w:r>
                    <w:rPr>
                      <w:rFonts w:hint="eastAsia" w:cs="Times New Roman"/>
                      <w:color w:val="000000"/>
                      <w:kern w:val="0"/>
                      <w:sz w:val="18"/>
                      <w:szCs w:val="18"/>
                      <w:lang w:val="en-US" w:eastAsia="zh-CN" w:bidi="ar"/>
                    </w:rPr>
                    <w:t>左</w:t>
                  </w:r>
                  <w:r>
                    <w:rPr>
                      <w:rFonts w:hint="eastAsia" w:ascii="Times New Roman" w:hAnsi="Times New Roman" w:eastAsia="宋体" w:cs="Times New Roman"/>
                      <w:color w:val="000000"/>
                      <w:kern w:val="0"/>
                      <w:sz w:val="18"/>
                      <w:szCs w:val="18"/>
                      <w:lang w:val="en-US" w:eastAsia="zh-CN" w:bidi="ar"/>
                    </w:rPr>
                    <w:t>右。</w:t>
                  </w:r>
                </w:p>
              </w:tc>
              <w:tc>
                <w:tcPr>
                  <w:tcW w:w="2554" w:type="dxa"/>
                  <w:vAlign w:val="center"/>
                </w:tcPr>
                <w:p w14:paraId="746D9983">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本项目使用厂内富余高炉、转炉</w:t>
                  </w:r>
                  <w:r>
                    <w:rPr>
                      <w:rFonts w:hint="eastAsia" w:cs="Times New Roman"/>
                      <w:color w:val="000000"/>
                      <w:kern w:val="0"/>
                      <w:sz w:val="18"/>
                      <w:szCs w:val="18"/>
                      <w:lang w:val="en-US" w:eastAsia="zh-CN" w:bidi="ar"/>
                    </w:rPr>
                    <w:t>及</w:t>
                  </w:r>
                  <w:r>
                    <w:rPr>
                      <w:rFonts w:hint="eastAsia" w:ascii="Times New Roman" w:hAnsi="Times New Roman" w:eastAsia="宋体" w:cs="Times New Roman"/>
                      <w:color w:val="000000"/>
                      <w:kern w:val="0"/>
                      <w:sz w:val="18"/>
                      <w:szCs w:val="18"/>
                      <w:lang w:val="en-US" w:eastAsia="zh-CN" w:bidi="ar"/>
                    </w:rPr>
                    <w:t>焦炉煤气发电，属于《产业结构调整指导目录（</w:t>
                  </w:r>
                  <w:r>
                    <w:rPr>
                      <w:rFonts w:hint="default" w:ascii="Times New Roman" w:hAnsi="Times New Roman" w:eastAsia="宋体" w:cs="Times New Roman"/>
                      <w:color w:val="000000"/>
                      <w:kern w:val="0"/>
                      <w:sz w:val="18"/>
                      <w:szCs w:val="18"/>
                      <w:lang w:val="en-US" w:eastAsia="zh-CN" w:bidi="ar"/>
                    </w:rPr>
                    <w:t>2024</w:t>
                  </w:r>
                  <w:r>
                    <w:rPr>
                      <w:rFonts w:hint="eastAsia" w:ascii="Times New Roman" w:hAnsi="Times New Roman" w:eastAsia="宋体" w:cs="Times New Roman"/>
                      <w:color w:val="000000"/>
                      <w:kern w:val="0"/>
                      <w:sz w:val="18"/>
                      <w:szCs w:val="18"/>
                      <w:lang w:val="en-US" w:eastAsia="zh-CN" w:bidi="ar"/>
                    </w:rPr>
                    <w:t>年本）》第一类鼓励类，符合《云南新平产业园区总体规划（</w:t>
                  </w:r>
                  <w:r>
                    <w:rPr>
                      <w:rFonts w:hint="default" w:ascii="Times New Roman" w:hAnsi="Times New Roman" w:eastAsia="宋体" w:cs="Times New Roman"/>
                      <w:color w:val="000000"/>
                      <w:kern w:val="0"/>
                      <w:sz w:val="18"/>
                      <w:szCs w:val="18"/>
                      <w:lang w:val="en-US" w:eastAsia="zh-CN" w:bidi="ar"/>
                    </w:rPr>
                    <w:t>2021~2035</w:t>
                  </w:r>
                  <w:r>
                    <w:rPr>
                      <w:rFonts w:hint="eastAsia" w:ascii="Times New Roman" w:hAnsi="Times New Roman" w:eastAsia="宋体" w:cs="Times New Roman"/>
                      <w:color w:val="000000"/>
                      <w:kern w:val="0"/>
                      <w:sz w:val="18"/>
                      <w:szCs w:val="18"/>
                      <w:lang w:val="en-US" w:eastAsia="zh-CN" w:bidi="ar"/>
                    </w:rPr>
                    <w:t>）》及相关规划环评及审核意见、污染物排放区域削减、碳排放达峰目标等相关要求。本项目为钢铁冶炼、焦化工程配套项目，不新增钢铁产能</w:t>
                  </w:r>
                  <w:r>
                    <w:rPr>
                      <w:rFonts w:hint="eastAsia" w:cs="Times New Roman"/>
                      <w:color w:val="000000"/>
                      <w:kern w:val="0"/>
                      <w:sz w:val="18"/>
                      <w:szCs w:val="18"/>
                      <w:lang w:val="en-US" w:eastAsia="zh-CN" w:bidi="ar"/>
                    </w:rPr>
                    <w:t>。</w:t>
                  </w:r>
                </w:p>
              </w:tc>
              <w:tc>
                <w:tcPr>
                  <w:tcW w:w="856" w:type="dxa"/>
                  <w:tcBorders>
                    <w:right w:val="nil"/>
                  </w:tcBorders>
                  <w:vAlign w:val="center"/>
                </w:tcPr>
                <w:p w14:paraId="6287D4B6">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0E1A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tcBorders>
                    <w:left w:val="nil"/>
                  </w:tcBorders>
                  <w:vAlign w:val="center"/>
                </w:tcPr>
                <w:p w14:paraId="2609D2C3">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p>
              </w:tc>
              <w:tc>
                <w:tcPr>
                  <w:tcW w:w="3168" w:type="dxa"/>
                  <w:tcBorders>
                    <w:left w:val="nil"/>
                  </w:tcBorders>
                  <w:vAlign w:val="center"/>
                </w:tcPr>
                <w:p w14:paraId="11C01BD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2554" w:type="dxa"/>
                  <w:vAlign w:val="center"/>
                </w:tcPr>
                <w:p w14:paraId="77EE64C9">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本项目为产能置换升级改造项目配套工程，位于云南省玉溪市新平县扬武镇大开门云南新平产业园区绿色钢城片区。本次环评不涉及该条规定。</w:t>
                  </w:r>
                </w:p>
              </w:tc>
              <w:tc>
                <w:tcPr>
                  <w:tcW w:w="856" w:type="dxa"/>
                  <w:tcBorders>
                    <w:right w:val="nil"/>
                  </w:tcBorders>
                  <w:vAlign w:val="center"/>
                </w:tcPr>
                <w:p w14:paraId="718E2DF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5338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Borders>
                    <w:left w:val="nil"/>
                  </w:tcBorders>
                  <w:vAlign w:val="center"/>
                </w:tcPr>
                <w:p w14:paraId="413CACE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六、强化多污染物减排，切实降低排放强度</w:t>
                  </w:r>
                </w:p>
              </w:tc>
              <w:tc>
                <w:tcPr>
                  <w:tcW w:w="3168" w:type="dxa"/>
                  <w:tcBorders>
                    <w:left w:val="nil"/>
                  </w:tcBorders>
                  <w:vAlign w:val="center"/>
                </w:tcPr>
                <w:p w14:paraId="56C7C9D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（二十二）推进重点行业污染深度治理。高质量推进钢铁、水泥、焦化等重点行业及燃煤锅炉超低排放改造。到</w:t>
                  </w:r>
                  <w:r>
                    <w:rPr>
                      <w:rFonts w:hint="default" w:ascii="Times New Roman" w:hAnsi="Times New Roman" w:eastAsia="宋体" w:cs="Times New Roman"/>
                      <w:color w:val="000000"/>
                      <w:kern w:val="0"/>
                      <w:sz w:val="18"/>
                      <w:szCs w:val="18"/>
                      <w:lang w:val="en-US" w:eastAsia="zh-CN" w:bidi="ar"/>
                    </w:rPr>
                    <w:t>2025</w:t>
                  </w:r>
                  <w:r>
                    <w:rPr>
                      <w:rFonts w:hint="eastAsia" w:ascii="Times New Roman" w:hAnsi="Times New Roman" w:eastAsia="宋体" w:cs="Times New Roman"/>
                      <w:color w:val="000000"/>
                      <w:kern w:val="0"/>
                      <w:sz w:val="18"/>
                      <w:szCs w:val="18"/>
                      <w:lang w:val="en-US" w:eastAsia="zh-CN" w:bidi="ar"/>
                    </w:rPr>
                    <w:t>年，全国</w:t>
                  </w:r>
                  <w:r>
                    <w:rPr>
                      <w:rFonts w:hint="default" w:ascii="Times New Roman" w:hAnsi="Times New Roman" w:eastAsia="宋体" w:cs="Times New Roman"/>
                      <w:color w:val="000000"/>
                      <w:kern w:val="0"/>
                      <w:sz w:val="18"/>
                      <w:szCs w:val="18"/>
                      <w:lang w:val="en-US" w:eastAsia="zh-CN" w:bidi="ar"/>
                    </w:rPr>
                    <w:t>80%</w:t>
                  </w:r>
                  <w:r>
                    <w:rPr>
                      <w:rFonts w:hint="eastAsia" w:ascii="Times New Roman" w:hAnsi="Times New Roman" w:eastAsia="宋体" w:cs="Times New Roman"/>
                      <w:color w:val="000000"/>
                      <w:kern w:val="0"/>
                      <w:sz w:val="18"/>
                      <w:szCs w:val="18"/>
                      <w:lang w:val="en-US" w:eastAsia="zh-CN" w:bidi="ar"/>
                    </w:rPr>
                    <w:t>以上的钢铁产能完成超低排放改造任务；重点区域全部实现钢铁行业超低排放，基本完成燃煤锅炉超低排放改造。</w:t>
                  </w:r>
                </w:p>
              </w:tc>
              <w:tc>
                <w:tcPr>
                  <w:tcW w:w="2554" w:type="dxa"/>
                  <w:vAlign w:val="center"/>
                </w:tcPr>
                <w:p w14:paraId="05F1F14D">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本项目排放的燃气锅炉废气执行《关于推进实施钢铁行业超低排放的意见》（环大气</w:t>
                  </w:r>
                  <w:r>
                    <w:rPr>
                      <w:rFonts w:hint="eastAsia"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2019</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color w:val="000000"/>
                      <w:kern w:val="0"/>
                      <w:sz w:val="18"/>
                      <w:szCs w:val="18"/>
                      <w:lang w:val="en-US" w:eastAsia="zh-CN" w:bidi="ar"/>
                    </w:rPr>
                    <w:t>35</w:t>
                  </w:r>
                  <w:r>
                    <w:rPr>
                      <w:rFonts w:hint="eastAsia" w:ascii="Times New Roman" w:hAnsi="Times New Roman" w:eastAsia="宋体" w:cs="Times New Roman"/>
                      <w:color w:val="000000"/>
                      <w:kern w:val="0"/>
                      <w:sz w:val="18"/>
                      <w:szCs w:val="18"/>
                      <w:lang w:val="en-US" w:eastAsia="zh-CN" w:bidi="ar"/>
                    </w:rPr>
                    <w:t>号）中附件</w:t>
                  </w:r>
                  <w:r>
                    <w:rPr>
                      <w:rFonts w:hint="default" w:ascii="Times New Roman" w:hAnsi="Times New Roman" w:eastAsia="宋体" w:cs="Times New Roman"/>
                      <w:color w:val="000000"/>
                      <w:kern w:val="0"/>
                      <w:sz w:val="18"/>
                      <w:szCs w:val="18"/>
                      <w:lang w:val="en-US" w:eastAsia="zh-CN" w:bidi="ar"/>
                    </w:rPr>
                    <w:t>2</w:t>
                  </w:r>
                  <w:r>
                    <w:rPr>
                      <w:rFonts w:hint="eastAsia" w:ascii="Times New Roman" w:hAnsi="Times New Roman" w:eastAsia="宋体" w:cs="Times New Roman"/>
                      <w:color w:val="000000"/>
                      <w:kern w:val="0"/>
                      <w:sz w:val="18"/>
                      <w:szCs w:val="18"/>
                      <w:lang w:val="en-US" w:eastAsia="zh-CN" w:bidi="ar"/>
                    </w:rPr>
                    <w:t>钢铁企业超低排放指标限值（自备电厂）超低排放限值要求。</w:t>
                  </w:r>
                </w:p>
              </w:tc>
              <w:tc>
                <w:tcPr>
                  <w:tcW w:w="856" w:type="dxa"/>
                  <w:tcBorders>
                    <w:right w:val="nil"/>
                  </w:tcBorders>
                  <w:vAlign w:val="center"/>
                </w:tcPr>
                <w:p w14:paraId="4966548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bl>
          <w:p w14:paraId="4E8A90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综上，本项目符合《空气质量持续改善行动计划》的相关要求。</w:t>
            </w:r>
          </w:p>
          <w:p w14:paraId="0D7E561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11、</w:t>
            </w:r>
            <w:r>
              <w:rPr>
                <w:rFonts w:hint="eastAsia" w:ascii="Times New Roman" w:hAnsi="Times New Roman" w:eastAsia="宋体" w:cs="Times New Roman"/>
                <w:b/>
                <w:bCs/>
                <w:color w:val="000000"/>
                <w:kern w:val="0"/>
                <w:sz w:val="24"/>
                <w:szCs w:val="24"/>
                <w:lang w:val="en-US" w:eastAsia="zh-CN" w:bidi="ar"/>
              </w:rPr>
              <w:t>与《云南省空气质量持续改善行动实施方案》的符合性分析</w:t>
            </w:r>
          </w:p>
          <w:p w14:paraId="033C61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2024</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26</w:t>
            </w:r>
            <w:r>
              <w:rPr>
                <w:rFonts w:hint="eastAsia" w:ascii="Times New Roman" w:hAnsi="Times New Roman" w:eastAsia="宋体" w:cs="Times New Roman"/>
                <w:color w:val="000000"/>
                <w:kern w:val="0"/>
                <w:sz w:val="24"/>
                <w:szCs w:val="24"/>
                <w:lang w:val="en-US" w:eastAsia="zh-CN" w:bidi="ar"/>
              </w:rPr>
              <w:t>日，云南省人民政府发布了《云南省空气质量持续改善行动实施方案》（云政发〔</w:t>
            </w:r>
            <w:r>
              <w:rPr>
                <w:rFonts w:hint="default" w:ascii="Times New Roman" w:hAnsi="Times New Roman" w:eastAsia="宋体" w:cs="Times New Roman"/>
                <w:color w:val="000000"/>
                <w:kern w:val="0"/>
                <w:sz w:val="24"/>
                <w:szCs w:val="24"/>
                <w:lang w:val="en-US" w:eastAsia="zh-CN" w:bidi="ar"/>
              </w:rPr>
              <w:t>2024</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44</w:t>
            </w:r>
            <w:r>
              <w:rPr>
                <w:rFonts w:hint="eastAsia" w:ascii="Times New Roman" w:hAnsi="Times New Roman" w:eastAsia="宋体" w:cs="Times New Roman"/>
                <w:color w:val="000000"/>
                <w:kern w:val="0"/>
                <w:sz w:val="24"/>
                <w:szCs w:val="24"/>
                <w:lang w:val="en-US" w:eastAsia="zh-CN" w:bidi="ar"/>
              </w:rPr>
              <w:t>号），与项目相关要求如下。</w:t>
            </w:r>
          </w:p>
          <w:p w14:paraId="59523925">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 xml:space="preserve">1-9 </w:t>
            </w:r>
            <w:r>
              <w:rPr>
                <w:rFonts w:hint="eastAsia" w:ascii="黑体" w:hAnsi="黑体" w:eastAsia="黑体" w:cs="黑体"/>
                <w:b w:val="0"/>
                <w:bCs w:val="0"/>
                <w:color w:val="000000"/>
                <w:kern w:val="0"/>
                <w:sz w:val="21"/>
                <w:szCs w:val="21"/>
                <w:lang w:val="en-US" w:eastAsia="zh-CN" w:bidi="ar"/>
              </w:rPr>
              <w:t>与《云南省空气质量持续改善行动实施方案》符合性分析</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839"/>
              <w:gridCol w:w="2671"/>
              <w:gridCol w:w="933"/>
            </w:tblGrid>
            <w:tr w14:paraId="279C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gridSpan w:val="2"/>
                  <w:tcBorders>
                    <w:left w:val="nil"/>
                  </w:tcBorders>
                  <w:vAlign w:val="center"/>
                </w:tcPr>
                <w:p w14:paraId="72D338B1">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云政发〔</w:t>
                  </w:r>
                  <w:r>
                    <w:rPr>
                      <w:rFonts w:hint="default" w:ascii="Times New Roman" w:hAnsi="Times New Roman" w:eastAsia="宋体" w:cs="Times New Roman"/>
                      <w:color w:val="000000"/>
                      <w:kern w:val="0"/>
                      <w:sz w:val="18"/>
                      <w:szCs w:val="18"/>
                      <w:lang w:val="en-US" w:eastAsia="zh-CN" w:bidi="ar"/>
                    </w:rPr>
                    <w:t>2024</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44</w:t>
                  </w:r>
                  <w:r>
                    <w:rPr>
                      <w:rFonts w:hint="eastAsia" w:ascii="Times New Roman" w:hAnsi="Times New Roman" w:eastAsia="宋体" w:cs="Times New Roman"/>
                      <w:color w:val="000000"/>
                      <w:kern w:val="0"/>
                      <w:sz w:val="18"/>
                      <w:szCs w:val="18"/>
                      <w:lang w:val="en-US" w:eastAsia="zh-CN" w:bidi="ar"/>
                    </w:rPr>
                    <w:t>号内容</w:t>
                  </w:r>
                </w:p>
              </w:tc>
              <w:tc>
                <w:tcPr>
                  <w:tcW w:w="2671" w:type="dxa"/>
                  <w:vAlign w:val="center"/>
                </w:tcPr>
                <w:p w14:paraId="166E3BA4">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本项目情况</w:t>
                  </w:r>
                </w:p>
              </w:tc>
              <w:tc>
                <w:tcPr>
                  <w:tcW w:w="933" w:type="dxa"/>
                  <w:tcBorders>
                    <w:right w:val="nil"/>
                  </w:tcBorders>
                  <w:vAlign w:val="center"/>
                </w:tcPr>
                <w:p w14:paraId="427E4876">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符合性</w:t>
                  </w:r>
                </w:p>
              </w:tc>
            </w:tr>
            <w:tr w14:paraId="0695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tcBorders>
                    <w:left w:val="nil"/>
                  </w:tcBorders>
                  <w:shd w:val="clear" w:color="auto" w:fill="auto"/>
                  <w:vAlign w:val="center"/>
                </w:tcPr>
                <w:p w14:paraId="7926628D">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二、优化产业结构，促进产业产品绿色升级</w:t>
                  </w:r>
                </w:p>
              </w:tc>
              <w:tc>
                <w:tcPr>
                  <w:tcW w:w="2839" w:type="dxa"/>
                  <w:vAlign w:val="center"/>
                </w:tcPr>
                <w:p w14:paraId="5F27F65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w:t>
                  </w:r>
                  <w:r>
                    <w:rPr>
                      <w:rFonts w:hint="default" w:ascii="Times New Roman" w:hAnsi="Times New Roman" w:eastAsia="宋体" w:cs="Times New Roman"/>
                      <w:color w:val="000000"/>
                      <w:kern w:val="0"/>
                      <w:sz w:val="18"/>
                      <w:szCs w:val="18"/>
                      <w:lang w:val="en-US" w:eastAsia="zh-CN" w:bidi="ar"/>
                    </w:rPr>
                    <w:t>2025</w:t>
                  </w:r>
                  <w:r>
                    <w:rPr>
                      <w:rFonts w:hint="eastAsia" w:ascii="Times New Roman" w:hAnsi="Times New Roman" w:eastAsia="宋体" w:cs="Times New Roman"/>
                      <w:color w:val="000000"/>
                      <w:kern w:val="0"/>
                      <w:sz w:val="18"/>
                      <w:szCs w:val="18"/>
                      <w:lang w:val="en-US" w:eastAsia="zh-CN" w:bidi="ar"/>
                    </w:rPr>
                    <w:t>年，短流程炼钢产量占比达</w:t>
                  </w:r>
                  <w:r>
                    <w:rPr>
                      <w:rFonts w:hint="default" w:ascii="Times New Roman" w:hAnsi="Times New Roman" w:eastAsia="宋体" w:cs="Times New Roman"/>
                      <w:color w:val="000000"/>
                      <w:kern w:val="0"/>
                      <w:sz w:val="18"/>
                      <w:szCs w:val="18"/>
                      <w:lang w:val="en-US" w:eastAsia="zh-CN" w:bidi="ar"/>
                    </w:rPr>
                    <w:t>15%</w:t>
                  </w:r>
                  <w:r>
                    <w:rPr>
                      <w:rFonts w:hint="eastAsia" w:ascii="Times New Roman" w:hAnsi="Times New Roman" w:eastAsia="宋体" w:cs="Times New Roman"/>
                      <w:color w:val="000000"/>
                      <w:kern w:val="0"/>
                      <w:sz w:val="18"/>
                      <w:szCs w:val="18"/>
                      <w:lang w:val="en-US" w:eastAsia="zh-CN" w:bidi="ar"/>
                    </w:rPr>
                    <w:t>。</w:t>
                  </w:r>
                </w:p>
              </w:tc>
              <w:tc>
                <w:tcPr>
                  <w:tcW w:w="2671" w:type="dxa"/>
                  <w:vAlign w:val="center"/>
                </w:tcPr>
                <w:p w14:paraId="0F4686C1">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本项目使用厂内富余高炉、转炉</w:t>
                  </w:r>
                  <w:r>
                    <w:rPr>
                      <w:rFonts w:hint="eastAsia" w:cs="Times New Roman"/>
                      <w:color w:val="000000"/>
                      <w:kern w:val="0"/>
                      <w:sz w:val="18"/>
                      <w:szCs w:val="18"/>
                      <w:lang w:val="en-US" w:eastAsia="zh-CN" w:bidi="ar"/>
                    </w:rPr>
                    <w:t>及</w:t>
                  </w:r>
                  <w:r>
                    <w:rPr>
                      <w:rFonts w:hint="eastAsia" w:ascii="Times New Roman" w:hAnsi="Times New Roman" w:eastAsia="宋体" w:cs="Times New Roman"/>
                      <w:color w:val="000000"/>
                      <w:kern w:val="0"/>
                      <w:sz w:val="18"/>
                      <w:szCs w:val="18"/>
                      <w:lang w:val="en-US" w:eastAsia="zh-CN" w:bidi="ar"/>
                    </w:rPr>
                    <w:t>焦炉煤气发电，属于《产业结构调整指导目录（</w:t>
                  </w:r>
                  <w:r>
                    <w:rPr>
                      <w:rFonts w:hint="default" w:ascii="Times New Roman" w:hAnsi="Times New Roman" w:eastAsia="宋体" w:cs="Times New Roman"/>
                      <w:color w:val="000000"/>
                      <w:kern w:val="0"/>
                      <w:sz w:val="18"/>
                      <w:szCs w:val="18"/>
                      <w:lang w:val="en-US" w:eastAsia="zh-CN" w:bidi="ar"/>
                    </w:rPr>
                    <w:t>2024</w:t>
                  </w:r>
                  <w:r>
                    <w:rPr>
                      <w:rFonts w:hint="eastAsia" w:ascii="Times New Roman" w:hAnsi="Times New Roman" w:eastAsia="宋体" w:cs="Times New Roman"/>
                      <w:color w:val="000000"/>
                      <w:kern w:val="0"/>
                      <w:sz w:val="18"/>
                      <w:szCs w:val="18"/>
                      <w:lang w:val="en-US" w:eastAsia="zh-CN" w:bidi="ar"/>
                    </w:rPr>
                    <w:t>年本）》第一类鼓励类，项目为钢铁冶炼、焦化工程配套项目，不新增钢铁产能，本项目不新增废气总量。</w:t>
                  </w:r>
                </w:p>
              </w:tc>
              <w:tc>
                <w:tcPr>
                  <w:tcW w:w="933" w:type="dxa"/>
                  <w:tcBorders>
                    <w:right w:val="nil"/>
                  </w:tcBorders>
                  <w:vAlign w:val="center"/>
                </w:tcPr>
                <w:p w14:paraId="4C78121F">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5458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tcBorders>
                    <w:left w:val="nil"/>
                  </w:tcBorders>
                  <w:vAlign w:val="center"/>
                </w:tcPr>
                <w:p w14:paraId="3563DFA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p>
              </w:tc>
              <w:tc>
                <w:tcPr>
                  <w:tcW w:w="2839" w:type="dxa"/>
                  <w:vAlign w:val="center"/>
                </w:tcPr>
                <w:p w14:paraId="24EA18A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2671" w:type="dxa"/>
                  <w:vAlign w:val="center"/>
                </w:tcPr>
                <w:p w14:paraId="12431CA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本项目属于《产业结构调整指导目录（</w:t>
                  </w:r>
                  <w:r>
                    <w:rPr>
                      <w:rFonts w:hint="default" w:ascii="Times New Roman" w:hAnsi="Times New Roman" w:eastAsia="宋体" w:cs="Times New Roman"/>
                      <w:color w:val="000000"/>
                      <w:kern w:val="0"/>
                      <w:sz w:val="18"/>
                      <w:szCs w:val="18"/>
                      <w:lang w:val="en-US" w:eastAsia="zh-CN" w:bidi="ar"/>
                    </w:rPr>
                    <w:t>2024</w:t>
                  </w:r>
                  <w:r>
                    <w:rPr>
                      <w:rFonts w:hint="eastAsia" w:ascii="Times New Roman" w:hAnsi="Times New Roman" w:eastAsia="宋体" w:cs="Times New Roman"/>
                      <w:color w:val="000000"/>
                      <w:kern w:val="0"/>
                      <w:sz w:val="18"/>
                      <w:szCs w:val="18"/>
                      <w:lang w:val="en-US" w:eastAsia="zh-CN" w:bidi="ar"/>
                    </w:rPr>
                    <w:t>年本）》第一类鼓励类项目。</w:t>
                  </w:r>
                </w:p>
              </w:tc>
              <w:tc>
                <w:tcPr>
                  <w:tcW w:w="933" w:type="dxa"/>
                  <w:tcBorders>
                    <w:right w:val="nil"/>
                  </w:tcBorders>
                  <w:vAlign w:val="center"/>
                </w:tcPr>
                <w:p w14:paraId="4C63E40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1D84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Borders>
                    <w:left w:val="nil"/>
                  </w:tcBorders>
                  <w:vAlign w:val="center"/>
                </w:tcPr>
                <w:p w14:paraId="6F8F50BF">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六、强化多污染物减排</w:t>
                  </w:r>
                </w:p>
              </w:tc>
              <w:tc>
                <w:tcPr>
                  <w:tcW w:w="2839" w:type="dxa"/>
                  <w:vAlign w:val="center"/>
                </w:tcPr>
                <w:p w14:paraId="131750A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（十八）推进重点行业污染深度治理。高质量推进钢铁、水泥、焦化等重点行业及燃煤锅炉超低排放改造。到</w:t>
                  </w:r>
                  <w:r>
                    <w:rPr>
                      <w:rFonts w:hint="default" w:ascii="Times New Roman" w:hAnsi="Times New Roman" w:eastAsia="宋体" w:cs="Times New Roman"/>
                      <w:color w:val="000000"/>
                      <w:kern w:val="0"/>
                      <w:sz w:val="18"/>
                      <w:szCs w:val="18"/>
                      <w:lang w:val="en-US" w:eastAsia="zh-CN" w:bidi="ar"/>
                    </w:rPr>
                    <w:t>2025</w:t>
                  </w:r>
                  <w:r>
                    <w:rPr>
                      <w:rFonts w:hint="eastAsia" w:ascii="Times New Roman" w:hAnsi="Times New Roman" w:eastAsia="宋体" w:cs="Times New Roman"/>
                      <w:color w:val="000000"/>
                      <w:kern w:val="0"/>
                      <w:sz w:val="18"/>
                      <w:szCs w:val="18"/>
                      <w:lang w:val="en-US" w:eastAsia="zh-CN" w:bidi="ar"/>
                    </w:rPr>
                    <w:t>年，全省</w:t>
                  </w:r>
                  <w:r>
                    <w:rPr>
                      <w:rFonts w:hint="default" w:ascii="Times New Roman" w:hAnsi="Times New Roman" w:eastAsia="宋体" w:cs="Times New Roman"/>
                      <w:color w:val="000000"/>
                      <w:kern w:val="0"/>
                      <w:sz w:val="18"/>
                      <w:szCs w:val="18"/>
                      <w:lang w:val="en-US" w:eastAsia="zh-CN" w:bidi="ar"/>
                    </w:rPr>
                    <w:t>80%</w:t>
                  </w:r>
                  <w:r>
                    <w:rPr>
                      <w:rFonts w:hint="eastAsia" w:ascii="Times New Roman" w:hAnsi="Times New Roman" w:eastAsia="宋体" w:cs="Times New Roman"/>
                      <w:color w:val="000000"/>
                      <w:kern w:val="0"/>
                      <w:sz w:val="18"/>
                      <w:szCs w:val="18"/>
                      <w:lang w:val="en-US" w:eastAsia="zh-CN" w:bidi="ar"/>
                    </w:rPr>
                    <w:t>以上的钢铁产能完成超低排放改造，力争</w:t>
                  </w:r>
                  <w:r>
                    <w:rPr>
                      <w:rFonts w:hint="default" w:ascii="Times New Roman" w:hAnsi="Times New Roman" w:eastAsia="宋体" w:cs="Times New Roman"/>
                      <w:color w:val="000000"/>
                      <w:kern w:val="0"/>
                      <w:sz w:val="18"/>
                      <w:szCs w:val="18"/>
                      <w:lang w:val="en-US" w:eastAsia="zh-CN" w:bidi="ar"/>
                    </w:rPr>
                    <w:t>50%</w:t>
                  </w:r>
                  <w:r>
                    <w:rPr>
                      <w:rFonts w:hint="eastAsia" w:ascii="Times New Roman" w:hAnsi="Times New Roman" w:eastAsia="宋体" w:cs="Times New Roman"/>
                      <w:color w:val="000000"/>
                      <w:kern w:val="0"/>
                      <w:sz w:val="18"/>
                      <w:szCs w:val="18"/>
                      <w:lang w:val="en-US" w:eastAsia="zh-CN" w:bidi="ar"/>
                    </w:rPr>
                    <w:t>以上的水泥熟料产能、合规焦化产能完成超低排放改造。推进玻璃、石灰、矿棉、有色等行业深度治理。强化治污设施运行维护，减少非正常工况排放。重点涉气企业逐步取消烟气和含</w:t>
                  </w:r>
                  <w:r>
                    <w:rPr>
                      <w:rFonts w:hint="default" w:ascii="Times New Roman" w:hAnsi="Times New Roman" w:eastAsia="宋体" w:cs="Times New Roman"/>
                      <w:color w:val="000000"/>
                      <w:kern w:val="0"/>
                      <w:sz w:val="18"/>
                      <w:szCs w:val="18"/>
                      <w:lang w:val="en-US" w:eastAsia="zh-CN" w:bidi="ar"/>
                    </w:rPr>
                    <w:t>VOCs</w:t>
                  </w:r>
                  <w:r>
                    <w:rPr>
                      <w:rFonts w:hint="eastAsia" w:ascii="Times New Roman" w:hAnsi="Times New Roman" w:eastAsia="宋体" w:cs="Times New Roman"/>
                      <w:color w:val="000000"/>
                      <w:kern w:val="0"/>
                      <w:sz w:val="18"/>
                      <w:szCs w:val="18"/>
                      <w:lang w:val="en-US" w:eastAsia="zh-CN" w:bidi="ar"/>
                    </w:rPr>
                    <w:t>废气旁路。</w:t>
                  </w:r>
                </w:p>
              </w:tc>
              <w:tc>
                <w:tcPr>
                  <w:tcW w:w="2671" w:type="dxa"/>
                  <w:vAlign w:val="center"/>
                </w:tcPr>
                <w:p w14:paraId="03F9A467">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本项目排放的废气执行《关于推进实施钢铁行业超低排放的意见》（环大气</w:t>
                  </w:r>
                  <w:r>
                    <w:rPr>
                      <w:rFonts w:hint="eastAsia"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2019</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color w:val="000000"/>
                      <w:kern w:val="0"/>
                      <w:sz w:val="18"/>
                      <w:szCs w:val="18"/>
                      <w:lang w:val="en-US" w:eastAsia="zh-CN" w:bidi="ar"/>
                    </w:rPr>
                    <w:t>35</w:t>
                  </w:r>
                  <w:r>
                    <w:rPr>
                      <w:rFonts w:hint="eastAsia" w:ascii="Times New Roman" w:hAnsi="Times New Roman" w:eastAsia="宋体" w:cs="Times New Roman"/>
                      <w:color w:val="000000"/>
                      <w:kern w:val="0"/>
                      <w:sz w:val="18"/>
                      <w:szCs w:val="18"/>
                      <w:lang w:val="en-US" w:eastAsia="zh-CN" w:bidi="ar"/>
                    </w:rPr>
                    <w:t>号）中附件</w:t>
                  </w:r>
                  <w:r>
                    <w:rPr>
                      <w:rFonts w:hint="default" w:ascii="Times New Roman" w:hAnsi="Times New Roman" w:eastAsia="宋体" w:cs="Times New Roman"/>
                      <w:color w:val="000000"/>
                      <w:kern w:val="0"/>
                      <w:sz w:val="18"/>
                      <w:szCs w:val="18"/>
                      <w:lang w:val="en-US" w:eastAsia="zh-CN" w:bidi="ar"/>
                    </w:rPr>
                    <w:t>2</w:t>
                  </w:r>
                  <w:r>
                    <w:rPr>
                      <w:rFonts w:hint="eastAsia" w:ascii="Times New Roman" w:hAnsi="Times New Roman" w:eastAsia="宋体" w:cs="Times New Roman"/>
                      <w:color w:val="000000"/>
                      <w:kern w:val="0"/>
                      <w:sz w:val="18"/>
                      <w:szCs w:val="18"/>
                      <w:lang w:val="en-US" w:eastAsia="zh-CN" w:bidi="ar"/>
                    </w:rPr>
                    <w:t>钢铁企业超低排放指标限值（自备电厂）超低排放限值要求。</w:t>
                  </w:r>
                </w:p>
              </w:tc>
              <w:tc>
                <w:tcPr>
                  <w:tcW w:w="933" w:type="dxa"/>
                  <w:tcBorders>
                    <w:right w:val="nil"/>
                  </w:tcBorders>
                  <w:vAlign w:val="center"/>
                </w:tcPr>
                <w:p w14:paraId="02C5441B">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bl>
          <w:p w14:paraId="4737D0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综上，本项目符合《云南省空气质量持续改善行动实施方案》的相关要求。</w:t>
            </w:r>
          </w:p>
          <w:p w14:paraId="74533A9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12、与《中共云南省委、云南省人民政府关于深入打好污染防治攻坚战的意见》的符合性分析</w:t>
            </w:r>
          </w:p>
          <w:p w14:paraId="463770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本项目与《中共云南省委、云南省人民政府关于深入打好污染防治攻坚战的意见》符合性分析如下表所示。</w:t>
            </w:r>
          </w:p>
          <w:p w14:paraId="4FEF742D">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 xml:space="preserve">1-10 </w:t>
            </w:r>
            <w:r>
              <w:rPr>
                <w:rFonts w:hint="eastAsia" w:ascii="黑体" w:hAnsi="黑体" w:eastAsia="黑体" w:cs="黑体"/>
                <w:b w:val="0"/>
                <w:bCs w:val="0"/>
                <w:color w:val="000000"/>
                <w:kern w:val="0"/>
                <w:sz w:val="21"/>
                <w:szCs w:val="21"/>
                <w:lang w:val="en-US" w:eastAsia="zh-CN" w:bidi="ar"/>
              </w:rPr>
              <w:t>与《深入打好污染防治攻坚战的意见》的符合性分析</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582"/>
              <w:gridCol w:w="2688"/>
              <w:gridCol w:w="1231"/>
            </w:tblGrid>
            <w:tr w14:paraId="6DD5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gridSpan w:val="2"/>
                  <w:tcBorders>
                    <w:left w:val="nil"/>
                  </w:tcBorders>
                  <w:vAlign w:val="center"/>
                </w:tcPr>
                <w:p w14:paraId="29834073">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《意见》要求</w:t>
                  </w:r>
                </w:p>
              </w:tc>
              <w:tc>
                <w:tcPr>
                  <w:tcW w:w="2688" w:type="dxa"/>
                  <w:vAlign w:val="center"/>
                </w:tcPr>
                <w:p w14:paraId="67D3A3C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本项目情况</w:t>
                  </w:r>
                </w:p>
              </w:tc>
              <w:tc>
                <w:tcPr>
                  <w:tcW w:w="1231" w:type="dxa"/>
                  <w:tcBorders>
                    <w:right w:val="nil"/>
                  </w:tcBorders>
                  <w:vAlign w:val="center"/>
                </w:tcPr>
                <w:p w14:paraId="75DE3BCB">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符合性</w:t>
                  </w:r>
                </w:p>
              </w:tc>
            </w:tr>
            <w:tr w14:paraId="6BDF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restart"/>
                  <w:tcBorders>
                    <w:left w:val="nil"/>
                  </w:tcBorders>
                  <w:vAlign w:val="center"/>
                </w:tcPr>
                <w:p w14:paraId="0FFB158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二、加快推动绿色低碳发展</w:t>
                  </w:r>
                </w:p>
              </w:tc>
              <w:tc>
                <w:tcPr>
                  <w:tcW w:w="2582" w:type="dxa"/>
                  <w:vAlign w:val="center"/>
                </w:tcPr>
                <w:p w14:paraId="02C31E3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2688" w:type="dxa"/>
                  <w:vAlign w:val="center"/>
                </w:tcPr>
                <w:p w14:paraId="0216840D">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煤气发电作为最主要的产能降碳单元，符合钢铁高质量发展要求，有助于推进碳达峰行动。</w:t>
                  </w:r>
                </w:p>
              </w:tc>
              <w:tc>
                <w:tcPr>
                  <w:tcW w:w="1231" w:type="dxa"/>
                  <w:tcBorders>
                    <w:right w:val="nil"/>
                  </w:tcBorders>
                  <w:vAlign w:val="center"/>
                </w:tcPr>
                <w:p w14:paraId="09861A1A">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符合</w:t>
                  </w:r>
                </w:p>
              </w:tc>
            </w:tr>
            <w:tr w14:paraId="254C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tcBorders>
                    <w:left w:val="nil"/>
                  </w:tcBorders>
                  <w:vAlign w:val="center"/>
                </w:tcPr>
                <w:p w14:paraId="6B25FC2E">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p>
              </w:tc>
              <w:tc>
                <w:tcPr>
                  <w:tcW w:w="2582" w:type="dxa"/>
                  <w:vAlign w:val="center"/>
                </w:tcPr>
                <w:p w14:paraId="4682A0DD">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2688" w:type="dxa"/>
                  <w:vAlign w:val="center"/>
                </w:tcPr>
                <w:p w14:paraId="7011FAA5">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本项目为钢铁企业能源综合利用工程，项目的实施不会改变现有钢铁产能，不新增废气总量，项目的建设有利于提高资源综合利用率，推进企业能源结构的战略性调整，促进产业升级。</w:t>
                  </w:r>
                </w:p>
              </w:tc>
              <w:tc>
                <w:tcPr>
                  <w:tcW w:w="1231" w:type="dxa"/>
                  <w:tcBorders>
                    <w:right w:val="nil"/>
                  </w:tcBorders>
                  <w:vAlign w:val="center"/>
                </w:tcPr>
                <w:p w14:paraId="35A9BFA9">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r w14:paraId="2378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tcBorders>
                    <w:left w:val="nil"/>
                  </w:tcBorders>
                  <w:vAlign w:val="center"/>
                </w:tcPr>
                <w:p w14:paraId="7308FA1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p>
              </w:tc>
              <w:tc>
                <w:tcPr>
                  <w:tcW w:w="2582" w:type="dxa"/>
                  <w:vAlign w:val="center"/>
                </w:tcPr>
                <w:p w14:paraId="39658BAC">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推进清洁生产和能源资源节约高效利用。深入实施清洁生产改造，依法开展清洁生产审核。推进绿色能源与绿色制造融合发展。强化能源和水资源“双控”，加强重点领域节能，实施节水行动。</w:t>
                  </w:r>
                </w:p>
              </w:tc>
              <w:tc>
                <w:tcPr>
                  <w:tcW w:w="2688" w:type="dxa"/>
                  <w:vAlign w:val="center"/>
                </w:tcPr>
                <w:p w14:paraId="6DF3D792">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本项目属于钢铁企业能源综合利用项目，利用厂内富余高炉煤气、转炉、焦炉煤气发电，有利于能源资源节约高效利用。</w:t>
                  </w:r>
                </w:p>
              </w:tc>
              <w:tc>
                <w:tcPr>
                  <w:tcW w:w="1231" w:type="dxa"/>
                  <w:tcBorders>
                    <w:right w:val="nil"/>
                  </w:tcBorders>
                  <w:vAlign w:val="center"/>
                </w:tcPr>
                <w:p w14:paraId="386BD77F">
                  <w:pPr>
                    <w:keepNext w:val="0"/>
                    <w:keepLines w:val="0"/>
                    <w:widowControl/>
                    <w:suppressLineNumbers w:val="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符合</w:t>
                  </w:r>
                </w:p>
              </w:tc>
            </w:tr>
          </w:tbl>
          <w:p w14:paraId="1A9AED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综上，本项目符合《中共云南省委、云南省人民政府关于深入打好污染防治攻坚战的意见》的相关要求。</w:t>
            </w:r>
          </w:p>
          <w:p w14:paraId="3DF8B4FD">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黑体" w:cs="Times New Roman"/>
                <w:bCs/>
                <w:color w:val="auto"/>
                <w:sz w:val="24"/>
                <w:szCs w:val="24"/>
                <w:lang w:val="en-US" w:eastAsia="zh-CN"/>
              </w:rPr>
            </w:pPr>
            <w:r>
              <w:rPr>
                <w:rFonts w:hint="eastAsia" w:ascii="Times New Roman" w:hAnsi="Times New Roman" w:cs="Times New Roman"/>
                <w:color w:val="auto"/>
                <w:sz w:val="24"/>
                <w:szCs w:val="24"/>
                <w:lang w:val="en-US" w:eastAsia="zh-CN"/>
              </w:rPr>
              <w:t>13</w:t>
            </w:r>
            <w:r>
              <w:rPr>
                <w:rFonts w:hint="eastAsia" w:ascii="Times New Roman" w:hAnsi="Times New Roman" w:eastAsia="宋体" w:cs="Times New Roman"/>
                <w:color w:val="auto"/>
                <w:sz w:val="24"/>
                <w:szCs w:val="24"/>
                <w:lang w:val="en-US" w:eastAsia="zh-CN"/>
              </w:rPr>
              <w:t>、与</w:t>
            </w:r>
            <w:r>
              <w:rPr>
                <w:rFonts w:hint="eastAsia" w:ascii="Times New Roman" w:hAnsi="Times New Roman" w:cs="Times New Roman"/>
                <w:bCs/>
                <w:color w:val="auto"/>
                <w:sz w:val="24"/>
                <w:szCs w:val="24"/>
                <w:lang w:val="en-US" w:eastAsia="zh-CN"/>
              </w:rPr>
              <w:t>《</w:t>
            </w:r>
            <w:r>
              <w:rPr>
                <w:rFonts w:ascii="Times New Roman" w:hAnsi="Times New Roman" w:cs="Times New Roman"/>
                <w:bCs/>
                <w:color w:val="auto"/>
                <w:sz w:val="24"/>
                <w:szCs w:val="24"/>
              </w:rPr>
              <w:t>云南省生态环境厅关于印发云南省“十四五”生态环境保护规划的通知</w:t>
            </w:r>
            <w:r>
              <w:rPr>
                <w:rFonts w:hint="eastAsia" w:ascii="Times New Roman" w:hAnsi="Times New Roman" w:cs="Times New Roman"/>
                <w:bCs/>
                <w:color w:val="auto"/>
                <w:sz w:val="24"/>
                <w:szCs w:val="24"/>
                <w:lang w:val="en-US" w:eastAsia="zh-CN"/>
              </w:rPr>
              <w:t>》（</w:t>
            </w:r>
            <w:r>
              <w:rPr>
                <w:rFonts w:ascii="Times New Roman" w:hAnsi="Times New Roman" w:cs="Times New Roman"/>
                <w:bCs/>
                <w:color w:val="auto"/>
                <w:sz w:val="24"/>
                <w:szCs w:val="24"/>
              </w:rPr>
              <w:t>云环发〔2022〕13号</w:t>
            </w:r>
            <w:r>
              <w:rPr>
                <w:rFonts w:hint="eastAsia" w:ascii="Times New Roman" w:hAnsi="Times New Roman" w:cs="Times New Roman"/>
                <w:bCs/>
                <w:color w:val="auto"/>
                <w:sz w:val="24"/>
                <w:szCs w:val="24"/>
                <w:lang w:val="en-US" w:eastAsia="zh-CN"/>
              </w:rPr>
              <w:t>）符合性分析</w:t>
            </w:r>
          </w:p>
          <w:p w14:paraId="19FB654A">
            <w:pPr>
              <w:keepNext w:val="0"/>
              <w:keepLines w:val="0"/>
              <w:pageBreakBefore w:val="0"/>
              <w:widowControl w:val="0"/>
              <w:kinsoku/>
              <w:wordWrap/>
              <w:overflowPunct/>
              <w:topLinePunct w:val="0"/>
              <w:autoSpaceDE/>
              <w:autoSpaceDN/>
              <w:bidi w:val="0"/>
              <w:adjustRightInd/>
              <w:snapToGrid/>
              <w:spacing w:beforeLines="0" w:line="360" w:lineRule="auto"/>
              <w:ind w:firstLine="0"/>
              <w:jc w:val="center"/>
              <w:textAlignment w:val="auto"/>
              <w:rPr>
                <w:rFonts w:hint="default" w:ascii="Times New Roman" w:hAnsi="Times New Roman" w:eastAsia="黑体" w:cs="Times New Roman"/>
                <w:b w:val="0"/>
                <w:bCs w:val="0"/>
                <w:color w:val="auto"/>
                <w:kern w:val="0"/>
                <w:sz w:val="21"/>
                <w:szCs w:val="21"/>
                <w:highlight w:val="none"/>
                <w:lang w:val="en-US" w:eastAsia="zh-CN" w:bidi="ar"/>
              </w:rPr>
            </w:pPr>
            <w:r>
              <w:rPr>
                <w:rFonts w:hint="default" w:ascii="Times New Roman" w:hAnsi="Times New Roman" w:eastAsia="黑体" w:cs="Times New Roman"/>
                <w:b w:val="0"/>
                <w:bCs w:val="0"/>
                <w:snapToGrid/>
                <w:color w:val="auto"/>
                <w:kern w:val="2"/>
                <w:sz w:val="21"/>
                <w:szCs w:val="21"/>
                <w:highlight w:val="none"/>
                <w:lang w:val="en-US" w:eastAsia="zh-CN"/>
              </w:rPr>
              <w:t>表</w:t>
            </w:r>
            <w:r>
              <w:rPr>
                <w:rFonts w:hint="eastAsia" w:ascii="Times New Roman" w:hAnsi="Times New Roman" w:eastAsia="黑体" w:cs="Times New Roman"/>
                <w:b w:val="0"/>
                <w:bCs w:val="0"/>
                <w:snapToGrid/>
                <w:color w:val="auto"/>
                <w:kern w:val="2"/>
                <w:sz w:val="21"/>
                <w:szCs w:val="21"/>
                <w:highlight w:val="none"/>
                <w:lang w:val="en-US" w:eastAsia="zh-CN"/>
              </w:rPr>
              <w:t>1-11</w:t>
            </w:r>
            <w:r>
              <w:rPr>
                <w:rFonts w:hint="default" w:ascii="Times New Roman" w:hAnsi="Times New Roman" w:eastAsia="黑体" w:cs="Times New Roman"/>
                <w:b w:val="0"/>
                <w:bCs w:val="0"/>
                <w:snapToGrid/>
                <w:color w:val="auto"/>
                <w:kern w:val="2"/>
                <w:sz w:val="21"/>
                <w:szCs w:val="21"/>
                <w:highlight w:val="none"/>
                <w:lang w:val="en-US" w:eastAsia="zh-CN"/>
              </w:rPr>
              <w:t xml:space="preserve"> 与《云南省生态环境保护“十四五”规划》符合性分析一览表</w:t>
            </w:r>
          </w:p>
          <w:tbl>
            <w:tblPr>
              <w:tblStyle w:val="1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3239"/>
              <w:gridCol w:w="2348"/>
              <w:gridCol w:w="830"/>
            </w:tblGrid>
            <w:tr w14:paraId="39AA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tblHeader/>
              </w:trPr>
              <w:tc>
                <w:tcPr>
                  <w:tcW w:w="560" w:type="pct"/>
                  <w:tcBorders>
                    <w:tl2br w:val="nil"/>
                    <w:tr2bl w:val="nil"/>
                  </w:tcBorders>
                  <w:noWrap w:val="0"/>
                  <w:vAlign w:val="center"/>
                </w:tcPr>
                <w:p w14:paraId="70E526F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序号</w:t>
                  </w:r>
                </w:p>
              </w:tc>
              <w:tc>
                <w:tcPr>
                  <w:tcW w:w="2241" w:type="pct"/>
                  <w:tcBorders>
                    <w:tl2br w:val="nil"/>
                    <w:tr2bl w:val="nil"/>
                  </w:tcBorders>
                  <w:noWrap w:val="0"/>
                  <w:vAlign w:val="center"/>
                </w:tcPr>
                <w:p w14:paraId="612F56C3">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相关内容</w:t>
                  </w:r>
                </w:p>
              </w:tc>
              <w:tc>
                <w:tcPr>
                  <w:tcW w:w="1625" w:type="pct"/>
                  <w:tcBorders>
                    <w:tl2br w:val="nil"/>
                    <w:tr2bl w:val="nil"/>
                  </w:tcBorders>
                  <w:noWrap w:val="0"/>
                  <w:vAlign w:val="center"/>
                </w:tcPr>
                <w:p w14:paraId="086748F5">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建设情况</w:t>
                  </w:r>
                </w:p>
              </w:tc>
              <w:tc>
                <w:tcPr>
                  <w:tcW w:w="573" w:type="pct"/>
                  <w:tcBorders>
                    <w:tl2br w:val="nil"/>
                    <w:tr2bl w:val="nil"/>
                  </w:tcBorders>
                  <w:noWrap w:val="0"/>
                  <w:vAlign w:val="center"/>
                </w:tcPr>
                <w:p w14:paraId="456E4C4A">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符合性</w:t>
                  </w:r>
                </w:p>
              </w:tc>
            </w:tr>
            <w:tr w14:paraId="0752BB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000" w:type="pct"/>
                  <w:gridSpan w:val="4"/>
                  <w:tcBorders>
                    <w:tl2br w:val="nil"/>
                    <w:tr2bl w:val="nil"/>
                  </w:tcBorders>
                  <w:noWrap w:val="0"/>
                  <w:vAlign w:val="center"/>
                </w:tcPr>
                <w:p w14:paraId="61D92561">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第三章</w:t>
                  </w:r>
                  <w:r>
                    <w:rPr>
                      <w:rFonts w:hint="eastAsia" w:ascii="Times New Roman" w:hAnsi="Times New Roman" w:cs="Times New Roman"/>
                      <w:b/>
                      <w:bCs/>
                      <w:color w:val="auto"/>
                      <w:sz w:val="18"/>
                      <w:szCs w:val="18"/>
                      <w:highlight w:val="none"/>
                      <w:vertAlign w:val="baseline"/>
                      <w:lang w:val="en-US" w:eastAsia="zh-CN"/>
                    </w:rPr>
                    <w:t xml:space="preserve"> </w:t>
                  </w:r>
                  <w:r>
                    <w:rPr>
                      <w:rFonts w:hint="default" w:ascii="Times New Roman" w:hAnsi="Times New Roman" w:cs="Times New Roman"/>
                      <w:b/>
                      <w:bCs/>
                      <w:color w:val="auto"/>
                      <w:sz w:val="18"/>
                      <w:szCs w:val="18"/>
                      <w:highlight w:val="none"/>
                      <w:vertAlign w:val="baseline"/>
                      <w:lang w:val="en-US" w:eastAsia="zh-CN"/>
                    </w:rPr>
                    <w:t>坚持创新引领，强化推动绿色低碳发展</w:t>
                  </w:r>
                </w:p>
              </w:tc>
            </w:tr>
            <w:tr w14:paraId="12690A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60" w:type="pct"/>
                  <w:tcBorders>
                    <w:tl2br w:val="nil"/>
                    <w:tr2bl w:val="nil"/>
                  </w:tcBorders>
                  <w:noWrap w:val="0"/>
                  <w:vAlign w:val="center"/>
                </w:tcPr>
                <w:p w14:paraId="12930C5C">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第一节</w:t>
                  </w:r>
                </w:p>
              </w:tc>
              <w:tc>
                <w:tcPr>
                  <w:tcW w:w="4439" w:type="pct"/>
                  <w:gridSpan w:val="3"/>
                  <w:tcBorders>
                    <w:tl2br w:val="nil"/>
                    <w:tr2bl w:val="nil"/>
                  </w:tcBorders>
                  <w:noWrap w:val="0"/>
                  <w:vAlign w:val="center"/>
                </w:tcPr>
                <w:p w14:paraId="495FC937">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优化生态环境空间管控</w:t>
                  </w:r>
                </w:p>
              </w:tc>
            </w:tr>
            <w:tr w14:paraId="16ED7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56799ECA">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4A80B653">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构建国土空间开发保护新格局。</w:t>
                  </w:r>
                  <w:r>
                    <w:rPr>
                      <w:rFonts w:hint="default" w:ascii="Times New Roman" w:hAnsi="Times New Roman" w:cs="Times New Roman"/>
                      <w:color w:val="auto"/>
                      <w:sz w:val="18"/>
                      <w:szCs w:val="18"/>
                      <w:highlight w:val="none"/>
                      <w:vertAlign w:val="baseline"/>
                      <w:lang w:val="en-US" w:eastAsia="zh-CN"/>
                    </w:rPr>
                    <w:t>以国土空间规划为基础，</w:t>
                  </w:r>
                  <w:r>
                    <w:rPr>
                      <w:rFonts w:hint="default" w:ascii="Times New Roman" w:hAnsi="Times New Roman" w:cs="Times New Roman"/>
                      <w:color w:val="auto"/>
                      <w:sz w:val="18"/>
                      <w:szCs w:val="18"/>
                      <w:highlight w:val="none"/>
                      <w:vertAlign w:val="baseline"/>
                      <w:lang w:val="zh-CN" w:eastAsia="zh-CN"/>
                    </w:rPr>
                    <w:t>严格落实生态保护红线、永久基本农田保护红线和城镇开发边界，减少对自然生态空间的占用。优化城市用地配置，节约集约利用建设用地</w:t>
                  </w:r>
                  <w:r>
                    <w:rPr>
                      <w:rFonts w:hint="default" w:ascii="Times New Roman" w:hAnsi="Times New Roman" w:cs="Times New Roman"/>
                      <w:color w:val="auto"/>
                      <w:sz w:val="18"/>
                      <w:szCs w:val="18"/>
                      <w:highlight w:val="none"/>
                      <w:vertAlign w:val="baseline"/>
                      <w:lang w:val="en-US" w:eastAsia="zh-CN"/>
                    </w:rPr>
                    <w:t>。</w:t>
                  </w:r>
                </w:p>
              </w:tc>
              <w:tc>
                <w:tcPr>
                  <w:tcW w:w="1625" w:type="pct"/>
                  <w:tcBorders>
                    <w:tl2br w:val="nil"/>
                    <w:tr2bl w:val="nil"/>
                  </w:tcBorders>
                  <w:noWrap w:val="0"/>
                  <w:vAlign w:val="center"/>
                </w:tcPr>
                <w:p w14:paraId="6958A5A0">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eastAsia="宋体" w:cs="Times New Roman"/>
                      <w:bCs/>
                      <w:color w:val="auto"/>
                      <w:sz w:val="18"/>
                      <w:szCs w:val="18"/>
                      <w:lang w:val="en-US" w:eastAsia="zh-CN"/>
                    </w:rPr>
                    <w:t>本</w:t>
                  </w:r>
                  <w:r>
                    <w:rPr>
                      <w:rFonts w:hint="default" w:ascii="Times New Roman" w:hAnsi="Times New Roman" w:eastAsia="宋体" w:cs="Times New Roman"/>
                      <w:bCs/>
                      <w:color w:val="auto"/>
                      <w:sz w:val="18"/>
                      <w:szCs w:val="18"/>
                      <w:lang w:eastAsia="zh-CN"/>
                    </w:rPr>
                    <w:t>项目</w:t>
                  </w:r>
                  <w:r>
                    <w:rPr>
                      <w:rFonts w:hint="eastAsia" w:ascii="Times New Roman" w:hAnsi="Times New Roman" w:cs="Times New Roman"/>
                      <w:color w:val="auto"/>
                      <w:kern w:val="0"/>
                      <w:sz w:val="18"/>
                      <w:szCs w:val="18"/>
                      <w:lang w:val="en-US" w:eastAsia="zh-CN"/>
                    </w:rPr>
                    <w:t>为</w:t>
                  </w:r>
                  <w:r>
                    <w:rPr>
                      <w:rFonts w:hint="default" w:ascii="Times New Roman" w:hAnsi="Times New Roman" w:eastAsia="宋体" w:cs="Times New Roman"/>
                      <w:color w:val="auto"/>
                      <w:sz w:val="18"/>
                      <w:szCs w:val="18"/>
                    </w:rPr>
                    <w:t>产能置换升级改造</w:t>
                  </w:r>
                  <w:r>
                    <w:rPr>
                      <w:rFonts w:hint="default" w:ascii="Times New Roman" w:hAnsi="Times New Roman" w:eastAsia="宋体" w:cs="Times New Roman"/>
                      <w:color w:val="auto"/>
                      <w:sz w:val="18"/>
                      <w:szCs w:val="18"/>
                      <w:lang w:val="en-US" w:eastAsia="zh-CN"/>
                    </w:rPr>
                    <w:t>项目</w:t>
                  </w:r>
                  <w:r>
                    <w:rPr>
                      <w:rFonts w:hint="eastAsia" w:ascii="Times New Roman" w:hAnsi="Times New Roman" w:eastAsia="宋体" w:cs="Times New Roman"/>
                      <w:color w:val="auto"/>
                      <w:sz w:val="18"/>
                      <w:szCs w:val="18"/>
                      <w:lang w:val="en-US" w:eastAsia="zh-CN"/>
                    </w:rPr>
                    <w:t>配套工程，本项目</w:t>
                  </w:r>
                  <w:r>
                    <w:rPr>
                      <w:rFonts w:hint="default" w:ascii="Times New Roman" w:hAnsi="Times New Roman" w:eastAsia="宋体" w:cs="Times New Roman"/>
                      <w:bCs/>
                      <w:color w:val="auto"/>
                      <w:sz w:val="18"/>
                      <w:szCs w:val="18"/>
                      <w:lang w:eastAsia="zh-CN"/>
                    </w:rPr>
                    <w:t>位于</w:t>
                  </w:r>
                  <w:r>
                    <w:rPr>
                      <w:rFonts w:hint="eastAsia" w:ascii="Times New Roman" w:hAnsi="Times New Roman" w:eastAsia="宋体" w:cs="Times New Roman"/>
                      <w:bCs/>
                      <w:color w:val="auto"/>
                      <w:sz w:val="18"/>
                      <w:szCs w:val="18"/>
                      <w:lang w:val="en-US" w:eastAsia="zh-CN"/>
                    </w:rPr>
                    <w:t>云南新平产业园区绿色钢城片区</w:t>
                  </w:r>
                  <w:r>
                    <w:rPr>
                      <w:rFonts w:hint="eastAsia" w:ascii="Times New Roman" w:hAnsi="Times New Roman" w:eastAsia="宋体"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在仙福公司厂区空地建设，不涉及新增占地，因此，本</w:t>
                  </w:r>
                  <w:r>
                    <w:rPr>
                      <w:rFonts w:hint="eastAsia" w:ascii="Times New Roman" w:hAnsi="Times New Roman" w:eastAsia="宋体" w:cs="Times New Roman"/>
                      <w:sz w:val="18"/>
                      <w:szCs w:val="18"/>
                      <w:vertAlign w:val="baseline"/>
                      <w:lang w:val="en-US" w:eastAsia="zh-CN"/>
                    </w:rPr>
                    <w:t>项目</w:t>
                  </w:r>
                  <w:r>
                    <w:rPr>
                      <w:rFonts w:hint="eastAsia"/>
                      <w:b w:val="0"/>
                      <w:bCs w:val="0"/>
                      <w:color w:val="auto"/>
                      <w:sz w:val="18"/>
                      <w:szCs w:val="18"/>
                      <w:highlight w:val="none"/>
                    </w:rPr>
                    <w:t>不涉及新平县生态保护红线</w:t>
                  </w:r>
                  <w:r>
                    <w:rPr>
                      <w:rFonts w:hint="eastAsia"/>
                      <w:b w:val="0"/>
                      <w:bCs w:val="0"/>
                      <w:color w:val="auto"/>
                      <w:sz w:val="18"/>
                      <w:szCs w:val="18"/>
                      <w:highlight w:val="none"/>
                      <w:lang w:eastAsia="zh-CN"/>
                    </w:rPr>
                    <w:t>，</w:t>
                  </w:r>
                  <w:r>
                    <w:rPr>
                      <w:rFonts w:hint="eastAsia"/>
                      <w:b w:val="0"/>
                      <w:bCs w:val="0"/>
                      <w:color w:val="auto"/>
                      <w:sz w:val="18"/>
                      <w:szCs w:val="18"/>
                      <w:highlight w:val="none"/>
                    </w:rPr>
                    <w:t>不涉及自然保护地、饮用水水源保护区、重要湿地、基本草原、生态公益林、天然林等区域</w:t>
                  </w:r>
                  <w:r>
                    <w:rPr>
                      <w:rFonts w:hint="eastAsia"/>
                      <w:b w:val="0"/>
                      <w:bCs w:val="0"/>
                      <w:color w:val="auto"/>
                      <w:sz w:val="18"/>
                      <w:szCs w:val="18"/>
                      <w:highlight w:val="none"/>
                      <w:lang w:eastAsia="zh-CN"/>
                    </w:rPr>
                    <w:t>。</w:t>
                  </w:r>
                </w:p>
              </w:tc>
              <w:tc>
                <w:tcPr>
                  <w:tcW w:w="573" w:type="pct"/>
                  <w:tcBorders>
                    <w:tl2br w:val="nil"/>
                    <w:tr2bl w:val="nil"/>
                  </w:tcBorders>
                  <w:noWrap w:val="0"/>
                  <w:vAlign w:val="center"/>
                </w:tcPr>
                <w:p w14:paraId="5B4FA11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64BEB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082C3B7B">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2</w:t>
                  </w:r>
                </w:p>
              </w:tc>
              <w:tc>
                <w:tcPr>
                  <w:tcW w:w="2241" w:type="pct"/>
                  <w:tcBorders>
                    <w:tl2br w:val="nil"/>
                    <w:tr2bl w:val="nil"/>
                  </w:tcBorders>
                  <w:noWrap w:val="0"/>
                  <w:vAlign w:val="center"/>
                </w:tcPr>
                <w:p w14:paraId="108B37F2">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建立健全生态环境分区引导机制。</w:t>
                  </w:r>
                  <w:r>
                    <w:rPr>
                      <w:rFonts w:hint="default" w:ascii="Times New Roman" w:hAnsi="Times New Roman" w:cs="Times New Roman"/>
                      <w:color w:val="auto"/>
                      <w:sz w:val="18"/>
                      <w:szCs w:val="18"/>
                      <w:highlight w:val="none"/>
                      <w:vertAlign w:val="baseline"/>
                      <w:lang w:val="zh-CN" w:eastAsia="zh-CN"/>
                    </w:rPr>
                    <w:t>建立健全生态环境分区引导机制。加快推进“三线一单”落实落地</w:t>
                  </w:r>
                  <w:r>
                    <w:rPr>
                      <w:rFonts w:hint="default" w:ascii="Times New Roman" w:hAnsi="Times New Roman" w:cs="Times New Roman"/>
                      <w:color w:val="auto"/>
                      <w:sz w:val="18"/>
                      <w:szCs w:val="18"/>
                      <w:highlight w:val="none"/>
                      <w:vertAlign w:val="baseline"/>
                      <w:lang w:val="en-US" w:eastAsia="zh-CN"/>
                    </w:rPr>
                    <w:t>，把“三线一单”作为区域资源开发、产业布局和结构调整、城镇建设、重大项目选址的重要依据，确保发展不超载、底线不突破。</w:t>
                  </w:r>
                </w:p>
              </w:tc>
              <w:tc>
                <w:tcPr>
                  <w:tcW w:w="1625" w:type="pct"/>
                  <w:tcBorders>
                    <w:tl2br w:val="nil"/>
                    <w:tr2bl w:val="nil"/>
                  </w:tcBorders>
                  <w:noWrap w:val="0"/>
                  <w:vAlign w:val="center"/>
                </w:tcPr>
                <w:p w14:paraId="3E80D641">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eastAsia="宋体" w:cs="Times New Roman"/>
                      <w:bCs/>
                      <w:color w:val="auto"/>
                      <w:sz w:val="18"/>
                      <w:szCs w:val="18"/>
                      <w:lang w:val="en-US" w:eastAsia="zh-CN"/>
                    </w:rPr>
                    <w:t>本</w:t>
                  </w:r>
                  <w:r>
                    <w:rPr>
                      <w:rFonts w:hint="default" w:ascii="Times New Roman" w:hAnsi="Times New Roman" w:eastAsia="宋体" w:cs="Times New Roman"/>
                      <w:bCs/>
                      <w:color w:val="auto"/>
                      <w:sz w:val="18"/>
                      <w:szCs w:val="18"/>
                      <w:lang w:eastAsia="zh-CN"/>
                    </w:rPr>
                    <w:t>项目</w:t>
                  </w:r>
                  <w:r>
                    <w:rPr>
                      <w:rFonts w:hint="eastAsia" w:ascii="Times New Roman" w:hAnsi="Times New Roman" w:cs="Times New Roman"/>
                      <w:color w:val="auto"/>
                      <w:kern w:val="0"/>
                      <w:sz w:val="18"/>
                      <w:szCs w:val="18"/>
                      <w:lang w:val="en-US" w:eastAsia="zh-CN"/>
                    </w:rPr>
                    <w:t>为</w:t>
                  </w:r>
                  <w:r>
                    <w:rPr>
                      <w:rFonts w:hint="default" w:ascii="Times New Roman" w:hAnsi="Times New Roman" w:eastAsia="宋体" w:cs="Times New Roman"/>
                      <w:color w:val="auto"/>
                      <w:sz w:val="18"/>
                      <w:szCs w:val="18"/>
                    </w:rPr>
                    <w:t>产能置换升级改造</w:t>
                  </w:r>
                  <w:r>
                    <w:rPr>
                      <w:rFonts w:hint="default" w:ascii="Times New Roman" w:hAnsi="Times New Roman" w:eastAsia="宋体" w:cs="Times New Roman"/>
                      <w:color w:val="auto"/>
                      <w:sz w:val="18"/>
                      <w:szCs w:val="18"/>
                      <w:lang w:val="en-US" w:eastAsia="zh-CN"/>
                    </w:rPr>
                    <w:t>项目</w:t>
                  </w:r>
                  <w:r>
                    <w:rPr>
                      <w:rFonts w:hint="eastAsia" w:ascii="Times New Roman" w:hAnsi="Times New Roman" w:eastAsia="宋体" w:cs="Times New Roman"/>
                      <w:color w:val="auto"/>
                      <w:sz w:val="18"/>
                      <w:szCs w:val="18"/>
                      <w:lang w:val="en-US" w:eastAsia="zh-CN"/>
                    </w:rPr>
                    <w:t>配套工程，</w:t>
                  </w:r>
                  <w:r>
                    <w:rPr>
                      <w:rFonts w:hint="default" w:ascii="Times New Roman" w:hAnsi="Times New Roman" w:cs="Times New Roman"/>
                      <w:color w:val="auto"/>
                      <w:sz w:val="18"/>
                      <w:szCs w:val="18"/>
                      <w:highlight w:val="none"/>
                      <w:vertAlign w:val="baseline"/>
                      <w:lang w:val="en-US" w:eastAsia="zh-CN"/>
                    </w:rPr>
                    <w:t>根据对照《</w:t>
                  </w:r>
                  <w:r>
                    <w:rPr>
                      <w:rFonts w:hint="eastAsia" w:ascii="Times New Roman" w:hAnsi="Times New Roman" w:cs="Times New Roman"/>
                      <w:color w:val="auto"/>
                      <w:sz w:val="18"/>
                      <w:szCs w:val="18"/>
                      <w:highlight w:val="none"/>
                      <w:vertAlign w:val="baseline"/>
                      <w:lang w:val="en-US" w:eastAsia="zh-CN"/>
                    </w:rPr>
                    <w:t>玉溪市</w:t>
                  </w:r>
                  <w:r>
                    <w:rPr>
                      <w:rFonts w:hint="default" w:ascii="Times New Roman" w:hAnsi="Times New Roman" w:cs="Times New Roman"/>
                      <w:color w:val="auto"/>
                      <w:sz w:val="18"/>
                      <w:szCs w:val="18"/>
                      <w:highlight w:val="none"/>
                      <w:vertAlign w:val="baseline"/>
                      <w:lang w:val="zh-CN" w:eastAsia="zh-CN"/>
                    </w:rPr>
                    <w:t>“三线一单”生态环境分区管控实施方案</w:t>
                  </w:r>
                  <w:r>
                    <w:rPr>
                      <w:rFonts w:hint="default" w:ascii="Times New Roman" w:hAnsi="Times New Roman" w:cs="Times New Roman"/>
                      <w:color w:val="auto"/>
                      <w:sz w:val="18"/>
                      <w:szCs w:val="18"/>
                      <w:highlight w:val="none"/>
                      <w:vertAlign w:val="baseline"/>
                      <w:lang w:val="en-US" w:eastAsia="zh-CN"/>
                    </w:rPr>
                    <w:t>》，本项目符合所在区域“三线一单”的相关要求。</w:t>
                  </w:r>
                </w:p>
              </w:tc>
              <w:tc>
                <w:tcPr>
                  <w:tcW w:w="573" w:type="pct"/>
                  <w:tcBorders>
                    <w:tl2br w:val="nil"/>
                    <w:tr2bl w:val="nil"/>
                  </w:tcBorders>
                  <w:noWrap w:val="0"/>
                  <w:vAlign w:val="center"/>
                </w:tcPr>
                <w:p w14:paraId="205D7BA2">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482BB0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1C3BEABC">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第二节</w:t>
                  </w:r>
                </w:p>
              </w:tc>
              <w:tc>
                <w:tcPr>
                  <w:tcW w:w="4439" w:type="pct"/>
                  <w:gridSpan w:val="3"/>
                  <w:tcBorders>
                    <w:tl2br w:val="nil"/>
                    <w:tr2bl w:val="nil"/>
                  </w:tcBorders>
                  <w:noWrap w:val="0"/>
                  <w:vAlign w:val="center"/>
                </w:tcPr>
                <w:p w14:paraId="6F60226A">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统筹推进区域绿色发展</w:t>
                  </w:r>
                </w:p>
              </w:tc>
            </w:tr>
            <w:tr w14:paraId="48B85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3851EC9A">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3C9AD670">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zh-CN" w:eastAsia="zh-CN"/>
                    </w:rPr>
                    <w:t>加快推动滇东北生态保护修复。坚持“共抓大保护、不搞大开发”，以筑牢长江上游生态安全屏障为重点，补齐生物多样性保护、水土流失和石漠化治理、地质灾害治理与矿山修复、国土山川绿化和人居环境改善等突出短板，以金沙江干热河谷、乌蒙山等自然保护地、赤水河流域等典型区域为示范，打造生态保护修复亮点，推进昭通市成为全省生态保护修复排头兵</w:t>
                  </w:r>
                  <w:r>
                    <w:rPr>
                      <w:rFonts w:hint="default" w:ascii="Times New Roman" w:hAnsi="Times New Roman" w:cs="Times New Roman"/>
                      <w:color w:val="auto"/>
                      <w:sz w:val="18"/>
                      <w:szCs w:val="18"/>
                      <w:highlight w:val="none"/>
                      <w:vertAlign w:val="baseline"/>
                      <w:lang w:val="en-US" w:eastAsia="zh-CN"/>
                    </w:rPr>
                    <w:t>。</w:t>
                  </w:r>
                </w:p>
              </w:tc>
              <w:tc>
                <w:tcPr>
                  <w:tcW w:w="1625" w:type="pct"/>
                  <w:tcBorders>
                    <w:tl2br w:val="nil"/>
                    <w:tr2bl w:val="nil"/>
                  </w:tcBorders>
                  <w:noWrap w:val="0"/>
                  <w:vAlign w:val="center"/>
                </w:tcPr>
                <w:p w14:paraId="0964C2DB">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eastAsia="宋体" w:cs="Times New Roman"/>
                      <w:bCs/>
                      <w:color w:val="auto"/>
                      <w:sz w:val="18"/>
                      <w:szCs w:val="18"/>
                      <w:lang w:val="en-US" w:eastAsia="zh-CN"/>
                    </w:rPr>
                    <w:t>本</w:t>
                  </w:r>
                  <w:r>
                    <w:rPr>
                      <w:rFonts w:hint="default" w:ascii="Times New Roman" w:hAnsi="Times New Roman" w:eastAsia="宋体" w:cs="Times New Roman"/>
                      <w:bCs/>
                      <w:color w:val="auto"/>
                      <w:sz w:val="18"/>
                      <w:szCs w:val="18"/>
                      <w:lang w:eastAsia="zh-CN"/>
                    </w:rPr>
                    <w:t>项目</w:t>
                  </w:r>
                  <w:r>
                    <w:rPr>
                      <w:rFonts w:hint="eastAsia" w:ascii="Times New Roman" w:hAnsi="Times New Roman" w:cs="Times New Roman"/>
                      <w:color w:val="auto"/>
                      <w:kern w:val="0"/>
                      <w:sz w:val="18"/>
                      <w:szCs w:val="18"/>
                      <w:lang w:val="en-US" w:eastAsia="zh-CN"/>
                    </w:rPr>
                    <w:t>为</w:t>
                  </w:r>
                  <w:r>
                    <w:rPr>
                      <w:rFonts w:hint="default" w:ascii="Times New Roman" w:hAnsi="Times New Roman" w:eastAsia="宋体" w:cs="Times New Roman"/>
                      <w:color w:val="auto"/>
                      <w:sz w:val="18"/>
                      <w:szCs w:val="18"/>
                    </w:rPr>
                    <w:t>产能置换升级改造</w:t>
                  </w:r>
                  <w:r>
                    <w:rPr>
                      <w:rFonts w:hint="default" w:ascii="Times New Roman" w:hAnsi="Times New Roman" w:eastAsia="宋体" w:cs="Times New Roman"/>
                      <w:color w:val="auto"/>
                      <w:sz w:val="18"/>
                      <w:szCs w:val="18"/>
                      <w:lang w:val="en-US" w:eastAsia="zh-CN"/>
                    </w:rPr>
                    <w:t>项目</w:t>
                  </w:r>
                  <w:r>
                    <w:rPr>
                      <w:rFonts w:hint="eastAsia" w:ascii="Times New Roman" w:hAnsi="Times New Roman" w:eastAsia="宋体" w:cs="Times New Roman"/>
                      <w:color w:val="auto"/>
                      <w:sz w:val="18"/>
                      <w:szCs w:val="18"/>
                      <w:lang w:val="en-US" w:eastAsia="zh-CN"/>
                    </w:rPr>
                    <w:t>配套工程，</w:t>
                  </w:r>
                  <w:r>
                    <w:rPr>
                      <w:rFonts w:hint="default" w:ascii="Times New Roman" w:hAnsi="Times New Roman" w:eastAsia="宋体" w:cs="Times New Roman"/>
                      <w:bCs/>
                      <w:color w:val="auto"/>
                      <w:sz w:val="18"/>
                      <w:szCs w:val="18"/>
                      <w:lang w:eastAsia="zh-CN"/>
                    </w:rPr>
                    <w:t>位于</w:t>
                  </w:r>
                  <w:r>
                    <w:rPr>
                      <w:rFonts w:hint="eastAsia" w:ascii="Times New Roman" w:hAnsi="Times New Roman" w:eastAsia="宋体" w:cs="Times New Roman"/>
                      <w:bCs/>
                      <w:color w:val="auto"/>
                      <w:sz w:val="18"/>
                      <w:szCs w:val="18"/>
                      <w:lang w:val="en-US" w:eastAsia="zh-CN"/>
                    </w:rPr>
                    <w:t>云南新平产业园区绿色钢城片区</w:t>
                  </w:r>
                  <w:r>
                    <w:rPr>
                      <w:rFonts w:hint="default" w:ascii="Times New Roman" w:hAnsi="Times New Roman" w:cs="Times New Roman"/>
                      <w:color w:val="auto"/>
                      <w:sz w:val="18"/>
                      <w:szCs w:val="18"/>
                      <w:highlight w:val="none"/>
                      <w:vertAlign w:val="baseline"/>
                      <w:lang w:val="en-US" w:eastAsia="zh-CN"/>
                    </w:rPr>
                    <w:t>，项目不涉及该条规定</w:t>
                  </w:r>
                </w:p>
              </w:tc>
              <w:tc>
                <w:tcPr>
                  <w:tcW w:w="573" w:type="pct"/>
                  <w:tcBorders>
                    <w:tl2br w:val="nil"/>
                    <w:tr2bl w:val="nil"/>
                  </w:tcBorders>
                  <w:noWrap w:val="0"/>
                  <w:vAlign w:val="center"/>
                </w:tcPr>
                <w:p w14:paraId="526C960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不涉及</w:t>
                  </w:r>
                </w:p>
              </w:tc>
            </w:tr>
            <w:tr w14:paraId="518AD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288E6FC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第三节</w:t>
                  </w:r>
                </w:p>
              </w:tc>
              <w:tc>
                <w:tcPr>
                  <w:tcW w:w="4439" w:type="pct"/>
                  <w:gridSpan w:val="3"/>
                  <w:tcBorders>
                    <w:tl2br w:val="nil"/>
                    <w:tr2bl w:val="nil"/>
                  </w:tcBorders>
                  <w:noWrap w:val="0"/>
                  <w:vAlign w:val="center"/>
                </w:tcPr>
                <w:p w14:paraId="6F4F4731">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优化产业结构</w:t>
                  </w:r>
                </w:p>
              </w:tc>
            </w:tr>
            <w:tr w14:paraId="36B483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5C130F68">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13367E25">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推进重点行业绿色化改造。</w:t>
                  </w:r>
                  <w:r>
                    <w:rPr>
                      <w:rFonts w:hint="default" w:ascii="Times New Roman" w:hAnsi="Times New Roman" w:cs="Times New Roman"/>
                      <w:color w:val="auto"/>
                      <w:sz w:val="18"/>
                      <w:szCs w:val="18"/>
                      <w:highlight w:val="none"/>
                      <w:vertAlign w:val="baseline"/>
                      <w:lang w:val="en-US" w:eastAsia="zh-CN"/>
                    </w:rPr>
                    <w:t>推动钢铁、建材、有色、石化等原材料产业布局优化和结构调整，以钢铁、焦化、铸造、建材、有色、石化、化工、工业涂装、包装印刷、电镀、制革、造纸、纺织印染、农副食品加工等行业为重点，开展全流程清洁化、循环化、低碳化改造，全面推动传统优势产业绿色转型升级。在电力、钢铁、建材等重点行业，开展减污降碳协同治理。推动重点行业加快实施限制类产能装备的升级改造，有序开展超低排放改造。促进各类开发区整合提升，依法依规推动工业企业入园入区发展，提高各类开发区聚集水平，深入推进各类开发区循环化改造。</w:t>
                  </w:r>
                </w:p>
              </w:tc>
              <w:tc>
                <w:tcPr>
                  <w:tcW w:w="1625" w:type="pct"/>
                  <w:tcBorders>
                    <w:tl2br w:val="nil"/>
                    <w:tr2bl w:val="nil"/>
                  </w:tcBorders>
                  <w:noWrap w:val="0"/>
                  <w:vAlign w:val="center"/>
                </w:tcPr>
                <w:p w14:paraId="552D5FCA">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Cs/>
                      <w:color w:val="auto"/>
                      <w:sz w:val="18"/>
                      <w:szCs w:val="18"/>
                      <w:lang w:val="en-US" w:eastAsia="zh-CN"/>
                    </w:rPr>
                    <w:t>本</w:t>
                  </w:r>
                  <w:r>
                    <w:rPr>
                      <w:rFonts w:hint="default" w:ascii="Times New Roman" w:hAnsi="Times New Roman" w:eastAsia="宋体" w:cs="Times New Roman"/>
                      <w:bCs/>
                      <w:color w:val="auto"/>
                      <w:sz w:val="18"/>
                      <w:szCs w:val="18"/>
                      <w:lang w:eastAsia="zh-CN"/>
                    </w:rPr>
                    <w:t>项目</w:t>
                  </w:r>
                  <w:r>
                    <w:rPr>
                      <w:rFonts w:hint="eastAsia" w:ascii="Times New Roman" w:hAnsi="Times New Roman" w:cs="Times New Roman"/>
                      <w:color w:val="auto"/>
                      <w:kern w:val="0"/>
                      <w:sz w:val="18"/>
                      <w:szCs w:val="18"/>
                      <w:lang w:val="en-US" w:eastAsia="zh-CN"/>
                    </w:rPr>
                    <w:t>为</w:t>
                  </w:r>
                  <w:r>
                    <w:rPr>
                      <w:rFonts w:hint="default" w:ascii="Times New Roman" w:hAnsi="Times New Roman" w:eastAsia="宋体" w:cs="Times New Roman"/>
                      <w:color w:val="auto"/>
                      <w:sz w:val="18"/>
                      <w:szCs w:val="18"/>
                    </w:rPr>
                    <w:t>产能置换升级改造</w:t>
                  </w:r>
                  <w:r>
                    <w:rPr>
                      <w:rFonts w:hint="default" w:ascii="Times New Roman" w:hAnsi="Times New Roman" w:eastAsia="宋体" w:cs="Times New Roman"/>
                      <w:color w:val="auto"/>
                      <w:sz w:val="18"/>
                      <w:szCs w:val="18"/>
                      <w:lang w:val="en-US" w:eastAsia="zh-CN"/>
                    </w:rPr>
                    <w:t>项目</w:t>
                  </w:r>
                  <w:r>
                    <w:rPr>
                      <w:rFonts w:hint="eastAsia" w:ascii="Times New Roman" w:hAnsi="Times New Roman" w:eastAsia="宋体" w:cs="Times New Roman"/>
                      <w:color w:val="auto"/>
                      <w:sz w:val="18"/>
                      <w:szCs w:val="18"/>
                      <w:lang w:val="en-US" w:eastAsia="zh-CN"/>
                    </w:rPr>
                    <w:t>配套工程，</w:t>
                  </w:r>
                  <w:r>
                    <w:rPr>
                      <w:rFonts w:hint="default" w:ascii="Times New Roman" w:hAnsi="Times New Roman" w:eastAsia="宋体" w:cs="Times New Roman"/>
                      <w:color w:val="auto"/>
                      <w:sz w:val="18"/>
                      <w:szCs w:val="18"/>
                      <w:highlight w:val="none"/>
                      <w:vertAlign w:val="baseline"/>
                      <w:lang w:val="en-US" w:eastAsia="zh-CN"/>
                    </w:rPr>
                    <w:t>废气排放满足</w:t>
                  </w:r>
                  <w:r>
                    <w:rPr>
                      <w:rFonts w:hint="eastAsia" w:ascii="Times New Roman" w:hAnsi="Times New Roman" w:eastAsia="宋体" w:cs="Times New Roman"/>
                      <w:color w:val="auto"/>
                      <w:sz w:val="18"/>
                      <w:szCs w:val="18"/>
                      <w:highlight w:val="none"/>
                      <w:vertAlign w:val="baseline"/>
                      <w:lang w:val="en-US" w:eastAsia="zh-CN"/>
                    </w:rPr>
                    <w:t>《关于推进实施钢铁行业超低排放的意见》（</w:t>
                  </w:r>
                  <w:r>
                    <w:rPr>
                      <w:rFonts w:hint="eastAsia" w:ascii="Times New Roman" w:hAnsi="Times New Roman" w:eastAsia="宋体" w:cs="Times New Roman"/>
                      <w:color w:val="auto"/>
                      <w:sz w:val="18"/>
                      <w:szCs w:val="18"/>
                      <w:highlight w:val="none"/>
                      <w:vertAlign w:val="baseline"/>
                      <w:lang w:val="en-US" w:eastAsia="zh-CN"/>
                    </w:rPr>
                    <w:fldChar w:fldCharType="begin"/>
                  </w:r>
                  <w:r>
                    <w:rPr>
                      <w:rFonts w:hint="eastAsia" w:ascii="Times New Roman" w:hAnsi="Times New Roman" w:eastAsia="宋体" w:cs="Times New Roman"/>
                      <w:color w:val="auto"/>
                      <w:sz w:val="18"/>
                      <w:szCs w:val="18"/>
                      <w:highlight w:val="none"/>
                      <w:vertAlign w:val="baseline"/>
                      <w:lang w:val="en-US" w:eastAsia="zh-CN"/>
                    </w:rPr>
                    <w:instrText xml:space="preserve"> HYPERLINK "https://www.waizi.org.cn/doc/62964.html" \o "环大气〔2019〕35号《关于推进实施钢铁行业超低排放的意见》" \t "https://www.waizi.org.cn/doc/_blank" </w:instrText>
                  </w:r>
                  <w:r>
                    <w:rPr>
                      <w:rFonts w:hint="eastAsia" w:ascii="Times New Roman" w:hAnsi="Times New Roman" w:eastAsia="宋体" w:cs="Times New Roman"/>
                      <w:color w:val="auto"/>
                      <w:sz w:val="18"/>
                      <w:szCs w:val="18"/>
                      <w:highlight w:val="none"/>
                      <w:vertAlign w:val="baseline"/>
                      <w:lang w:val="en-US" w:eastAsia="zh-CN"/>
                    </w:rPr>
                    <w:fldChar w:fldCharType="separate"/>
                  </w:r>
                  <w:r>
                    <w:rPr>
                      <w:rFonts w:hint="eastAsia" w:ascii="Times New Roman" w:hAnsi="Times New Roman" w:eastAsia="宋体" w:cs="Times New Roman"/>
                      <w:color w:val="auto"/>
                      <w:sz w:val="18"/>
                      <w:szCs w:val="18"/>
                      <w:highlight w:val="none"/>
                      <w:vertAlign w:val="baseline"/>
                      <w:lang w:val="en-US" w:eastAsia="zh-CN"/>
                    </w:rPr>
                    <w:t>环大气〔2019〕35号</w:t>
                  </w:r>
                  <w:r>
                    <w:rPr>
                      <w:rFonts w:hint="eastAsia" w:ascii="Times New Roman" w:hAnsi="Times New Roman" w:eastAsia="宋体" w:cs="Times New Roman"/>
                      <w:color w:val="auto"/>
                      <w:sz w:val="18"/>
                      <w:szCs w:val="18"/>
                      <w:highlight w:val="none"/>
                      <w:vertAlign w:val="baseline"/>
                      <w:lang w:val="en-US" w:eastAsia="zh-CN"/>
                    </w:rPr>
                    <w:fldChar w:fldCharType="end"/>
                  </w:r>
                  <w:r>
                    <w:rPr>
                      <w:rFonts w:hint="eastAsia"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、《大气污染物综合排放标准》（GB16297-1996）二级排放限值</w:t>
                  </w:r>
                  <w:r>
                    <w:rPr>
                      <w:rFonts w:hint="eastAsia" w:ascii="Times New Roman" w:hAnsi="Times New Roman" w:eastAsia="宋体" w:cs="Times New Roman"/>
                      <w:color w:val="auto"/>
                      <w:sz w:val="18"/>
                      <w:szCs w:val="18"/>
                      <w:highlight w:val="none"/>
                      <w:vertAlign w:val="baseline"/>
                      <w:lang w:val="en-US" w:eastAsia="zh-CN"/>
                    </w:rPr>
                    <w:t>及</w:t>
                  </w:r>
                  <w:r>
                    <w:rPr>
                      <w:rFonts w:hint="default" w:ascii="Times New Roman" w:hAnsi="Times New Roman" w:eastAsia="宋体" w:cs="Times New Roman"/>
                      <w:color w:val="auto"/>
                      <w:sz w:val="18"/>
                      <w:szCs w:val="18"/>
                      <w:highlight w:val="none"/>
                      <w:vertAlign w:val="baseline"/>
                      <w:lang w:val="en-US" w:eastAsia="zh-CN"/>
                    </w:rPr>
                    <w:t>《恶臭污染物排放标准》（GB14554-</w:t>
                  </w:r>
                  <w:r>
                    <w:rPr>
                      <w:rFonts w:hint="eastAsia" w:ascii="Times New Roman" w:hAnsi="Times New Roman" w:eastAsia="宋体" w:cs="Times New Roman"/>
                      <w:color w:val="auto"/>
                      <w:sz w:val="18"/>
                      <w:szCs w:val="18"/>
                      <w:highlight w:val="none"/>
                      <w:vertAlign w:val="baseline"/>
                      <w:lang w:val="en-US" w:eastAsia="zh-CN"/>
                    </w:rPr>
                    <w:t>19</w:t>
                  </w:r>
                  <w:r>
                    <w:rPr>
                      <w:rFonts w:hint="default" w:ascii="Times New Roman" w:hAnsi="Times New Roman" w:eastAsia="宋体" w:cs="Times New Roman"/>
                      <w:color w:val="auto"/>
                      <w:sz w:val="18"/>
                      <w:szCs w:val="18"/>
                      <w:highlight w:val="none"/>
                      <w:vertAlign w:val="baseline"/>
                      <w:lang w:val="en-US" w:eastAsia="zh-CN"/>
                    </w:rPr>
                    <w:t>93）要求</w:t>
                  </w:r>
                  <w:r>
                    <w:rPr>
                      <w:rFonts w:hint="eastAsia" w:ascii="Times New Roman" w:hAnsi="Times New Roman" w:eastAsia="宋体" w:cs="Times New Roman"/>
                      <w:color w:val="auto"/>
                      <w:sz w:val="18"/>
                      <w:szCs w:val="18"/>
                      <w:highlight w:val="none"/>
                      <w:vertAlign w:val="baseline"/>
                      <w:lang w:val="en-US" w:eastAsia="zh-CN"/>
                    </w:rPr>
                    <w:t>。</w:t>
                  </w:r>
                </w:p>
              </w:tc>
              <w:tc>
                <w:tcPr>
                  <w:tcW w:w="573" w:type="pct"/>
                  <w:tcBorders>
                    <w:tl2br w:val="nil"/>
                    <w:tr2bl w:val="nil"/>
                  </w:tcBorders>
                  <w:noWrap w:val="0"/>
                  <w:vAlign w:val="center"/>
                </w:tcPr>
                <w:p w14:paraId="53BD3478">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71E1F7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0E7FF356">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2</w:t>
                  </w:r>
                </w:p>
              </w:tc>
              <w:tc>
                <w:tcPr>
                  <w:tcW w:w="2241" w:type="pct"/>
                  <w:tcBorders>
                    <w:tl2br w:val="nil"/>
                    <w:tr2bl w:val="nil"/>
                  </w:tcBorders>
                  <w:noWrap w:val="0"/>
                  <w:vAlign w:val="center"/>
                </w:tcPr>
                <w:p w14:paraId="2A406BF6">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推动落后低效和过剩产能淘汰。</w:t>
                  </w:r>
                  <w:r>
                    <w:rPr>
                      <w:rFonts w:hint="default" w:ascii="Times New Roman" w:hAnsi="Times New Roman" w:cs="Times New Roman"/>
                      <w:color w:val="auto"/>
                      <w:sz w:val="18"/>
                      <w:szCs w:val="18"/>
                      <w:highlight w:val="none"/>
                      <w:vertAlign w:val="baseline"/>
                      <w:lang w:val="en-US" w:eastAsia="zh-CN"/>
                    </w:rPr>
                    <w:t>认真落实产业政策，严格环境影响评价，坚决遏制高耗能高排放项目盲目发展，加快淘汰落后产能，推动产业结构优化升级。</w:t>
                  </w:r>
                </w:p>
              </w:tc>
              <w:tc>
                <w:tcPr>
                  <w:tcW w:w="1625" w:type="pct"/>
                  <w:tcBorders>
                    <w:tl2br w:val="nil"/>
                    <w:tr2bl w:val="nil"/>
                  </w:tcBorders>
                  <w:noWrap w:val="0"/>
                  <w:vAlign w:val="center"/>
                </w:tcPr>
                <w:p w14:paraId="7165ABBC">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根据《产业结构调整指导目录（</w:t>
                  </w:r>
                  <w:r>
                    <w:rPr>
                      <w:rFonts w:hint="default" w:ascii="Times New Roman" w:hAnsi="Times New Roman" w:eastAsia="宋体" w:cs="Times New Roman"/>
                      <w:color w:val="auto"/>
                      <w:sz w:val="18"/>
                      <w:szCs w:val="18"/>
                      <w:highlight w:val="none"/>
                      <w:vertAlign w:val="baseline"/>
                      <w:lang w:val="en-US" w:eastAsia="zh-CN"/>
                    </w:rPr>
                    <w:t>2024</w:t>
                  </w:r>
                  <w:r>
                    <w:rPr>
                      <w:rFonts w:hint="eastAsia" w:ascii="Times New Roman" w:hAnsi="Times New Roman" w:eastAsia="宋体" w:cs="Times New Roman"/>
                      <w:color w:val="auto"/>
                      <w:sz w:val="18"/>
                      <w:szCs w:val="18"/>
                      <w:highlight w:val="none"/>
                      <w:vertAlign w:val="baseline"/>
                      <w:lang w:val="en-US" w:eastAsia="zh-CN"/>
                    </w:rPr>
                    <w:t>年本）》第一类鼓励类中：八、钢铁中“钢铁、焦化、铁合金行业超低排放技术，以及副产物资源化、再利用化”项目。符合国家、云南省及玉溪市制定的相关产业政策要求。</w:t>
                  </w:r>
                </w:p>
              </w:tc>
              <w:tc>
                <w:tcPr>
                  <w:tcW w:w="573" w:type="pct"/>
                  <w:tcBorders>
                    <w:tl2br w:val="nil"/>
                    <w:tr2bl w:val="nil"/>
                  </w:tcBorders>
                  <w:noWrap w:val="0"/>
                  <w:vAlign w:val="center"/>
                </w:tcPr>
                <w:p w14:paraId="65865C9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2FB3D5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2DF265F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第四节</w:t>
                  </w:r>
                </w:p>
              </w:tc>
              <w:tc>
                <w:tcPr>
                  <w:tcW w:w="4439" w:type="pct"/>
                  <w:gridSpan w:val="3"/>
                  <w:tcBorders>
                    <w:tl2br w:val="nil"/>
                    <w:tr2bl w:val="nil"/>
                  </w:tcBorders>
                  <w:noWrap w:val="0"/>
                  <w:vAlign w:val="center"/>
                </w:tcPr>
                <w:p w14:paraId="2095C606">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优化能源结构</w:t>
                  </w:r>
                </w:p>
              </w:tc>
            </w:tr>
            <w:tr w14:paraId="5FF1D3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6F63A045">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4142906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控制煤炭消费总量。</w:t>
                  </w:r>
                  <w:r>
                    <w:rPr>
                      <w:rFonts w:hint="default" w:ascii="Times New Roman" w:hAnsi="Times New Roman" w:cs="Times New Roman"/>
                      <w:color w:val="auto"/>
                      <w:sz w:val="18"/>
                      <w:szCs w:val="18"/>
                      <w:highlight w:val="none"/>
                      <w:vertAlign w:val="baseline"/>
                      <w:lang w:val="en-US" w:eastAsia="zh-CN"/>
                    </w:rPr>
                    <w:t>严格实施煤炭消费减量替代，严格控制煤炭消费不合理增长。严格按照国家规划推进清洁燃煤机组建设，为省内电力系统安全稳定运行提供支撑，新增用电需求主要由区域内非化石能源发电和区域外输电满足。按照“产能置换、减油增化”等原则，科学谋划炼化一体化项目。</w:t>
                  </w:r>
                </w:p>
              </w:tc>
              <w:tc>
                <w:tcPr>
                  <w:tcW w:w="1625" w:type="pct"/>
                  <w:tcBorders>
                    <w:tl2br w:val="nil"/>
                    <w:tr2bl w:val="nil"/>
                  </w:tcBorders>
                  <w:noWrap w:val="0"/>
                  <w:vAlign w:val="center"/>
                </w:tcPr>
                <w:p w14:paraId="4A932D40">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sz w:val="18"/>
                      <w:szCs w:val="18"/>
                      <w:vertAlign w:val="baseline"/>
                      <w:lang w:val="en-US" w:eastAsia="zh-CN"/>
                    </w:rPr>
                    <w:t>本项目为钢铁厂能源综合利用项目，主要利用富余高炉煤气、转炉煤气及焦炉煤气发电</w:t>
                  </w:r>
                  <w:r>
                    <w:rPr>
                      <w:rFonts w:hint="eastAsia" w:ascii="Times New Roman" w:hAnsi="Times New Roman" w:eastAsia="宋体" w:cs="Times New Roman"/>
                      <w:color w:val="auto"/>
                      <w:sz w:val="18"/>
                      <w:szCs w:val="18"/>
                      <w:highlight w:val="none"/>
                      <w:vertAlign w:val="baseline"/>
                      <w:lang w:val="en-US" w:eastAsia="zh-CN"/>
                    </w:rPr>
                    <w:t>，不使用煤</w:t>
                  </w:r>
                  <w:r>
                    <w:rPr>
                      <w:rFonts w:hint="default" w:ascii="Times New Roman" w:hAnsi="Times New Roman" w:eastAsia="宋体" w:cs="Times New Roman"/>
                      <w:color w:val="auto"/>
                      <w:sz w:val="18"/>
                      <w:szCs w:val="18"/>
                      <w:highlight w:val="none"/>
                      <w:vertAlign w:val="baseline"/>
                      <w:lang w:val="en-US" w:eastAsia="zh-CN"/>
                    </w:rPr>
                    <w:t>。</w:t>
                  </w:r>
                </w:p>
              </w:tc>
              <w:tc>
                <w:tcPr>
                  <w:tcW w:w="573" w:type="pct"/>
                  <w:tcBorders>
                    <w:tl2br w:val="nil"/>
                    <w:tr2bl w:val="nil"/>
                  </w:tcBorders>
                  <w:noWrap w:val="0"/>
                  <w:vAlign w:val="center"/>
                </w:tcPr>
                <w:p w14:paraId="515CC49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符合</w:t>
                  </w:r>
                </w:p>
              </w:tc>
            </w:tr>
            <w:tr w14:paraId="0B99A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6504206F">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第五节</w:t>
                  </w:r>
                </w:p>
              </w:tc>
              <w:tc>
                <w:tcPr>
                  <w:tcW w:w="2241" w:type="pct"/>
                  <w:tcBorders>
                    <w:tl2br w:val="nil"/>
                    <w:tr2bl w:val="nil"/>
                  </w:tcBorders>
                  <w:noWrap w:val="0"/>
                  <w:vAlign w:val="center"/>
                </w:tcPr>
                <w:p w14:paraId="04EBCA58">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both"/>
                    <w:textAlignment w:val="auto"/>
                    <w:rPr>
                      <w:rFonts w:hint="default" w:ascii="Times New Roman" w:hAnsi="Times New Roman" w:cs="Times New Roman"/>
                      <w:b/>
                      <w:bCs/>
                      <w:color w:val="auto"/>
                      <w:sz w:val="18"/>
                      <w:szCs w:val="18"/>
                      <w:shd w:val="clear" w:color="auto" w:fill="FFFFFF"/>
                      <w:lang w:val="en-US" w:eastAsia="zh-CN"/>
                    </w:rPr>
                  </w:pPr>
                  <w:r>
                    <w:rPr>
                      <w:rFonts w:hint="default" w:ascii="Times New Roman" w:hAnsi="Times New Roman" w:cs="Times New Roman"/>
                      <w:color w:val="auto"/>
                      <w:sz w:val="18"/>
                      <w:szCs w:val="18"/>
                      <w:highlight w:val="none"/>
                      <w:vertAlign w:val="baseline"/>
                      <w:lang w:val="en-US" w:eastAsia="zh-CN"/>
                    </w:rPr>
                    <w:t>优化交通运输结构</w:t>
                  </w:r>
                </w:p>
              </w:tc>
              <w:tc>
                <w:tcPr>
                  <w:tcW w:w="1625" w:type="pct"/>
                  <w:tcBorders>
                    <w:tl2br w:val="nil"/>
                    <w:tr2bl w:val="nil"/>
                  </w:tcBorders>
                  <w:noWrap w:val="0"/>
                  <w:vAlign w:val="center"/>
                </w:tcPr>
                <w:p w14:paraId="018AE343">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shd w:val="clear" w:color="auto" w:fill="FFFFFF"/>
                      <w:lang w:val="en-US" w:eastAsia="zh-CN"/>
                    </w:rPr>
                  </w:pPr>
                </w:p>
              </w:tc>
              <w:tc>
                <w:tcPr>
                  <w:tcW w:w="573" w:type="pct"/>
                  <w:tcBorders>
                    <w:tl2br w:val="nil"/>
                    <w:tr2bl w:val="nil"/>
                  </w:tcBorders>
                  <w:noWrap w:val="0"/>
                  <w:vAlign w:val="center"/>
                </w:tcPr>
                <w:p w14:paraId="7B327D2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r>
            <w:tr w14:paraId="0AF4FA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702E259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501F3F0D">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b/>
                      <w:bCs/>
                      <w:color w:val="auto"/>
                      <w:sz w:val="18"/>
                      <w:szCs w:val="18"/>
                      <w:shd w:val="clear" w:color="auto" w:fill="FFFFFF"/>
                      <w:lang w:val="en-US" w:eastAsia="zh-CN"/>
                    </w:rPr>
                  </w:pPr>
                  <w:r>
                    <w:rPr>
                      <w:rFonts w:hint="default" w:ascii="Times New Roman" w:hAnsi="Times New Roman" w:cs="Times New Roman"/>
                      <w:b/>
                      <w:bCs/>
                      <w:color w:val="auto"/>
                      <w:sz w:val="18"/>
                      <w:szCs w:val="18"/>
                      <w:shd w:val="clear" w:color="auto" w:fill="FFFFFF"/>
                      <w:lang w:val="en-US" w:eastAsia="zh-CN"/>
                    </w:rPr>
                    <w:t>持续优化交通运输结构。</w:t>
                  </w:r>
                  <w:r>
                    <w:rPr>
                      <w:rFonts w:hint="default" w:ascii="Times New Roman" w:hAnsi="Times New Roman" w:cs="Times New Roman"/>
                      <w:color w:val="auto"/>
                      <w:sz w:val="18"/>
                      <w:szCs w:val="18"/>
                      <w:shd w:val="clear" w:color="auto" w:fill="FFFFFF"/>
                      <w:lang w:val="en-US" w:eastAsia="zh-CN"/>
                    </w:rPr>
                    <w:t>加大运输结构调整力度，形成部分州（市）大宗货物和集装箱中长距离运输以铁路和水路运输为主的格局。加快干线铁路建设和改造，实施铁路干线主要编组站设备设施改造扩能。推动大宗货物集疏港运输向铁路和水路转移，支持煤炭、钢铁、电解铝、电力、焦化、水泥等大宗货物年运输量150万吨以上的大型工矿企业以及大型物流园区新（改、扩）建铁路专用线。到2025年，大宗货物绿色运输方式比例、铁路和水路货运量占比进一步提升。</w:t>
                  </w:r>
                </w:p>
              </w:tc>
              <w:tc>
                <w:tcPr>
                  <w:tcW w:w="1625" w:type="pct"/>
                  <w:tcBorders>
                    <w:tl2br w:val="nil"/>
                    <w:tr2bl w:val="nil"/>
                  </w:tcBorders>
                  <w:noWrap w:val="0"/>
                  <w:vAlign w:val="center"/>
                </w:tcPr>
                <w:p w14:paraId="4A147B17">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shd w:val="clear" w:color="auto" w:fill="FFFFFF"/>
                      <w:lang w:val="en-US" w:eastAsia="zh-CN"/>
                    </w:rPr>
                  </w:pPr>
                  <w:r>
                    <w:rPr>
                      <w:rFonts w:hint="eastAsia" w:ascii="Times New Roman" w:hAnsi="Times New Roman" w:eastAsia="宋体" w:cs="Times New Roman"/>
                      <w:bCs/>
                      <w:color w:val="auto"/>
                      <w:sz w:val="18"/>
                      <w:szCs w:val="18"/>
                      <w:vertAlign w:val="baseline"/>
                      <w:lang w:val="en-US" w:eastAsia="zh-CN"/>
                    </w:rPr>
                    <w:t>本项目为</w:t>
                  </w:r>
                  <w:r>
                    <w:rPr>
                      <w:rFonts w:hint="default" w:ascii="Times New Roman" w:hAnsi="Times New Roman" w:cs="Times New Roman"/>
                      <w:b w:val="0"/>
                      <w:bCs w:val="0"/>
                      <w:color w:val="auto"/>
                      <w:sz w:val="18"/>
                      <w:szCs w:val="18"/>
                      <w:lang w:val="en-US" w:eastAsia="zh-CN"/>
                    </w:rPr>
                    <w:t>云南玉溪</w:t>
                  </w:r>
                  <w:r>
                    <w:rPr>
                      <w:rFonts w:hint="eastAsia" w:ascii="Times New Roman" w:hAnsi="Times New Roman" w:cs="Times New Roman"/>
                      <w:b w:val="0"/>
                      <w:bCs w:val="0"/>
                      <w:color w:val="auto"/>
                      <w:sz w:val="18"/>
                      <w:szCs w:val="18"/>
                      <w:lang w:val="en-US" w:eastAsia="zh-CN"/>
                    </w:rPr>
                    <w:t>仙福钢铁（集团）有限公司</w:t>
                  </w:r>
                  <w:r>
                    <w:rPr>
                      <w:rFonts w:hint="default" w:ascii="Times New Roman" w:hAnsi="Times New Roman" w:cs="Times New Roman"/>
                      <w:b w:val="0"/>
                      <w:bCs w:val="0"/>
                      <w:color w:val="auto"/>
                      <w:sz w:val="18"/>
                      <w:szCs w:val="18"/>
                      <w:lang w:val="en-US" w:eastAsia="zh-CN"/>
                    </w:rPr>
                    <w:t>产能置换升级改造项目</w:t>
                  </w:r>
                  <w:r>
                    <w:rPr>
                      <w:rFonts w:hint="eastAsia" w:ascii="Times New Roman" w:hAnsi="Times New Roman" w:cs="Times New Roman"/>
                      <w:b w:val="0"/>
                      <w:bCs w:val="0"/>
                      <w:color w:val="auto"/>
                      <w:sz w:val="18"/>
                      <w:szCs w:val="18"/>
                      <w:lang w:val="en-US" w:eastAsia="zh-CN"/>
                    </w:rPr>
                    <w:t>配套工程，使用产能置换升级改造项目</w:t>
                  </w:r>
                  <w:r>
                    <w:rPr>
                      <w:rFonts w:hint="eastAsia" w:cs="Times New Roman"/>
                      <w:sz w:val="18"/>
                      <w:szCs w:val="18"/>
                      <w:vertAlign w:val="baseline"/>
                      <w:lang w:val="en-US" w:eastAsia="zh-CN"/>
                    </w:rPr>
                    <w:t>富余高炉煤气、转炉煤气、焦炉煤气及轧钢加热炉富余蒸汽发电</w:t>
                  </w:r>
                  <w:r>
                    <w:rPr>
                      <w:rFonts w:hint="eastAsia" w:ascii="Times New Roman" w:hAnsi="Times New Roman" w:cs="Times New Roman"/>
                      <w:b w:val="0"/>
                      <w:bCs w:val="0"/>
                      <w:color w:val="auto"/>
                      <w:sz w:val="18"/>
                      <w:szCs w:val="18"/>
                      <w:lang w:val="en-US" w:eastAsia="zh-CN"/>
                    </w:rPr>
                    <w:t>，采用管道输送。</w:t>
                  </w:r>
                </w:p>
              </w:tc>
              <w:tc>
                <w:tcPr>
                  <w:tcW w:w="573" w:type="pct"/>
                  <w:tcBorders>
                    <w:tl2br w:val="nil"/>
                    <w:tr2bl w:val="nil"/>
                  </w:tcBorders>
                  <w:noWrap w:val="0"/>
                  <w:vAlign w:val="center"/>
                </w:tcPr>
                <w:p w14:paraId="02F71968">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735E8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6F35D095">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left"/>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b/>
                      <w:bCs/>
                      <w:color w:val="auto"/>
                      <w:kern w:val="2"/>
                      <w:sz w:val="18"/>
                      <w:szCs w:val="18"/>
                      <w:highlight w:val="none"/>
                      <w:vertAlign w:val="baseline"/>
                      <w:lang w:val="en-US" w:eastAsia="zh-CN" w:bidi="ar-SA"/>
                    </w:rPr>
                    <w:fldChar w:fldCharType="begin"/>
                  </w:r>
                  <w:r>
                    <w:rPr>
                      <w:rFonts w:hint="default" w:ascii="Times New Roman" w:hAnsi="Times New Roman" w:eastAsia="宋体" w:cs="Times New Roman"/>
                      <w:b/>
                      <w:bCs/>
                      <w:color w:val="auto"/>
                      <w:kern w:val="2"/>
                      <w:sz w:val="18"/>
                      <w:szCs w:val="18"/>
                      <w:highlight w:val="none"/>
                      <w:vertAlign w:val="baseline"/>
                      <w:lang w:val="en-US" w:eastAsia="zh-CN" w:bidi="ar-SA"/>
                    </w:rPr>
                    <w:instrText xml:space="preserve"> HYPERLINK \l "_Toc6776_WPSOffice_Level1" </w:instrText>
                  </w:r>
                  <w:r>
                    <w:rPr>
                      <w:rFonts w:hint="default" w:ascii="Times New Roman" w:hAnsi="Times New Roman" w:eastAsia="宋体" w:cs="Times New Roman"/>
                      <w:b/>
                      <w:bCs/>
                      <w:color w:val="auto"/>
                      <w:kern w:val="2"/>
                      <w:sz w:val="18"/>
                      <w:szCs w:val="18"/>
                      <w:highlight w:val="none"/>
                      <w:vertAlign w:val="baseline"/>
                      <w:lang w:val="en-US" w:eastAsia="zh-CN" w:bidi="ar-SA"/>
                    </w:rPr>
                    <w:fldChar w:fldCharType="separate"/>
                  </w:r>
                  <w:bookmarkStart w:id="8" w:name="_Toc80346322"/>
                  <w:bookmarkStart w:id="9" w:name="_Toc88472609"/>
                  <w:bookmarkStart w:id="10" w:name="_Toc87343441"/>
                  <w:bookmarkStart w:id="11" w:name="_Toc88583051"/>
                  <w:r>
                    <w:rPr>
                      <w:rFonts w:hint="default" w:ascii="Times New Roman" w:hAnsi="Times New Roman" w:eastAsia="宋体" w:cs="Times New Roman"/>
                      <w:b/>
                      <w:bCs/>
                      <w:color w:val="auto"/>
                      <w:kern w:val="2"/>
                      <w:sz w:val="18"/>
                      <w:szCs w:val="18"/>
                      <w:highlight w:val="none"/>
                      <w:vertAlign w:val="baseline"/>
                      <w:lang w:val="en-US" w:eastAsia="zh-CN" w:bidi="ar-SA"/>
                    </w:rPr>
                    <w:t>第四章  深化“三水”统筹，全面改善水生态环境质量</w:t>
                  </w:r>
                  <w:bookmarkEnd w:id="8"/>
                  <w:bookmarkEnd w:id="9"/>
                  <w:bookmarkEnd w:id="10"/>
                  <w:bookmarkEnd w:id="11"/>
                  <w:r>
                    <w:rPr>
                      <w:rFonts w:hint="default" w:ascii="Times New Roman" w:hAnsi="Times New Roman" w:eastAsia="宋体" w:cs="Times New Roman"/>
                      <w:b/>
                      <w:bCs/>
                      <w:color w:val="auto"/>
                      <w:kern w:val="2"/>
                      <w:sz w:val="18"/>
                      <w:szCs w:val="18"/>
                      <w:highlight w:val="none"/>
                      <w:vertAlign w:val="baseline"/>
                      <w:lang w:val="en-US" w:eastAsia="zh-CN" w:bidi="ar-SA"/>
                    </w:rPr>
                    <w:fldChar w:fldCharType="end"/>
                  </w:r>
                </w:p>
              </w:tc>
            </w:tr>
            <w:tr w14:paraId="3CE26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688A4A38">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第三节</w:t>
                  </w:r>
                </w:p>
              </w:tc>
              <w:tc>
                <w:tcPr>
                  <w:tcW w:w="2241" w:type="pct"/>
                  <w:tcBorders>
                    <w:tl2br w:val="nil"/>
                    <w:tr2bl w:val="nil"/>
                  </w:tcBorders>
                  <w:noWrap w:val="0"/>
                  <w:vAlign w:val="center"/>
                </w:tcPr>
                <w:p w14:paraId="42310B3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加强重点流域生态保护治理</w:t>
                  </w:r>
                </w:p>
              </w:tc>
              <w:tc>
                <w:tcPr>
                  <w:tcW w:w="1625" w:type="pct"/>
                  <w:tcBorders>
                    <w:tl2br w:val="nil"/>
                    <w:tr2bl w:val="nil"/>
                  </w:tcBorders>
                  <w:noWrap w:val="0"/>
                  <w:vAlign w:val="center"/>
                </w:tcPr>
                <w:p w14:paraId="156BD84B">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rPr>
                  </w:pPr>
                </w:p>
              </w:tc>
              <w:tc>
                <w:tcPr>
                  <w:tcW w:w="573" w:type="pct"/>
                  <w:tcBorders>
                    <w:tl2br w:val="nil"/>
                    <w:tr2bl w:val="nil"/>
                  </w:tcBorders>
                  <w:noWrap w:val="0"/>
                  <w:vAlign w:val="center"/>
                </w:tcPr>
                <w:p w14:paraId="1C82F2F6">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r>
            <w:tr w14:paraId="68859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4B4A08E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13CA73DD">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深入推进珠江流域环境治理与生态保护。加强水污染防治，改善不达标水体水环境质量，基本消除劣Ⅴ类水体，促进珠江流域水生态环境明显改善。以涉磷企业为重点，加大工业企业环境监管，推动工业企业稳定达标排放。以泸江、大屯海、倘甸双河、南盘江干流柴石滩以上等涉重工业集中片区为重点，持续推进涉镉、砷等重金属行业企业排查整治。优化水资源利用，加强流域主要水利水电工程生态流量下泄措施落实，确保北盘江、曲江、泸江、甸溪河、黄泥河等达到生态流量底线要求。</w:t>
                  </w:r>
                </w:p>
              </w:tc>
              <w:tc>
                <w:tcPr>
                  <w:tcW w:w="1625" w:type="pct"/>
                  <w:tcBorders>
                    <w:tl2br w:val="nil"/>
                    <w:tr2bl w:val="nil"/>
                  </w:tcBorders>
                  <w:noWrap w:val="0"/>
                  <w:vAlign w:val="center"/>
                </w:tcPr>
                <w:p w14:paraId="2800DC51">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w:t>
                  </w:r>
                  <w:r>
                    <w:rPr>
                      <w:rFonts w:hint="eastAsia" w:ascii="Times New Roman" w:hAnsi="Times New Roman" w:eastAsia="宋体" w:cs="Times New Roman"/>
                      <w:b w:val="0"/>
                      <w:bCs w:val="0"/>
                      <w:color w:val="auto"/>
                      <w:sz w:val="18"/>
                      <w:szCs w:val="18"/>
                      <w:lang w:val="en-US" w:eastAsia="zh-CN"/>
                    </w:rPr>
                    <w:t>废水全部回用，不外排</w:t>
                  </w:r>
                  <w:r>
                    <w:rPr>
                      <w:rFonts w:hint="default" w:ascii="Times New Roman" w:hAnsi="Times New Roman" w:eastAsia="宋体" w:cs="Times New Roman"/>
                      <w:b w:val="0"/>
                      <w:bCs w:val="0"/>
                      <w:color w:val="auto"/>
                      <w:sz w:val="18"/>
                      <w:szCs w:val="18"/>
                      <w:lang w:val="en-US" w:eastAsia="zh-CN"/>
                    </w:rPr>
                    <w:t>。</w:t>
                  </w:r>
                </w:p>
              </w:tc>
              <w:tc>
                <w:tcPr>
                  <w:tcW w:w="573" w:type="pct"/>
                  <w:tcBorders>
                    <w:tl2br w:val="nil"/>
                    <w:tr2bl w:val="nil"/>
                  </w:tcBorders>
                  <w:noWrap w:val="0"/>
                  <w:vAlign w:val="center"/>
                </w:tcPr>
                <w:p w14:paraId="6CC84C22">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7AD73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0E11A0F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b/>
                      <w:bCs/>
                      <w:color w:val="auto"/>
                      <w:kern w:val="2"/>
                      <w:sz w:val="18"/>
                      <w:szCs w:val="18"/>
                      <w:highlight w:val="none"/>
                      <w:vertAlign w:val="baseline"/>
                      <w:lang w:val="en-US" w:eastAsia="zh-CN" w:bidi="ar-SA"/>
                    </w:rPr>
                    <w:t>第六章 加强协同控制，改善大气环境</w:t>
                  </w:r>
                </w:p>
              </w:tc>
            </w:tr>
            <w:tr w14:paraId="7F2CE1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1BC692C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第一节</w:t>
                  </w:r>
                </w:p>
              </w:tc>
              <w:tc>
                <w:tcPr>
                  <w:tcW w:w="2241" w:type="pct"/>
                  <w:tcBorders>
                    <w:tl2br w:val="nil"/>
                    <w:tr2bl w:val="nil"/>
                  </w:tcBorders>
                  <w:noWrap w:val="0"/>
                  <w:vAlign w:val="center"/>
                </w:tcPr>
                <w:p w14:paraId="20CC692C">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加强细颗粒物和臭氧协同控制</w:t>
                  </w:r>
                </w:p>
              </w:tc>
              <w:tc>
                <w:tcPr>
                  <w:tcW w:w="1625" w:type="pct"/>
                  <w:tcBorders>
                    <w:tl2br w:val="nil"/>
                    <w:tr2bl w:val="nil"/>
                  </w:tcBorders>
                  <w:noWrap w:val="0"/>
                  <w:vAlign w:val="center"/>
                </w:tcPr>
                <w:p w14:paraId="02487771">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b w:val="0"/>
                      <w:bCs w:val="0"/>
                      <w:color w:val="auto"/>
                      <w:sz w:val="18"/>
                      <w:szCs w:val="18"/>
                      <w:lang w:val="en-US" w:eastAsia="zh-CN"/>
                    </w:rPr>
                  </w:pPr>
                </w:p>
              </w:tc>
              <w:tc>
                <w:tcPr>
                  <w:tcW w:w="573" w:type="pct"/>
                  <w:tcBorders>
                    <w:tl2br w:val="nil"/>
                    <w:tr2bl w:val="nil"/>
                  </w:tcBorders>
                  <w:noWrap w:val="0"/>
                  <w:vAlign w:val="center"/>
                </w:tcPr>
                <w:p w14:paraId="208FD05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r>
            <w:tr w14:paraId="7474E6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241599F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w:t>
                  </w:r>
                </w:p>
              </w:tc>
              <w:tc>
                <w:tcPr>
                  <w:tcW w:w="2241" w:type="pct"/>
                  <w:tcBorders>
                    <w:tl2br w:val="nil"/>
                    <w:tr2bl w:val="nil"/>
                  </w:tcBorders>
                  <w:noWrap w:val="0"/>
                  <w:vAlign w:val="center"/>
                </w:tcPr>
                <w:p w14:paraId="1BFAFC77">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color w:val="auto"/>
                      <w:kern w:val="0"/>
                      <w:sz w:val="18"/>
                      <w:szCs w:val="18"/>
                    </w:rPr>
                    <w:t>协同开展PM</w:t>
                  </w:r>
                  <w:r>
                    <w:rPr>
                      <w:rFonts w:hint="default" w:ascii="Times New Roman" w:hAnsi="Times New Roman" w:eastAsia="宋体" w:cs="Times New Roman"/>
                      <w:color w:val="auto"/>
                      <w:kern w:val="0"/>
                      <w:sz w:val="18"/>
                      <w:szCs w:val="18"/>
                      <w:vertAlign w:val="subscript"/>
                    </w:rPr>
                    <w:t>2.5</w:t>
                  </w:r>
                  <w:r>
                    <w:rPr>
                      <w:rFonts w:hint="default" w:ascii="Times New Roman" w:hAnsi="Times New Roman" w:eastAsia="宋体" w:cs="Times New Roman"/>
                      <w:color w:val="auto"/>
                      <w:kern w:val="0"/>
                      <w:sz w:val="18"/>
                      <w:szCs w:val="18"/>
                    </w:rPr>
                    <w:t>和O</w:t>
                  </w:r>
                  <w:r>
                    <w:rPr>
                      <w:rFonts w:hint="default" w:ascii="Times New Roman" w:hAnsi="Times New Roman" w:eastAsia="宋体" w:cs="Times New Roman"/>
                      <w:color w:val="auto"/>
                      <w:kern w:val="0"/>
                      <w:sz w:val="18"/>
                      <w:szCs w:val="18"/>
                      <w:vertAlign w:val="subscript"/>
                    </w:rPr>
                    <w:t>3</w:t>
                  </w:r>
                  <w:r>
                    <w:rPr>
                      <w:rFonts w:hint="default" w:ascii="Times New Roman" w:hAnsi="Times New Roman" w:eastAsia="宋体" w:cs="Times New Roman"/>
                      <w:color w:val="auto"/>
                      <w:kern w:val="0"/>
                      <w:sz w:val="18"/>
                      <w:szCs w:val="18"/>
                    </w:rPr>
                    <w:t>污染防治。推动城市PM</w:t>
                  </w:r>
                  <w:r>
                    <w:rPr>
                      <w:rFonts w:hint="default" w:ascii="Times New Roman" w:hAnsi="Times New Roman" w:eastAsia="宋体" w:cs="Times New Roman"/>
                      <w:color w:val="auto"/>
                      <w:kern w:val="0"/>
                      <w:sz w:val="18"/>
                      <w:szCs w:val="18"/>
                      <w:vertAlign w:val="subscript"/>
                    </w:rPr>
                    <w:t>2.5</w:t>
                  </w:r>
                  <w:r>
                    <w:rPr>
                      <w:rFonts w:hint="default" w:ascii="Times New Roman" w:hAnsi="Times New Roman" w:eastAsia="宋体" w:cs="Times New Roman"/>
                      <w:color w:val="auto"/>
                      <w:kern w:val="0"/>
                      <w:sz w:val="18"/>
                      <w:szCs w:val="18"/>
                    </w:rPr>
                    <w:t>浓度持续下降，有效遏制O</w:t>
                  </w:r>
                  <w:r>
                    <w:rPr>
                      <w:rFonts w:hint="default" w:ascii="Times New Roman" w:hAnsi="Times New Roman" w:eastAsia="宋体" w:cs="Times New Roman"/>
                      <w:color w:val="auto"/>
                      <w:kern w:val="0"/>
                      <w:sz w:val="18"/>
                      <w:szCs w:val="18"/>
                      <w:vertAlign w:val="subscript"/>
                    </w:rPr>
                    <w:t>3</w:t>
                  </w:r>
                  <w:r>
                    <w:rPr>
                      <w:rFonts w:hint="default" w:ascii="Times New Roman" w:hAnsi="Times New Roman" w:eastAsia="宋体" w:cs="Times New Roman"/>
                      <w:color w:val="auto"/>
                      <w:kern w:val="0"/>
                      <w:sz w:val="18"/>
                      <w:szCs w:val="18"/>
                    </w:rPr>
                    <w:t>浓度增长趋势。统筹考虑PM</w:t>
                  </w:r>
                  <w:r>
                    <w:rPr>
                      <w:rFonts w:hint="default" w:ascii="Times New Roman" w:hAnsi="Times New Roman" w:eastAsia="宋体" w:cs="Times New Roman"/>
                      <w:color w:val="auto"/>
                      <w:kern w:val="0"/>
                      <w:sz w:val="18"/>
                      <w:szCs w:val="18"/>
                      <w:vertAlign w:val="subscript"/>
                    </w:rPr>
                    <w:t>2.5</w:t>
                  </w:r>
                  <w:r>
                    <w:rPr>
                      <w:rFonts w:hint="default" w:ascii="Times New Roman" w:hAnsi="Times New Roman" w:eastAsia="宋体" w:cs="Times New Roman"/>
                      <w:color w:val="auto"/>
                      <w:kern w:val="0"/>
                      <w:sz w:val="18"/>
                      <w:szCs w:val="18"/>
                    </w:rPr>
                    <w:t>和O</w:t>
                  </w:r>
                  <w:r>
                    <w:rPr>
                      <w:rFonts w:hint="default" w:ascii="Times New Roman" w:hAnsi="Times New Roman" w:eastAsia="宋体" w:cs="Times New Roman"/>
                      <w:color w:val="auto"/>
                      <w:kern w:val="0"/>
                      <w:sz w:val="18"/>
                      <w:szCs w:val="18"/>
                      <w:vertAlign w:val="subscript"/>
                    </w:rPr>
                    <w:t>3</w:t>
                  </w:r>
                  <w:r>
                    <w:rPr>
                      <w:rFonts w:hint="default" w:ascii="Times New Roman" w:hAnsi="Times New Roman" w:eastAsia="宋体" w:cs="Times New Roman"/>
                      <w:color w:val="auto"/>
                      <w:kern w:val="0"/>
                      <w:sz w:val="18"/>
                      <w:szCs w:val="18"/>
                    </w:rPr>
                    <w:t>污染区域传输规律和季节性特征，加强重点州（市）、重点时段、重点领域、重点行业治理，强化分区分时分类差异化精细化协同管控。</w:t>
                  </w:r>
                </w:p>
              </w:tc>
              <w:tc>
                <w:tcPr>
                  <w:tcW w:w="1625" w:type="pct"/>
                  <w:tcBorders>
                    <w:tl2br w:val="nil"/>
                    <w:tr2bl w:val="nil"/>
                  </w:tcBorders>
                  <w:noWrap w:val="0"/>
                  <w:vAlign w:val="center"/>
                </w:tcPr>
                <w:p w14:paraId="3941868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color w:val="auto"/>
                      <w:sz w:val="18"/>
                      <w:szCs w:val="18"/>
                    </w:rPr>
                    <w:t>废气排放满足</w:t>
                  </w:r>
                  <w:r>
                    <w:rPr>
                      <w:rFonts w:hint="eastAsia" w:ascii="Times New Roman" w:hAnsi="Times New Roman" w:eastAsia="宋体" w:cs="Times New Roman"/>
                      <w:bCs/>
                      <w:color w:val="auto"/>
                      <w:sz w:val="18"/>
                      <w:szCs w:val="18"/>
                      <w:u w:val="none"/>
                      <w:lang w:val="en-US" w:eastAsia="zh-CN"/>
                    </w:rPr>
                    <w:t>《关于推进实施钢铁行业超低排放的意见》（</w:t>
                  </w:r>
                  <w:r>
                    <w:rPr>
                      <w:rFonts w:hint="eastAsia" w:ascii="Times New Roman" w:hAnsi="Times New Roman" w:eastAsia="宋体" w:cs="Times New Roman"/>
                      <w:bCs/>
                      <w:color w:val="auto"/>
                      <w:sz w:val="18"/>
                      <w:szCs w:val="18"/>
                      <w:u w:val="none"/>
                      <w:lang w:val="en-US" w:eastAsia="zh-CN"/>
                    </w:rPr>
                    <w:fldChar w:fldCharType="begin"/>
                  </w:r>
                  <w:r>
                    <w:rPr>
                      <w:rFonts w:hint="eastAsia" w:ascii="Times New Roman" w:hAnsi="Times New Roman" w:eastAsia="宋体" w:cs="Times New Roman"/>
                      <w:bCs/>
                      <w:color w:val="auto"/>
                      <w:sz w:val="18"/>
                      <w:szCs w:val="18"/>
                      <w:u w:val="none"/>
                      <w:lang w:val="en-US" w:eastAsia="zh-CN"/>
                    </w:rPr>
                    <w:instrText xml:space="preserve"> HYPERLINK "https://www.waizi.org.cn/doc/62964.html" \o "环大气〔2019〕35号《关于推进实施钢铁行业超低排放的意见》" \t "https://www.waizi.org.cn/doc/_blank" </w:instrText>
                  </w:r>
                  <w:r>
                    <w:rPr>
                      <w:rFonts w:hint="eastAsia" w:ascii="Times New Roman" w:hAnsi="Times New Roman" w:eastAsia="宋体" w:cs="Times New Roman"/>
                      <w:bCs/>
                      <w:color w:val="auto"/>
                      <w:sz w:val="18"/>
                      <w:szCs w:val="18"/>
                      <w:u w:val="none"/>
                      <w:lang w:val="en-US" w:eastAsia="zh-CN"/>
                    </w:rPr>
                    <w:fldChar w:fldCharType="separate"/>
                  </w:r>
                  <w:r>
                    <w:rPr>
                      <w:rFonts w:hint="eastAsia" w:ascii="Times New Roman" w:hAnsi="Times New Roman" w:eastAsia="宋体" w:cs="Times New Roman"/>
                      <w:bCs/>
                      <w:color w:val="auto"/>
                      <w:sz w:val="18"/>
                      <w:szCs w:val="18"/>
                      <w:u w:val="none"/>
                      <w:lang w:val="en-US" w:eastAsia="zh-CN"/>
                    </w:rPr>
                    <w:t>环大气〔2019〕35号</w:t>
                  </w:r>
                  <w:r>
                    <w:rPr>
                      <w:rFonts w:hint="eastAsia" w:ascii="Times New Roman" w:hAnsi="Times New Roman" w:eastAsia="宋体" w:cs="Times New Roman"/>
                      <w:bCs/>
                      <w:color w:val="auto"/>
                      <w:sz w:val="18"/>
                      <w:szCs w:val="18"/>
                      <w:u w:val="none"/>
                      <w:lang w:val="en-US" w:eastAsia="zh-CN"/>
                    </w:rPr>
                    <w:fldChar w:fldCharType="end"/>
                  </w:r>
                  <w:r>
                    <w:rPr>
                      <w:rFonts w:hint="eastAsia" w:ascii="Times New Roman" w:hAnsi="Times New Roman" w:eastAsia="宋体" w:cs="Times New Roman"/>
                      <w:bCs/>
                      <w:color w:val="auto"/>
                      <w:sz w:val="18"/>
                      <w:szCs w:val="18"/>
                      <w:u w:val="none"/>
                      <w:lang w:val="en-US" w:eastAsia="zh-CN"/>
                    </w:rPr>
                    <w:t>）</w:t>
                  </w:r>
                  <w:r>
                    <w:rPr>
                      <w:rFonts w:hint="default" w:ascii="Times New Roman" w:hAnsi="Times New Roman" w:cs="Times New Roman"/>
                      <w:color w:val="auto"/>
                      <w:sz w:val="18"/>
                      <w:szCs w:val="18"/>
                    </w:rPr>
                    <w:t>、《大气污染物综合排放标准》（GB16297-1996）</w:t>
                  </w:r>
                  <w:r>
                    <w:rPr>
                      <w:rFonts w:hint="default" w:ascii="Times New Roman" w:hAnsi="Times New Roman" w:cs="Times New Roman"/>
                      <w:color w:val="auto"/>
                      <w:sz w:val="18"/>
                      <w:szCs w:val="18"/>
                      <w:lang w:val="en-US" w:eastAsia="zh-CN"/>
                    </w:rPr>
                    <w:t>二级排放</w:t>
                  </w:r>
                  <w:r>
                    <w:rPr>
                      <w:rFonts w:hint="default" w:ascii="Times New Roman" w:hAnsi="Times New Roman" w:cs="Times New Roman"/>
                      <w:color w:val="auto"/>
                      <w:sz w:val="18"/>
                      <w:szCs w:val="18"/>
                    </w:rPr>
                    <w:t>限值</w:t>
                  </w:r>
                  <w:r>
                    <w:rPr>
                      <w:rFonts w:hint="eastAsia" w:ascii="Times New Roman" w:hAnsi="Times New Roman" w:cs="Times New Roman"/>
                      <w:color w:val="auto"/>
                      <w:sz w:val="18"/>
                      <w:szCs w:val="18"/>
                      <w:lang w:val="en-US" w:eastAsia="zh-CN"/>
                    </w:rPr>
                    <w:t>及</w:t>
                  </w:r>
                  <w:r>
                    <w:rPr>
                      <w:rFonts w:hint="default" w:ascii="Times New Roman" w:hAnsi="Times New Roman" w:eastAsia="宋体" w:cs="Times New Roman"/>
                      <w:color w:val="auto"/>
                      <w:sz w:val="18"/>
                      <w:szCs w:val="18"/>
                      <w:lang w:val="en-US" w:eastAsia="zh-CN"/>
                    </w:rPr>
                    <w:t>《恶臭污染物排放标准》（GB14554-</w:t>
                  </w:r>
                  <w:r>
                    <w:rPr>
                      <w:rFonts w:hint="eastAsia" w:ascii="Times New Roman" w:hAnsi="Times New Roman" w:eastAsia="宋体" w:cs="Times New Roman"/>
                      <w:color w:val="auto"/>
                      <w:sz w:val="18"/>
                      <w:szCs w:val="18"/>
                      <w:lang w:val="en-US" w:eastAsia="zh-CN"/>
                    </w:rPr>
                    <w:t>19</w:t>
                  </w:r>
                  <w:r>
                    <w:rPr>
                      <w:rFonts w:hint="default" w:ascii="Times New Roman" w:hAnsi="Times New Roman" w:eastAsia="宋体" w:cs="Times New Roman"/>
                      <w:color w:val="auto"/>
                      <w:sz w:val="18"/>
                      <w:szCs w:val="18"/>
                      <w:lang w:val="en-US" w:eastAsia="zh-CN"/>
                    </w:rPr>
                    <w:t>93）</w:t>
                  </w:r>
                  <w:r>
                    <w:rPr>
                      <w:rFonts w:hint="default" w:ascii="Times New Roman" w:hAnsi="Times New Roman" w:cs="Times New Roman"/>
                      <w:color w:val="auto"/>
                      <w:sz w:val="18"/>
                      <w:szCs w:val="18"/>
                    </w:rPr>
                    <w:t>要求</w:t>
                  </w:r>
                  <w:r>
                    <w:rPr>
                      <w:rFonts w:hint="eastAsia" w:ascii="Times New Roman" w:hAnsi="Times New Roman" w:eastAsia="宋体" w:cs="Times New Roman"/>
                      <w:color w:val="auto"/>
                      <w:sz w:val="18"/>
                      <w:szCs w:val="18"/>
                      <w:lang w:eastAsia="zh-CN"/>
                    </w:rPr>
                    <w:t>。</w:t>
                  </w:r>
                </w:p>
              </w:tc>
              <w:tc>
                <w:tcPr>
                  <w:tcW w:w="573" w:type="pct"/>
                  <w:tcBorders>
                    <w:tl2br w:val="nil"/>
                    <w:tr2bl w:val="nil"/>
                  </w:tcBorders>
                  <w:noWrap w:val="0"/>
                  <w:vAlign w:val="center"/>
                </w:tcPr>
                <w:p w14:paraId="7DF5FA0C">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r w14:paraId="734C7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000" w:type="pct"/>
                  <w:gridSpan w:val="4"/>
                  <w:tcBorders>
                    <w:tl2br w:val="nil"/>
                    <w:tr2bl w:val="nil"/>
                  </w:tcBorders>
                  <w:noWrap w:val="0"/>
                  <w:vAlign w:val="center"/>
                </w:tcPr>
                <w:p w14:paraId="1428D5B3">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b/>
                      <w:bCs/>
                      <w:color w:val="auto"/>
                      <w:kern w:val="2"/>
                      <w:sz w:val="18"/>
                      <w:szCs w:val="18"/>
                      <w:highlight w:val="none"/>
                      <w:vertAlign w:val="baseline"/>
                      <w:lang w:val="en-US" w:eastAsia="zh-CN" w:bidi="ar-SA"/>
                    </w:rPr>
                  </w:pPr>
                  <w:bookmarkStart w:id="12" w:name="_Toc88583069"/>
                  <w:r>
                    <w:rPr>
                      <w:rFonts w:hint="default" w:ascii="Times New Roman" w:hAnsi="Times New Roman" w:eastAsia="宋体" w:cs="Times New Roman"/>
                      <w:b/>
                      <w:bCs/>
                      <w:color w:val="auto"/>
                      <w:kern w:val="2"/>
                      <w:sz w:val="18"/>
                      <w:szCs w:val="18"/>
                      <w:highlight w:val="none"/>
                      <w:vertAlign w:val="baseline"/>
                      <w:lang w:val="en-US" w:eastAsia="zh-CN" w:bidi="ar-SA"/>
                    </w:rPr>
                    <w:t>第七章  推进系统防治，有效管控土壤污染风险</w:t>
                  </w:r>
                  <w:bookmarkEnd w:id="12"/>
                </w:p>
              </w:tc>
            </w:tr>
            <w:tr w14:paraId="557161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exact"/>
              </w:trPr>
              <w:tc>
                <w:tcPr>
                  <w:tcW w:w="560" w:type="pct"/>
                  <w:tcBorders>
                    <w:tl2br w:val="nil"/>
                    <w:tr2bl w:val="nil"/>
                  </w:tcBorders>
                  <w:noWrap w:val="0"/>
                  <w:vAlign w:val="center"/>
                </w:tcPr>
                <w:p w14:paraId="1D44A5D5">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第一节</w:t>
                  </w:r>
                </w:p>
              </w:tc>
              <w:tc>
                <w:tcPr>
                  <w:tcW w:w="2241" w:type="pct"/>
                  <w:tcBorders>
                    <w:tl2br w:val="nil"/>
                    <w:tr2bl w:val="nil"/>
                  </w:tcBorders>
                  <w:noWrap w:val="0"/>
                  <w:vAlign w:val="center"/>
                </w:tcPr>
                <w:p w14:paraId="7D088874">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强化土壤污染源头防控</w:t>
                  </w:r>
                </w:p>
              </w:tc>
              <w:tc>
                <w:tcPr>
                  <w:tcW w:w="1625" w:type="pct"/>
                  <w:tcBorders>
                    <w:tl2br w:val="nil"/>
                    <w:tr2bl w:val="nil"/>
                  </w:tcBorders>
                  <w:noWrap w:val="0"/>
                  <w:vAlign w:val="center"/>
                </w:tcPr>
                <w:p w14:paraId="4AC9EC46">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eastAsia" w:ascii="Times New Roman" w:hAnsi="Times New Roman" w:eastAsia="宋体" w:cs="Times New Roman"/>
                      <w:color w:val="auto"/>
                      <w:kern w:val="0"/>
                      <w:sz w:val="18"/>
                      <w:szCs w:val="18"/>
                      <w:lang w:val="en-US" w:eastAsia="zh-CN"/>
                    </w:rPr>
                  </w:pPr>
                </w:p>
              </w:tc>
              <w:tc>
                <w:tcPr>
                  <w:tcW w:w="573" w:type="pct"/>
                  <w:tcBorders>
                    <w:tl2br w:val="nil"/>
                    <w:tr2bl w:val="nil"/>
                  </w:tcBorders>
                  <w:noWrap w:val="0"/>
                  <w:vAlign w:val="center"/>
                </w:tcPr>
                <w:p w14:paraId="35EA3B05">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rPr>
                  </w:pPr>
                </w:p>
              </w:tc>
            </w:tr>
            <w:tr w14:paraId="1256BD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2DAB4513">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2241" w:type="pct"/>
                  <w:tcBorders>
                    <w:tl2br w:val="nil"/>
                    <w:tr2bl w:val="nil"/>
                  </w:tcBorders>
                  <w:noWrap w:val="0"/>
                  <w:vAlign w:val="center"/>
                </w:tcPr>
                <w:p w14:paraId="4474178D">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加强耕地污染源头控制。永久基本农田集中区域不得规划新建可能造成土壤污染的建设项目。在严格管控类耕地集中区和农产品超标区域，深入开展耕地重金属污染源解析与污染过程研究，建立耕地土壤污染成因排查方法，开展农产品超标成因分析技术试点，实现污染源精准管控。持续推进耕地周边涉镉等重金属行业企业排查整治，动态更新污染源排查整治清单，实行污染源销号制度</w:t>
                  </w:r>
                  <w:r>
                    <w:rPr>
                      <w:rFonts w:hint="eastAsia" w:ascii="Times New Roman" w:hAnsi="Times New Roman" w:eastAsia="宋体" w:cs="Times New Roman"/>
                      <w:color w:val="auto"/>
                      <w:kern w:val="0"/>
                      <w:sz w:val="18"/>
                      <w:szCs w:val="18"/>
                      <w:lang w:eastAsia="zh-CN"/>
                    </w:rPr>
                    <w:t>。</w:t>
                  </w:r>
                </w:p>
                <w:p w14:paraId="6F58A75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加强工矿企业污染源环境监管。动态更新土壤污染重点监管单位名录，监督土壤污染重点监管单位全面落实土壤污染防治义务，依法纳入排污许可管理，定期对土壤污染重点监管单位周边土壤开展监督性监测。2025年底前，至少完成一轮土壤污染隐患排查。以有色金属矿采选和冶炼等行业为重点，鼓励企业绿色化提标改造。在有色金属采选和冶炼集中地区，执行颗粒物和镉等重点污染物特别排放限值。强化矿山尾矿库环境监管，加大历史遗留固体废物排查整治力度，严防固体废物污染。加强企业拆除活动监管，防范拆除活动污染土壤</w:t>
                  </w:r>
                  <w:r>
                    <w:rPr>
                      <w:rFonts w:hint="eastAsia" w:ascii="Times New Roman" w:hAnsi="Times New Roman" w:eastAsia="宋体" w:cs="Times New Roman"/>
                      <w:color w:val="auto"/>
                      <w:kern w:val="0"/>
                      <w:sz w:val="18"/>
                      <w:szCs w:val="18"/>
                      <w:lang w:eastAsia="zh-CN"/>
                    </w:rPr>
                    <w:t>。</w:t>
                  </w:r>
                </w:p>
              </w:tc>
              <w:tc>
                <w:tcPr>
                  <w:tcW w:w="1625" w:type="pct"/>
                  <w:tcBorders>
                    <w:tl2br w:val="nil"/>
                    <w:tr2bl w:val="nil"/>
                  </w:tcBorders>
                  <w:noWrap w:val="0"/>
                  <w:vAlign w:val="center"/>
                </w:tcPr>
                <w:p w14:paraId="67BBA1AE">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bCs/>
                      <w:color w:val="auto"/>
                      <w:sz w:val="18"/>
                      <w:szCs w:val="18"/>
                      <w:lang w:val="en-US" w:eastAsia="zh-CN"/>
                    </w:rPr>
                    <w:t>本</w:t>
                  </w:r>
                  <w:r>
                    <w:rPr>
                      <w:rFonts w:hint="default" w:ascii="Times New Roman" w:hAnsi="Times New Roman" w:eastAsia="宋体" w:cs="Times New Roman"/>
                      <w:bCs/>
                      <w:color w:val="auto"/>
                      <w:sz w:val="18"/>
                      <w:szCs w:val="18"/>
                      <w:lang w:eastAsia="zh-CN"/>
                    </w:rPr>
                    <w:t>项目</w:t>
                  </w:r>
                  <w:r>
                    <w:rPr>
                      <w:rFonts w:hint="eastAsia" w:ascii="Times New Roman" w:hAnsi="Times New Roman" w:cs="Times New Roman"/>
                      <w:color w:val="auto"/>
                      <w:kern w:val="0"/>
                      <w:sz w:val="18"/>
                      <w:szCs w:val="18"/>
                      <w:lang w:val="en-US" w:eastAsia="zh-CN"/>
                    </w:rPr>
                    <w:t>为</w:t>
                  </w:r>
                  <w:r>
                    <w:rPr>
                      <w:rFonts w:hint="default" w:ascii="Times New Roman" w:hAnsi="Times New Roman" w:eastAsia="宋体" w:cs="Times New Roman"/>
                      <w:color w:val="auto"/>
                      <w:sz w:val="18"/>
                      <w:szCs w:val="18"/>
                    </w:rPr>
                    <w:t>产能置换升级改造</w:t>
                  </w:r>
                  <w:r>
                    <w:rPr>
                      <w:rFonts w:hint="default" w:ascii="Times New Roman" w:hAnsi="Times New Roman" w:eastAsia="宋体" w:cs="Times New Roman"/>
                      <w:color w:val="auto"/>
                      <w:sz w:val="18"/>
                      <w:szCs w:val="18"/>
                      <w:lang w:val="en-US" w:eastAsia="zh-CN"/>
                    </w:rPr>
                    <w:t>项目</w:t>
                  </w:r>
                  <w:r>
                    <w:rPr>
                      <w:rFonts w:hint="eastAsia" w:ascii="Times New Roman" w:hAnsi="Times New Roman" w:eastAsia="宋体" w:cs="Times New Roman"/>
                      <w:color w:val="auto"/>
                      <w:sz w:val="18"/>
                      <w:szCs w:val="18"/>
                      <w:lang w:val="en-US" w:eastAsia="zh-CN"/>
                    </w:rPr>
                    <w:t>配套工程，位于云南新平产业园区绿色钢城片区，</w:t>
                  </w:r>
                  <w:r>
                    <w:rPr>
                      <w:rFonts w:hint="eastAsia" w:ascii="Times New Roman" w:hAnsi="Times New Roman" w:eastAsia="宋体" w:cs="Times New Roman"/>
                      <w:color w:val="auto"/>
                      <w:kern w:val="0"/>
                      <w:sz w:val="18"/>
                      <w:szCs w:val="18"/>
                      <w:lang w:val="en-US" w:eastAsia="zh-CN"/>
                    </w:rPr>
                    <w:t>项目占地不涉及永久基本农田集中区域。</w:t>
                  </w:r>
                  <w:r>
                    <w:rPr>
                      <w:rFonts w:hint="default" w:ascii="Times New Roman" w:hAnsi="Times New Roman" w:cs="Times New Roman"/>
                      <w:color w:val="auto"/>
                      <w:sz w:val="18"/>
                      <w:szCs w:val="18"/>
                    </w:rPr>
                    <w:t>废气排放满足</w:t>
                  </w:r>
                  <w:r>
                    <w:rPr>
                      <w:rFonts w:hint="eastAsia" w:ascii="Times New Roman" w:hAnsi="Times New Roman" w:eastAsia="宋体" w:cs="Times New Roman"/>
                      <w:bCs/>
                      <w:color w:val="auto"/>
                      <w:sz w:val="18"/>
                      <w:szCs w:val="18"/>
                      <w:u w:val="none"/>
                      <w:lang w:val="en-US" w:eastAsia="zh-CN"/>
                    </w:rPr>
                    <w:t>《关于推进实施钢铁行业超低排放的意见》（</w:t>
                  </w:r>
                  <w:r>
                    <w:rPr>
                      <w:rFonts w:hint="eastAsia" w:ascii="Times New Roman" w:hAnsi="Times New Roman" w:eastAsia="宋体" w:cs="Times New Roman"/>
                      <w:bCs/>
                      <w:color w:val="auto"/>
                      <w:sz w:val="18"/>
                      <w:szCs w:val="18"/>
                      <w:u w:val="none"/>
                      <w:lang w:val="en-US" w:eastAsia="zh-CN"/>
                    </w:rPr>
                    <w:fldChar w:fldCharType="begin"/>
                  </w:r>
                  <w:r>
                    <w:rPr>
                      <w:rFonts w:hint="eastAsia" w:ascii="Times New Roman" w:hAnsi="Times New Roman" w:eastAsia="宋体" w:cs="Times New Roman"/>
                      <w:bCs/>
                      <w:color w:val="auto"/>
                      <w:sz w:val="18"/>
                      <w:szCs w:val="18"/>
                      <w:u w:val="none"/>
                      <w:lang w:val="en-US" w:eastAsia="zh-CN"/>
                    </w:rPr>
                    <w:instrText xml:space="preserve"> HYPERLINK "https://www.waizi.org.cn/doc/62964.html" \o "环大气〔2019〕35号《关于推进实施钢铁行业超低排放的意见》" \t "https://www.waizi.org.cn/doc/_blank" </w:instrText>
                  </w:r>
                  <w:r>
                    <w:rPr>
                      <w:rFonts w:hint="eastAsia" w:ascii="Times New Roman" w:hAnsi="Times New Roman" w:eastAsia="宋体" w:cs="Times New Roman"/>
                      <w:bCs/>
                      <w:color w:val="auto"/>
                      <w:sz w:val="18"/>
                      <w:szCs w:val="18"/>
                      <w:u w:val="none"/>
                      <w:lang w:val="en-US" w:eastAsia="zh-CN"/>
                    </w:rPr>
                    <w:fldChar w:fldCharType="separate"/>
                  </w:r>
                  <w:r>
                    <w:rPr>
                      <w:rFonts w:hint="eastAsia" w:ascii="Times New Roman" w:hAnsi="Times New Roman" w:eastAsia="宋体" w:cs="Times New Roman"/>
                      <w:bCs/>
                      <w:color w:val="auto"/>
                      <w:sz w:val="18"/>
                      <w:szCs w:val="18"/>
                      <w:u w:val="none"/>
                      <w:lang w:val="en-US" w:eastAsia="zh-CN"/>
                    </w:rPr>
                    <w:t>环大气〔2019〕35号</w:t>
                  </w:r>
                  <w:r>
                    <w:rPr>
                      <w:rFonts w:hint="eastAsia" w:ascii="Times New Roman" w:hAnsi="Times New Roman" w:eastAsia="宋体" w:cs="Times New Roman"/>
                      <w:bCs/>
                      <w:color w:val="auto"/>
                      <w:sz w:val="18"/>
                      <w:szCs w:val="18"/>
                      <w:u w:val="none"/>
                      <w:lang w:val="en-US" w:eastAsia="zh-CN"/>
                    </w:rPr>
                    <w:fldChar w:fldCharType="end"/>
                  </w:r>
                  <w:r>
                    <w:rPr>
                      <w:rFonts w:hint="eastAsia" w:ascii="Times New Roman" w:hAnsi="Times New Roman" w:eastAsia="宋体" w:cs="Times New Roman"/>
                      <w:bCs/>
                      <w:color w:val="auto"/>
                      <w:sz w:val="18"/>
                      <w:szCs w:val="18"/>
                      <w:u w:val="none"/>
                      <w:lang w:val="en-US" w:eastAsia="zh-CN"/>
                    </w:rPr>
                    <w:t>）</w:t>
                  </w:r>
                  <w:r>
                    <w:rPr>
                      <w:rFonts w:hint="default" w:ascii="Times New Roman" w:hAnsi="Times New Roman" w:cs="Times New Roman"/>
                      <w:color w:val="auto"/>
                      <w:sz w:val="18"/>
                      <w:szCs w:val="18"/>
                    </w:rPr>
                    <w:t>、《大气污染物综合排放标准》（GB16297-1996）</w:t>
                  </w:r>
                  <w:r>
                    <w:rPr>
                      <w:rFonts w:hint="default" w:ascii="Times New Roman" w:hAnsi="Times New Roman" w:cs="Times New Roman"/>
                      <w:color w:val="auto"/>
                      <w:sz w:val="18"/>
                      <w:szCs w:val="18"/>
                      <w:lang w:val="en-US" w:eastAsia="zh-CN"/>
                    </w:rPr>
                    <w:t>二级排放</w:t>
                  </w:r>
                  <w:r>
                    <w:rPr>
                      <w:rFonts w:hint="default" w:ascii="Times New Roman" w:hAnsi="Times New Roman" w:cs="Times New Roman"/>
                      <w:color w:val="auto"/>
                      <w:sz w:val="18"/>
                      <w:szCs w:val="18"/>
                    </w:rPr>
                    <w:t>限值</w:t>
                  </w:r>
                  <w:r>
                    <w:rPr>
                      <w:rFonts w:hint="eastAsia" w:ascii="Times New Roman" w:hAnsi="Times New Roman" w:cs="Times New Roman"/>
                      <w:color w:val="auto"/>
                      <w:sz w:val="18"/>
                      <w:szCs w:val="18"/>
                      <w:lang w:val="en-US" w:eastAsia="zh-CN"/>
                    </w:rPr>
                    <w:t>及</w:t>
                  </w:r>
                  <w:r>
                    <w:rPr>
                      <w:rFonts w:hint="default" w:ascii="Times New Roman" w:hAnsi="Times New Roman" w:eastAsia="宋体" w:cs="Times New Roman"/>
                      <w:color w:val="auto"/>
                      <w:sz w:val="18"/>
                      <w:szCs w:val="18"/>
                      <w:lang w:val="en-US" w:eastAsia="zh-CN"/>
                    </w:rPr>
                    <w:t>《恶臭污染物排放标准》（GB14554-</w:t>
                  </w:r>
                  <w:r>
                    <w:rPr>
                      <w:rFonts w:hint="eastAsia" w:ascii="Times New Roman" w:hAnsi="Times New Roman" w:eastAsia="宋体" w:cs="Times New Roman"/>
                      <w:color w:val="auto"/>
                      <w:sz w:val="18"/>
                      <w:szCs w:val="18"/>
                      <w:lang w:val="en-US" w:eastAsia="zh-CN"/>
                    </w:rPr>
                    <w:t>19</w:t>
                  </w:r>
                  <w:r>
                    <w:rPr>
                      <w:rFonts w:hint="default" w:ascii="Times New Roman" w:hAnsi="Times New Roman" w:eastAsia="宋体" w:cs="Times New Roman"/>
                      <w:color w:val="auto"/>
                      <w:sz w:val="18"/>
                      <w:szCs w:val="18"/>
                      <w:lang w:val="en-US" w:eastAsia="zh-CN"/>
                    </w:rPr>
                    <w:t>93）</w:t>
                  </w:r>
                  <w:r>
                    <w:rPr>
                      <w:rFonts w:hint="default" w:ascii="Times New Roman" w:hAnsi="Times New Roman" w:cs="Times New Roman"/>
                      <w:color w:val="auto"/>
                      <w:sz w:val="18"/>
                      <w:szCs w:val="18"/>
                    </w:rPr>
                    <w:t>要求</w:t>
                  </w:r>
                  <w:r>
                    <w:rPr>
                      <w:rFonts w:hint="eastAsia" w:ascii="Times New Roman" w:hAnsi="Times New Roman" w:eastAsia="宋体" w:cs="Times New Roman"/>
                      <w:color w:val="auto"/>
                      <w:sz w:val="18"/>
                      <w:szCs w:val="18"/>
                      <w:lang w:eastAsia="zh-CN"/>
                    </w:rPr>
                    <w:t>。</w:t>
                  </w:r>
                </w:p>
              </w:tc>
              <w:tc>
                <w:tcPr>
                  <w:tcW w:w="573" w:type="pct"/>
                  <w:tcBorders>
                    <w:tl2br w:val="nil"/>
                    <w:tr2bl w:val="nil"/>
                  </w:tcBorders>
                  <w:noWrap w:val="0"/>
                  <w:vAlign w:val="center"/>
                </w:tcPr>
                <w:p w14:paraId="19F3242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符合</w:t>
                  </w:r>
                </w:p>
              </w:tc>
            </w:tr>
            <w:tr w14:paraId="32DA6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noWrap w:val="0"/>
                  <w:vAlign w:val="center"/>
                </w:tcPr>
                <w:p w14:paraId="3ECBFD69">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4</w:t>
                  </w:r>
                </w:p>
              </w:tc>
              <w:tc>
                <w:tcPr>
                  <w:tcW w:w="2241" w:type="pct"/>
                  <w:tcBorders>
                    <w:tl2br w:val="nil"/>
                    <w:tr2bl w:val="nil"/>
                  </w:tcBorders>
                  <w:noWrap w:val="0"/>
                  <w:vAlign w:val="center"/>
                </w:tcPr>
                <w:p w14:paraId="1E57277F">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cs="Times New Roman"/>
                      <w:b/>
                      <w:bCs/>
                      <w:color w:val="auto"/>
                      <w:sz w:val="18"/>
                      <w:szCs w:val="18"/>
                    </w:rPr>
                    <w:t>推进扬尘精细化管控。</w:t>
                  </w:r>
                  <w:r>
                    <w:rPr>
                      <w:rFonts w:hint="default" w:ascii="Times New Roman" w:hAnsi="Times New Roman" w:cs="Times New Roman"/>
                      <w:bCs w:val="0"/>
                      <w:color w:val="auto"/>
                      <w:sz w:val="18"/>
                      <w:szCs w:val="18"/>
                    </w:rPr>
                    <w:t>全面推行绿色施工，严格执行</w:t>
                  </w:r>
                  <w:r>
                    <w:rPr>
                      <w:rFonts w:hint="default" w:ascii="Times New Roman" w:hAnsi="Times New Roman" w:cs="Times New Roman"/>
                      <w:bCs w:val="0"/>
                      <w:color w:val="auto"/>
                      <w:sz w:val="18"/>
                      <w:szCs w:val="18"/>
                      <w:lang w:eastAsia="zh-CN"/>
                    </w:rPr>
                    <w:t>“</w:t>
                  </w:r>
                  <w:r>
                    <w:rPr>
                      <w:rFonts w:hint="default" w:ascii="Times New Roman" w:hAnsi="Times New Roman" w:cs="Times New Roman"/>
                      <w:bCs w:val="0"/>
                      <w:color w:val="auto"/>
                      <w:sz w:val="18"/>
                      <w:szCs w:val="18"/>
                    </w:rPr>
                    <w:t>六个百分百</w:t>
                  </w:r>
                  <w:r>
                    <w:rPr>
                      <w:rFonts w:hint="default" w:ascii="Times New Roman" w:hAnsi="Times New Roman" w:cs="Times New Roman"/>
                      <w:bCs w:val="0"/>
                      <w:color w:val="auto"/>
                      <w:sz w:val="18"/>
                      <w:szCs w:val="18"/>
                      <w:lang w:eastAsia="zh-CN"/>
                    </w:rPr>
                    <w:t>”</w:t>
                  </w:r>
                  <w:r>
                    <w:rPr>
                      <w:rFonts w:hint="default" w:ascii="Times New Roman" w:hAnsi="Times New Roman" w:cs="Times New Roman"/>
                      <w:bCs w:val="0"/>
                      <w:color w:val="auto"/>
                      <w:sz w:val="18"/>
                      <w:szCs w:val="18"/>
                    </w:rPr>
                    <w:t>要求，将绿色施工纳入企业资质评价、信用评价。</w:t>
                  </w:r>
                </w:p>
              </w:tc>
              <w:tc>
                <w:tcPr>
                  <w:tcW w:w="1625" w:type="pct"/>
                  <w:tcBorders>
                    <w:tl2br w:val="nil"/>
                    <w:tr2bl w:val="nil"/>
                  </w:tcBorders>
                  <w:noWrap w:val="0"/>
                  <w:vAlign w:val="center"/>
                </w:tcPr>
                <w:p w14:paraId="4A62FA22">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bCs w:val="0"/>
                      <w:color w:val="auto"/>
                      <w:sz w:val="18"/>
                      <w:szCs w:val="18"/>
                      <w:lang w:val="en-US" w:eastAsia="zh-CN"/>
                    </w:rPr>
                    <w:t>项目施工场地应严格按</w:t>
                  </w:r>
                  <w:r>
                    <w:rPr>
                      <w:rFonts w:hint="eastAsia" w:ascii="Times New Roman" w:hAnsi="Times New Roman" w:cs="Times New Roman"/>
                      <w:bCs w:val="0"/>
                      <w:color w:val="auto"/>
                      <w:sz w:val="18"/>
                      <w:szCs w:val="18"/>
                      <w:lang w:val="en-US" w:eastAsia="zh-CN"/>
                    </w:rPr>
                    <w:t>“</w:t>
                  </w:r>
                  <w:r>
                    <w:rPr>
                      <w:rFonts w:hint="default" w:ascii="Times New Roman" w:hAnsi="Times New Roman" w:cs="Times New Roman"/>
                      <w:bCs w:val="0"/>
                      <w:color w:val="auto"/>
                      <w:sz w:val="18"/>
                      <w:szCs w:val="18"/>
                      <w:lang w:val="en-US" w:eastAsia="zh-CN"/>
                    </w:rPr>
                    <w:t>六个百分百</w:t>
                  </w:r>
                  <w:r>
                    <w:rPr>
                      <w:rFonts w:hint="eastAsia" w:ascii="Times New Roman" w:hAnsi="Times New Roman" w:cs="Times New Roman"/>
                      <w:bCs w:val="0"/>
                      <w:color w:val="auto"/>
                      <w:sz w:val="18"/>
                      <w:szCs w:val="18"/>
                      <w:lang w:val="en-US" w:eastAsia="zh-CN"/>
                    </w:rPr>
                    <w:t>”</w:t>
                  </w:r>
                  <w:r>
                    <w:rPr>
                      <w:rFonts w:hint="default" w:ascii="Times New Roman" w:hAnsi="Times New Roman" w:cs="Times New Roman"/>
                      <w:bCs w:val="0"/>
                      <w:color w:val="auto"/>
                      <w:sz w:val="18"/>
                      <w:szCs w:val="18"/>
                      <w:lang w:val="en-US" w:eastAsia="zh-CN"/>
                    </w:rPr>
                    <w:t>执行</w:t>
                  </w:r>
                  <w:r>
                    <w:rPr>
                      <w:rFonts w:hint="eastAsia" w:ascii="Times New Roman" w:hAnsi="Times New Roman" w:cs="Times New Roman"/>
                      <w:bCs w:val="0"/>
                      <w:color w:val="auto"/>
                      <w:sz w:val="18"/>
                      <w:szCs w:val="18"/>
                      <w:lang w:val="en-US" w:eastAsia="zh-CN"/>
                    </w:rPr>
                    <w:t>。</w:t>
                  </w:r>
                </w:p>
              </w:tc>
              <w:tc>
                <w:tcPr>
                  <w:tcW w:w="573" w:type="pct"/>
                  <w:tcBorders>
                    <w:tl2br w:val="nil"/>
                    <w:tr2bl w:val="nil"/>
                  </w:tcBorders>
                  <w:noWrap w:val="0"/>
                  <w:vAlign w:val="center"/>
                </w:tcPr>
                <w:p w14:paraId="5B823620">
                  <w:pPr>
                    <w:pStyle w:val="9"/>
                    <w:keepNext w:val="0"/>
                    <w:keepLines w:val="0"/>
                    <w:pageBreakBefore w:val="0"/>
                    <w:widowControl w:val="0"/>
                    <w:kinsoku/>
                    <w:wordWrap/>
                    <w:overflowPunct/>
                    <w:topLinePunct w:val="0"/>
                    <w:autoSpaceDE/>
                    <w:autoSpaceDN/>
                    <w:bidi w:val="0"/>
                    <w:adjustRightInd/>
                    <w:snapToGrid/>
                    <w:spacing w:after="0" w:afterAutospacing="0"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符合</w:t>
                  </w:r>
                </w:p>
              </w:tc>
            </w:tr>
          </w:tbl>
          <w:p w14:paraId="6F23BCB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1"/>
                <w:sz w:val="24"/>
                <w:szCs w:val="24"/>
                <w:lang w:eastAsia="zh-CN"/>
              </w:rPr>
            </w:pPr>
            <w:r>
              <w:rPr>
                <w:rFonts w:hint="default" w:ascii="Times New Roman" w:hAnsi="Times New Roman" w:cs="Times New Roman"/>
                <w:color w:val="auto"/>
                <w:kern w:val="2"/>
                <w:sz w:val="24"/>
                <w:szCs w:val="24"/>
                <w:lang w:val="en-US" w:eastAsia="zh-CN" w:bidi="ar-SA"/>
              </w:rPr>
              <w:t>根据以上分析，本项目</w:t>
            </w:r>
            <w:r>
              <w:rPr>
                <w:rFonts w:hint="default" w:ascii="Times New Roman" w:hAnsi="Times New Roman" w:cs="Times New Roman"/>
                <w:color w:val="auto"/>
                <w:kern w:val="1"/>
                <w:sz w:val="24"/>
                <w:szCs w:val="24"/>
              </w:rPr>
              <w:t>符合《云南省生态环境保护“十四五”规划》的相关要求</w:t>
            </w:r>
            <w:r>
              <w:rPr>
                <w:rFonts w:hint="eastAsia" w:ascii="Times New Roman" w:hAnsi="Times New Roman" w:cs="Times New Roman"/>
                <w:color w:val="auto"/>
                <w:kern w:val="1"/>
                <w:sz w:val="24"/>
                <w:szCs w:val="24"/>
                <w:lang w:eastAsia="zh-CN"/>
              </w:rPr>
              <w:t>。</w:t>
            </w:r>
          </w:p>
          <w:p w14:paraId="3CAAA82D">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与《关于推进实施焦化行业超低排放的意见》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环大气〔2024〕5号</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szCs w:val="24"/>
                <w:lang w:val="en-US" w:eastAsia="zh-CN"/>
              </w:rPr>
              <w:t>的符合性分析</w:t>
            </w:r>
          </w:p>
          <w:p w14:paraId="398DE746">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项目与《关于推进实施焦化行业超低排放的意见》</w:t>
            </w:r>
            <w:r>
              <w:rPr>
                <w:rFonts w:hint="default" w:ascii="Times New Roman" w:hAnsi="Times New Roman" w:eastAsia="宋体" w:cs="Times New Roman"/>
                <w:b w:val="0"/>
                <w:bCs w:val="0"/>
                <w:color w:val="auto"/>
                <w:kern w:val="2"/>
                <w:sz w:val="24"/>
                <w:szCs w:val="24"/>
                <w:lang w:val="en-US" w:eastAsia="zh-CN" w:bidi="ar-SA"/>
              </w:rPr>
              <w:t>（环大气〔2024〕5号）</w:t>
            </w:r>
            <w:r>
              <w:rPr>
                <w:rFonts w:hint="eastAsia" w:ascii="Times New Roman" w:hAnsi="Times New Roman" w:eastAsia="宋体" w:cs="Times New Roman"/>
                <w:b w:val="0"/>
                <w:bCs w:val="0"/>
                <w:color w:val="auto"/>
                <w:kern w:val="2"/>
                <w:sz w:val="24"/>
                <w:szCs w:val="24"/>
                <w:lang w:val="en-US" w:eastAsia="zh-CN" w:bidi="ar-SA"/>
              </w:rPr>
              <w:t>的符合性分析详见下表。</w:t>
            </w:r>
          </w:p>
          <w:p w14:paraId="198EA3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表</w:t>
            </w:r>
            <w:r>
              <w:rPr>
                <w:rFonts w:hint="eastAsia" w:ascii="Times New Roman" w:hAnsi="Times New Roman" w:eastAsia="黑体" w:cs="Times New Roman"/>
                <w:color w:val="auto"/>
                <w:highlight w:val="none"/>
                <w:lang w:val="en-US" w:eastAsia="zh-CN"/>
              </w:rPr>
              <w:t>1-1</w:t>
            </w:r>
            <w:r>
              <w:rPr>
                <w:rFonts w:hint="eastAsia" w:eastAsia="黑体" w:cs="Times New Roman"/>
                <w:color w:val="auto"/>
                <w:highlight w:val="none"/>
                <w:lang w:val="en-US" w:eastAsia="zh-CN"/>
              </w:rPr>
              <w:t>2</w:t>
            </w:r>
            <w:r>
              <w:rPr>
                <w:rFonts w:hint="eastAsia" w:ascii="Times New Roman" w:hAnsi="Times New Roman" w:eastAsia="黑体" w:cs="Times New Roman"/>
                <w:color w:val="auto"/>
                <w:highlight w:val="none"/>
                <w:lang w:val="en-US" w:eastAsia="zh-CN"/>
              </w:rPr>
              <w:t xml:space="preserve">  </w:t>
            </w:r>
            <w:r>
              <w:rPr>
                <w:rFonts w:hint="default" w:ascii="Times New Roman" w:hAnsi="Times New Roman" w:eastAsia="黑体" w:cs="Times New Roman"/>
                <w:color w:val="auto"/>
                <w:highlight w:val="none"/>
                <w:lang w:val="en-US" w:eastAsia="zh-CN"/>
              </w:rPr>
              <w:t>项目与《关于推进实施焦化行业超低排放的意见》的符合性分析</w:t>
            </w:r>
          </w:p>
          <w:tbl>
            <w:tblPr>
              <w:tblStyle w:val="17"/>
              <w:tblW w:w="4999" w:type="pct"/>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989"/>
              <w:gridCol w:w="1834"/>
              <w:gridCol w:w="3212"/>
              <w:gridCol w:w="440"/>
            </w:tblGrid>
            <w:tr w14:paraId="0E5D5614">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74" w:type="pct"/>
                  <w:gridSpan w:val="3"/>
                  <w:tcBorders>
                    <w:top w:val="single" w:color="auto" w:sz="4" w:space="0"/>
                    <w:left w:val="nil"/>
                    <w:bottom w:val="single" w:color="auto" w:sz="4" w:space="0"/>
                    <w:right w:val="single" w:color="auto" w:sz="4" w:space="0"/>
                  </w:tcBorders>
                  <w:noWrap w:val="0"/>
                  <w:vAlign w:val="center"/>
                </w:tcPr>
                <w:p w14:paraId="2E620F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《关于推进实施焦化行业超低排放的意见》中二、指标要求</w:t>
                  </w:r>
                </w:p>
              </w:tc>
              <w:tc>
                <w:tcPr>
                  <w:tcW w:w="2221" w:type="pct"/>
                  <w:tcBorders>
                    <w:top w:val="single" w:color="auto" w:sz="4" w:space="0"/>
                    <w:left w:val="single" w:color="auto" w:sz="4" w:space="0"/>
                    <w:bottom w:val="single" w:color="auto" w:sz="4" w:space="0"/>
                    <w:right w:val="single" w:color="auto" w:sz="4" w:space="0"/>
                  </w:tcBorders>
                  <w:noWrap w:val="0"/>
                  <w:tcMar>
                    <w:top w:w="57" w:type="dxa"/>
                    <w:left w:w="108" w:type="dxa"/>
                    <w:bottom w:w="57" w:type="dxa"/>
                    <w:right w:w="108" w:type="dxa"/>
                  </w:tcMar>
                  <w:vAlign w:val="center"/>
                </w:tcPr>
                <w:p w14:paraId="588867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建设项目情况</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7B62A0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符合性</w:t>
                  </w:r>
                </w:p>
              </w:tc>
            </w:tr>
            <w:tr w14:paraId="0A946D60">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22" w:type="pct"/>
                  <w:tcBorders>
                    <w:top w:val="single" w:color="auto" w:sz="4" w:space="0"/>
                    <w:left w:val="nil"/>
                    <w:right w:val="single" w:color="auto" w:sz="4" w:space="0"/>
                  </w:tcBorders>
                  <w:noWrap w:val="0"/>
                  <w:vAlign w:val="center"/>
                </w:tcPr>
                <w:p w14:paraId="62A5232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①物料储存</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1F26EF8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石灰、除尘灰、脱硫灰等粉状物料</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4127A3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采用料仓、储罐等方式密闭储存。</w:t>
                  </w:r>
                </w:p>
              </w:tc>
              <w:tc>
                <w:tcPr>
                  <w:tcW w:w="2221" w:type="pct"/>
                  <w:tcBorders>
                    <w:top w:val="single" w:color="auto" w:sz="4" w:space="0"/>
                    <w:left w:val="single" w:color="auto" w:sz="4" w:space="0"/>
                    <w:bottom w:val="single" w:color="auto" w:sz="4" w:space="0"/>
                    <w:right w:val="single" w:color="auto" w:sz="4" w:space="0"/>
                  </w:tcBorders>
                  <w:noWrap w:val="0"/>
                  <w:tcMar>
                    <w:top w:w="57" w:type="dxa"/>
                    <w:left w:w="108" w:type="dxa"/>
                    <w:bottom w:w="57" w:type="dxa"/>
                    <w:right w:w="108" w:type="dxa"/>
                  </w:tcMar>
                  <w:vAlign w:val="center"/>
                </w:tcPr>
                <w:p w14:paraId="2A85BC6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lang w:val="en-US" w:eastAsia="zh-CN" w:bidi="ar"/>
                    </w:rPr>
                    <w:t>本项目除尘灰、脱硫灰等粉状物料采用料仓密闭储存，</w:t>
                  </w:r>
                  <w:r>
                    <w:rPr>
                      <w:rFonts w:hint="eastAsia" w:ascii="Times New Roman" w:hAnsi="Times New Roman" w:eastAsia="宋体" w:cs="Times New Roman"/>
                      <w:b w:val="0"/>
                      <w:bCs w:val="0"/>
                      <w:color w:val="auto"/>
                      <w:kern w:val="0"/>
                      <w:sz w:val="18"/>
                      <w:szCs w:val="18"/>
                      <w:lang w:val="en-US" w:eastAsia="zh-CN" w:bidi="ar"/>
                    </w:rPr>
                    <w:t>脱硫灰储存于灰仓内，灰仓设置集气罩</w:t>
                  </w:r>
                  <w:r>
                    <w:rPr>
                      <w:rFonts w:hint="eastAsia" w:cs="Times New Roman"/>
                      <w:b w:val="0"/>
                      <w:bCs w:val="0"/>
                      <w:color w:val="auto"/>
                      <w:kern w:val="0"/>
                      <w:sz w:val="18"/>
                      <w:szCs w:val="18"/>
                      <w:lang w:val="en-US" w:eastAsia="zh-CN" w:bidi="ar"/>
                    </w:rPr>
                    <w:t>，</w:t>
                  </w:r>
                  <w:r>
                    <w:rPr>
                      <w:rFonts w:hint="eastAsia" w:cs="Times New Roman"/>
                      <w:sz w:val="18"/>
                      <w:szCs w:val="18"/>
                      <w:vertAlign w:val="baseline"/>
                      <w:lang w:val="en-US" w:eastAsia="zh-CN"/>
                    </w:rPr>
                    <w:t>灰仓粉尘和锅炉烟气一同处理后通过80m烟囱排放</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4C3EAA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4D579474">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22" w:type="pct"/>
                  <w:vMerge w:val="restart"/>
                  <w:tcBorders>
                    <w:top w:val="single" w:color="auto" w:sz="4" w:space="0"/>
                    <w:left w:val="nil"/>
                    <w:right w:val="single" w:color="auto" w:sz="4" w:space="0"/>
                  </w:tcBorders>
                  <w:noWrap w:val="0"/>
                  <w:vAlign w:val="center"/>
                </w:tcPr>
                <w:p w14:paraId="646353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②物料输送</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7F8F77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石灰、除尘灰、脱硫灰等粉状物料</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43B77B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采用气力输送设备、罐车及其他方式密闭输送。</w:t>
                  </w:r>
                </w:p>
              </w:tc>
              <w:tc>
                <w:tcPr>
                  <w:tcW w:w="2221" w:type="pct"/>
                  <w:tcBorders>
                    <w:top w:val="single" w:color="auto" w:sz="4" w:space="0"/>
                    <w:left w:val="single" w:color="auto" w:sz="4" w:space="0"/>
                    <w:bottom w:val="single" w:color="auto" w:sz="4" w:space="0"/>
                    <w:right w:val="single" w:color="auto" w:sz="4" w:space="0"/>
                  </w:tcBorders>
                  <w:noWrap w:val="0"/>
                  <w:tcMar>
                    <w:top w:w="57" w:type="dxa"/>
                    <w:left w:w="108" w:type="dxa"/>
                    <w:bottom w:w="57" w:type="dxa"/>
                    <w:right w:w="108" w:type="dxa"/>
                  </w:tcMar>
                  <w:vAlign w:val="center"/>
                </w:tcPr>
                <w:p w14:paraId="074BA3E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lang w:val="en-US" w:eastAsia="zh-CN" w:bidi="ar"/>
                    </w:rPr>
                    <w:t>本项目除尘灰、脱硫灰等采用吸排罐车或气力输送等密闭输送方式，禁止露天装卸或倒运物料。</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2A3769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517A247F">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22" w:type="pct"/>
                  <w:vMerge w:val="continue"/>
                  <w:tcBorders>
                    <w:left w:val="nil"/>
                    <w:right w:val="single" w:color="auto" w:sz="4" w:space="0"/>
                  </w:tcBorders>
                  <w:noWrap w:val="0"/>
                  <w:vAlign w:val="center"/>
                </w:tcPr>
                <w:p w14:paraId="4A013DC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84" w:type="pct"/>
                  <w:tcBorders>
                    <w:top w:val="single" w:color="auto" w:sz="4" w:space="0"/>
                    <w:left w:val="single" w:color="auto" w:sz="4" w:space="0"/>
                    <w:bottom w:val="single" w:color="auto" w:sz="4" w:space="0"/>
                    <w:right w:val="single" w:color="auto" w:sz="4" w:space="0"/>
                  </w:tcBorders>
                  <w:noWrap w:val="0"/>
                  <w:vAlign w:val="center"/>
                </w:tcPr>
                <w:p w14:paraId="615245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液氨及氨水</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49D3BE4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卸载、输送、制备、储存密闭，并采取氨气泄漏检测措施。</w:t>
                  </w:r>
                </w:p>
              </w:tc>
              <w:tc>
                <w:tcPr>
                  <w:tcW w:w="2221" w:type="pct"/>
                  <w:tcBorders>
                    <w:top w:val="single" w:color="auto" w:sz="4" w:space="0"/>
                    <w:left w:val="single" w:color="auto" w:sz="4" w:space="0"/>
                    <w:bottom w:val="single" w:color="auto" w:sz="4" w:space="0"/>
                    <w:right w:val="single" w:color="auto" w:sz="4" w:space="0"/>
                  </w:tcBorders>
                  <w:noWrap w:val="0"/>
                  <w:tcMar>
                    <w:top w:w="57" w:type="dxa"/>
                    <w:left w:w="108" w:type="dxa"/>
                    <w:bottom w:w="57" w:type="dxa"/>
                    <w:right w:w="108" w:type="dxa"/>
                  </w:tcMar>
                  <w:vAlign w:val="center"/>
                </w:tcPr>
                <w:p w14:paraId="400ADD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氨水卸载、储存采用水封全封闭，设置泄漏检测报警装置。</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639EB2E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符合</w:t>
                  </w:r>
                </w:p>
              </w:tc>
            </w:tr>
            <w:tr w14:paraId="09F25401">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22" w:type="pct"/>
                  <w:vMerge w:val="continue"/>
                  <w:tcBorders>
                    <w:left w:val="nil"/>
                    <w:bottom w:val="single" w:color="auto" w:sz="4" w:space="0"/>
                    <w:right w:val="single" w:color="auto" w:sz="4" w:space="0"/>
                  </w:tcBorders>
                  <w:noWrap w:val="0"/>
                  <w:vAlign w:val="center"/>
                </w:tcPr>
                <w:p w14:paraId="42DD29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84" w:type="pct"/>
                  <w:tcBorders>
                    <w:top w:val="single" w:color="auto" w:sz="4" w:space="0"/>
                    <w:left w:val="single" w:color="auto" w:sz="4" w:space="0"/>
                    <w:bottom w:val="single" w:color="auto" w:sz="4" w:space="0"/>
                    <w:right w:val="single" w:color="auto" w:sz="4" w:space="0"/>
                  </w:tcBorders>
                  <w:noWrap w:val="0"/>
                  <w:vAlign w:val="center"/>
                </w:tcPr>
                <w:p w14:paraId="4F0F2C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厂区及周边道路</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597CDB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道路硬化，并采取清扫、洒水等措施，保持清洁。</w:t>
                  </w:r>
                </w:p>
              </w:tc>
              <w:tc>
                <w:tcPr>
                  <w:tcW w:w="2221" w:type="pct"/>
                  <w:tcBorders>
                    <w:top w:val="single" w:color="auto" w:sz="4" w:space="0"/>
                    <w:left w:val="single" w:color="auto" w:sz="4" w:space="0"/>
                    <w:bottom w:val="single" w:color="auto" w:sz="4" w:space="0"/>
                    <w:right w:val="single" w:color="auto" w:sz="4" w:space="0"/>
                  </w:tcBorders>
                  <w:noWrap w:val="0"/>
                  <w:tcMar>
                    <w:top w:w="57" w:type="dxa"/>
                    <w:left w:w="108" w:type="dxa"/>
                    <w:bottom w:w="57" w:type="dxa"/>
                    <w:right w:w="108" w:type="dxa"/>
                  </w:tcMar>
                  <w:vAlign w:val="center"/>
                </w:tcPr>
                <w:p w14:paraId="65830F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厂区非硬即绿，配置洒水车2台、清扫车2台每天对道路进行清扫。</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42207E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7A36C803">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22" w:type="pct"/>
                  <w:vMerge w:val="restart"/>
                  <w:tcBorders>
                    <w:top w:val="single" w:color="auto" w:sz="4" w:space="0"/>
                    <w:left w:val="nil"/>
                    <w:right w:val="single" w:color="auto" w:sz="4" w:space="0"/>
                  </w:tcBorders>
                  <w:noWrap w:val="0"/>
                  <w:vAlign w:val="center"/>
                </w:tcPr>
                <w:p w14:paraId="576354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④敞开液面</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43BFCDC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生产废水集输系统</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156491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采用密闭管道输送或加盖沟渠输送，接入口和排出口采取与环境空气隔离的措施。</w:t>
                  </w:r>
                </w:p>
              </w:tc>
              <w:tc>
                <w:tcPr>
                  <w:tcW w:w="2221" w:type="pct"/>
                  <w:tcBorders>
                    <w:top w:val="single" w:color="auto" w:sz="4" w:space="0"/>
                    <w:left w:val="single" w:color="auto" w:sz="4" w:space="0"/>
                    <w:bottom w:val="single" w:color="auto" w:sz="4" w:space="0"/>
                    <w:right w:val="single" w:color="auto" w:sz="4" w:space="0"/>
                  </w:tcBorders>
                  <w:noWrap w:val="0"/>
                  <w:tcMar>
                    <w:top w:w="57" w:type="dxa"/>
                    <w:left w:w="108" w:type="dxa"/>
                    <w:bottom w:w="57" w:type="dxa"/>
                    <w:right w:w="108" w:type="dxa"/>
                  </w:tcMar>
                  <w:vAlign w:val="center"/>
                </w:tcPr>
                <w:p w14:paraId="160530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采用密闭管道输送至生化处理系统，接入口和排出口均采取加盖密闭与环境空气隔离的措施。</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1EDE99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60899F79">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55" w:hRule="atLeast"/>
                <w:jc w:val="center"/>
              </w:trPr>
              <w:tc>
                <w:tcPr>
                  <w:tcW w:w="522" w:type="pct"/>
                  <w:vMerge w:val="continue"/>
                  <w:tcBorders>
                    <w:left w:val="nil"/>
                    <w:right w:val="single" w:color="auto" w:sz="4" w:space="0"/>
                  </w:tcBorders>
                  <w:noWrap w:val="0"/>
                  <w:vAlign w:val="center"/>
                </w:tcPr>
                <w:p w14:paraId="2D0C78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84" w:type="pct"/>
                  <w:tcBorders>
                    <w:top w:val="single" w:color="auto" w:sz="4" w:space="0"/>
                    <w:left w:val="single" w:color="auto" w:sz="4" w:space="0"/>
                    <w:right w:val="single" w:color="auto" w:sz="4" w:space="0"/>
                  </w:tcBorders>
                  <w:noWrap w:val="0"/>
                  <w:vAlign w:val="center"/>
                </w:tcPr>
                <w:p w14:paraId="119C74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生产废水处理设施</w:t>
                  </w:r>
                </w:p>
              </w:tc>
              <w:tc>
                <w:tcPr>
                  <w:tcW w:w="1266" w:type="pct"/>
                  <w:tcBorders>
                    <w:top w:val="single" w:color="auto" w:sz="4" w:space="0"/>
                    <w:left w:val="single" w:color="auto" w:sz="4" w:space="0"/>
                    <w:right w:val="single" w:color="auto" w:sz="4" w:space="0"/>
                  </w:tcBorders>
                  <w:noWrap w:val="0"/>
                  <w:vAlign w:val="center"/>
                </w:tcPr>
                <w:p w14:paraId="1AEDCD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储存、调节、气浮、隔油等预处理设施以及厌氧池、预曝气池加盖并配备废气收集处理设施，采用高效（组合）工艺处理，鼓励引入燃烧装置。</w:t>
                  </w:r>
                </w:p>
              </w:tc>
              <w:tc>
                <w:tcPr>
                  <w:tcW w:w="2221" w:type="pct"/>
                  <w:tcBorders>
                    <w:top w:val="single" w:color="auto" w:sz="4" w:space="0"/>
                    <w:left w:val="single" w:color="auto" w:sz="4" w:space="0"/>
                    <w:right w:val="single" w:color="auto" w:sz="4" w:space="0"/>
                  </w:tcBorders>
                  <w:noWrap w:val="0"/>
                  <w:tcMar>
                    <w:top w:w="57" w:type="dxa"/>
                    <w:left w:w="108" w:type="dxa"/>
                    <w:bottom w:w="57" w:type="dxa"/>
                    <w:right w:w="108" w:type="dxa"/>
                  </w:tcMar>
                  <w:vAlign w:val="center"/>
                </w:tcPr>
                <w:p w14:paraId="2ECDE0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生产废水经管道送</w:t>
                  </w:r>
                  <w:r>
                    <w:rPr>
                      <w:rFonts w:hint="eastAsia" w:ascii="Times New Roman" w:hAnsi="Times New Roman" w:eastAsia="宋体" w:cs="Times New Roman"/>
                      <w:color w:val="auto"/>
                      <w:sz w:val="18"/>
                      <w:szCs w:val="18"/>
                      <w:highlight w:val="none"/>
                      <w:lang w:val="en-US" w:eastAsia="zh-CN"/>
                    </w:rPr>
                    <w:t>全厂中央水处理站，</w:t>
                  </w:r>
                  <w:r>
                    <w:rPr>
                      <w:rFonts w:hint="default" w:ascii="Times New Roman" w:hAnsi="Times New Roman" w:eastAsia="宋体" w:cs="Times New Roman"/>
                      <w:color w:val="auto"/>
                      <w:sz w:val="18"/>
                      <w:szCs w:val="18"/>
                      <w:highlight w:val="none"/>
                      <w:lang w:val="en-US" w:eastAsia="zh-CN"/>
                    </w:rPr>
                    <w:t>接入口和排出口均采取加盖密闭与环境空气隔离的措施。</w:t>
                  </w:r>
                </w:p>
              </w:tc>
              <w:tc>
                <w:tcPr>
                  <w:tcW w:w="304" w:type="pct"/>
                  <w:tcBorders>
                    <w:top w:val="single" w:color="auto" w:sz="4" w:space="0"/>
                    <w:left w:val="single" w:color="auto" w:sz="4" w:space="0"/>
                    <w:bottom w:val="single" w:color="auto" w:sz="4" w:space="0"/>
                    <w:right w:val="nil"/>
                  </w:tcBorders>
                  <w:noWrap w:val="0"/>
                  <w:tcMar>
                    <w:top w:w="57" w:type="dxa"/>
                    <w:left w:w="108" w:type="dxa"/>
                    <w:bottom w:w="57" w:type="dxa"/>
                    <w:right w:w="108" w:type="dxa"/>
                  </w:tcMar>
                  <w:vAlign w:val="center"/>
                </w:tcPr>
                <w:p w14:paraId="139CC2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bl>
          <w:p w14:paraId="747E50B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综上所述，本项目建设与《关于推进实施焦化行业超低排放的意见》</w:t>
            </w:r>
            <w:r>
              <w:rPr>
                <w:rFonts w:hint="default" w:ascii="Times New Roman" w:hAnsi="Times New Roman" w:eastAsia="宋体" w:cs="Times New Roman"/>
                <w:b w:val="0"/>
                <w:bCs w:val="0"/>
                <w:color w:val="auto"/>
                <w:kern w:val="2"/>
                <w:sz w:val="24"/>
                <w:szCs w:val="24"/>
                <w:lang w:val="en-US" w:eastAsia="zh-CN" w:bidi="ar-SA"/>
              </w:rPr>
              <w:t>（环大气〔2024〕5号）</w:t>
            </w:r>
            <w:r>
              <w:rPr>
                <w:rFonts w:hint="eastAsia" w:ascii="Times New Roman" w:hAnsi="Times New Roman" w:eastAsia="宋体" w:cs="Times New Roman"/>
                <w:b w:val="0"/>
                <w:bCs w:val="0"/>
                <w:color w:val="auto"/>
                <w:kern w:val="2"/>
                <w:sz w:val="24"/>
                <w:szCs w:val="24"/>
                <w:lang w:val="en-US" w:eastAsia="zh-CN" w:bidi="ar-SA"/>
              </w:rPr>
              <w:t>相符。</w:t>
            </w:r>
          </w:p>
          <w:p w14:paraId="09A6FA32">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、与《火电厂污染防治可行技术指南》</w:t>
            </w:r>
            <w:r>
              <w:rPr>
                <w:rFonts w:hint="eastAsia" w:ascii="Times New Roman" w:hAnsi="Times New Roman" w:cs="Times New Roman"/>
                <w:color w:val="auto"/>
                <w:sz w:val="24"/>
                <w:szCs w:val="24"/>
                <w:lang w:val="en-US" w:eastAsia="zh-CN"/>
              </w:rPr>
              <w:t>（HJ2301-2017）</w:t>
            </w:r>
            <w:r>
              <w:rPr>
                <w:rFonts w:hint="eastAsia" w:ascii="Times New Roman" w:hAnsi="Times New Roman" w:eastAsia="宋体" w:cs="Times New Roman"/>
                <w:color w:val="auto"/>
                <w:sz w:val="24"/>
                <w:szCs w:val="24"/>
                <w:lang w:val="en-US" w:eastAsia="zh-CN"/>
              </w:rPr>
              <w:t>符合性分析</w:t>
            </w:r>
          </w:p>
          <w:p w14:paraId="0E83A34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cs="Times New Roman"/>
                <w:color w:val="auto"/>
                <w:kern w:val="2"/>
                <w:sz w:val="24"/>
                <w:szCs w:val="24"/>
                <w:lang w:val="en-US" w:eastAsia="zh-CN" w:bidi="ar-SA"/>
              </w:rPr>
              <w:t>《火电厂污染防治可行技术指南》（HJ2301-2017）要求</w:t>
            </w:r>
            <w:r>
              <w:rPr>
                <w:rFonts w:hint="eastAsia" w:ascii="Times New Roman" w:hAnsi="Times New Roman" w:eastAsia="宋体" w:cs="Times New Roman"/>
                <w:kern w:val="0"/>
                <w:sz w:val="24"/>
                <w:szCs w:val="24"/>
                <w:lang w:val="en-US" w:eastAsia="zh-CN"/>
              </w:rPr>
              <w:t>烟气污染防治主要采用烟气除尘、脱硫、低氮燃烧与烟气脱硝、汞污染防治等技术，本项目锅炉设置低氮燃烧器，锅炉废气采用SCR脱硝+钙基干法脱硫+布袋除尘器除尘处理后，经过1根</w:t>
            </w:r>
            <w:r>
              <w:rPr>
                <w:rFonts w:hint="eastAsia" w:ascii="Times New Roman" w:hAnsi="Times New Roman" w:cs="Times New Roman"/>
                <w:kern w:val="0"/>
                <w:sz w:val="24"/>
                <w:szCs w:val="24"/>
                <w:lang w:val="en-US" w:eastAsia="zh-CN"/>
              </w:rPr>
              <w:t>80</w:t>
            </w:r>
            <w:r>
              <w:rPr>
                <w:rFonts w:hint="eastAsia" w:ascii="Times New Roman" w:hAnsi="Times New Roman" w:eastAsia="宋体" w:cs="Times New Roman"/>
                <w:kern w:val="0"/>
                <w:sz w:val="24"/>
                <w:szCs w:val="24"/>
                <w:lang w:val="en-US" w:eastAsia="zh-CN"/>
              </w:rPr>
              <w:t>m高的排气筒排放。</w:t>
            </w:r>
          </w:p>
          <w:p w14:paraId="7ABDCC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i w:val="0"/>
                <w:iCs w:val="0"/>
                <w:color w:val="000000"/>
                <w:kern w:val="0"/>
                <w:sz w:val="24"/>
                <w:szCs w:val="24"/>
                <w:u w:val="none"/>
                <w:lang w:val="en-US" w:eastAsia="zh-CN" w:bidi="ar"/>
              </w:rPr>
            </w:pPr>
            <w:r>
              <w:rPr>
                <w:rFonts w:hint="eastAsia" w:ascii="Times New Roman" w:hAnsi="Times New Roman" w:cs="Times New Roman"/>
                <w:color w:val="auto"/>
                <w:kern w:val="2"/>
                <w:sz w:val="24"/>
                <w:szCs w:val="24"/>
                <w:lang w:val="en-US" w:eastAsia="zh-CN" w:bidi="ar-SA"/>
              </w:rPr>
              <w:t>《火电厂污染防治可行技术指南》（HJ2301-2017）要求的水污染防治技术为采用分类处理与集中处理相结合的处理技术路线，本项目锅炉排污水、脱盐站废水、凝结水精处理间废水、循环冷却水系统废水以及</w:t>
            </w:r>
            <w:r>
              <w:rPr>
                <w:rFonts w:hint="eastAsia" w:cs="Times New Roman"/>
                <w:i w:val="0"/>
                <w:iCs w:val="0"/>
                <w:color w:val="000000"/>
                <w:kern w:val="0"/>
                <w:sz w:val="24"/>
                <w:szCs w:val="24"/>
                <w:u w:val="none"/>
                <w:lang w:val="en-US" w:eastAsia="zh-CN" w:bidi="ar"/>
              </w:rPr>
              <w:t>旁通过滤器反冲洗废水统一收集后排入全厂中央水处理站处理达标后回用于各用水工序。</w:t>
            </w:r>
          </w:p>
          <w:p w14:paraId="065F41DD">
            <w:pPr>
              <w:pStyle w:val="21"/>
              <w:jc w:val="both"/>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火电厂污染防治可行技术指南》（HJ2301-2017）要求的噪声防治技术为火电厂应尽量采用低噪声设备，按照环境功能合理布置声源，采取有效的降噪措施，并按时进行设备维护与检修，从而有效控制噪声对周围环境的影响；本项目选用低噪声设备，利用厂房隔声，安装基础减震垫、密闭罩、隔音罩以及消声器，加强厂区绿化等措施。</w:t>
            </w:r>
          </w:p>
          <w:p w14:paraId="3C3C9DEE">
            <w:pPr>
              <w:pStyle w:val="23"/>
              <w:rPr>
                <w:rFonts w:hint="default"/>
                <w:lang w:val="en-US" w:eastAsia="zh-CN"/>
              </w:rPr>
            </w:pPr>
            <w:r>
              <w:rPr>
                <w:rFonts w:hint="eastAsia" w:ascii="Times New Roman" w:hAnsi="Times New Roman" w:cs="Times New Roman"/>
                <w:color w:val="auto"/>
                <w:kern w:val="2"/>
                <w:sz w:val="24"/>
                <w:szCs w:val="24"/>
                <w:lang w:val="en-US" w:eastAsia="zh-CN" w:bidi="ar-SA"/>
              </w:rPr>
              <w:t>《火电厂污染防治可行技术指南》（HJ2301-2017）要求的固体废物综合利用及处置技术为燃煤电厂产生的固体废物有粉煤灰、脱硫副产物、污水处理污泥、废弃脱硝催化剂、废弃滤袋等，应优先采用有利于资源化利用的处理方法，或采用适当的处置方法，避免二次污染。本项目产生的固体废物主要有废过滤介质、废树脂、脱硫灰、废润滑油、废危化品包装桶以及废催化剂，废过滤介质和废树脂更换后由厂家回收利用，不在厂区储存；脱硫灰统一收集后外售；废润滑油和废危化品包装桶统一收集后暂存于仙福公司危险废物贮存库，委托有资质单位清运处置；废催化剂</w:t>
            </w:r>
            <w:r>
              <w:rPr>
                <w:rFonts w:hint="eastAsia" w:cs="Times New Roman"/>
                <w:color w:val="auto"/>
                <w:kern w:val="2"/>
                <w:sz w:val="24"/>
                <w:szCs w:val="24"/>
                <w:lang w:val="en-US" w:eastAsia="zh-CN" w:bidi="ar-SA"/>
              </w:rPr>
              <w:t>不在厂区贮存，更换后由厂家带走回收利用</w:t>
            </w:r>
            <w:r>
              <w:rPr>
                <w:rFonts w:hint="eastAsia" w:ascii="Times New Roman" w:hAnsi="Times New Roman" w:cs="Times New Roman"/>
                <w:color w:val="auto"/>
                <w:kern w:val="2"/>
                <w:sz w:val="24"/>
                <w:szCs w:val="24"/>
                <w:lang w:val="en-US" w:eastAsia="zh-CN" w:bidi="ar-SA"/>
              </w:rPr>
              <w:t>，固废处置率100%。</w:t>
            </w:r>
          </w:p>
          <w:p w14:paraId="14E64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综上所述，本项目采取的废气、废水、噪声以及固废治理措施与</w:t>
            </w:r>
            <w:r>
              <w:rPr>
                <w:rFonts w:hint="eastAsia" w:ascii="Times New Roman" w:hAnsi="Times New Roman" w:cs="Times New Roman"/>
                <w:color w:val="auto"/>
                <w:kern w:val="2"/>
                <w:sz w:val="24"/>
                <w:szCs w:val="24"/>
                <w:lang w:val="en-US" w:eastAsia="zh-CN" w:bidi="ar-SA"/>
              </w:rPr>
              <w:t>《火电厂污染防治可行技术指南》（HJ2301-2017）相符。</w:t>
            </w:r>
          </w:p>
          <w:p w14:paraId="5455C7B7">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、与《国务院加快构建碳排放双控制度体系工作方案》的符合性分析</w:t>
            </w:r>
          </w:p>
          <w:p w14:paraId="26F4A22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到2025年，碳排放统计核算体系进一步完善，一批行业企业碳排放核算相关标准和产品碳足迹标准出台实施，国家温室气体排放因子数据库基本建成并定期更新，相关计量、统计、监测能力得到提升，为“十五五”时期在全国范围实施碳排放双控奠定基础。</w:t>
            </w:r>
          </w:p>
          <w:p w14:paraId="137AFFF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十五五”时期，实施以强度控制为主、总量控制为辅的碳排放双控制度，建立碳达峰碳中和综合评价考核制度，加强重点领域和行业碳排放核算能力，健全重点用能和碳排放单位管理制度，开展固定资产投资项目碳排放评价，构建符合中国国情的产品碳足迹管理体系和产品碳标识认证制度，确保如期实现碳达峰目标。</w:t>
            </w:r>
          </w:p>
          <w:p w14:paraId="7FEFFF4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碳达峰后，实施以总量控制为主、强度控制为辅的碳排放双控制度，建立碳中和目标评价考核制度，进一步强化对各地区及重点领域、行业、企业的碳排放管控要求，健全产品碳足迹管理体系，推行产品碳标识认证制度，推动碳排放总量稳中有降。</w:t>
            </w:r>
          </w:p>
          <w:p w14:paraId="0672D14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本项目为仙福钢铁厂配套的发电项目，主体项目在规划建设时已进行了碳排放环境影响分析，主体</w:t>
            </w:r>
            <w:r>
              <w:rPr>
                <w:rFonts w:hint="default" w:ascii="Times New Roman" w:hAnsi="Times New Roman" w:cs="Times New Roman"/>
                <w:color w:val="auto"/>
                <w:sz w:val="24"/>
                <w:highlight w:val="none"/>
              </w:rPr>
              <w:t>项目建设符合碳排放相关政策要求，在设备选型、生产工艺采取了较完善的减污降碳措施，公司设置专门碳排放管理机构及管理人员，制定了完善的碳排放管理制度及监测、台账记录制度，有利于减少二氧化碳排放，碳排放水平可接受</w:t>
            </w:r>
            <w:r>
              <w:rPr>
                <w:rFonts w:hint="eastAsia" w:ascii="Times New Roman" w:hAnsi="Times New Roman" w:cs="Times New Roman"/>
                <w:color w:val="auto"/>
                <w:sz w:val="24"/>
                <w:highlight w:val="none"/>
                <w:lang w:eastAsia="zh-CN"/>
              </w:rPr>
              <w:t>。</w:t>
            </w:r>
          </w:p>
          <w:p w14:paraId="3DC2E176">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与钢铁/焦化建设项目环境影响评价文件审批原则符合性分析</w:t>
            </w:r>
          </w:p>
          <w:p w14:paraId="3E576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highlight w:val="none"/>
              </w:rPr>
              <w:t>生态环境部办公厅于2022年12月2日印发了《关于印发钢铁/焦化、现代煤化工、石化、火电四个行业建设项目环境影响评价文件审批原则的通知》（环办环评[2022]31号），本项目与附件1“钢铁/焦化建设项目环境影响评价文件审批原则”符合性分析如下。</w:t>
            </w:r>
          </w:p>
          <w:p w14:paraId="3F2EE7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表</w:t>
            </w:r>
            <w:r>
              <w:rPr>
                <w:rFonts w:hint="eastAsia" w:ascii="Times New Roman" w:hAnsi="Times New Roman" w:eastAsia="黑体" w:cs="Times New Roman"/>
                <w:color w:val="auto"/>
                <w:highlight w:val="none"/>
                <w:lang w:val="en-US" w:eastAsia="zh-CN"/>
              </w:rPr>
              <w:t>1-13</w:t>
            </w:r>
            <w:r>
              <w:rPr>
                <w:rFonts w:hint="default" w:ascii="Times New Roman" w:hAnsi="Times New Roman" w:eastAsia="黑体" w:cs="Times New Roman"/>
                <w:color w:val="auto"/>
                <w:highlight w:val="none"/>
                <w:lang w:val="en-US" w:eastAsia="zh-CN"/>
              </w:rPr>
              <w:t xml:space="preserve"> 与“钢铁/焦化建设项目环境影响评价文件审批原则”的符合性分析</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3430"/>
              <w:gridCol w:w="2671"/>
              <w:gridCol w:w="639"/>
            </w:tblGrid>
            <w:tr w14:paraId="019B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7" w:type="pct"/>
                  <w:gridSpan w:val="2"/>
                  <w:tcBorders>
                    <w:left w:val="nil"/>
                  </w:tcBorders>
                  <w:noWrap w:val="0"/>
                  <w:vAlign w:val="center"/>
                </w:tcPr>
                <w:p w14:paraId="21940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钢铁/焦化建设项目环境影响评价文件审批原则</w:t>
                  </w:r>
                </w:p>
              </w:tc>
              <w:tc>
                <w:tcPr>
                  <w:tcW w:w="1850" w:type="pct"/>
                  <w:noWrap w:val="0"/>
                  <w:vAlign w:val="center"/>
                </w:tcPr>
                <w:p w14:paraId="08F27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本项目情况</w:t>
                  </w:r>
                </w:p>
              </w:tc>
              <w:tc>
                <w:tcPr>
                  <w:tcW w:w="442" w:type="pct"/>
                  <w:tcBorders>
                    <w:right w:val="nil"/>
                  </w:tcBorders>
                  <w:noWrap w:val="0"/>
                  <w:vAlign w:val="center"/>
                </w:tcPr>
                <w:p w14:paraId="3F530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符合性</w:t>
                  </w:r>
                </w:p>
              </w:tc>
            </w:tr>
            <w:tr w14:paraId="4FC3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55BF6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第一条</w:t>
                  </w:r>
                </w:p>
              </w:tc>
              <w:tc>
                <w:tcPr>
                  <w:tcW w:w="2375" w:type="pct"/>
                  <w:tcBorders>
                    <w:left w:val="nil"/>
                  </w:tcBorders>
                  <w:noWrap w:val="0"/>
                  <w:vAlign w:val="center"/>
                </w:tcPr>
                <w:p w14:paraId="2DA067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本审批原则适用于《建设项目环境影响评价分类管理名录（2021年版）》中炼铁311（含烧结、球团）、炼钢312、钢压延加工313以及煤炭加工252中炼焦建设项目环境影响评价文件的审批。</w:t>
                  </w:r>
                </w:p>
              </w:tc>
              <w:tc>
                <w:tcPr>
                  <w:tcW w:w="1850" w:type="pct"/>
                  <w:noWrap w:val="0"/>
                  <w:vAlign w:val="center"/>
                </w:tcPr>
                <w:p w14:paraId="1EF93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本项目利用仙福钢铁厂富余的高炉煤气、转炉煤气以及焦炉煤气进行发电，属于钢铁厂和焦化项目的配套工程。</w:t>
                  </w:r>
                </w:p>
              </w:tc>
              <w:tc>
                <w:tcPr>
                  <w:tcW w:w="442" w:type="pct"/>
                  <w:tcBorders>
                    <w:right w:val="nil"/>
                  </w:tcBorders>
                  <w:noWrap w:val="0"/>
                  <w:vAlign w:val="center"/>
                </w:tcPr>
                <w:p w14:paraId="73AEBD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06C0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07475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第二条</w:t>
                  </w:r>
                </w:p>
              </w:tc>
              <w:tc>
                <w:tcPr>
                  <w:tcW w:w="2375" w:type="pct"/>
                  <w:tcBorders>
                    <w:left w:val="nil"/>
                  </w:tcBorders>
                  <w:noWrap w:val="0"/>
                  <w:vAlign w:val="center"/>
                </w:tcPr>
                <w:p w14:paraId="119279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项目应符合生态环境保护相关法律法规、法定规划以及相关产业结构调整、区域及行业碳达峰碳中和目标、煤炭消费总量控制、重点污染物总量控制等政策要求。</w:t>
                  </w:r>
                </w:p>
              </w:tc>
              <w:tc>
                <w:tcPr>
                  <w:tcW w:w="1850" w:type="pct"/>
                  <w:noWrap w:val="0"/>
                  <w:vAlign w:val="center"/>
                </w:tcPr>
                <w:p w14:paraId="66713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根据分析，本项目符合生态环境保护相关法律法规、法定规划以及相关产业结构调整、区域及行业碳达峰碳中和目标、重点污染物总量控制等政策要求。</w:t>
                  </w:r>
                </w:p>
              </w:tc>
              <w:tc>
                <w:tcPr>
                  <w:tcW w:w="442" w:type="pct"/>
                  <w:tcBorders>
                    <w:right w:val="nil"/>
                  </w:tcBorders>
                  <w:noWrap w:val="0"/>
                  <w:vAlign w:val="center"/>
                </w:tcPr>
                <w:p w14:paraId="5E66AF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2B4D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4E1EC5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第三条</w:t>
                  </w:r>
                </w:p>
              </w:tc>
              <w:tc>
                <w:tcPr>
                  <w:tcW w:w="2375" w:type="pct"/>
                  <w:tcBorders>
                    <w:left w:val="nil"/>
                  </w:tcBorders>
                  <w:noWrap w:val="0"/>
                  <w:vAlign w:val="center"/>
                </w:tcPr>
                <w:p w14:paraId="3DF5AB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选址应符合生态环境分区管控要求，不得位于法律法规明令禁止建设的区域，应避开生态保护红线。新建、扩建焦化项目应布设在依法合规设立的产业园区，并符合规划及规划环境影响评价要求。长江经济带区域内及沿黄重点地区禁止在合规园区外新建、扩建钢铁冶炼项目。</w:t>
                  </w:r>
                </w:p>
                <w:p w14:paraId="7DE1D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鼓励钢铁冶炼项目依托现有生产基地集聚发展，鼓励新建焦化项目与钢铁、化工产业融合，促进区域减污降碳协同发展。</w:t>
                  </w:r>
                </w:p>
              </w:tc>
              <w:tc>
                <w:tcPr>
                  <w:tcW w:w="1850" w:type="pct"/>
                  <w:noWrap w:val="0"/>
                  <w:vAlign w:val="center"/>
                </w:tcPr>
                <w:p w14:paraId="538095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项目选址符合生态环境分区管控要求，不在法律法规明令禁止建设的区域，不涉及生态保护红线。项目建设地点不在长江经济带区域内及沿黄重点地区</w:t>
                  </w:r>
                  <w:r>
                    <w:rPr>
                      <w:rFonts w:hint="default" w:ascii="Times New Roman" w:hAnsi="Times New Roman" w:eastAsia="宋体" w:cs="Times New Roman"/>
                      <w:color w:val="auto"/>
                      <w:sz w:val="18"/>
                      <w:szCs w:val="18"/>
                      <w:highlight w:val="none"/>
                      <w:lang w:eastAsia="zh-CN"/>
                    </w:rPr>
                    <w:t>。</w:t>
                  </w:r>
                </w:p>
                <w:p w14:paraId="0B18F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r>
                    <w:rPr>
                      <w:rFonts w:hint="default" w:ascii="Times New Roman" w:hAnsi="Times New Roman" w:eastAsia="宋体" w:cs="Times New Roman"/>
                      <w:color w:val="auto"/>
                      <w:sz w:val="18"/>
                      <w:szCs w:val="18"/>
                      <w:highlight w:val="none"/>
                      <w:lang w:val="en-US" w:eastAsia="zh-CN"/>
                    </w:rPr>
                    <w:t>为仙福钢铁配套项目</w:t>
                  </w:r>
                  <w:r>
                    <w:rPr>
                      <w:rFonts w:hint="default" w:ascii="Times New Roman" w:hAnsi="Times New Roman" w:eastAsia="宋体" w:cs="Times New Roman"/>
                      <w:color w:val="auto"/>
                      <w:sz w:val="18"/>
                      <w:szCs w:val="18"/>
                      <w:highlight w:val="none"/>
                    </w:rPr>
                    <w:t>。</w:t>
                  </w:r>
                </w:p>
              </w:tc>
              <w:tc>
                <w:tcPr>
                  <w:tcW w:w="442" w:type="pct"/>
                  <w:tcBorders>
                    <w:right w:val="nil"/>
                  </w:tcBorders>
                  <w:noWrap w:val="0"/>
                  <w:vAlign w:val="center"/>
                </w:tcPr>
                <w:p w14:paraId="0CD3EA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04DD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170B9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第四条</w:t>
                  </w:r>
                </w:p>
              </w:tc>
              <w:tc>
                <w:tcPr>
                  <w:tcW w:w="2375" w:type="pct"/>
                  <w:tcBorders>
                    <w:left w:val="nil"/>
                  </w:tcBorders>
                  <w:noWrap w:val="0"/>
                  <w:vAlign w:val="center"/>
                </w:tcPr>
                <w:p w14:paraId="01C0C6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建、扩建项目采用资源利用率高、污染物产生量小的清洁生产技术、工艺和设备，单位产品的能耗、物耗、水耗、资源综合利用和污染物排放量等指标应达到清洁生产国内先进水平，其中新建炼焦项目应达到煤炭清洁高效利用标杆水平。新建高炉、转炉工序和电弧炉冶炼的单位产品能耗应达到高耗能行业能效标杆水平。</w:t>
                  </w:r>
                </w:p>
                <w:p w14:paraId="5A8B34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钢铁联合企业新建焦炉须同步配套建设干熄焦装置，鼓励独立焦化企业新建焦炉同步配套建设干熄焦装置。焦炉优先采用烟气循环、</w:t>
                  </w:r>
                  <w:r>
                    <w:rPr>
                      <w:rFonts w:hint="default" w:ascii="Times New Roman" w:hAnsi="Times New Roman" w:eastAsia="宋体" w:cs="Times New Roman"/>
                      <w:color w:val="auto"/>
                      <w:sz w:val="18"/>
                      <w:szCs w:val="18"/>
                      <w:highlight w:val="none"/>
                      <w:lang w:eastAsia="zh-CN"/>
                    </w:rPr>
                    <w:t>三段加热</w:t>
                  </w:r>
                  <w:r>
                    <w:rPr>
                      <w:rFonts w:hint="default" w:ascii="Times New Roman" w:hAnsi="Times New Roman" w:eastAsia="宋体" w:cs="Times New Roman"/>
                      <w:color w:val="auto"/>
                      <w:sz w:val="18"/>
                      <w:szCs w:val="18"/>
                      <w:highlight w:val="none"/>
                    </w:rPr>
                    <w:t>、负压装煤等源头减排技术。鼓励采用机械化原料场、烧结烟气循环、烟气超低排放与碳减排协同技术。具备条件的地区，优先使用再生水、海水淡化水。</w:t>
                  </w:r>
                </w:p>
              </w:tc>
              <w:tc>
                <w:tcPr>
                  <w:tcW w:w="1850" w:type="pct"/>
                  <w:noWrap w:val="0"/>
                  <w:vAlign w:val="center"/>
                </w:tcPr>
                <w:p w14:paraId="71CBEC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项目采用资源利用率高、污染物产生量小的</w:t>
                  </w:r>
                  <w:r>
                    <w:rPr>
                      <w:rFonts w:hint="default" w:ascii="Times New Roman" w:hAnsi="Times New Roman" w:eastAsia="宋体" w:cs="Times New Roman"/>
                      <w:color w:val="auto"/>
                      <w:sz w:val="18"/>
                      <w:szCs w:val="18"/>
                      <w:highlight w:val="none"/>
                    </w:rPr>
                    <w:t>清洁生产技术、工艺和设备，单位产品的能耗、物耗、水耗、资源综合利用和污染物排放量等指标均达到清洁生产国内先进水平。</w:t>
                  </w:r>
                </w:p>
              </w:tc>
              <w:tc>
                <w:tcPr>
                  <w:tcW w:w="442" w:type="pct"/>
                  <w:tcBorders>
                    <w:right w:val="nil"/>
                  </w:tcBorders>
                  <w:noWrap w:val="0"/>
                  <w:vAlign w:val="center"/>
                </w:tcPr>
                <w:p w14:paraId="02A630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67F3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25A40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第五条</w:t>
                  </w:r>
                </w:p>
              </w:tc>
              <w:tc>
                <w:tcPr>
                  <w:tcW w:w="2375" w:type="pct"/>
                  <w:tcBorders>
                    <w:left w:val="nil"/>
                  </w:tcBorders>
                  <w:noWrap w:val="0"/>
                  <w:vAlign w:val="center"/>
                </w:tcPr>
                <w:p w14:paraId="17DC9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建（含搬迁）钢铁、焦化项目原则上应达到超低排放水平，鼓励改建、扩建项目达到钢铁和焦化行业超低排放水平，原则上不得配备自备燃煤机组。有组织废气进行收集并按要求配备高效的脱硫、脱硝、除尘设施，焦炉煤气净化系统、罐区、酚氰废水预处理设施区域以及装卸产生的含挥发性有机物气体进行收集处理，烧结、电炉工序采取必要的二噁英控制措施，冷轧酸雾、碱雾、油雾和有机废气采取净化措施。新建高炉、焦炉实施煤气精脱硫，高炉热风炉、轧钢热处理炉采用低氮燃烧技术。厂区内物料运输优先采用气力输送、封闭皮带通廊或新能源车辆，鼓励厂内非道路移动机械采用国三及以上阶段标准或新能源机械。</w:t>
                  </w:r>
                </w:p>
                <w:p w14:paraId="4C32E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项目排放的废气污染物应符合《炼焦化学工业污染物排放标准》(GB 16171)、《挥发性有机物无组织控制标准》（GB 37822）、《钢铁烧结、球团工业大气污染物排放标准》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 28662</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及其修改单、《炼铁工业大气污染物排放标准》(GB 28663)、《炼钢工业大气污染物排放标准》(GB 28664)、《轧钢工业大气污染物排放标准》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 28665</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及其修改单等要求。</w:t>
                  </w:r>
                </w:p>
                <w:p w14:paraId="20955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合理设置大气环境防护距离，环境防护距离范围内不应有居民区、学校、医院等环境敏感目标。</w:t>
                  </w:r>
                </w:p>
              </w:tc>
              <w:tc>
                <w:tcPr>
                  <w:tcW w:w="1850" w:type="pct"/>
                  <w:noWrap w:val="0"/>
                  <w:vAlign w:val="center"/>
                </w:tcPr>
                <w:p w14:paraId="1A68B9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项目废气排放满足《关于推进实施</w:t>
                  </w:r>
                  <w:r>
                    <w:rPr>
                      <w:rFonts w:hint="eastAsia" w:ascii="Times New Roman" w:hAnsi="Times New Roman" w:eastAsia="宋体" w:cs="Times New Roman"/>
                      <w:color w:val="auto"/>
                      <w:sz w:val="18"/>
                      <w:szCs w:val="18"/>
                      <w:highlight w:val="none"/>
                      <w:lang w:val="en-US" w:eastAsia="zh-CN"/>
                    </w:rPr>
                    <w:t>钢铁</w:t>
                  </w:r>
                  <w:r>
                    <w:rPr>
                      <w:rFonts w:hint="default" w:ascii="Times New Roman" w:hAnsi="Times New Roman" w:eastAsia="宋体" w:cs="Times New Roman"/>
                      <w:color w:val="auto"/>
                      <w:sz w:val="18"/>
                      <w:szCs w:val="18"/>
                      <w:highlight w:val="none"/>
                      <w:lang w:val="en-US" w:eastAsia="zh-CN"/>
                    </w:rPr>
                    <w:t>行业超低排放的意见》（环大气〔</w:t>
                  </w:r>
                  <w:r>
                    <w:rPr>
                      <w:rFonts w:hint="eastAsia" w:ascii="Times New Roman" w:hAnsi="Times New Roman" w:eastAsia="宋体" w:cs="Times New Roman"/>
                      <w:color w:val="auto"/>
                      <w:sz w:val="18"/>
                      <w:szCs w:val="18"/>
                      <w:highlight w:val="none"/>
                      <w:lang w:val="en-US" w:eastAsia="zh-CN"/>
                    </w:rPr>
                    <w:t>2019</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35</w:t>
                  </w:r>
                  <w:r>
                    <w:rPr>
                      <w:rFonts w:hint="default" w:ascii="Times New Roman" w:hAnsi="Times New Roman" w:eastAsia="宋体" w:cs="Times New Roman"/>
                      <w:color w:val="auto"/>
                      <w:sz w:val="18"/>
                      <w:szCs w:val="18"/>
                      <w:highlight w:val="none"/>
                      <w:lang w:val="en-US" w:eastAsia="zh-CN"/>
                    </w:rPr>
                    <w:t>号）中标准要求。</w:t>
                  </w:r>
                </w:p>
                <w:p w14:paraId="6BF163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有组织废气进行收集并按要求配备高效的脱硫、脱硝、除尘设施</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废气经SCR脱硝</w:t>
                  </w:r>
                  <w:r>
                    <w:rPr>
                      <w:rFonts w:hint="eastAsia"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钙基干法脱硫+布袋除尘处理后，能达标排放，</w:t>
                  </w:r>
                  <w:r>
                    <w:rPr>
                      <w:rFonts w:hint="default" w:ascii="Times New Roman" w:hAnsi="Times New Roman" w:eastAsia="宋体" w:cs="Times New Roman"/>
                      <w:color w:val="auto"/>
                      <w:sz w:val="18"/>
                      <w:szCs w:val="18"/>
                      <w:highlight w:val="none"/>
                    </w:rPr>
                    <w:t>环境防护区域范围内</w:t>
                  </w:r>
                  <w:r>
                    <w:rPr>
                      <w:rFonts w:hint="default" w:ascii="Times New Roman" w:hAnsi="Times New Roman" w:eastAsia="宋体" w:cs="Times New Roman"/>
                      <w:color w:val="auto"/>
                      <w:sz w:val="18"/>
                      <w:szCs w:val="18"/>
                      <w:highlight w:val="none"/>
                      <w:lang w:val="en-US" w:eastAsia="zh-CN"/>
                    </w:rPr>
                    <w:t>无</w:t>
                  </w:r>
                  <w:r>
                    <w:rPr>
                      <w:rFonts w:hint="default" w:ascii="Times New Roman" w:hAnsi="Times New Roman" w:eastAsia="宋体" w:cs="Times New Roman"/>
                      <w:color w:val="auto"/>
                      <w:sz w:val="18"/>
                      <w:szCs w:val="18"/>
                      <w:highlight w:val="none"/>
                    </w:rPr>
                    <w:t>居民区、学校、医院等环境敏感目标。</w:t>
                  </w:r>
                </w:p>
              </w:tc>
              <w:tc>
                <w:tcPr>
                  <w:tcW w:w="442" w:type="pct"/>
                  <w:tcBorders>
                    <w:right w:val="nil"/>
                  </w:tcBorders>
                  <w:noWrap w:val="0"/>
                  <w:vAlign w:val="center"/>
                </w:tcPr>
                <w:p w14:paraId="14CA10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905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3EB01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第六条</w:t>
                  </w:r>
                </w:p>
              </w:tc>
              <w:tc>
                <w:tcPr>
                  <w:tcW w:w="2375" w:type="pct"/>
                  <w:tcBorders>
                    <w:left w:val="nil"/>
                  </w:tcBorders>
                  <w:noWrap w:val="0"/>
                  <w:vAlign w:val="center"/>
                </w:tcPr>
                <w:p w14:paraId="25D47E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将温室气体排放纳入建设项目环境影响评价，核算建设项目温室气体排放量，推进减污降碳协同增效，推动减碳技术创新示范应用。鼓励采用全废钢电炉、非高炉炼铁、富氧强化熔炼、低品位余热利用、煤气高效利用等低碳节能技术，探索开展氢冶金、二氧化碳捕集利用一体化等试点示范。</w:t>
                  </w:r>
                </w:p>
              </w:tc>
              <w:tc>
                <w:tcPr>
                  <w:tcW w:w="1850" w:type="pct"/>
                  <w:noWrap w:val="0"/>
                  <w:vAlign w:val="center"/>
                </w:tcPr>
                <w:p w14:paraId="427050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本次环评将碳排放纳入环境影响评价，并对碳减排提出相关措施</w:t>
                  </w:r>
                </w:p>
              </w:tc>
              <w:tc>
                <w:tcPr>
                  <w:tcW w:w="442" w:type="pct"/>
                  <w:tcBorders>
                    <w:right w:val="nil"/>
                  </w:tcBorders>
                  <w:noWrap w:val="0"/>
                  <w:vAlign w:val="center"/>
                </w:tcPr>
                <w:p w14:paraId="069170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38C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04B477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第七条</w:t>
                  </w:r>
                </w:p>
              </w:tc>
              <w:tc>
                <w:tcPr>
                  <w:tcW w:w="2375" w:type="pct"/>
                  <w:tcBorders>
                    <w:left w:val="nil"/>
                  </w:tcBorders>
                  <w:noWrap w:val="0"/>
                  <w:vAlign w:val="center"/>
                </w:tcPr>
                <w:p w14:paraId="401955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做好清污分流、分质处理、梯级利用，设立完善的废水收集、处理、回用系统。焦化酚氰废水、烧结湿法脱硫废水、含油废水、乳化液废水、酸碱废水和含铬废水单独收集处理，酚氰废水不得外排。配套建设净环、浊环废水处理系统和全厂废水处理站。焦化建设项目配套建设初期雨水收集装置。新建项目实施雨污分流，鼓励改建、扩建项目实施雨污分流。</w:t>
                  </w:r>
                </w:p>
                <w:p w14:paraId="3C4E5C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项目排放的废水污染物应符合《钢铁工业水污染物排放标准》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 13456</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及其修改单和《炼焦化学工业污染物排放标准》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 16171</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的要求。</w:t>
                  </w:r>
                </w:p>
              </w:tc>
              <w:tc>
                <w:tcPr>
                  <w:tcW w:w="1850" w:type="pct"/>
                  <w:noWrap w:val="0"/>
                  <w:vAlign w:val="center"/>
                </w:tcPr>
                <w:p w14:paraId="5753E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项目区实施</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雨污分流</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sz w:val="18"/>
                      <w:szCs w:val="18"/>
                      <w:vertAlign w:val="baseline"/>
                      <w:lang w:val="en-US" w:eastAsia="zh-CN"/>
                    </w:rPr>
                    <w:t>初期雨水经雨水管网收集后</w:t>
                  </w:r>
                  <w:r>
                    <w:rPr>
                      <w:rFonts w:hint="eastAsia" w:cs="Times New Roman"/>
                      <w:sz w:val="18"/>
                      <w:szCs w:val="18"/>
                      <w:vertAlign w:val="baseline"/>
                      <w:lang w:val="en-US" w:eastAsia="zh-CN"/>
                    </w:rPr>
                    <w:t>依托仙福公司</w:t>
                  </w:r>
                  <w:r>
                    <w:rPr>
                      <w:rFonts w:hint="default" w:ascii="Times New Roman" w:hAnsi="Times New Roman" w:eastAsia="宋体" w:cs="Times New Roman"/>
                      <w:sz w:val="18"/>
                      <w:szCs w:val="18"/>
                      <w:vertAlign w:val="baseline"/>
                      <w:lang w:val="en-US" w:eastAsia="zh-CN"/>
                    </w:rPr>
                    <w:t>初期雨水收集池，经收集处理后全部回用，废水不外排。生产废水全部回用，不外排。生活污水经处理后回用于绿化，不外排。</w:t>
                  </w:r>
                </w:p>
              </w:tc>
              <w:tc>
                <w:tcPr>
                  <w:tcW w:w="442" w:type="pct"/>
                  <w:tcBorders>
                    <w:right w:val="nil"/>
                  </w:tcBorders>
                  <w:noWrap w:val="0"/>
                  <w:vAlign w:val="center"/>
                </w:tcPr>
                <w:p w14:paraId="59B3FC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57A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6C95FD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第八条</w:t>
                  </w:r>
                </w:p>
              </w:tc>
              <w:tc>
                <w:tcPr>
                  <w:tcW w:w="2375" w:type="pct"/>
                  <w:tcBorders>
                    <w:left w:val="nil"/>
                  </w:tcBorders>
                  <w:noWrap w:val="0"/>
                  <w:vAlign w:val="center"/>
                </w:tcPr>
                <w:p w14:paraId="2FA39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土壤和地下水污染防治应坚持源头控制、分区防控、跟踪监测和应急响应的防控原则。在泉域保护范围以及岩溶强发育、存在较多落水洞和岩溶漏斗的区域内，不得新建、改建、扩建焦化项目。对涉及有毒有害物质的生产装置、设备设施及场所，需提出防腐蚀、防渗漏、防流失、防扬散等土壤污染防治具体措施。根据建设项目工程平面布局、环境保护目标的敏感程度、水文地质条件等，统筹采取水平、垂直防渗措施，提出有效的土壤、地下水监控和应急方案；焦化项目符合《石油化工工程防渗技术规定》</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GB/T 50934</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等相关要求；对于可能受影响的地下水环境敏感目标，应提出保护措施；涉及饮用水功能的，强化地下水环境保护措施，确保饮用水安全。</w:t>
                  </w:r>
                </w:p>
              </w:tc>
              <w:tc>
                <w:tcPr>
                  <w:tcW w:w="1850" w:type="pct"/>
                  <w:noWrap w:val="0"/>
                  <w:vAlign w:val="center"/>
                </w:tcPr>
                <w:p w14:paraId="626A72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项目建设区域不涉及岩溶强发育、落水洞和岩溶漏斗</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项目坚持源头控制、分区防控、跟踪监测和应急响应的防控原则，对项目区</w:t>
                  </w:r>
                  <w:r>
                    <w:rPr>
                      <w:rFonts w:hint="default" w:ascii="Times New Roman" w:hAnsi="Times New Roman" w:eastAsia="宋体" w:cs="Times New Roman"/>
                      <w:color w:val="auto"/>
                      <w:sz w:val="18"/>
                      <w:szCs w:val="18"/>
                      <w:highlight w:val="none"/>
                    </w:rPr>
                    <w:t>采取分区防渗措施，</w:t>
                  </w:r>
                  <w:r>
                    <w:rPr>
                      <w:rFonts w:hint="default" w:ascii="Times New Roman" w:hAnsi="Times New Roman" w:eastAsia="宋体" w:cs="Times New Roman"/>
                      <w:color w:val="auto"/>
                      <w:sz w:val="18"/>
                      <w:szCs w:val="18"/>
                      <w:highlight w:val="none"/>
                      <w:lang w:val="en-US" w:eastAsia="zh-CN"/>
                    </w:rPr>
                    <w:t>项目采取的工程防渗措施符合《石油化工工程防渗技术规定》（GB/T 50934）等相关要求</w:t>
                  </w:r>
                  <w:r>
                    <w:rPr>
                      <w:rFonts w:hint="default" w:ascii="Times New Roman" w:hAnsi="Times New Roman" w:eastAsia="宋体" w:cs="Times New Roman"/>
                      <w:color w:val="auto"/>
                      <w:sz w:val="18"/>
                      <w:szCs w:val="18"/>
                      <w:highlight w:val="none"/>
                    </w:rPr>
                    <w:t>。</w:t>
                  </w:r>
                </w:p>
              </w:tc>
              <w:tc>
                <w:tcPr>
                  <w:tcW w:w="442" w:type="pct"/>
                  <w:tcBorders>
                    <w:right w:val="nil"/>
                  </w:tcBorders>
                  <w:noWrap w:val="0"/>
                  <w:vAlign w:val="center"/>
                </w:tcPr>
                <w:p w14:paraId="1D51E8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6AD1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7C1FC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第九条</w:t>
                  </w:r>
                </w:p>
              </w:tc>
              <w:tc>
                <w:tcPr>
                  <w:tcW w:w="2375" w:type="pct"/>
                  <w:tcBorders>
                    <w:left w:val="nil"/>
                  </w:tcBorders>
                  <w:noWrap w:val="0"/>
                  <w:vAlign w:val="center"/>
                </w:tcPr>
                <w:p w14:paraId="029F9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按照减量化、资源化、无害化的原则，妥善处理处置固体废物。焦油渣、沥青渣、生化污泥采用回配炼焦煤等措施优先在本厂综合利用，防止造成二次污染；烧结（球团）脱硫灰（渣）、高炉渣和预处理后的钢渣立足综合利用，做到妥善处置。鼓励焦炉煤气湿式氧化法脱硫废液提盐、制酸等高效资源化利用；鼓励新建炼铁炼钢项目水渣、钢渣、含铁尘泥等大宗固废在厂区内建设综合利用设施处置。</w:t>
                  </w:r>
                </w:p>
                <w:p w14:paraId="44B8AB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危险废物和一般工业固体废物贮存和处置应符合《危险废物贮存污染控制标准》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 18597</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及其修改单、《危险废物填埋污染控制标准》（GB 18598）、《一般工业固体废物贮存和填埋污染控制标准》(GB 18599)、《危险废物焚烧污染控制标准》（GB 18484）等相关要求</w:t>
                  </w:r>
                </w:p>
              </w:tc>
              <w:tc>
                <w:tcPr>
                  <w:tcW w:w="1850" w:type="pct"/>
                  <w:noWrap w:val="0"/>
                  <w:vAlign w:val="center"/>
                </w:tcPr>
                <w:p w14:paraId="391660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项目固体废弃物均得到合理处置，处理率100%。</w:t>
                  </w:r>
                </w:p>
                <w:p w14:paraId="04B5B9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危险废物和一般工业固体废物贮存和处置符合《危险废物贮存污染控制标准》(GB 18597</w:t>
                  </w:r>
                  <w:r>
                    <w:rPr>
                      <w:rFonts w:hint="default" w:ascii="Times New Roman" w:hAnsi="Times New Roman" w:eastAsia="宋体" w:cs="Times New Roman"/>
                      <w:color w:val="auto"/>
                      <w:sz w:val="18"/>
                      <w:szCs w:val="18"/>
                      <w:highlight w:val="none"/>
                      <w:lang w:val="en-US" w:eastAsia="zh-CN"/>
                    </w:rPr>
                    <w:t>-2023</w:t>
                  </w:r>
                  <w:r>
                    <w:rPr>
                      <w:rFonts w:hint="default" w:ascii="Times New Roman" w:hAnsi="Times New Roman" w:eastAsia="宋体" w:cs="Times New Roman"/>
                      <w:color w:val="auto"/>
                      <w:sz w:val="18"/>
                      <w:szCs w:val="18"/>
                      <w:highlight w:val="none"/>
                    </w:rPr>
                    <w:t>)、《危险废物填埋污染控制标准》（GB 18598）、《一般工业固体废物贮存和填埋污染控制标准》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GB 18599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等相关要求</w:t>
                  </w:r>
                  <w:r>
                    <w:rPr>
                      <w:rFonts w:hint="default" w:ascii="Times New Roman" w:hAnsi="Times New Roman" w:eastAsia="宋体" w:cs="Times New Roman"/>
                      <w:color w:val="auto"/>
                      <w:sz w:val="18"/>
                      <w:szCs w:val="18"/>
                      <w:highlight w:val="none"/>
                      <w:lang w:eastAsia="zh-CN"/>
                    </w:rPr>
                    <w:t>。</w:t>
                  </w:r>
                </w:p>
              </w:tc>
              <w:tc>
                <w:tcPr>
                  <w:tcW w:w="442" w:type="pct"/>
                  <w:tcBorders>
                    <w:right w:val="nil"/>
                  </w:tcBorders>
                  <w:noWrap w:val="0"/>
                  <w:vAlign w:val="center"/>
                </w:tcPr>
                <w:p w14:paraId="704FD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1A52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1C9AAC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第十条</w:t>
                  </w:r>
                </w:p>
              </w:tc>
              <w:tc>
                <w:tcPr>
                  <w:tcW w:w="2375" w:type="pct"/>
                  <w:tcBorders>
                    <w:left w:val="nil"/>
                  </w:tcBorders>
                  <w:noWrap w:val="0"/>
                  <w:vAlign w:val="center"/>
                </w:tcPr>
                <w:p w14:paraId="49D8F8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优化厂区平面布置，优先选择低噪声设备和工艺，采取</w:t>
                  </w:r>
                  <w:r>
                    <w:rPr>
                      <w:rFonts w:hint="default" w:ascii="Times New Roman" w:hAnsi="Times New Roman" w:eastAsia="宋体" w:cs="Times New Roman"/>
                      <w:color w:val="auto"/>
                      <w:sz w:val="18"/>
                      <w:szCs w:val="18"/>
                      <w:highlight w:val="none"/>
                      <w:lang w:eastAsia="zh-CN"/>
                    </w:rPr>
                    <w:t>减振</w:t>
                  </w:r>
                  <w:r>
                    <w:rPr>
                      <w:rFonts w:hint="default" w:ascii="Times New Roman" w:hAnsi="Times New Roman" w:eastAsia="宋体" w:cs="Times New Roman"/>
                      <w:color w:val="auto"/>
                      <w:sz w:val="18"/>
                      <w:szCs w:val="18"/>
                      <w:highlight w:val="none"/>
                    </w:rPr>
                    <w:t>、隔声、消声等措施有效控制噪声污染，厂界噪声应满足《工业企业厂界环境噪声排放标准》（GB 12348）要求。位于噪声敏感建筑物集中区域的改建、扩建项目，应强化噪声污染防治措施，防止噪声污染。</w:t>
                  </w:r>
                </w:p>
              </w:tc>
              <w:tc>
                <w:tcPr>
                  <w:tcW w:w="1850" w:type="pct"/>
                  <w:noWrap w:val="0"/>
                  <w:vAlign w:val="center"/>
                </w:tcPr>
                <w:p w14:paraId="1BF90B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项目优先选择低噪声设备和工艺，采取</w:t>
                  </w:r>
                  <w:r>
                    <w:rPr>
                      <w:rFonts w:hint="default" w:ascii="Times New Roman" w:hAnsi="Times New Roman" w:eastAsia="宋体" w:cs="Times New Roman"/>
                      <w:color w:val="auto"/>
                      <w:sz w:val="18"/>
                      <w:szCs w:val="18"/>
                      <w:highlight w:val="none"/>
                      <w:lang w:eastAsia="zh-CN"/>
                    </w:rPr>
                    <w:t>减振</w:t>
                  </w:r>
                  <w:r>
                    <w:rPr>
                      <w:rFonts w:hint="default" w:ascii="Times New Roman" w:hAnsi="Times New Roman" w:eastAsia="宋体" w:cs="Times New Roman"/>
                      <w:color w:val="auto"/>
                      <w:sz w:val="18"/>
                      <w:szCs w:val="18"/>
                      <w:highlight w:val="none"/>
                    </w:rPr>
                    <w:t>、隔声、消声等措施有效控制噪声污染，根据预测厂界噪声满足《工业企业厂界环境噪声排放标准》（GB 12348</w:t>
                  </w:r>
                  <w:r>
                    <w:rPr>
                      <w:rFonts w:hint="eastAsia" w:ascii="Times New Roman" w:hAnsi="Times New Roman" w:eastAsia="宋体" w:cs="Times New Roman"/>
                      <w:color w:val="auto"/>
                      <w:sz w:val="18"/>
                      <w:szCs w:val="18"/>
                      <w:highlight w:val="none"/>
                      <w:lang w:val="en-US" w:eastAsia="zh-CN"/>
                    </w:rPr>
                    <w:t>-2008</w:t>
                  </w:r>
                  <w:r>
                    <w:rPr>
                      <w:rFonts w:hint="default" w:ascii="Times New Roman" w:hAnsi="Times New Roman" w:eastAsia="宋体" w:cs="Times New Roman"/>
                      <w:color w:val="auto"/>
                      <w:sz w:val="18"/>
                      <w:szCs w:val="18"/>
                      <w:highlight w:val="none"/>
                    </w:rPr>
                    <w:t>）要求。</w:t>
                  </w:r>
                </w:p>
              </w:tc>
              <w:tc>
                <w:tcPr>
                  <w:tcW w:w="442" w:type="pct"/>
                  <w:tcBorders>
                    <w:right w:val="nil"/>
                  </w:tcBorders>
                  <w:noWrap w:val="0"/>
                  <w:vAlign w:val="center"/>
                </w:tcPr>
                <w:p w14:paraId="51D9F9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6A8F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7B1BE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第十一条</w:t>
                  </w:r>
                </w:p>
              </w:tc>
              <w:tc>
                <w:tcPr>
                  <w:tcW w:w="2375" w:type="pct"/>
                  <w:tcBorders>
                    <w:left w:val="nil"/>
                  </w:tcBorders>
                  <w:noWrap w:val="0"/>
                  <w:vAlign w:val="center"/>
                </w:tcPr>
                <w:p w14:paraId="3F6032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严密防控项目环境风险，建立完善的环境风险防控体系，提升环境风险防控能力，环境风险防范和应急措施合理、有效。重点关注煤气、酸、苯、氨、洗（焦）油等风险物质储运和使用环节的环境风险管控。焦化装置配套建设事故储槽（池）；事故废水应有效收集和妥善处理，不直接进入外环境。针对项目可能产生的突发环境事件制定有效的风险防范和应急措施，建立项目及区域环境风险防范与应急管理体系，提出运行期突发环境事件应急预案编制要求。</w:t>
                  </w:r>
                </w:p>
              </w:tc>
              <w:tc>
                <w:tcPr>
                  <w:tcW w:w="1850" w:type="pct"/>
                  <w:noWrap w:val="0"/>
                  <w:vAlign w:val="center"/>
                </w:tcPr>
                <w:p w14:paraId="188684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针对事故废水排放项目设置事故废水收集池，收集废水处理后回用，不外排，不直接进入外环境，项目后期将根据要求编制突发环境事件应急预案并按相关要求开展突发环境事件应急演练</w:t>
                  </w:r>
                  <w:r>
                    <w:rPr>
                      <w:rFonts w:hint="eastAsia" w:ascii="Times New Roman" w:hAnsi="Times New Roman" w:eastAsia="宋体" w:cs="Times New Roman"/>
                      <w:color w:val="auto"/>
                      <w:sz w:val="18"/>
                      <w:szCs w:val="18"/>
                      <w:highlight w:val="none"/>
                      <w:lang w:eastAsia="zh-CN"/>
                    </w:rPr>
                    <w:t>。</w:t>
                  </w:r>
                </w:p>
              </w:tc>
              <w:tc>
                <w:tcPr>
                  <w:tcW w:w="442" w:type="pct"/>
                  <w:tcBorders>
                    <w:right w:val="nil"/>
                  </w:tcBorders>
                  <w:noWrap w:val="0"/>
                  <w:vAlign w:val="center"/>
                </w:tcPr>
                <w:p w14:paraId="79EB65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5930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5F17C6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第十二条</w:t>
                  </w:r>
                </w:p>
              </w:tc>
              <w:tc>
                <w:tcPr>
                  <w:tcW w:w="2375" w:type="pct"/>
                  <w:tcBorders>
                    <w:left w:val="nil"/>
                  </w:tcBorders>
                  <w:noWrap w:val="0"/>
                  <w:vAlign w:val="center"/>
                </w:tcPr>
                <w:p w14:paraId="564DFF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改、扩建项目全面梳理涉及的现有工程存在的环保问题或减排潜力，应提出有效整改或改进措施。</w:t>
                  </w:r>
                </w:p>
              </w:tc>
              <w:tc>
                <w:tcPr>
                  <w:tcW w:w="1850" w:type="pct"/>
                  <w:noWrap w:val="0"/>
                  <w:vAlign w:val="center"/>
                </w:tcPr>
                <w:p w14:paraId="3E7F99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项目已针对存在的环保问题，提出有效的整改措施。</w:t>
                  </w:r>
                </w:p>
              </w:tc>
              <w:tc>
                <w:tcPr>
                  <w:tcW w:w="442" w:type="pct"/>
                  <w:tcBorders>
                    <w:right w:val="nil"/>
                  </w:tcBorders>
                  <w:noWrap w:val="0"/>
                  <w:vAlign w:val="center"/>
                </w:tcPr>
                <w:p w14:paraId="07FAA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18D1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2DBFF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第十三条</w:t>
                  </w:r>
                </w:p>
              </w:tc>
              <w:tc>
                <w:tcPr>
                  <w:tcW w:w="2375" w:type="pct"/>
                  <w:tcBorders>
                    <w:left w:val="nil"/>
                  </w:tcBorders>
                  <w:noWrap w:val="0"/>
                  <w:vAlign w:val="center"/>
                </w:tcPr>
                <w:p w14:paraId="09814C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主要污染物排放量的建设项目应执行《关于加强重点行业建设项目区域削减措施监督管理的通知》（环办环评〔2020〕36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1850" w:type="pct"/>
                  <w:noWrap w:val="0"/>
                  <w:vAlign w:val="center"/>
                </w:tcPr>
                <w:p w14:paraId="3F9FB3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vertAlign w:val="baseline"/>
                      <w:lang w:val="en-US" w:eastAsia="zh-CN"/>
                    </w:rPr>
                    <w:t>本项目为钢铁厂能源综合利用项目，主要利用富余高炉煤气、转炉煤气</w:t>
                  </w:r>
                  <w:r>
                    <w:rPr>
                      <w:rFonts w:hint="eastAsia" w:cs="Times New Roman"/>
                      <w:sz w:val="18"/>
                      <w:szCs w:val="18"/>
                      <w:vertAlign w:val="baseline"/>
                      <w:lang w:val="en-US" w:eastAsia="zh-CN"/>
                    </w:rPr>
                    <w:t>以及</w:t>
                  </w:r>
                  <w:r>
                    <w:rPr>
                      <w:rFonts w:hint="default" w:ascii="Times New Roman" w:hAnsi="Times New Roman" w:eastAsia="宋体" w:cs="Times New Roman"/>
                      <w:sz w:val="18"/>
                      <w:szCs w:val="18"/>
                      <w:vertAlign w:val="baseline"/>
                      <w:lang w:val="en-US" w:eastAsia="zh-CN"/>
                    </w:rPr>
                    <w:t>焦炉煤气发电，项目的实施实现污染物排放区域削减。</w:t>
                  </w:r>
                </w:p>
              </w:tc>
              <w:tc>
                <w:tcPr>
                  <w:tcW w:w="442" w:type="pct"/>
                  <w:tcBorders>
                    <w:right w:val="nil"/>
                  </w:tcBorders>
                  <w:noWrap w:val="0"/>
                  <w:vAlign w:val="center"/>
                </w:tcPr>
                <w:p w14:paraId="66D5D3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53AE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65D96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第十四条</w:t>
                  </w:r>
                </w:p>
              </w:tc>
              <w:tc>
                <w:tcPr>
                  <w:tcW w:w="2375" w:type="pct"/>
                  <w:tcBorders>
                    <w:left w:val="nil"/>
                  </w:tcBorders>
                  <w:noWrap w:val="0"/>
                  <w:vAlign w:val="center"/>
                </w:tcPr>
                <w:p w14:paraId="12C8B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的监测计划，关注苯并[a]芘、二噁英等特征污染物的累积环境影响。</w:t>
                  </w:r>
                </w:p>
              </w:tc>
              <w:tc>
                <w:tcPr>
                  <w:tcW w:w="1850" w:type="pct"/>
                  <w:noWrap w:val="0"/>
                  <w:vAlign w:val="center"/>
                </w:tcPr>
                <w:p w14:paraId="3C42E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次评价明确了项目实施后的环境管理要求和环境监测计划。并根据行业自行监测技术指南要求，制定了废气污染物排放及厂界环境噪声监测计划，项目建成运行后，监测位置符合技术规范要求。建设单位将根据监测计划要求开展监测，并向主管部门申请将污染物排放自动监测设备与生态环境主管部门的监控设备联网。</w:t>
                  </w:r>
                </w:p>
              </w:tc>
              <w:tc>
                <w:tcPr>
                  <w:tcW w:w="442" w:type="pct"/>
                  <w:tcBorders>
                    <w:right w:val="nil"/>
                  </w:tcBorders>
                  <w:noWrap w:val="0"/>
                  <w:vAlign w:val="center"/>
                </w:tcPr>
                <w:p w14:paraId="21E879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43B5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02FEB7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第十五条</w:t>
                  </w:r>
                </w:p>
              </w:tc>
              <w:tc>
                <w:tcPr>
                  <w:tcW w:w="2375" w:type="pct"/>
                  <w:tcBorders>
                    <w:left w:val="nil"/>
                  </w:tcBorders>
                  <w:noWrap w:val="0"/>
                  <w:vAlign w:val="center"/>
                </w:tcPr>
                <w:p w14:paraId="3FCFA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按相关规定开展信息公开和公众参与。</w:t>
                  </w:r>
                </w:p>
              </w:tc>
              <w:tc>
                <w:tcPr>
                  <w:tcW w:w="1850" w:type="pct"/>
                  <w:noWrap w:val="0"/>
                  <w:vAlign w:val="center"/>
                </w:tcPr>
                <w:p w14:paraId="4B80D0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建设单位已按要求进行了公众参与调查及信息公开</w:t>
                  </w:r>
                </w:p>
              </w:tc>
              <w:tc>
                <w:tcPr>
                  <w:tcW w:w="442" w:type="pct"/>
                  <w:tcBorders>
                    <w:right w:val="nil"/>
                  </w:tcBorders>
                  <w:noWrap w:val="0"/>
                  <w:vAlign w:val="center"/>
                </w:tcPr>
                <w:p w14:paraId="554EBC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16D9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2" w:type="pct"/>
                  <w:tcBorders>
                    <w:left w:val="nil"/>
                  </w:tcBorders>
                  <w:noWrap w:val="0"/>
                  <w:vAlign w:val="center"/>
                </w:tcPr>
                <w:p w14:paraId="6E179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第十六条</w:t>
                  </w:r>
                </w:p>
              </w:tc>
              <w:tc>
                <w:tcPr>
                  <w:tcW w:w="2375" w:type="pct"/>
                  <w:tcBorders>
                    <w:left w:val="nil"/>
                  </w:tcBorders>
                  <w:noWrap w:val="0"/>
                  <w:vAlign w:val="center"/>
                </w:tcPr>
                <w:p w14:paraId="6DEDF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环境影响评价文件编制规范，基础资料数据应符合实际情况，内容完整、准确。环境影响评价结论明确、合理，符合环境影响评价技术导则或建设项目环境影响报告表编制技术指南要求。</w:t>
                  </w:r>
                </w:p>
              </w:tc>
              <w:tc>
                <w:tcPr>
                  <w:tcW w:w="1850" w:type="pct"/>
                  <w:noWrap w:val="0"/>
                  <w:vAlign w:val="center"/>
                </w:tcPr>
                <w:p w14:paraId="21539A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本次评价符合环境影响评价技术导则和要求</w:t>
                  </w:r>
                </w:p>
              </w:tc>
              <w:tc>
                <w:tcPr>
                  <w:tcW w:w="442" w:type="pct"/>
                  <w:tcBorders>
                    <w:right w:val="nil"/>
                  </w:tcBorders>
                  <w:noWrap w:val="0"/>
                  <w:vAlign w:val="center"/>
                </w:tcPr>
                <w:p w14:paraId="76254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bl>
          <w:p w14:paraId="0430997F">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18</w:t>
            </w:r>
            <w:r>
              <w:rPr>
                <w:rFonts w:hint="eastAsia" w:ascii="Times New Roman" w:hAnsi="Times New Roman" w:eastAsia="宋体" w:cs="Times New Roman"/>
                <w:color w:val="auto"/>
                <w:sz w:val="24"/>
                <w:szCs w:val="24"/>
                <w:lang w:val="en-US" w:eastAsia="zh-CN"/>
              </w:rPr>
              <w:t>、选址合理性分析</w:t>
            </w:r>
          </w:p>
          <w:p w14:paraId="64A887E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项目位于云南新平产业园区</w:t>
            </w:r>
            <w:r>
              <w:rPr>
                <w:rFonts w:hint="eastAsia" w:ascii="Times New Roman" w:hAnsi="Times New Roman" w:cs="Times New Roman"/>
                <w:color w:val="auto"/>
                <w:kern w:val="2"/>
                <w:sz w:val="24"/>
                <w:szCs w:val="24"/>
                <w:lang w:val="en-US" w:eastAsia="zh-CN" w:bidi="ar-SA"/>
              </w:rPr>
              <w:t>绿色钢城片区</w:t>
            </w:r>
            <w:r>
              <w:rPr>
                <w:rFonts w:hint="eastAsia" w:ascii="Times New Roman" w:hAnsi="Times New Roman" w:eastAsia="宋体" w:cs="Times New Roman"/>
                <w:color w:val="auto"/>
                <w:kern w:val="2"/>
                <w:sz w:val="24"/>
                <w:szCs w:val="24"/>
                <w:lang w:val="en-US" w:eastAsia="zh-CN" w:bidi="ar-SA"/>
              </w:rPr>
              <w:t>，在仙福公司现有空地上建设，未新增土地，用地属于工业园区范围，符合产业园区规划。根据调查，项目周边无饮用水水源保护区、项目距离新平磨盘山森林公园26</w:t>
            </w:r>
            <w:r>
              <w:rPr>
                <w:rFonts w:hint="default" w:ascii="Times New Roman" w:hAnsi="Times New Roman" w:eastAsia="宋体" w:cs="Times New Roman"/>
                <w:color w:val="auto"/>
                <w:kern w:val="2"/>
                <w:sz w:val="24"/>
                <w:szCs w:val="24"/>
                <w:lang w:val="en-US" w:eastAsia="zh-CN" w:bidi="ar-SA"/>
              </w:rPr>
              <w:t>km</w:t>
            </w:r>
            <w:r>
              <w:rPr>
                <w:rFonts w:hint="eastAsia" w:ascii="Times New Roman" w:hAnsi="Times New Roman" w:eastAsia="宋体" w:cs="Times New Roman"/>
                <w:color w:val="auto"/>
                <w:kern w:val="2"/>
                <w:sz w:val="24"/>
                <w:szCs w:val="24"/>
                <w:lang w:val="en-US" w:eastAsia="zh-CN" w:bidi="ar-SA"/>
              </w:rPr>
              <w:t>、距离新平磨盘山县级自然保护区13</w:t>
            </w:r>
            <w:r>
              <w:rPr>
                <w:rFonts w:hint="default" w:ascii="Times New Roman" w:hAnsi="Times New Roman" w:eastAsia="宋体" w:cs="Times New Roman"/>
                <w:color w:val="auto"/>
                <w:kern w:val="2"/>
                <w:sz w:val="24"/>
                <w:szCs w:val="24"/>
                <w:lang w:val="en-US" w:eastAsia="zh-CN" w:bidi="ar-SA"/>
              </w:rPr>
              <w:t>km</w:t>
            </w:r>
            <w:r>
              <w:rPr>
                <w:rFonts w:hint="eastAsia" w:ascii="Times New Roman" w:hAnsi="Times New Roman" w:eastAsia="宋体" w:cs="Times New Roman"/>
                <w:color w:val="auto"/>
                <w:kern w:val="2"/>
                <w:sz w:val="24"/>
                <w:szCs w:val="24"/>
                <w:lang w:val="en-US" w:eastAsia="zh-CN" w:bidi="ar-SA"/>
              </w:rPr>
              <w:t>、距离玉溪市玉白顶自然保护区6.8</w:t>
            </w:r>
            <w:r>
              <w:rPr>
                <w:rFonts w:hint="default" w:ascii="Times New Roman" w:hAnsi="Times New Roman" w:eastAsia="宋体" w:cs="Times New Roman"/>
                <w:color w:val="auto"/>
                <w:kern w:val="2"/>
                <w:sz w:val="24"/>
                <w:szCs w:val="24"/>
                <w:lang w:val="en-US" w:eastAsia="zh-CN" w:bidi="ar-SA"/>
              </w:rPr>
              <w:t>km</w:t>
            </w:r>
            <w:r>
              <w:rPr>
                <w:rFonts w:hint="eastAsia" w:ascii="Times New Roman" w:hAnsi="Times New Roman" w:eastAsia="宋体" w:cs="Times New Roman"/>
                <w:color w:val="auto"/>
                <w:kern w:val="2"/>
                <w:sz w:val="24"/>
                <w:szCs w:val="24"/>
                <w:lang w:val="en-US" w:eastAsia="zh-CN" w:bidi="ar-SA"/>
              </w:rPr>
              <w:t>、距离峨山锦屏山风景名胜区15</w:t>
            </w:r>
            <w:r>
              <w:rPr>
                <w:rFonts w:hint="default" w:ascii="Times New Roman" w:hAnsi="Times New Roman" w:eastAsia="宋体" w:cs="Times New Roman"/>
                <w:color w:val="auto"/>
                <w:kern w:val="2"/>
                <w:sz w:val="24"/>
                <w:szCs w:val="24"/>
                <w:lang w:val="en-US" w:eastAsia="zh-CN" w:bidi="ar-SA"/>
              </w:rPr>
              <w:t>km</w:t>
            </w:r>
            <w:r>
              <w:rPr>
                <w:rFonts w:hint="eastAsia" w:ascii="Times New Roman" w:hAnsi="Times New Roman" w:eastAsia="宋体" w:cs="Times New Roman"/>
                <w:color w:val="auto"/>
                <w:kern w:val="2"/>
                <w:sz w:val="24"/>
                <w:szCs w:val="24"/>
                <w:lang w:val="en-US" w:eastAsia="zh-CN" w:bidi="ar-SA"/>
              </w:rPr>
              <w:t>，本项目选址不涉及自然保护区、风景名胜区、饮用水水源保护区、基本农田保护区和其他需要特别保护的地区等生态保护红线。</w:t>
            </w:r>
          </w:p>
          <w:p w14:paraId="3BC8280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综上分析，项目选址合理。</w:t>
            </w:r>
          </w:p>
          <w:p w14:paraId="22146422">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19</w:t>
            </w:r>
            <w:r>
              <w:rPr>
                <w:rFonts w:hint="eastAsia" w:ascii="Times New Roman" w:hAnsi="Times New Roman" w:eastAsia="宋体" w:cs="Times New Roman"/>
                <w:color w:val="auto"/>
                <w:sz w:val="24"/>
                <w:szCs w:val="24"/>
                <w:lang w:val="en-US" w:eastAsia="zh-CN"/>
              </w:rPr>
              <w:t>、平面布置合理性分析</w:t>
            </w:r>
          </w:p>
          <w:p w14:paraId="442C40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2"/>
                <w:sz w:val="24"/>
                <w:szCs w:val="24"/>
                <w:lang w:val="en-US" w:eastAsia="zh-CN" w:bidi="ar-SA"/>
              </w:rPr>
            </w:pPr>
            <w:r>
              <w:rPr>
                <w:color w:val="auto"/>
                <w:sz w:val="24"/>
                <w:lang w:bidi="ar"/>
              </w:rPr>
              <w:t>主厂房区布置在</w:t>
            </w:r>
            <w:r>
              <w:rPr>
                <w:rFonts w:hint="eastAsia"/>
                <w:color w:val="auto"/>
                <w:sz w:val="24"/>
                <w:lang w:bidi="ar"/>
              </w:rPr>
              <w:t>建设</w:t>
            </w:r>
            <w:r>
              <w:rPr>
                <w:color w:val="auto"/>
                <w:sz w:val="24"/>
                <w:lang w:bidi="ar"/>
              </w:rPr>
              <w:t>场地</w:t>
            </w:r>
            <w:r>
              <w:rPr>
                <w:rFonts w:hint="eastAsia"/>
                <w:color w:val="auto"/>
                <w:sz w:val="24"/>
                <w:lang w:bidi="ar"/>
              </w:rPr>
              <w:t>南</w:t>
            </w:r>
            <w:r>
              <w:rPr>
                <w:color w:val="auto"/>
                <w:sz w:val="24"/>
                <w:lang w:bidi="ar"/>
              </w:rPr>
              <w:t>部</w:t>
            </w:r>
            <w:r>
              <w:rPr>
                <w:rFonts w:hint="eastAsia"/>
                <w:color w:val="auto"/>
                <w:sz w:val="24"/>
                <w:lang w:eastAsia="zh-CN" w:bidi="ar"/>
              </w:rPr>
              <w:t>，</w:t>
            </w:r>
            <w:r>
              <w:rPr>
                <w:color w:val="auto"/>
                <w:sz w:val="24"/>
                <w:lang w:bidi="ar"/>
              </w:rPr>
              <w:t>由</w:t>
            </w:r>
            <w:r>
              <w:rPr>
                <w:rFonts w:hint="eastAsia"/>
                <w:color w:val="auto"/>
                <w:sz w:val="24"/>
                <w:lang w:bidi="ar"/>
              </w:rPr>
              <w:t>东</w:t>
            </w:r>
            <w:r>
              <w:rPr>
                <w:color w:val="auto"/>
                <w:sz w:val="24"/>
                <w:lang w:bidi="ar"/>
              </w:rPr>
              <w:t>向</w:t>
            </w:r>
            <w:r>
              <w:rPr>
                <w:rFonts w:hint="eastAsia"/>
                <w:color w:val="auto"/>
                <w:sz w:val="24"/>
                <w:lang w:bidi="ar"/>
              </w:rPr>
              <w:t>西</w:t>
            </w:r>
            <w:r>
              <w:rPr>
                <w:color w:val="auto"/>
                <w:sz w:val="24"/>
                <w:lang w:bidi="ar"/>
              </w:rPr>
              <w:t>依次布置汽机跨、除氧跨、锅炉跨</w:t>
            </w:r>
            <w:r>
              <w:rPr>
                <w:rFonts w:hint="eastAsia"/>
                <w:color w:val="auto"/>
                <w:sz w:val="24"/>
                <w:lang w:bidi="ar"/>
              </w:rPr>
              <w:t>、</w:t>
            </w:r>
            <w:r>
              <w:rPr>
                <w:color w:val="auto"/>
                <w:sz w:val="24"/>
                <w:lang w:bidi="ar"/>
              </w:rPr>
              <w:t>煤加</w:t>
            </w:r>
            <w:r>
              <w:rPr>
                <w:rFonts w:hint="eastAsia"/>
                <w:color w:val="auto"/>
                <w:sz w:val="24"/>
                <w:lang w:bidi="ar"/>
              </w:rPr>
              <w:t>及脱硫反应器</w:t>
            </w:r>
            <w:r>
              <w:rPr>
                <w:color w:val="auto"/>
                <w:sz w:val="24"/>
                <w:lang w:bidi="ar"/>
              </w:rPr>
              <w:t>，锅炉辅助间布置在锅炉跨</w:t>
            </w:r>
            <w:r>
              <w:rPr>
                <w:rFonts w:hint="eastAsia"/>
                <w:color w:val="auto"/>
                <w:sz w:val="24"/>
                <w:lang w:bidi="ar"/>
              </w:rPr>
              <w:t>的北</w:t>
            </w:r>
            <w:r>
              <w:rPr>
                <w:color w:val="auto"/>
                <w:sz w:val="24"/>
                <w:lang w:bidi="ar"/>
              </w:rPr>
              <w:t>侧</w:t>
            </w:r>
            <w:r>
              <w:rPr>
                <w:rFonts w:hint="eastAsia"/>
                <w:color w:val="auto"/>
                <w:sz w:val="24"/>
                <w:lang w:bidi="ar"/>
              </w:rPr>
              <w:t>，除尘器、引风机、烟囱、主变及35kV配电室、灰库及包装间、钙粉设备间布置在</w:t>
            </w:r>
            <w:r>
              <w:rPr>
                <w:color w:val="auto"/>
                <w:sz w:val="24"/>
                <w:lang w:bidi="ar"/>
              </w:rPr>
              <w:t>汽机跨</w:t>
            </w:r>
            <w:r>
              <w:rPr>
                <w:rFonts w:hint="eastAsia"/>
                <w:color w:val="auto"/>
                <w:sz w:val="24"/>
                <w:lang w:bidi="ar"/>
              </w:rPr>
              <w:t>、除氧跨的南</w:t>
            </w:r>
            <w:r>
              <w:rPr>
                <w:color w:val="auto"/>
                <w:sz w:val="24"/>
                <w:lang w:bidi="ar"/>
              </w:rPr>
              <w:t>侧。</w:t>
            </w:r>
            <w:r>
              <w:rPr>
                <w:rFonts w:hint="eastAsia"/>
                <w:color w:val="auto"/>
                <w:sz w:val="24"/>
                <w:lang w:bidi="ar"/>
              </w:rPr>
              <w:t>水处理区布置建设场地北部，区域内化水车间及室外水箱在北，新建冷却塔、利旧泵房在南。</w:t>
            </w:r>
          </w:p>
          <w:p w14:paraId="4AE1F7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本项目建筑物间协调紧密、厂区的道路通畅，规划结构清晰明确，因此平面布置合理。</w:t>
            </w:r>
          </w:p>
          <w:p w14:paraId="6C28764B">
            <w:pPr>
              <w:autoSpaceDE w:val="0"/>
              <w:autoSpaceDN w:val="0"/>
              <w:spacing w:line="360" w:lineRule="auto"/>
              <w:jc w:val="both"/>
              <w:rPr>
                <w:rFonts w:hint="eastAsia" w:ascii="黑体" w:hAnsi="黑体" w:eastAsia="黑体" w:cs="黑体"/>
                <w:b w:val="0"/>
                <w:bCs w:val="0"/>
                <w:lang w:val="en-US" w:eastAsia="zh-CN"/>
              </w:rPr>
            </w:pPr>
          </w:p>
          <w:p w14:paraId="59EB45F9">
            <w:pPr>
              <w:autoSpaceDE w:val="0"/>
              <w:autoSpaceDN w:val="0"/>
              <w:spacing w:line="360" w:lineRule="auto"/>
              <w:jc w:val="both"/>
              <w:rPr>
                <w:rFonts w:hint="eastAsia" w:ascii="黑体" w:hAnsi="黑体" w:eastAsia="黑体" w:cs="黑体"/>
                <w:b w:val="0"/>
                <w:bCs w:val="0"/>
                <w:lang w:val="en-US" w:eastAsia="zh-CN"/>
              </w:rPr>
            </w:pPr>
          </w:p>
          <w:p w14:paraId="579D2DA4">
            <w:pPr>
              <w:autoSpaceDE w:val="0"/>
              <w:autoSpaceDN w:val="0"/>
              <w:spacing w:line="360" w:lineRule="auto"/>
              <w:jc w:val="both"/>
              <w:rPr>
                <w:rFonts w:hint="eastAsia" w:ascii="黑体" w:hAnsi="黑体" w:eastAsia="黑体" w:cs="黑体"/>
                <w:b w:val="0"/>
                <w:bCs w:val="0"/>
                <w:lang w:val="en-US" w:eastAsia="zh-CN"/>
              </w:rPr>
            </w:pPr>
          </w:p>
          <w:p w14:paraId="629DCE90">
            <w:pPr>
              <w:autoSpaceDE w:val="0"/>
              <w:autoSpaceDN w:val="0"/>
              <w:spacing w:line="360" w:lineRule="auto"/>
              <w:jc w:val="both"/>
              <w:rPr>
                <w:rFonts w:hint="eastAsia" w:ascii="黑体" w:hAnsi="黑体" w:eastAsia="黑体" w:cs="黑体"/>
                <w:b w:val="0"/>
                <w:bCs w:val="0"/>
                <w:lang w:val="en-US" w:eastAsia="zh-CN"/>
              </w:rPr>
            </w:pPr>
          </w:p>
          <w:p w14:paraId="6E94D5A8">
            <w:pPr>
              <w:autoSpaceDE w:val="0"/>
              <w:autoSpaceDN w:val="0"/>
              <w:spacing w:line="360" w:lineRule="auto"/>
              <w:jc w:val="both"/>
              <w:rPr>
                <w:rFonts w:hint="eastAsia" w:ascii="黑体" w:hAnsi="黑体" w:eastAsia="黑体" w:cs="黑体"/>
                <w:b w:val="0"/>
                <w:bCs w:val="0"/>
                <w:lang w:val="en-US" w:eastAsia="zh-CN"/>
              </w:rPr>
            </w:pPr>
          </w:p>
          <w:p w14:paraId="04CECC2F">
            <w:pPr>
              <w:autoSpaceDE w:val="0"/>
              <w:autoSpaceDN w:val="0"/>
              <w:spacing w:line="360" w:lineRule="auto"/>
              <w:jc w:val="both"/>
              <w:rPr>
                <w:rFonts w:hint="eastAsia" w:ascii="黑体" w:hAnsi="黑体" w:eastAsia="黑体" w:cs="黑体"/>
                <w:b w:val="0"/>
                <w:bCs w:val="0"/>
                <w:lang w:val="en-US" w:eastAsia="zh-CN"/>
              </w:rPr>
            </w:pPr>
          </w:p>
          <w:p w14:paraId="5DDAE2DF">
            <w:pPr>
              <w:autoSpaceDE w:val="0"/>
              <w:autoSpaceDN w:val="0"/>
              <w:spacing w:line="360" w:lineRule="auto"/>
              <w:jc w:val="both"/>
              <w:rPr>
                <w:rFonts w:hint="eastAsia" w:ascii="黑体" w:hAnsi="黑体" w:eastAsia="黑体" w:cs="黑体"/>
                <w:b w:val="0"/>
                <w:bCs w:val="0"/>
                <w:lang w:val="en-US" w:eastAsia="zh-CN"/>
              </w:rPr>
            </w:pPr>
          </w:p>
          <w:p w14:paraId="1C2E1BC8">
            <w:pPr>
              <w:autoSpaceDE w:val="0"/>
              <w:autoSpaceDN w:val="0"/>
              <w:spacing w:line="360" w:lineRule="auto"/>
              <w:jc w:val="both"/>
              <w:rPr>
                <w:rFonts w:hint="eastAsia" w:ascii="黑体" w:hAnsi="黑体" w:eastAsia="黑体" w:cs="黑体"/>
                <w:b w:val="0"/>
                <w:bCs w:val="0"/>
                <w:lang w:val="en-US" w:eastAsia="zh-CN"/>
              </w:rPr>
            </w:pPr>
          </w:p>
          <w:p w14:paraId="494DB561">
            <w:pPr>
              <w:autoSpaceDE w:val="0"/>
              <w:autoSpaceDN w:val="0"/>
              <w:spacing w:line="360" w:lineRule="auto"/>
              <w:jc w:val="both"/>
              <w:rPr>
                <w:rFonts w:hint="eastAsia" w:ascii="黑体" w:hAnsi="黑体" w:eastAsia="黑体" w:cs="黑体"/>
                <w:b w:val="0"/>
                <w:bCs w:val="0"/>
                <w:lang w:val="en-US" w:eastAsia="zh-CN"/>
              </w:rPr>
            </w:pPr>
          </w:p>
          <w:p w14:paraId="2AC0F547">
            <w:pPr>
              <w:autoSpaceDE w:val="0"/>
              <w:autoSpaceDN w:val="0"/>
              <w:spacing w:line="360" w:lineRule="auto"/>
              <w:jc w:val="both"/>
              <w:rPr>
                <w:rFonts w:hint="eastAsia" w:ascii="黑体" w:hAnsi="黑体" w:eastAsia="黑体" w:cs="黑体"/>
                <w:b w:val="0"/>
                <w:bCs w:val="0"/>
                <w:lang w:val="en-US" w:eastAsia="zh-CN"/>
              </w:rPr>
            </w:pPr>
          </w:p>
          <w:p w14:paraId="1921FF01">
            <w:pPr>
              <w:autoSpaceDE w:val="0"/>
              <w:autoSpaceDN w:val="0"/>
              <w:spacing w:line="360" w:lineRule="auto"/>
              <w:jc w:val="both"/>
              <w:rPr>
                <w:rFonts w:hint="eastAsia" w:ascii="黑体" w:hAnsi="黑体" w:eastAsia="黑体" w:cs="黑体"/>
                <w:b w:val="0"/>
                <w:bCs w:val="0"/>
                <w:lang w:val="en-US" w:eastAsia="zh-CN"/>
              </w:rPr>
            </w:pPr>
          </w:p>
          <w:p w14:paraId="5C5DE5F2">
            <w:pPr>
              <w:autoSpaceDE w:val="0"/>
              <w:autoSpaceDN w:val="0"/>
              <w:spacing w:line="360" w:lineRule="auto"/>
              <w:jc w:val="both"/>
              <w:rPr>
                <w:rFonts w:hint="default" w:ascii="黑体" w:hAnsi="黑体" w:eastAsia="黑体" w:cs="黑体"/>
                <w:b w:val="0"/>
                <w:bCs w:val="0"/>
                <w:lang w:val="en-US" w:eastAsia="zh-CN"/>
              </w:rPr>
            </w:pPr>
          </w:p>
        </w:tc>
      </w:tr>
    </w:tbl>
    <w:p w14:paraId="4AFA0CE0">
      <w:pPr>
        <w:pStyle w:val="2"/>
        <w:keepNext w:val="0"/>
        <w:keepLines w:val="0"/>
        <w:pageBreakBefore/>
        <w:widowControl w:val="0"/>
        <w:kinsoku/>
        <w:wordWrap/>
        <w:overflowPunct/>
        <w:topLinePunct w:val="0"/>
        <w:autoSpaceDE/>
        <w:autoSpaceDN/>
        <w:bidi w:val="0"/>
        <w:adjustRightInd/>
        <w:snapToGrid/>
        <w:textAlignment w:val="auto"/>
        <w:outlineLvl w:val="0"/>
        <w:rPr>
          <w:rFonts w:hint="eastAsia" w:ascii="Times New Roman" w:hAnsi="Times New Roman" w:cs="Times New Roman"/>
          <w:lang w:eastAsia="zh-CN"/>
        </w:rPr>
      </w:pPr>
      <w:r>
        <w:rPr>
          <w:rFonts w:hint="eastAsia" w:ascii="Times New Roman" w:hAnsi="Times New Roman" w:cs="Times New Roman"/>
          <w:lang w:val="en-US" w:eastAsia="zh-CN"/>
        </w:rPr>
        <w:t>二、建设项目工程分析</w:t>
      </w:r>
      <w:bookmarkEnd w:id="5"/>
    </w:p>
    <w:tbl>
      <w:tblPr>
        <w:tblStyle w:val="18"/>
        <w:tblW w:w="8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250"/>
      </w:tblGrid>
      <w:tr w14:paraId="1736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57" w:type="dxa"/>
            <w:vAlign w:val="center"/>
          </w:tcPr>
          <w:p w14:paraId="054DA19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建设内容</w:t>
            </w:r>
          </w:p>
        </w:tc>
        <w:tc>
          <w:tcPr>
            <w:tcW w:w="8250" w:type="dxa"/>
          </w:tcPr>
          <w:p w14:paraId="46A91DC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2.1地理位置</w:t>
            </w:r>
          </w:p>
          <w:p w14:paraId="71A7A088">
            <w:pPr>
              <w:pStyle w:val="6"/>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平彝族傣族自治县位于云南省中部偏西南，地理坐标为北纬23°39′-24°27′、东经101°17′-102°36′。东与峨山、石屏县接壤，南与元江、墨江县毗邻，西连镇沅县，北靠双柏县。东西最大横距102km，南北最大纵距88.2千米，总面积4223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，其中山区面积占98%。县人民政府驻地桂山镇，距省会昆明182km，玉溪</w:t>
            </w:r>
            <w:r>
              <w:rPr>
                <w:rFonts w:hint="eastAsia" w:ascii="Times New Roman" w:hAnsi="Times New Roman" w:cs="Times New Roman"/>
                <w:color w:val="auto"/>
                <w:sz w:val="24"/>
                <w:szCs w:val="24"/>
                <w:highlight w:val="none"/>
                <w:lang w:eastAsia="zh-CN"/>
              </w:rPr>
              <w:t>市政</w:t>
            </w:r>
            <w:r>
              <w:rPr>
                <w:rFonts w:hint="default" w:ascii="Times New Roman" w:hAnsi="Times New Roman" w:cs="Times New Roman"/>
                <w:color w:val="auto"/>
                <w:sz w:val="24"/>
                <w:szCs w:val="24"/>
                <w:highlight w:val="none"/>
              </w:rPr>
              <w:t>府所在地红塔区90km。</w:t>
            </w:r>
          </w:p>
          <w:p w14:paraId="5E64343D">
            <w:pPr>
              <w:pStyle w:val="6"/>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扬武镇位于新平县东南部，东临石屏、南接元江、北邻峨山、西连新平县城，国道213线、323线横穿集镇，是玉溪、红河、普洱三地州（市）四县五乡（镇）物资集散地和八方商贾云集之地。</w:t>
            </w:r>
          </w:p>
          <w:p w14:paraId="15EA3EE6">
            <w:pPr>
              <w:pStyle w:val="6"/>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本项目位于云南玉溪仙福钢铁（集团）有限公司内，在现有场地建设，不另行征地，本工程建设场地位于该公司新</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高炉区的北侧。该场地南邻新</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高炉出铁场，东侧为铁水运输铁路，北侧为成品堆场，西侧为原</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高炉循环水泵房、风机房及</w:t>
            </w:r>
            <w:r>
              <w:rPr>
                <w:rFonts w:hint="default" w:ascii="Times New Roman" w:hAnsi="Times New Roman" w:cs="Times New Roman"/>
                <w:color w:val="auto"/>
                <w:sz w:val="24"/>
                <w:szCs w:val="24"/>
                <w:highlight w:val="none"/>
                <w:lang w:val="en-US" w:eastAsia="zh-CN"/>
              </w:rPr>
              <w:t>G213</w:t>
            </w:r>
            <w:r>
              <w:rPr>
                <w:rFonts w:hint="eastAsia" w:ascii="Times New Roman" w:hAnsi="Times New Roman" w:cs="Times New Roman"/>
                <w:color w:val="auto"/>
                <w:sz w:val="24"/>
                <w:szCs w:val="24"/>
                <w:highlight w:val="none"/>
                <w:lang w:val="en-US" w:eastAsia="zh-CN"/>
              </w:rPr>
              <w:t>国道，厂区物料皮带运输通廊从场地中间跨越。本工程建设总占地面积约为</w:t>
            </w:r>
            <w:r>
              <w:rPr>
                <w:rFonts w:hint="default" w:ascii="Times New Roman" w:hAnsi="Times New Roman" w:cs="Times New Roman"/>
                <w:color w:val="auto"/>
                <w:sz w:val="24"/>
                <w:szCs w:val="24"/>
                <w:highlight w:val="none"/>
                <w:lang w:val="en-US" w:eastAsia="zh-CN"/>
              </w:rPr>
              <w:t>13350m</w:t>
            </w:r>
            <w:r>
              <w:rPr>
                <w:rFonts w:hint="default" w:ascii="Times New Roman" w:hAnsi="Times New Roman"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本项目中心坐标为东经：</w:t>
            </w:r>
            <w:r>
              <w:rPr>
                <w:rFonts w:hint="default" w:ascii="Times New Roman" w:hAnsi="Times New Roman" w:cs="Times New Roman"/>
                <w:color w:val="auto"/>
                <w:sz w:val="24"/>
                <w:szCs w:val="24"/>
                <w:highlight w:val="none"/>
                <w:lang w:val="en-US" w:eastAsia="zh-CN"/>
              </w:rPr>
              <w:t>102°11′11.35</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val="en-US" w:eastAsia="zh-CN"/>
              </w:rPr>
              <w:t>24°0′47.656″</w:t>
            </w:r>
            <w:r>
              <w:rPr>
                <w:rFonts w:hint="eastAsia" w:ascii="Times New Roman" w:hAnsi="Times New Roman" w:cs="Times New Roman"/>
                <w:color w:val="auto"/>
                <w:sz w:val="24"/>
                <w:szCs w:val="24"/>
                <w:highlight w:val="none"/>
                <w:lang w:val="en-US" w:eastAsia="zh-CN"/>
              </w:rPr>
              <w:t>。</w:t>
            </w:r>
          </w:p>
          <w:p w14:paraId="1CECEC7F">
            <w:pPr>
              <w:pStyle w:val="6"/>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本项目地理位置详见附图1</w:t>
            </w:r>
            <w:r>
              <w:rPr>
                <w:rFonts w:hint="eastAsia" w:ascii="Times New Roman" w:hAnsi="Times New Roman" w:cs="Times New Roman"/>
                <w:color w:val="auto"/>
                <w:sz w:val="24"/>
                <w:szCs w:val="24"/>
                <w:highlight w:val="none"/>
                <w:lang w:val="en-US" w:eastAsia="zh-CN"/>
              </w:rPr>
              <w:t>。</w:t>
            </w:r>
          </w:p>
          <w:p w14:paraId="17F661C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2.2项目由来</w:t>
            </w:r>
          </w:p>
          <w:p w14:paraId="1F00388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smallCaps/>
                <w:color w:val="auto"/>
                <w:kern w:val="0"/>
                <w:sz w:val="24"/>
                <w:highlight w:val="none"/>
              </w:rPr>
              <w:t>钢铁生产中伴生大量的煤气，扣除钢铁生产自用后，尚剩有大量煤气可供电厂燃用，</w:t>
            </w:r>
            <w:r>
              <w:rPr>
                <w:rFonts w:hint="default" w:ascii="Times New Roman" w:hAnsi="Times New Roman" w:cs="Times New Roman"/>
                <w:color w:val="auto"/>
                <w:sz w:val="24"/>
                <w:highlight w:val="none"/>
              </w:rPr>
              <w:t>充分利用大量富余的低热值煤气来发电，可实现企业资源优化配置，降低企业综合能耗和生产成本，增加企业的经济效益和市场竞争能力。</w:t>
            </w:r>
          </w:p>
          <w:p w14:paraId="3E31BC5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i w:val="0"/>
                <w:iCs w:val="0"/>
                <w:color w:val="000000"/>
                <w:kern w:val="0"/>
                <w:sz w:val="24"/>
                <w:szCs w:val="24"/>
                <w:u w:val="none"/>
                <w:lang w:val="en-US" w:eastAsia="zh-CN" w:bidi="ar"/>
              </w:rPr>
              <w:t>仙福公司现有1套</w:t>
            </w:r>
            <w:r>
              <w:rPr>
                <w:rFonts w:hint="eastAsia" w:ascii="Times New Roman" w:hAnsi="Times New Roman" w:eastAsia="宋体" w:cs="Times New Roman"/>
                <w:color w:val="auto"/>
                <w:sz w:val="24"/>
                <w:highlight w:val="none"/>
                <w:lang w:val="en-US" w:eastAsia="zh-CN"/>
              </w:rPr>
              <w:t>12MW中温中压煤气发电机组（配套1台75t/h中温中压煤气锅炉）、1套25MW中温中压煤气发电机组（配套1台130t/h中温中压煤气锅炉）、1套20MW煤气+烧结余热发电机组（配套1套55t/h中温中压煤气锅炉）以及1套110MW超高温亚临界煤气发电机组。目前12MW、25MW2套中温中压发电机组用作110MW发电机组的备用机组，消纳剩余高炉煤气，低负荷时轮流开机运行，20MW煤气+烧结余热发电机组基本处于闲置状态。</w:t>
            </w:r>
          </w:p>
          <w:p w14:paraId="233DB7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color w:val="auto"/>
                <w:kern w:val="2"/>
                <w:sz w:val="24"/>
                <w:szCs w:val="21"/>
                <w:highlight w:val="none"/>
                <w:lang w:val="en-US" w:eastAsia="zh-CN" w:bidi="ar-SA"/>
              </w:rPr>
              <w:t>根据《云南玉溪仙福钢铁（集团）有限公司配套100万吨/年焦化建设项目环境影响报告书》可知，焦化项目副产品焦炉煤气通过管道输送至仙福公司发电使用</w:t>
            </w:r>
            <w:r>
              <w:rPr>
                <w:rFonts w:hint="eastAsia" w:cs="Times New Roman"/>
                <w:color w:val="auto"/>
                <w:kern w:val="2"/>
                <w:sz w:val="24"/>
                <w:szCs w:val="21"/>
                <w:highlight w:val="none"/>
                <w:lang w:val="en-US" w:eastAsia="zh-CN" w:bidi="ar-SA"/>
              </w:rPr>
              <w:t>，已</w:t>
            </w:r>
            <w:r>
              <w:rPr>
                <w:rFonts w:hint="default" w:ascii="Times New Roman" w:hAnsi="Times New Roman" w:eastAsia="宋体" w:cs="Times New Roman"/>
                <w:color w:val="auto"/>
                <w:sz w:val="24"/>
                <w:highlight w:val="none"/>
                <w:lang w:val="en-US" w:eastAsia="zh-CN"/>
              </w:rPr>
              <w:t>配套建设焦炉烟气除尘脱硝净化装置、煤气净化、焦处理等设施</w:t>
            </w:r>
            <w:r>
              <w:rPr>
                <w:rFonts w:hint="eastAsia" w:cs="Times New Roman"/>
                <w:color w:val="auto"/>
                <w:sz w:val="24"/>
                <w:highlight w:val="none"/>
                <w:lang w:val="en-US" w:eastAsia="zh-CN"/>
              </w:rPr>
              <w:t>，废气执行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关于推进实施焦化行业超低排放的意见</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环大气〔2024〕5号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中标准要求</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随着新建配套100万吨/年焦化项目，须对钢焦联产后的煤气进行重新平衡，根据富余煤气量估算，仅一台110MW超高温亚临界煤气发电站不足以完全消纳钢厂内的富余煤气。因此，后期考虑将25MW中温中压发电机组仅作备用机组，停用12MW中温中压发电机组和20MW煤气+烧结余热发电机组，富余出来的煤气用于改造建设1套80MW超高温亚临界煤气发电机组，以实现进一步提升富余煤气利用能效。</w:t>
            </w:r>
          </w:p>
          <w:p w14:paraId="324B38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本期煤气综合利用电厂投产后可回收利用</w:t>
            </w:r>
            <w:r>
              <w:rPr>
                <w:rFonts w:hint="eastAsia" w:ascii="Times New Roman" w:hAnsi="Times New Roman" w:cs="Times New Roman"/>
                <w:color w:val="auto"/>
                <w:sz w:val="24"/>
                <w:highlight w:val="none"/>
                <w:lang w:val="en-US" w:eastAsia="zh-CN"/>
              </w:rPr>
              <w:t>仙福钢铁（集团）</w:t>
            </w:r>
            <w:r>
              <w:rPr>
                <w:rFonts w:hint="default" w:ascii="Times New Roman" w:hAnsi="Times New Roman" w:cs="Times New Roman"/>
                <w:color w:val="auto"/>
                <w:sz w:val="24"/>
                <w:highlight w:val="none"/>
              </w:rPr>
              <w:t>有限公司富余的低热值煤气来生产电力，极大地提高了热能利用率，节约了大量能源，优化了能源结构的配置，避免了环境的严重污染，机组生产的电力钢厂</w:t>
            </w:r>
            <w:r>
              <w:rPr>
                <w:rFonts w:hint="eastAsia" w:ascii="Times New Roman" w:hAnsi="Times New Roman" w:cs="Times New Roman"/>
                <w:color w:val="auto"/>
                <w:sz w:val="24"/>
                <w:highlight w:val="none"/>
                <w:lang w:val="en-US" w:eastAsia="zh-CN"/>
              </w:rPr>
              <w:t>可自发自用，少量余电上网</w:t>
            </w:r>
            <w:r>
              <w:rPr>
                <w:rFonts w:hint="default" w:ascii="Times New Roman" w:hAnsi="Times New Roman" w:cs="Times New Roman"/>
                <w:color w:val="auto"/>
                <w:sz w:val="24"/>
                <w:highlight w:val="none"/>
              </w:rPr>
              <w:t>，缓解了生产用电的供需矛盾，降低企业成本，对钢厂的经济效益和安全生产，对所在地区的环境保护和经济</w:t>
            </w:r>
            <w:r>
              <w:rPr>
                <w:rFonts w:hint="eastAsia" w:cs="Times New Roman"/>
                <w:color w:val="auto"/>
                <w:sz w:val="24"/>
                <w:highlight w:val="none"/>
                <w:lang w:val="en-US" w:eastAsia="zh-CN"/>
              </w:rPr>
              <w:t>可</w:t>
            </w:r>
            <w:r>
              <w:rPr>
                <w:rFonts w:hint="default" w:ascii="Times New Roman" w:hAnsi="Times New Roman" w:cs="Times New Roman"/>
                <w:color w:val="auto"/>
                <w:sz w:val="24"/>
                <w:highlight w:val="none"/>
              </w:rPr>
              <w:t>持续发展都起着重要作用。</w:t>
            </w:r>
          </w:p>
          <w:p w14:paraId="5F2BEB9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确定编制环境影响评价文件类别的依据</w:t>
            </w:r>
            <w:r>
              <w:rPr>
                <w:rFonts w:hint="eastAsia" w:eastAsia="宋体" w:cs="Times New Roman"/>
                <w:b/>
                <w:bCs/>
                <w:color w:val="auto"/>
                <w:kern w:val="0"/>
                <w:sz w:val="24"/>
                <w:szCs w:val="24"/>
                <w:lang w:val="en-US" w:eastAsia="zh-CN" w:bidi="ar"/>
              </w:rPr>
              <w:t>：</w:t>
            </w:r>
          </w:p>
          <w:p w14:paraId="76B607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根据《建设项目环境影响评价分类管理名录（</w:t>
            </w:r>
            <w:r>
              <w:rPr>
                <w:rFonts w:hint="default" w:ascii="Times New Roman" w:hAnsi="Times New Roman" w:eastAsia="宋体" w:cs="Times New Roman"/>
                <w:color w:val="auto"/>
                <w:kern w:val="0"/>
                <w:sz w:val="24"/>
                <w:szCs w:val="24"/>
                <w:lang w:val="en-US" w:eastAsia="zh-CN" w:bidi="ar"/>
              </w:rPr>
              <w:t>2021</w:t>
            </w:r>
            <w:r>
              <w:rPr>
                <w:rFonts w:hint="eastAsia" w:ascii="Times New Roman" w:hAnsi="Times New Roman" w:eastAsia="宋体" w:cs="Times New Roman"/>
                <w:color w:val="auto"/>
                <w:kern w:val="0"/>
                <w:sz w:val="24"/>
                <w:szCs w:val="24"/>
                <w:lang w:val="en-US" w:eastAsia="zh-CN" w:bidi="ar"/>
              </w:rPr>
              <w:t>年版）》（生态环境部部令第</w:t>
            </w:r>
            <w:r>
              <w:rPr>
                <w:rFonts w:hint="default" w:ascii="Times New Roman" w:hAnsi="Times New Roman" w:eastAsia="宋体" w:cs="Times New Roman"/>
                <w:color w:val="auto"/>
                <w:kern w:val="0"/>
                <w:sz w:val="24"/>
                <w:szCs w:val="24"/>
                <w:lang w:val="en-US" w:eastAsia="zh-CN" w:bidi="ar"/>
              </w:rPr>
              <w:t>16</w:t>
            </w:r>
            <w:r>
              <w:rPr>
                <w:rFonts w:hint="eastAsia" w:ascii="Times New Roman" w:hAnsi="Times New Roman" w:eastAsia="宋体" w:cs="Times New Roman"/>
                <w:color w:val="auto"/>
                <w:kern w:val="0"/>
                <w:sz w:val="24"/>
                <w:szCs w:val="24"/>
                <w:lang w:val="en-US" w:eastAsia="zh-CN" w:bidi="ar"/>
              </w:rPr>
              <w:t>号，</w:t>
            </w:r>
            <w:r>
              <w:rPr>
                <w:rFonts w:hint="default" w:ascii="Times New Roman" w:hAnsi="Times New Roman" w:eastAsia="宋体" w:cs="Times New Roman"/>
                <w:color w:val="auto"/>
                <w:kern w:val="0"/>
                <w:sz w:val="24"/>
                <w:szCs w:val="24"/>
                <w:lang w:val="en-US" w:eastAsia="zh-CN" w:bidi="ar"/>
              </w:rPr>
              <w:t>2021</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01</w:t>
            </w:r>
            <w:r>
              <w:rPr>
                <w:rFonts w:hint="eastAsia" w:ascii="Times New Roman" w:hAnsi="Times New Roman" w:eastAsia="宋体" w:cs="Times New Roman"/>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01</w:t>
            </w:r>
            <w:r>
              <w:rPr>
                <w:rFonts w:hint="eastAsia" w:ascii="Times New Roman" w:hAnsi="Times New Roman" w:eastAsia="宋体" w:cs="Times New Roman"/>
                <w:color w:val="auto"/>
                <w:kern w:val="0"/>
                <w:sz w:val="24"/>
                <w:szCs w:val="24"/>
                <w:lang w:val="en-US" w:eastAsia="zh-CN" w:bidi="ar"/>
              </w:rPr>
              <w:t>日实施），本项目属于名录中：</w:t>
            </w:r>
            <w:r>
              <w:rPr>
                <w:rFonts w:hint="eastAsia" w:eastAsia="宋体" w:cs="Times New Roman"/>
                <w:color w:val="auto"/>
                <w:kern w:val="0"/>
                <w:sz w:val="24"/>
                <w:szCs w:val="24"/>
                <w:lang w:val="en-US" w:eastAsia="zh-CN" w:bidi="ar"/>
              </w:rPr>
              <w:t>四十一</w:t>
            </w:r>
            <w:r>
              <w:rPr>
                <w:rFonts w:hint="eastAsia" w:ascii="Times New Roman" w:hAnsi="Times New Roman" w:eastAsia="宋体" w:cs="Times New Roman"/>
                <w:color w:val="auto"/>
                <w:kern w:val="0"/>
                <w:sz w:val="24"/>
                <w:szCs w:val="24"/>
                <w:lang w:val="en-US" w:eastAsia="zh-CN" w:bidi="ar"/>
              </w:rPr>
              <w:t>、</w:t>
            </w:r>
            <w:r>
              <w:rPr>
                <w:rFonts w:hint="eastAsia" w:eastAsia="宋体" w:cs="Times New Roman"/>
                <w:color w:val="auto"/>
                <w:kern w:val="0"/>
                <w:sz w:val="24"/>
                <w:szCs w:val="24"/>
                <w:lang w:val="en-US" w:eastAsia="zh-CN" w:bidi="ar"/>
              </w:rPr>
              <w:t>电力、热力生产和供应业，火力发电，热电联产中的“燃气发电”</w:t>
            </w:r>
            <w:r>
              <w:rPr>
                <w:rFonts w:hint="eastAsia" w:ascii="Times New Roman" w:hAnsi="Times New Roman" w:eastAsia="宋体" w:cs="Times New Roman"/>
                <w:color w:val="auto"/>
                <w:kern w:val="0"/>
                <w:sz w:val="24"/>
                <w:szCs w:val="24"/>
                <w:lang w:val="en-US" w:eastAsia="zh-CN" w:bidi="ar"/>
              </w:rPr>
              <w:t>，应当编制环境影响报告表。</w:t>
            </w:r>
          </w:p>
          <w:p w14:paraId="20E29A04">
            <w:pPr>
              <w:bidi w:val="0"/>
              <w:ind w:left="0" w:leftChars="0" w:firstLine="0" w:firstLineChars="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表2-1  建设项目环境影响评价分类管理名录</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959"/>
              <w:gridCol w:w="2230"/>
              <w:gridCol w:w="1983"/>
              <w:gridCol w:w="1064"/>
            </w:tblGrid>
            <w:tr w14:paraId="3AC35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71C555AB">
                  <w:pPr>
                    <w:keepNext w:val="0"/>
                    <w:keepLines w:val="0"/>
                    <w:widowControl/>
                    <w:suppressLineNumbers w:val="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bCs/>
                      <w:color w:val="auto"/>
                      <w:kern w:val="0"/>
                      <w:sz w:val="18"/>
                      <w:szCs w:val="18"/>
                      <w:highlight w:val="none"/>
                      <w:lang w:val="en-US" w:eastAsia="zh-CN" w:bidi="ar"/>
                    </w:rPr>
                    <w:t>《建设项目环境影响评价分类管理名录》（2021年版）</w:t>
                  </w:r>
                </w:p>
              </w:tc>
            </w:tr>
            <w:tr w14:paraId="4116D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15" w:type="pct"/>
                  <w:gridSpan w:val="2"/>
                  <w:tcBorders>
                    <w:tl2br w:val="nil"/>
                    <w:tr2bl w:val="nil"/>
                  </w:tcBorders>
                  <w:vAlign w:val="center"/>
                </w:tcPr>
                <w:p w14:paraId="58615F9E">
                  <w:pPr>
                    <w:keepNext w:val="0"/>
                    <w:keepLines w:val="0"/>
                    <w:pageBreakBefore w:val="0"/>
                    <w:widowControl w:val="0"/>
                    <w:kinsoku/>
                    <w:wordWrap/>
                    <w:overflowPunct/>
                    <w:topLinePunct w:val="0"/>
                    <w:autoSpaceDE/>
                    <w:autoSpaceDN/>
                    <w:bidi w:val="0"/>
                    <w:adjustRightInd/>
                    <w:snapToGrid/>
                    <w:spacing w:line="320" w:lineRule="exact"/>
                    <w:ind w:firstLine="0" w:firstLineChars="0"/>
                    <w:jc w:val="right"/>
                    <w:textAlignment w:val="auto"/>
                    <w:rPr>
                      <w:rFonts w:hint="eastAsia" w:ascii="Times New Roman" w:hAnsi="Times New Roman" w:eastAsia="宋体" w:cs="Times New Roman"/>
                      <w:color w:val="auto"/>
                      <w:sz w:val="18"/>
                      <w:szCs w:val="18"/>
                      <w:highlight w:val="none"/>
                      <w:vertAlign w:val="baseline"/>
                      <w:lang w:val="en-US" w:eastAsia="zh-CN"/>
                    </w:rPr>
                  </w:pPr>
                  <w:r>
                    <w:rPr>
                      <w:color w:val="auto"/>
                      <w:sz w:val="18"/>
                      <w:highlight w:val="none"/>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8255</wp:posOffset>
                            </wp:positionV>
                            <wp:extent cx="1760220" cy="415290"/>
                            <wp:effectExtent l="86995" t="20320" r="95885" b="154940"/>
                            <wp:wrapNone/>
                            <wp:docPr id="8" name="直接连接符 8"/>
                            <wp:cNvGraphicFramePr/>
                            <a:graphic xmlns:a="http://schemas.openxmlformats.org/drawingml/2006/main">
                              <a:graphicData uri="http://schemas.microsoft.com/office/word/2010/wordprocessingShape">
                                <wps:wsp>
                                  <wps:cNvCnPr/>
                                  <wps:spPr>
                                    <a:xfrm>
                                      <a:off x="1454150" y="8949055"/>
                                      <a:ext cx="1760220" cy="41529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4.5pt;margin-top:0.65pt;height:32.7pt;width:138.6pt;z-index:251660288;mso-width-relative:page;mso-height-relative:page;" filled="f" stroked="t" coordsize="21600,21600" o:gfxdata="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yG9M1gAAAAcBAAAPAAAAAAAAAAEAIAAAACIA&#10;AABkcnMvZG93bnJldi54bWxQSwECFAAUAAAACACHTuJAN4SFt0QCAAB6BAAADgAAAAAAAAABACAA&#10;AAAlAQAAZHJzL2Uyb0RvYy54bWxQSwUGAAAAAAYABgBZAQAA2wUAAAAA&#10;">
                            <v:fill on="f" focussize="0,0"/>
                            <v:stroke weight="0.5pt" color="#000000 [3213]" miterlimit="8" joinstyle="miter"/>
                            <v:imagedata o:title=""/>
                            <o:lock v:ext="edit" aspectratio="f"/>
                            <v:shadow on="t" color="#FFFFFF [3216]" opacity="39321f" offset="0pt,4pt" origin="0f,0f" matrix="65536f,0f,0f,65536f"/>
                          </v:line>
                        </w:pict>
                      </mc:Fallback>
                    </mc:AlternateContent>
                  </w:r>
                  <w:r>
                    <w:rPr>
                      <w:rFonts w:hint="eastAsia" w:ascii="Times New Roman" w:hAnsi="Times New Roman" w:eastAsia="宋体" w:cs="Times New Roman"/>
                      <w:color w:val="auto"/>
                      <w:sz w:val="18"/>
                      <w:szCs w:val="18"/>
                      <w:highlight w:val="none"/>
                      <w:vertAlign w:val="baseline"/>
                      <w:lang w:val="en-US" w:eastAsia="zh-CN"/>
                    </w:rPr>
                    <w:t>环评类别</w:t>
                  </w:r>
                </w:p>
                <w:p w14:paraId="6A293DAF">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项目类别</w:t>
                  </w:r>
                </w:p>
              </w:tc>
              <w:tc>
                <w:tcPr>
                  <w:tcW w:w="1387" w:type="pct"/>
                  <w:tcBorders>
                    <w:tl2br w:val="nil"/>
                    <w:tr2bl w:val="nil"/>
                  </w:tcBorders>
                  <w:vAlign w:val="center"/>
                </w:tcPr>
                <w:p w14:paraId="79B204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报告书</w:t>
                  </w:r>
                </w:p>
              </w:tc>
              <w:tc>
                <w:tcPr>
                  <w:tcW w:w="1234" w:type="pct"/>
                  <w:tcBorders>
                    <w:tl2br w:val="nil"/>
                    <w:tr2bl w:val="nil"/>
                  </w:tcBorders>
                  <w:vAlign w:val="center"/>
                </w:tcPr>
                <w:p w14:paraId="30D5C28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报告表</w:t>
                  </w:r>
                </w:p>
              </w:tc>
              <w:tc>
                <w:tcPr>
                  <w:tcW w:w="662" w:type="pct"/>
                  <w:tcBorders>
                    <w:tl2br w:val="nil"/>
                    <w:tr2bl w:val="nil"/>
                  </w:tcBorders>
                  <w:vAlign w:val="center"/>
                </w:tcPr>
                <w:p w14:paraId="276E3D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登记表</w:t>
                  </w:r>
                </w:p>
              </w:tc>
            </w:tr>
            <w:tr w14:paraId="1A8306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505D3B5C">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eastAsia="宋体" w:cs="Times New Roman"/>
                      <w:b/>
                      <w:bCs/>
                      <w:color w:val="auto"/>
                      <w:sz w:val="18"/>
                      <w:szCs w:val="18"/>
                      <w:highlight w:val="none"/>
                      <w:vertAlign w:val="baseline"/>
                      <w:lang w:val="en-US" w:eastAsia="zh-CN"/>
                    </w:rPr>
                    <w:t>四十一</w:t>
                  </w:r>
                  <w:r>
                    <w:rPr>
                      <w:rFonts w:hint="eastAsia" w:ascii="Times New Roman" w:hAnsi="Times New Roman" w:eastAsia="宋体" w:cs="Times New Roman"/>
                      <w:b/>
                      <w:bCs/>
                      <w:color w:val="auto"/>
                      <w:sz w:val="18"/>
                      <w:szCs w:val="18"/>
                      <w:highlight w:val="none"/>
                      <w:vertAlign w:val="baseline"/>
                      <w:lang w:val="en-US" w:eastAsia="zh-CN"/>
                    </w:rPr>
                    <w:t>、</w:t>
                  </w:r>
                  <w:r>
                    <w:rPr>
                      <w:rFonts w:hint="eastAsia" w:eastAsia="宋体" w:cs="Times New Roman"/>
                      <w:b/>
                      <w:bCs/>
                      <w:color w:val="auto"/>
                      <w:sz w:val="18"/>
                      <w:szCs w:val="18"/>
                      <w:highlight w:val="none"/>
                      <w:vertAlign w:val="baseline"/>
                      <w:lang w:val="en-US" w:eastAsia="zh-CN"/>
                    </w:rPr>
                    <w:t>电力、热力生产和供应业</w:t>
                  </w:r>
                </w:p>
              </w:tc>
            </w:tr>
            <w:tr w14:paraId="0CA5D7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tcBorders>
                    <w:tl2br w:val="nil"/>
                    <w:tr2bl w:val="nil"/>
                  </w:tcBorders>
                  <w:vAlign w:val="center"/>
                </w:tcPr>
                <w:p w14:paraId="4E029F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eastAsia="宋体" w:cs="Times New Roman"/>
                      <w:color w:val="auto"/>
                      <w:sz w:val="18"/>
                      <w:szCs w:val="18"/>
                      <w:highlight w:val="none"/>
                      <w:vertAlign w:val="baseline"/>
                      <w:lang w:val="en-US" w:eastAsia="zh-CN"/>
                    </w:rPr>
                    <w:t>87</w:t>
                  </w:r>
                </w:p>
              </w:tc>
              <w:tc>
                <w:tcPr>
                  <w:tcW w:w="1219" w:type="pct"/>
                  <w:tcBorders>
                    <w:tl2br w:val="nil"/>
                    <w:tr2bl w:val="nil"/>
                  </w:tcBorders>
                  <w:vAlign w:val="center"/>
                </w:tcPr>
                <w:p w14:paraId="3DD1047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火力发电4411；热电联产4412（4411和4412均含掺烧生活垃圾发电、掺烧污泥发电）</w:t>
                  </w:r>
                </w:p>
              </w:tc>
              <w:tc>
                <w:tcPr>
                  <w:tcW w:w="1387" w:type="pct"/>
                  <w:tcBorders>
                    <w:tl2br w:val="nil"/>
                    <w:tr2bl w:val="nil"/>
                  </w:tcBorders>
                  <w:vAlign w:val="center"/>
                </w:tcPr>
                <w:p w14:paraId="7F15A43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火力发电和热电联产（发电机组节能改造的除外；燃气发电除外；单纯利用余热、余压、余气（含煤矿瓦斯）发电的除外）</w:t>
                  </w:r>
                </w:p>
              </w:tc>
              <w:tc>
                <w:tcPr>
                  <w:tcW w:w="1234" w:type="pct"/>
                  <w:tcBorders>
                    <w:tl2br w:val="nil"/>
                    <w:tr2bl w:val="nil"/>
                  </w:tcBorders>
                  <w:vAlign w:val="center"/>
                </w:tcPr>
                <w:p w14:paraId="6FFB568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燃气发电；单纯利用余气（含煤矿瓦斯）发电</w:t>
                  </w:r>
                </w:p>
              </w:tc>
              <w:tc>
                <w:tcPr>
                  <w:tcW w:w="662" w:type="pct"/>
                  <w:tcBorders>
                    <w:tl2br w:val="nil"/>
                    <w:tr2bl w:val="nil"/>
                  </w:tcBorders>
                  <w:vAlign w:val="center"/>
                </w:tcPr>
                <w:p w14:paraId="4AADBA0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bl>
          <w:p w14:paraId="7A3689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2工程内容</w:t>
            </w:r>
          </w:p>
          <w:p w14:paraId="1C73F70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（1）项目建设内容</w:t>
            </w:r>
          </w:p>
          <w:p w14:paraId="3B6FAB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主要建设内容为：</w:t>
            </w:r>
            <w:r>
              <w:rPr>
                <w:rFonts w:hint="default" w:ascii="Times New Roman" w:hAnsi="Times New Roman" w:cs="Times New Roman"/>
                <w:color w:val="auto"/>
                <w:sz w:val="24"/>
                <w:highlight w:val="none"/>
              </w:rPr>
              <w:t>1×</w:t>
            </w:r>
            <w:r>
              <w:rPr>
                <w:rFonts w:hint="eastAsia"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rPr>
              <w:t>0t/h</w:t>
            </w:r>
            <w:r>
              <w:rPr>
                <w:rFonts w:hint="default" w:ascii="Times New Roman" w:hAnsi="Times New Roman" w:cs="Times New Roman"/>
                <w:color w:val="auto"/>
                <w:sz w:val="24"/>
                <w:highlight w:val="none"/>
                <w:lang w:eastAsia="zh-CN"/>
              </w:rPr>
              <w:t>超高温亚临界</w:t>
            </w:r>
            <w:r>
              <w:rPr>
                <w:rFonts w:hint="default" w:ascii="Times New Roman" w:hAnsi="Times New Roman" w:cs="Times New Roman"/>
                <w:color w:val="auto"/>
                <w:sz w:val="24"/>
                <w:highlight w:val="none"/>
              </w:rPr>
              <w:t>煤气锅炉+1×</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eastAsia="zh-CN"/>
              </w:rPr>
              <w:t>0MW</w:t>
            </w:r>
            <w:r>
              <w:rPr>
                <w:rFonts w:hint="eastAsia" w:cs="Times New Roman"/>
                <w:color w:val="auto"/>
                <w:sz w:val="24"/>
                <w:highlight w:val="none"/>
                <w:lang w:val="en-US" w:eastAsia="zh-CN"/>
              </w:rPr>
              <w:t>超高温亚临界</w:t>
            </w:r>
            <w:r>
              <w:rPr>
                <w:rFonts w:hint="default" w:ascii="Times New Roman" w:hAnsi="Times New Roman" w:cs="Times New Roman"/>
                <w:color w:val="auto"/>
                <w:sz w:val="24"/>
                <w:highlight w:val="none"/>
              </w:rPr>
              <w:t>中间一次再热凝汽式汽轮机+1×</w:t>
            </w:r>
            <w:r>
              <w:rPr>
                <w:rFonts w:hint="eastAsia"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lang w:val="en-US" w:eastAsia="zh-CN"/>
              </w:rPr>
              <w:t>MW</w:t>
            </w:r>
            <w:r>
              <w:rPr>
                <w:rFonts w:hint="default" w:ascii="Times New Roman" w:hAnsi="Times New Roman" w:cs="Times New Roman"/>
                <w:color w:val="auto"/>
                <w:sz w:val="24"/>
                <w:highlight w:val="none"/>
              </w:rPr>
              <w:t>发电机组</w:t>
            </w:r>
            <w:r>
              <w:rPr>
                <w:rFonts w:hint="eastAsia" w:cs="Times New Roman"/>
                <w:color w:val="auto"/>
                <w:sz w:val="24"/>
                <w:highlight w:val="none"/>
                <w:lang w:eastAsia="zh-CN"/>
              </w:rPr>
              <w:t>，</w:t>
            </w:r>
            <w:r>
              <w:rPr>
                <w:rFonts w:hint="eastAsia" w:cs="Times New Roman"/>
                <w:color w:val="auto"/>
                <w:sz w:val="24"/>
                <w:highlight w:val="none"/>
                <w:lang w:val="en-US" w:eastAsia="zh-CN"/>
              </w:rPr>
              <w:t>并配套建设锅炉补给水处理系统、循环冷却水系</w:t>
            </w:r>
            <w:r>
              <w:rPr>
                <w:rFonts w:hint="eastAsia" w:ascii="Times New Roman" w:hAnsi="Times New Roman" w:eastAsia="宋体" w:cs="Times New Roman"/>
                <w:color w:val="auto"/>
                <w:sz w:val="24"/>
                <w:highlight w:val="none"/>
                <w:lang w:val="en-US" w:eastAsia="zh-CN"/>
              </w:rPr>
              <w:t>统、</w:t>
            </w:r>
            <w:r>
              <w:rPr>
                <w:rFonts w:hint="default" w:ascii="Times New Roman" w:hAnsi="Times New Roman" w:eastAsia="宋体" w:cs="Times New Roman"/>
                <w:color w:val="auto"/>
                <w:sz w:val="24"/>
                <w:highlight w:val="none"/>
                <w:lang w:val="en-US" w:eastAsia="zh-CN"/>
              </w:rPr>
              <w:t>烟气治理系统</w:t>
            </w:r>
            <w:r>
              <w:rPr>
                <w:rFonts w:hint="eastAsia" w:ascii="Times New Roman" w:hAnsi="Times New Roman" w:eastAsia="宋体" w:cs="Times New Roman"/>
                <w:color w:val="auto"/>
                <w:sz w:val="24"/>
                <w:highlight w:val="none"/>
                <w:lang w:val="en-US" w:eastAsia="zh-CN"/>
              </w:rPr>
              <w:t>、电气系统等辅助设施</w:t>
            </w:r>
            <w:r>
              <w:rPr>
                <w:rFonts w:hint="eastAsia" w:cs="Times New Roman"/>
                <w:color w:val="auto"/>
                <w:sz w:val="24"/>
                <w:highlight w:val="none"/>
                <w:lang w:val="en-US" w:eastAsia="zh-CN"/>
              </w:rPr>
              <w:t>；本项目不单独设置煤气柜，依托厂区煤气柜。</w:t>
            </w:r>
          </w:p>
          <w:p w14:paraId="58D30DFE">
            <w:pPr>
              <w:pStyle w:val="28"/>
              <w:keepNext/>
              <w:keepLines/>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表2-2  煤气发电机组建设内容一览表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33"/>
              <w:gridCol w:w="1122"/>
              <w:gridCol w:w="4997"/>
              <w:gridCol w:w="780"/>
            </w:tblGrid>
            <w:tr w14:paraId="33E905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5" w:type="pct"/>
                  <w:tcBorders>
                    <w:tl2br w:val="nil"/>
                    <w:tr2bl w:val="nil"/>
                  </w:tcBorders>
                  <w:vAlign w:val="center"/>
                </w:tcPr>
                <w:p w14:paraId="7F5D647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工程内容</w:t>
                  </w:r>
                </w:p>
              </w:tc>
              <w:tc>
                <w:tcPr>
                  <w:tcW w:w="968" w:type="pct"/>
                  <w:gridSpan w:val="2"/>
                  <w:tcBorders>
                    <w:tl2br w:val="nil"/>
                    <w:tr2bl w:val="nil"/>
                  </w:tcBorders>
                  <w:vAlign w:val="center"/>
                </w:tcPr>
                <w:p w14:paraId="6A38185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名称</w:t>
                  </w:r>
                </w:p>
              </w:tc>
              <w:tc>
                <w:tcPr>
                  <w:tcW w:w="3111" w:type="pct"/>
                  <w:tcBorders>
                    <w:tl2br w:val="nil"/>
                    <w:tr2bl w:val="nil"/>
                  </w:tcBorders>
                  <w:vAlign w:val="center"/>
                </w:tcPr>
                <w:p w14:paraId="48CE7E0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建设内容及规模</w:t>
                  </w:r>
                </w:p>
              </w:tc>
              <w:tc>
                <w:tcPr>
                  <w:tcW w:w="485" w:type="pct"/>
                  <w:tcBorders>
                    <w:tl2br w:val="nil"/>
                    <w:tr2bl w:val="nil"/>
                  </w:tcBorders>
                  <w:vAlign w:val="center"/>
                </w:tcPr>
                <w:p w14:paraId="1D4974D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备注</w:t>
                  </w:r>
                </w:p>
              </w:tc>
            </w:tr>
            <w:tr w14:paraId="7F91B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35" w:type="pct"/>
                  <w:vMerge w:val="restart"/>
                  <w:tcBorders>
                    <w:tl2br w:val="nil"/>
                    <w:tr2bl w:val="nil"/>
                  </w:tcBorders>
                  <w:vAlign w:val="center"/>
                </w:tcPr>
                <w:p w14:paraId="63EF22B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主体工程</w:t>
                  </w:r>
                </w:p>
              </w:tc>
              <w:tc>
                <w:tcPr>
                  <w:tcW w:w="968" w:type="pct"/>
                  <w:gridSpan w:val="2"/>
                  <w:tcBorders>
                    <w:tl2br w:val="nil"/>
                    <w:tr2bl w:val="nil"/>
                  </w:tcBorders>
                  <w:vAlign w:val="center"/>
                </w:tcPr>
                <w:p w14:paraId="4908EBB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锅炉跨</w:t>
                  </w:r>
                </w:p>
              </w:tc>
              <w:tc>
                <w:tcPr>
                  <w:tcW w:w="3111" w:type="pct"/>
                  <w:tcBorders>
                    <w:tl2br w:val="nil"/>
                    <w:tr2bl w:val="nil"/>
                  </w:tcBorders>
                  <w:vAlign w:val="center"/>
                </w:tcPr>
                <w:p w14:paraId="2625A7A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1间，地面采用混凝土面层，布置1台</w:t>
                  </w:r>
                  <w:r>
                    <w:rPr>
                      <w:rFonts w:hint="eastAsia" w:ascii="Times New Roman" w:hAnsi="Times New Roman" w:eastAsia="宋体" w:cs="Times New Roman"/>
                      <w:color w:val="auto"/>
                      <w:sz w:val="18"/>
                      <w:szCs w:val="18"/>
                      <w:highlight w:val="none"/>
                      <w:lang w:val="en-US" w:eastAsia="zh-CN"/>
                    </w:rPr>
                    <w:t>260</w:t>
                  </w:r>
                  <w:r>
                    <w:rPr>
                      <w:rFonts w:hint="default" w:ascii="Times New Roman" w:hAnsi="Times New Roman" w:eastAsia="宋体" w:cs="Times New Roman"/>
                      <w:color w:val="auto"/>
                      <w:sz w:val="18"/>
                      <w:szCs w:val="18"/>
                      <w:highlight w:val="none"/>
                      <w:lang w:val="en-US" w:eastAsia="zh-CN"/>
                    </w:rPr>
                    <w:t>t/h超高温亚临界锅炉，顶部设单层压型钢板挡雨屋盖，并配套煤气加热器、引风机、加药系统、脱硫系统、</w:t>
                  </w:r>
                  <w:r>
                    <w:rPr>
                      <w:rFonts w:hint="eastAsia" w:ascii="Times New Roman" w:hAnsi="Times New Roman" w:eastAsia="宋体" w:cs="Times New Roman"/>
                      <w:color w:val="auto"/>
                      <w:sz w:val="18"/>
                      <w:szCs w:val="18"/>
                      <w:highlight w:val="none"/>
                      <w:lang w:val="en-US" w:eastAsia="zh-CN"/>
                    </w:rPr>
                    <w:t>脱硝系统（SCR）、</w:t>
                  </w:r>
                  <w:r>
                    <w:rPr>
                      <w:rFonts w:hint="eastAsia" w:cs="Times New Roman"/>
                      <w:color w:val="auto"/>
                      <w:sz w:val="18"/>
                      <w:szCs w:val="18"/>
                      <w:highlight w:val="none"/>
                      <w:lang w:val="en-US" w:eastAsia="zh-CN"/>
                    </w:rPr>
                    <w:t>布袋</w:t>
                  </w:r>
                  <w:r>
                    <w:rPr>
                      <w:rFonts w:hint="default" w:ascii="Times New Roman" w:hAnsi="Times New Roman" w:eastAsia="宋体" w:cs="Times New Roman"/>
                      <w:color w:val="auto"/>
                      <w:sz w:val="18"/>
                      <w:szCs w:val="18"/>
                      <w:highlight w:val="none"/>
                      <w:lang w:val="en-US" w:eastAsia="zh-CN"/>
                    </w:rPr>
                    <w:t>除尘系统和烟囱。</w:t>
                  </w:r>
                </w:p>
              </w:tc>
              <w:tc>
                <w:tcPr>
                  <w:tcW w:w="485" w:type="pct"/>
                  <w:tcBorders>
                    <w:tl2br w:val="nil"/>
                    <w:tr2bl w:val="nil"/>
                  </w:tcBorders>
                  <w:vAlign w:val="center"/>
                </w:tcPr>
                <w:p w14:paraId="13ECDE1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263E90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35" w:type="pct"/>
                  <w:vMerge w:val="continue"/>
                  <w:tcBorders>
                    <w:tl2br w:val="nil"/>
                    <w:tr2bl w:val="nil"/>
                  </w:tcBorders>
                  <w:vAlign w:val="center"/>
                </w:tcPr>
                <w:p w14:paraId="4B308B7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0E37489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锅炉辅助间</w:t>
                  </w:r>
                </w:p>
              </w:tc>
              <w:tc>
                <w:tcPr>
                  <w:tcW w:w="3111" w:type="pct"/>
                  <w:tcBorders>
                    <w:tl2br w:val="nil"/>
                    <w:tr2bl w:val="nil"/>
                  </w:tcBorders>
                  <w:vAlign w:val="center"/>
                </w:tcPr>
                <w:p w14:paraId="16E979D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1间，钢筋混凝土框架结构，三层，为保证锅炉正常、安全、经济运行而设置的，用于摆放锅炉运行的各种辅助设备。</w:t>
                  </w:r>
                </w:p>
              </w:tc>
              <w:tc>
                <w:tcPr>
                  <w:tcW w:w="485" w:type="pct"/>
                  <w:tcBorders>
                    <w:tl2br w:val="nil"/>
                    <w:tr2bl w:val="nil"/>
                  </w:tcBorders>
                  <w:vAlign w:val="center"/>
                </w:tcPr>
                <w:p w14:paraId="1C3A79B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7FFC1A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65A3116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24028DE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汽机</w:t>
                  </w:r>
                  <w:r>
                    <w:rPr>
                      <w:rFonts w:hint="eastAsia" w:cs="Times New Roman"/>
                      <w:color w:val="auto"/>
                      <w:sz w:val="18"/>
                      <w:szCs w:val="18"/>
                      <w:highlight w:val="none"/>
                      <w:lang w:val="en-US" w:eastAsia="zh-CN"/>
                    </w:rPr>
                    <w:t>跨</w:t>
                  </w:r>
                </w:p>
              </w:tc>
              <w:tc>
                <w:tcPr>
                  <w:tcW w:w="3111" w:type="pct"/>
                  <w:tcBorders>
                    <w:tl2br w:val="nil"/>
                    <w:tr2bl w:val="nil"/>
                  </w:tcBorders>
                  <w:vAlign w:val="center"/>
                </w:tcPr>
                <w:p w14:paraId="4C13B6D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1间，钢筋混凝土框架结构，A~B跨，内设汽机岛平台、加热器平台及出线小室，在运转层周圈悬挑巡检工作平台，并设有电动桥式双钩吊车一台</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设置1台1×</w:t>
                  </w:r>
                  <w:r>
                    <w:rPr>
                      <w:rFonts w:hint="eastAsia" w:ascii="Times New Roman" w:hAnsi="Times New Roman" w:eastAsia="宋体"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MW超高温亚临界中间一次再热凝汽式汽轮机、1台1×</w:t>
                  </w:r>
                  <w:r>
                    <w:rPr>
                      <w:rFonts w:hint="eastAsia" w:ascii="Times New Roman" w:hAnsi="Times New Roman" w:eastAsia="宋体"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MW发电机，并配一套凝结水精处理装置。</w:t>
                  </w:r>
                </w:p>
              </w:tc>
              <w:tc>
                <w:tcPr>
                  <w:tcW w:w="485" w:type="pct"/>
                  <w:tcBorders>
                    <w:tl2br w:val="nil"/>
                    <w:tr2bl w:val="nil"/>
                  </w:tcBorders>
                  <w:vAlign w:val="center"/>
                </w:tcPr>
                <w:p w14:paraId="1568204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35D2A3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04FD412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690E843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除氧</w:t>
                  </w:r>
                  <w:r>
                    <w:rPr>
                      <w:rFonts w:hint="eastAsia" w:ascii="Times New Roman" w:hAnsi="Times New Roman" w:eastAsia="宋体" w:cs="Times New Roman"/>
                      <w:color w:val="auto"/>
                      <w:sz w:val="18"/>
                      <w:szCs w:val="18"/>
                      <w:highlight w:val="none"/>
                      <w:lang w:val="en-US" w:eastAsia="zh-CN"/>
                    </w:rPr>
                    <w:t>跨</w:t>
                  </w:r>
                </w:p>
              </w:tc>
              <w:tc>
                <w:tcPr>
                  <w:tcW w:w="3111" w:type="pct"/>
                  <w:tcBorders>
                    <w:tl2br w:val="nil"/>
                    <w:tr2bl w:val="nil"/>
                  </w:tcBorders>
                  <w:vAlign w:val="center"/>
                </w:tcPr>
                <w:p w14:paraId="30722D5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一间，钢筋混凝土框架结构，</w:t>
                  </w:r>
                  <w:r>
                    <w:rPr>
                      <w:rFonts w:hint="eastAsia" w:eastAsia="宋体" w:cs="Times New Roman"/>
                      <w:color w:val="auto"/>
                      <w:sz w:val="18"/>
                      <w:szCs w:val="18"/>
                      <w:highlight w:val="none"/>
                      <w:lang w:val="en-US" w:eastAsia="zh-CN"/>
                    </w:rPr>
                    <w:t>建筑面积为2062m</w:t>
                  </w:r>
                  <w:r>
                    <w:rPr>
                      <w:rFonts w:hint="eastAsia" w:eastAsia="宋体" w:cs="Times New Roman"/>
                      <w:color w:val="auto"/>
                      <w:sz w:val="18"/>
                      <w:szCs w:val="18"/>
                      <w:highlight w:val="none"/>
                      <w:vertAlign w:val="superscript"/>
                      <w:lang w:val="en-US" w:eastAsia="zh-CN"/>
                    </w:rPr>
                    <w:t>2</w:t>
                  </w:r>
                  <w:r>
                    <w:rPr>
                      <w:rFonts w:hint="eastAsia" w:eastAsia="宋体" w:cs="Times New Roman"/>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lang w:val="en-US" w:eastAsia="zh-CN"/>
                    </w:rPr>
                    <w:t>除氧跨</w:t>
                  </w:r>
                  <w:r>
                    <w:rPr>
                      <w:rFonts w:hint="eastAsia" w:ascii="Times New Roman" w:hAnsi="Times New Roman" w:eastAsia="宋体" w:cs="Times New Roman"/>
                      <w:color w:val="auto"/>
                      <w:sz w:val="18"/>
                      <w:szCs w:val="18"/>
                      <w:highlight w:val="none"/>
                      <w:lang w:val="en-US" w:eastAsia="zh-CN"/>
                    </w:rPr>
                    <w:t>BC跨</w:t>
                  </w:r>
                  <w:r>
                    <w:rPr>
                      <w:rFonts w:hint="default" w:ascii="Times New Roman" w:hAnsi="Times New Roman" w:eastAsia="宋体" w:cs="Times New Roman"/>
                      <w:color w:val="auto"/>
                      <w:sz w:val="18"/>
                      <w:szCs w:val="18"/>
                      <w:highlight w:val="none"/>
                      <w:lang w:val="en-US" w:eastAsia="zh-CN"/>
                    </w:rPr>
                    <w:t>共7个柱列，总长48m，</w:t>
                  </w:r>
                  <w:r>
                    <w:rPr>
                      <w:rFonts w:hint="eastAsia" w:ascii="Times New Roman" w:hAnsi="Times New Roman" w:eastAsia="宋体" w:cs="Times New Roman"/>
                      <w:color w:val="auto"/>
                      <w:sz w:val="18"/>
                      <w:szCs w:val="18"/>
                      <w:highlight w:val="none"/>
                      <w:lang w:val="en-US" w:eastAsia="zh-CN"/>
                    </w:rPr>
                    <w:t>封闭多层框架结构</w:t>
                  </w:r>
                  <w:r>
                    <w:rPr>
                      <w:rFonts w:hint="default" w:ascii="Times New Roman" w:hAnsi="Times New Roman" w:eastAsia="宋体" w:cs="Times New Roman"/>
                      <w:color w:val="auto"/>
                      <w:sz w:val="18"/>
                      <w:szCs w:val="18"/>
                      <w:highlight w:val="none"/>
                      <w:lang w:val="en-US" w:eastAsia="zh-CN"/>
                    </w:rPr>
                    <w:t>，</w:t>
                  </w:r>
                  <w:r>
                    <w:rPr>
                      <w:rFonts w:hint="eastAsia" w:eastAsia="宋体" w:cs="Times New Roman"/>
                      <w:color w:val="auto"/>
                      <w:sz w:val="18"/>
                      <w:szCs w:val="18"/>
                      <w:highlight w:val="none"/>
                      <w:lang w:val="en-US" w:eastAsia="zh-CN"/>
                    </w:rPr>
                    <w:t>共分为5层，</w:t>
                  </w:r>
                  <w:r>
                    <w:rPr>
                      <w:rFonts w:hint="default" w:ascii="Times New Roman" w:hAnsi="Times New Roman" w:eastAsia="宋体" w:cs="Times New Roman"/>
                      <w:color w:val="auto"/>
                      <w:sz w:val="18"/>
                      <w:szCs w:val="18"/>
                      <w:highlight w:val="none"/>
                      <w:lang w:val="en-US" w:eastAsia="zh-CN"/>
                    </w:rPr>
                    <w:t>除氧层布置高压旋膜除氧器，除氧器出力3</w:t>
                  </w:r>
                  <w:r>
                    <w:rPr>
                      <w:rFonts w:hint="eastAsia"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0t/h。</w:t>
                  </w:r>
                </w:p>
              </w:tc>
              <w:tc>
                <w:tcPr>
                  <w:tcW w:w="485" w:type="pct"/>
                  <w:tcBorders>
                    <w:tl2br w:val="nil"/>
                    <w:tr2bl w:val="nil"/>
                  </w:tcBorders>
                  <w:vAlign w:val="center"/>
                </w:tcPr>
                <w:p w14:paraId="4462617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46125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35" w:type="pct"/>
                  <w:vMerge w:val="restart"/>
                  <w:tcBorders>
                    <w:tl2br w:val="nil"/>
                    <w:tr2bl w:val="nil"/>
                  </w:tcBorders>
                  <w:vAlign w:val="center"/>
                </w:tcPr>
                <w:p w14:paraId="60908A8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配套工程</w:t>
                  </w:r>
                </w:p>
              </w:tc>
              <w:tc>
                <w:tcPr>
                  <w:tcW w:w="968" w:type="pct"/>
                  <w:gridSpan w:val="2"/>
                  <w:tcBorders>
                    <w:tl2br w:val="nil"/>
                    <w:tr2bl w:val="nil"/>
                  </w:tcBorders>
                  <w:vAlign w:val="center"/>
                </w:tcPr>
                <w:p w14:paraId="61C55C9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化水车间</w:t>
                  </w:r>
                </w:p>
              </w:tc>
              <w:tc>
                <w:tcPr>
                  <w:tcW w:w="3111" w:type="pct"/>
                  <w:tcBorders>
                    <w:tl2br w:val="nil"/>
                    <w:tr2bl w:val="nil"/>
                  </w:tcBorders>
                  <w:vAlign w:val="center"/>
                </w:tcPr>
                <w:p w14:paraId="4845558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单层框架结构</w:t>
                  </w:r>
                  <w:r>
                    <w:rPr>
                      <w:rFonts w:hint="eastAsia" w:ascii="Times New Roman" w:hAnsi="Times New Roman" w:eastAsia="宋体" w:cs="Times New Roman"/>
                      <w:color w:val="auto"/>
                      <w:sz w:val="18"/>
                      <w:szCs w:val="18"/>
                      <w:highlight w:val="none"/>
                      <w:lang w:val="en-US" w:eastAsia="zh-CN"/>
                    </w:rPr>
                    <w:t>（局部两层）</w:t>
                  </w:r>
                  <w:r>
                    <w:rPr>
                      <w:rFonts w:hint="default" w:ascii="Times New Roman" w:hAnsi="Times New Roman" w:eastAsia="宋体" w:cs="Times New Roman"/>
                      <w:color w:val="auto"/>
                      <w:sz w:val="18"/>
                      <w:szCs w:val="18"/>
                      <w:highlight w:val="none"/>
                      <w:lang w:val="en-US" w:eastAsia="zh-CN"/>
                    </w:rPr>
                    <w:t>，由</w:t>
                  </w:r>
                  <w:r>
                    <w:rPr>
                      <w:rFonts w:hint="eastAsia" w:ascii="Times New Roman" w:hAnsi="Times New Roman" w:eastAsia="宋体" w:cs="Times New Roman"/>
                      <w:color w:val="auto"/>
                      <w:sz w:val="18"/>
                      <w:szCs w:val="18"/>
                      <w:highlight w:val="none"/>
                      <w:lang w:val="en-US" w:eastAsia="zh-CN"/>
                    </w:rPr>
                    <w:t>水处理车间、水泵间、加药间、配电室、控制室、卫生间、水质分析室、加热间、精密仪器室、备品备件间</w:t>
                  </w:r>
                  <w:r>
                    <w:rPr>
                      <w:rFonts w:hint="default" w:ascii="Times New Roman" w:hAnsi="Times New Roman" w:eastAsia="宋体" w:cs="Times New Roman"/>
                      <w:color w:val="auto"/>
                      <w:sz w:val="18"/>
                      <w:szCs w:val="18"/>
                      <w:highlight w:val="none"/>
                      <w:lang w:val="en-US" w:eastAsia="zh-CN"/>
                    </w:rPr>
                    <w:t>组成。采用卷材防水保温屋面，加气混凝土砌块砌筑，</w:t>
                  </w:r>
                  <w:r>
                    <w:rPr>
                      <w:rFonts w:hint="eastAsia" w:ascii="Times New Roman" w:hAnsi="Times New Roman" w:eastAsia="宋体" w:cs="Times New Roman"/>
                      <w:color w:val="auto"/>
                      <w:sz w:val="18"/>
                      <w:szCs w:val="18"/>
                      <w:highlight w:val="none"/>
                      <w:lang w:val="en-US" w:eastAsia="zh-CN"/>
                    </w:rPr>
                    <w:t>卫生间顶棚吊顶，其他房间</w:t>
                  </w:r>
                  <w:r>
                    <w:rPr>
                      <w:rFonts w:hint="default" w:ascii="Times New Roman" w:hAnsi="Times New Roman" w:eastAsia="宋体" w:cs="Times New Roman"/>
                      <w:color w:val="auto"/>
                      <w:sz w:val="18"/>
                      <w:szCs w:val="18"/>
                      <w:highlight w:val="none"/>
                      <w:lang w:val="en-US" w:eastAsia="zh-CN"/>
                    </w:rPr>
                    <w:t>内外墙</w:t>
                  </w:r>
                  <w:r>
                    <w:rPr>
                      <w:rFonts w:hint="eastAsia" w:ascii="Times New Roman" w:hAnsi="Times New Roman" w:eastAsia="宋体" w:cs="Times New Roman"/>
                      <w:color w:val="auto"/>
                      <w:sz w:val="18"/>
                      <w:szCs w:val="18"/>
                      <w:highlight w:val="none"/>
                      <w:lang w:val="en-US" w:eastAsia="zh-CN"/>
                    </w:rPr>
                    <w:t>及顶棚</w:t>
                  </w:r>
                  <w:r>
                    <w:rPr>
                      <w:rFonts w:hint="default" w:ascii="Times New Roman" w:hAnsi="Times New Roman" w:eastAsia="宋体" w:cs="Times New Roman"/>
                      <w:color w:val="auto"/>
                      <w:sz w:val="18"/>
                      <w:szCs w:val="18"/>
                      <w:highlight w:val="none"/>
                      <w:lang w:val="en-US" w:eastAsia="zh-CN"/>
                    </w:rPr>
                    <w:t>双面粉刷涂料饰面。</w:t>
                  </w:r>
                  <w:r>
                    <w:rPr>
                      <w:rFonts w:hint="eastAsia" w:ascii="Times New Roman" w:hAnsi="Times New Roman" w:eastAsia="宋体" w:cs="Times New Roman"/>
                      <w:color w:val="auto"/>
                      <w:sz w:val="18"/>
                      <w:szCs w:val="18"/>
                      <w:highlight w:val="none"/>
                      <w:lang w:val="en-US" w:eastAsia="zh-CN"/>
                    </w:rPr>
                    <w:t>加药间、水质分析室、加热间、精密仪器室采用防腐地砖楼地面，配电室、控制室、卫生间采用防滑地砖楼地面，其他房间</w:t>
                  </w:r>
                  <w:r>
                    <w:rPr>
                      <w:rFonts w:hint="default" w:ascii="Times New Roman" w:hAnsi="Times New Roman" w:eastAsia="宋体" w:cs="Times New Roman"/>
                      <w:color w:val="auto"/>
                      <w:sz w:val="18"/>
                      <w:szCs w:val="18"/>
                      <w:highlight w:val="none"/>
                      <w:lang w:val="en-US" w:eastAsia="zh-CN"/>
                    </w:rPr>
                    <w:t>采用细石混凝土楼地面，钢防火门，平开钢大门，塑钢推拉窗。</w:t>
                  </w:r>
                </w:p>
              </w:tc>
              <w:tc>
                <w:tcPr>
                  <w:tcW w:w="485" w:type="pct"/>
                  <w:tcBorders>
                    <w:tl2br w:val="nil"/>
                    <w:tr2bl w:val="nil"/>
                  </w:tcBorders>
                  <w:vAlign w:val="center"/>
                </w:tcPr>
                <w:p w14:paraId="7A148FF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2971A5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35" w:type="pct"/>
                  <w:vMerge w:val="continue"/>
                  <w:tcBorders>
                    <w:tl2br w:val="nil"/>
                    <w:tr2bl w:val="nil"/>
                  </w:tcBorders>
                  <w:vAlign w:val="center"/>
                </w:tcPr>
                <w:p w14:paraId="0FE9E35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499FFAA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除盐水</w:t>
                  </w:r>
                </w:p>
              </w:tc>
              <w:tc>
                <w:tcPr>
                  <w:tcW w:w="3111" w:type="pct"/>
                  <w:tcBorders>
                    <w:tl2br w:val="nil"/>
                    <w:tr2bl w:val="nil"/>
                  </w:tcBorders>
                  <w:vAlign w:val="center"/>
                </w:tcPr>
                <w:p w14:paraId="0C3ACC1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锅炉补给水系统除盐水接自</w:t>
                  </w:r>
                  <w:r>
                    <w:rPr>
                      <w:rFonts w:hint="eastAsia" w:ascii="Times New Roman" w:hAnsi="Times New Roman" w:eastAsia="宋体" w:cs="Times New Roman"/>
                      <w:color w:val="auto"/>
                      <w:sz w:val="18"/>
                      <w:szCs w:val="18"/>
                      <w:highlight w:val="none"/>
                      <w:lang w:val="en-US" w:eastAsia="zh-CN"/>
                    </w:rPr>
                    <w:t>仙福钢铁（集团）有限公司</w:t>
                  </w:r>
                  <w:r>
                    <w:rPr>
                      <w:rFonts w:hint="default" w:ascii="Times New Roman" w:hAnsi="Times New Roman" w:eastAsia="宋体" w:cs="Times New Roman"/>
                      <w:color w:val="auto"/>
                      <w:sz w:val="18"/>
                      <w:szCs w:val="18"/>
                      <w:highlight w:val="none"/>
                      <w:lang w:val="en-US" w:eastAsia="zh-CN"/>
                    </w:rPr>
                    <w:t>集中除盐水站除盐水管网，设置水箱、水泵等</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供水压力≥0.3MPa，供水量</w:t>
                  </w:r>
                  <w:r>
                    <w:rPr>
                      <w:rFonts w:hint="eastAsia" w:ascii="Times New Roman" w:hAnsi="Times New Roman" w:eastAsia="宋体" w:cs="Times New Roman"/>
                      <w:color w:val="auto"/>
                      <w:sz w:val="18"/>
                      <w:szCs w:val="18"/>
                      <w:highlight w:val="none"/>
                      <w:lang w:val="en-US" w:eastAsia="zh-CN"/>
                    </w:rPr>
                    <w:t>正常~19</w:t>
                  </w:r>
                  <w:r>
                    <w:rPr>
                      <w:rFonts w:hint="default" w:ascii="Times New Roman" w:hAnsi="Times New Roman" w:eastAsia="宋体" w:cs="Times New Roman"/>
                      <w:color w:val="auto"/>
                      <w:sz w:val="18"/>
                      <w:szCs w:val="18"/>
                      <w:highlight w:val="none"/>
                      <w:lang w:val="en-US" w:eastAsia="zh-CN"/>
                    </w:rPr>
                    <w:t>m³/h</w:t>
                  </w:r>
                  <w:r>
                    <w:rPr>
                      <w:rFonts w:hint="eastAsia" w:ascii="Times New Roman" w:hAnsi="Times New Roman" w:eastAsia="宋体" w:cs="Times New Roman"/>
                      <w:color w:val="auto"/>
                      <w:sz w:val="18"/>
                      <w:szCs w:val="18"/>
                      <w:highlight w:val="none"/>
                      <w:lang w:val="en-US" w:eastAsia="zh-CN"/>
                    </w:rPr>
                    <w:t>，最大~38</w:t>
                  </w:r>
                  <w:r>
                    <w:rPr>
                      <w:rFonts w:hint="default" w:ascii="Times New Roman" w:hAnsi="Times New Roman" w:eastAsia="宋体" w:cs="Times New Roman"/>
                      <w:color w:val="auto"/>
                      <w:sz w:val="18"/>
                      <w:szCs w:val="18"/>
                      <w:highlight w:val="none"/>
                      <w:lang w:val="en-US" w:eastAsia="zh-CN"/>
                    </w:rPr>
                    <w:t>m³/h。</w:t>
                  </w:r>
                </w:p>
              </w:tc>
              <w:tc>
                <w:tcPr>
                  <w:tcW w:w="485" w:type="pct"/>
                  <w:tcBorders>
                    <w:tl2br w:val="nil"/>
                    <w:tr2bl w:val="nil"/>
                  </w:tcBorders>
                  <w:vAlign w:val="center"/>
                </w:tcPr>
                <w:p w14:paraId="3F30142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w:t>
                  </w:r>
                </w:p>
              </w:tc>
            </w:tr>
            <w:tr w14:paraId="0D12C4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435" w:type="pct"/>
                  <w:vMerge w:val="continue"/>
                  <w:tcBorders>
                    <w:tl2br w:val="nil"/>
                    <w:tr2bl w:val="nil"/>
                  </w:tcBorders>
                  <w:vAlign w:val="center"/>
                </w:tcPr>
                <w:p w14:paraId="084F0EF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156C67C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凝结水</w:t>
                  </w:r>
                  <w:r>
                    <w:rPr>
                      <w:rFonts w:hint="eastAsia" w:ascii="Times New Roman" w:hAnsi="Times New Roman" w:eastAsia="宋体" w:cs="Times New Roman"/>
                      <w:color w:val="auto"/>
                      <w:sz w:val="18"/>
                      <w:szCs w:val="18"/>
                      <w:highlight w:val="none"/>
                      <w:lang w:val="en-US" w:eastAsia="zh-CN"/>
                    </w:rPr>
                    <w:t>精处理</w:t>
                  </w:r>
                  <w:r>
                    <w:rPr>
                      <w:rFonts w:hint="default" w:ascii="Times New Roman" w:hAnsi="Times New Roman" w:eastAsia="宋体" w:cs="Times New Roman"/>
                      <w:color w:val="auto"/>
                      <w:sz w:val="18"/>
                      <w:szCs w:val="18"/>
                      <w:highlight w:val="none"/>
                      <w:lang w:val="en-US" w:eastAsia="zh-CN"/>
                    </w:rPr>
                    <w:t>系统</w:t>
                  </w:r>
                </w:p>
              </w:tc>
              <w:tc>
                <w:tcPr>
                  <w:tcW w:w="3111" w:type="pct"/>
                  <w:tcBorders>
                    <w:tl2br w:val="nil"/>
                    <w:tr2bl w:val="nil"/>
                  </w:tcBorders>
                  <w:vAlign w:val="center"/>
                </w:tcPr>
                <w:p w14:paraId="74984E4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位于单层钢筋混凝土框架结构，机组VWO工况下的凝结水量</w:t>
                  </w:r>
                  <w:r>
                    <w:rPr>
                      <w:rFonts w:hint="eastAsia" w:ascii="Times New Roman" w:hAnsi="Times New Roman" w:eastAsia="宋体" w:cs="Times New Roman"/>
                      <w:color w:val="auto"/>
                      <w:sz w:val="18"/>
                      <w:szCs w:val="18"/>
                      <w:highlight w:val="none"/>
                      <w:lang w:val="en-US" w:eastAsia="zh-CN"/>
                    </w:rPr>
                    <w:t>195</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/h，THA工况下的凝结水量</w:t>
                  </w:r>
                  <w:r>
                    <w:rPr>
                      <w:rFonts w:hint="eastAsia" w:ascii="Times New Roman" w:hAnsi="Times New Roman" w:eastAsia="宋体" w:cs="Times New Roman"/>
                      <w:color w:val="auto"/>
                      <w:sz w:val="18"/>
                      <w:szCs w:val="18"/>
                      <w:highlight w:val="none"/>
                      <w:lang w:val="en-US" w:eastAsia="zh-CN"/>
                    </w:rPr>
                    <w:t>182</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/h。凝结水泵选型流量为</w:t>
                  </w:r>
                  <w:r>
                    <w:rPr>
                      <w:rFonts w:hint="eastAsia" w:ascii="Times New Roman" w:hAnsi="Times New Roman" w:eastAsia="宋体" w:cs="Times New Roman"/>
                      <w:color w:val="auto"/>
                      <w:sz w:val="18"/>
                      <w:szCs w:val="18"/>
                      <w:highlight w:val="none"/>
                      <w:lang w:val="en-US" w:eastAsia="zh-CN"/>
                    </w:rPr>
                    <w:t>225</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/h，选型扬程</w:t>
                  </w:r>
                  <w:r>
                    <w:rPr>
                      <w:rFonts w:hint="eastAsia" w:ascii="Times New Roman" w:hAnsi="Times New Roman" w:eastAsia="宋体" w:cs="Times New Roman"/>
                      <w:color w:val="auto"/>
                      <w:sz w:val="18"/>
                      <w:szCs w:val="18"/>
                      <w:highlight w:val="none"/>
                      <w:lang w:val="en-US" w:eastAsia="zh-CN"/>
                    </w:rPr>
                    <w:t>2.50</w:t>
                  </w:r>
                  <w:r>
                    <w:rPr>
                      <w:rFonts w:hint="default" w:ascii="Times New Roman" w:hAnsi="Times New Roman" w:eastAsia="宋体" w:cs="Times New Roman"/>
                      <w:color w:val="auto"/>
                      <w:sz w:val="18"/>
                      <w:szCs w:val="18"/>
                      <w:highlight w:val="none"/>
                      <w:lang w:val="en-US" w:eastAsia="zh-CN"/>
                    </w:rPr>
                    <w:t>MPa，凝结水泵出口凝结水温度</w:t>
                  </w:r>
                  <w:r>
                    <w:rPr>
                      <w:rFonts w:hint="eastAsia" w:ascii="Times New Roman" w:hAnsi="Times New Roman" w:eastAsia="宋体" w:cs="Times New Roman"/>
                      <w:color w:val="auto"/>
                      <w:sz w:val="18"/>
                      <w:szCs w:val="18"/>
                      <w:highlight w:val="none"/>
                      <w:lang w:val="en-US" w:eastAsia="zh-CN"/>
                    </w:rPr>
                    <w:t>37.2</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（夏季49.3℃），本工程凝结水精处理系统由高速混床＋旁路系统组成，设置2×50%高速混床，同时设1个旁路系统</w:t>
                  </w:r>
                  <w:r>
                    <w:rPr>
                      <w:rFonts w:hint="default" w:ascii="Times New Roman" w:hAnsi="Times New Roman" w:eastAsia="宋体" w:cs="Times New Roman"/>
                      <w:color w:val="auto"/>
                      <w:sz w:val="18"/>
                      <w:szCs w:val="18"/>
                      <w:highlight w:val="none"/>
                      <w:lang w:val="en-US" w:eastAsia="zh-CN"/>
                    </w:rPr>
                    <w:t>。</w:t>
                  </w:r>
                </w:p>
              </w:tc>
              <w:tc>
                <w:tcPr>
                  <w:tcW w:w="485" w:type="pct"/>
                  <w:tcBorders>
                    <w:tl2br w:val="nil"/>
                    <w:tr2bl w:val="nil"/>
                  </w:tcBorders>
                  <w:vAlign w:val="center"/>
                </w:tcPr>
                <w:p w14:paraId="7276819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1F8640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6897311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3E592F0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汽水取样系统</w:t>
                  </w:r>
                </w:p>
              </w:tc>
              <w:tc>
                <w:tcPr>
                  <w:tcW w:w="3111" w:type="pct"/>
                  <w:tcBorders>
                    <w:tl2br w:val="nil"/>
                    <w:tr2bl w:val="nil"/>
                  </w:tcBorders>
                  <w:vAlign w:val="center"/>
                </w:tcPr>
                <w:p w14:paraId="1686D65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本工程设有一套汽水取样装置</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高温架和仪表架分开布置，仪表架上设置在线仪表。并可实现计算机监视。</w:t>
                  </w:r>
                </w:p>
              </w:tc>
              <w:tc>
                <w:tcPr>
                  <w:tcW w:w="485" w:type="pct"/>
                  <w:tcBorders>
                    <w:tl2br w:val="nil"/>
                    <w:tr2bl w:val="nil"/>
                  </w:tcBorders>
                  <w:vAlign w:val="center"/>
                </w:tcPr>
                <w:p w14:paraId="2345114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4EB838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17D7BF2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78A08FC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化学加药系统</w:t>
                  </w:r>
                </w:p>
              </w:tc>
              <w:tc>
                <w:tcPr>
                  <w:tcW w:w="3111" w:type="pct"/>
                  <w:tcBorders>
                    <w:tl2br w:val="nil"/>
                    <w:tr2bl w:val="nil"/>
                  </w:tcBorders>
                  <w:vAlign w:val="center"/>
                </w:tcPr>
                <w:p w14:paraId="3DC9A4A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给水、凝结水加氨</w:t>
                  </w:r>
                  <w:r>
                    <w:rPr>
                      <w:rFonts w:hint="eastAsia" w:ascii="Times New Roman" w:hAnsi="Times New Roman" w:eastAsia="宋体" w:cs="Times New Roman"/>
                      <w:color w:val="auto"/>
                      <w:sz w:val="18"/>
                      <w:szCs w:val="18"/>
                      <w:highlight w:val="none"/>
                      <w:lang w:val="en-US" w:eastAsia="zh-CN"/>
                    </w:rPr>
                    <w:t>处理系统</w:t>
                  </w:r>
                  <w:r>
                    <w:rPr>
                      <w:rFonts w:hint="default" w:ascii="Times New Roman" w:hAnsi="Times New Roman" w:eastAsia="宋体" w:cs="Times New Roman"/>
                      <w:color w:val="auto"/>
                      <w:sz w:val="18"/>
                      <w:szCs w:val="18"/>
                      <w:highlight w:val="none"/>
                      <w:lang w:val="en-US" w:eastAsia="zh-CN"/>
                    </w:rPr>
                    <w:t>：给水、凝结水加氨处理为防止热力系统设备管道腐蚀，需提高除盐水的pH值，本工程设置加氨装置一套。给</w:t>
                  </w:r>
                  <w:r>
                    <w:rPr>
                      <w:rFonts w:hint="eastAsia" w:cs="Times New Roman"/>
                      <w:color w:val="auto"/>
                      <w:sz w:val="18"/>
                      <w:szCs w:val="18"/>
                      <w:highlight w:val="none"/>
                      <w:lang w:val="en-US" w:eastAsia="zh-CN"/>
                    </w:rPr>
                    <w:t>氨水</w:t>
                  </w:r>
                  <w:r>
                    <w:rPr>
                      <w:rFonts w:hint="default" w:ascii="Times New Roman" w:hAnsi="Times New Roman" w:eastAsia="宋体" w:cs="Times New Roman"/>
                      <w:color w:val="auto"/>
                      <w:sz w:val="18"/>
                      <w:szCs w:val="18"/>
                      <w:highlight w:val="none"/>
                      <w:lang w:val="en-US" w:eastAsia="zh-CN"/>
                    </w:rPr>
                    <w:t>加药点设在除氧器出水管上；凝结</w:t>
                  </w:r>
                  <w:r>
                    <w:rPr>
                      <w:rFonts w:hint="eastAsia" w:cs="Times New Roman"/>
                      <w:color w:val="auto"/>
                      <w:sz w:val="18"/>
                      <w:szCs w:val="18"/>
                      <w:highlight w:val="none"/>
                      <w:lang w:val="en-US" w:eastAsia="zh-CN"/>
                    </w:rPr>
                    <w:t>氨水</w:t>
                  </w:r>
                  <w:r>
                    <w:rPr>
                      <w:rFonts w:hint="default" w:ascii="Times New Roman" w:hAnsi="Times New Roman" w:eastAsia="宋体" w:cs="Times New Roman"/>
                      <w:color w:val="auto"/>
                      <w:sz w:val="18"/>
                      <w:szCs w:val="18"/>
                      <w:highlight w:val="none"/>
                      <w:lang w:val="en-US" w:eastAsia="zh-CN"/>
                    </w:rPr>
                    <w:t>加药点设置精处理混床出水母管上；</w:t>
                  </w:r>
                </w:p>
                <w:p w14:paraId="78397B3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给水</w:t>
                  </w:r>
                  <w:r>
                    <w:rPr>
                      <w:rFonts w:hint="eastAsia" w:ascii="Times New Roman" w:hAnsi="Times New Roman" w:eastAsia="宋体" w:cs="Times New Roman"/>
                      <w:color w:val="auto"/>
                      <w:sz w:val="18"/>
                      <w:szCs w:val="18"/>
                      <w:highlight w:val="none"/>
                      <w:lang w:val="en-US" w:eastAsia="zh-CN"/>
                    </w:rPr>
                    <w:t>化学除氧系统</w:t>
                  </w:r>
                  <w:r>
                    <w:rPr>
                      <w:rFonts w:hint="default" w:ascii="Times New Roman" w:hAnsi="Times New Roman" w:eastAsia="宋体" w:cs="Times New Roman"/>
                      <w:color w:val="auto"/>
                      <w:sz w:val="18"/>
                      <w:szCs w:val="18"/>
                      <w:highlight w:val="none"/>
                      <w:lang w:val="en-US" w:eastAsia="zh-CN"/>
                    </w:rPr>
                    <w:t>：给水化学除氧处理，采用加丙酮肟除氧剂。选用自动加丙酮肟装置一套。加药点设在除氧器出水管上；</w:t>
                  </w:r>
                </w:p>
                <w:p w14:paraId="766FDFF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炉水加磷酸盐</w:t>
                  </w:r>
                  <w:r>
                    <w:rPr>
                      <w:rFonts w:hint="eastAsia" w:ascii="Times New Roman" w:hAnsi="Times New Roman" w:eastAsia="宋体" w:cs="Times New Roman"/>
                      <w:color w:val="auto"/>
                      <w:sz w:val="18"/>
                      <w:szCs w:val="18"/>
                      <w:highlight w:val="none"/>
                      <w:lang w:val="en-US" w:eastAsia="zh-CN"/>
                    </w:rPr>
                    <w:t>处理</w:t>
                  </w:r>
                  <w:r>
                    <w:rPr>
                      <w:rFonts w:hint="default" w:ascii="Times New Roman" w:hAnsi="Times New Roman" w:eastAsia="宋体" w:cs="Times New Roman"/>
                      <w:color w:val="auto"/>
                      <w:sz w:val="18"/>
                      <w:szCs w:val="18"/>
                      <w:highlight w:val="none"/>
                      <w:lang w:val="en-US" w:eastAsia="zh-CN"/>
                    </w:rPr>
                    <w:t>系统：为防止给水中存在微量钙在汽包内形成坚硬的钙垢。本工程采用炉水中加入磷酸三钠的处理方法，使钙与磷酸三钠形成水渣并随污水排出，同时可防止碱性腐蚀。本工程设磷酸盐加药装置一套。加药点设在锅炉汽包。</w:t>
                  </w:r>
                </w:p>
              </w:tc>
              <w:tc>
                <w:tcPr>
                  <w:tcW w:w="485" w:type="pct"/>
                  <w:tcBorders>
                    <w:tl2br w:val="nil"/>
                    <w:tr2bl w:val="nil"/>
                  </w:tcBorders>
                  <w:vAlign w:val="center"/>
                </w:tcPr>
                <w:p w14:paraId="526019A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4BF9E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43ED5DD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4F846E0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循环水加药系统</w:t>
                  </w:r>
                </w:p>
              </w:tc>
              <w:tc>
                <w:tcPr>
                  <w:tcW w:w="3111" w:type="pct"/>
                  <w:tcBorders>
                    <w:tl2br w:val="nil"/>
                    <w:tr2bl w:val="nil"/>
                  </w:tcBorders>
                  <w:vAlign w:val="center"/>
                </w:tcPr>
                <w:p w14:paraId="266BCDC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1套，系统自动投加缓蚀阻垢剂及杀菌灭藻剂。</w:t>
                  </w:r>
                </w:p>
              </w:tc>
              <w:tc>
                <w:tcPr>
                  <w:tcW w:w="485" w:type="pct"/>
                  <w:tcBorders>
                    <w:tl2br w:val="nil"/>
                    <w:tr2bl w:val="nil"/>
                  </w:tcBorders>
                  <w:vAlign w:val="center"/>
                </w:tcPr>
                <w:p w14:paraId="40713BE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5BDB4E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35" w:type="pct"/>
                  <w:vMerge w:val="continue"/>
                  <w:tcBorders>
                    <w:tl2br w:val="nil"/>
                    <w:tr2bl w:val="nil"/>
                  </w:tcBorders>
                  <w:vAlign w:val="center"/>
                </w:tcPr>
                <w:p w14:paraId="65545D0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426D5B3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循环水泵房</w:t>
                  </w:r>
                </w:p>
              </w:tc>
              <w:tc>
                <w:tcPr>
                  <w:tcW w:w="3111" w:type="pct"/>
                  <w:tcBorders>
                    <w:tl2br w:val="nil"/>
                    <w:tr2bl w:val="nil"/>
                  </w:tcBorders>
                  <w:vAlign w:val="center"/>
                </w:tcPr>
                <w:p w14:paraId="1CD40BF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利旧现有</w:t>
                  </w:r>
                  <w:r>
                    <w:rPr>
                      <w:rFonts w:hint="default" w:ascii="Times New Roman" w:hAnsi="Times New Roman" w:eastAsia="宋体" w:cs="Times New Roman"/>
                      <w:color w:val="auto"/>
                      <w:sz w:val="18"/>
                      <w:szCs w:val="18"/>
                      <w:highlight w:val="none"/>
                      <w:lang w:val="en-US" w:eastAsia="zh-CN"/>
                    </w:rPr>
                    <w:t>水泵房，</w:t>
                  </w:r>
                  <w:r>
                    <w:rPr>
                      <w:rFonts w:hint="eastAsia" w:ascii="Times New Roman" w:hAnsi="Times New Roman" w:eastAsia="宋体" w:cs="Times New Roman"/>
                      <w:color w:val="auto"/>
                      <w:sz w:val="18"/>
                      <w:szCs w:val="18"/>
                      <w:highlight w:val="none"/>
                      <w:lang w:val="en-US" w:eastAsia="zh-CN"/>
                    </w:rPr>
                    <w:t>现有泵房为钢筋混凝土框架结构，共3层，</w:t>
                  </w:r>
                  <w:r>
                    <w:rPr>
                      <w:rFonts w:hint="default" w:ascii="Times New Roman" w:hAnsi="Times New Roman" w:eastAsia="宋体" w:cs="Times New Roman"/>
                      <w:color w:val="auto"/>
                      <w:sz w:val="18"/>
                      <w:szCs w:val="18"/>
                      <w:highlight w:val="none"/>
                      <w:lang w:val="en-US" w:eastAsia="zh-CN"/>
                    </w:rPr>
                    <w:t>所有循环水泵（共4台，3用1备）均布置在循环水泵房内，</w:t>
                  </w:r>
                  <w:r>
                    <w:rPr>
                      <w:rFonts w:hint="eastAsia" w:ascii="Times New Roman" w:hAnsi="Times New Roman" w:eastAsia="宋体" w:cs="Times New Roman"/>
                      <w:color w:val="auto"/>
                      <w:sz w:val="18"/>
                      <w:szCs w:val="18"/>
                      <w:highlight w:val="none"/>
                      <w:lang w:val="en-US" w:eastAsia="zh-CN"/>
                    </w:rPr>
                    <w:t>冷却塔冷水池至泵房间设埋地吸水母管一根，供循环水泵吸水；循环水泵出水母管</w:t>
                  </w:r>
                  <w:r>
                    <w:rPr>
                      <w:rFonts w:hint="default" w:ascii="Times New Roman" w:hAnsi="Times New Roman" w:eastAsia="宋体" w:cs="Times New Roman"/>
                      <w:color w:val="auto"/>
                      <w:sz w:val="18"/>
                      <w:szCs w:val="18"/>
                      <w:highlight w:val="none"/>
                      <w:lang w:val="en-US" w:eastAsia="zh-CN"/>
                    </w:rPr>
                    <w:t>埋地敷设至发电机组用户</w:t>
                  </w:r>
                  <w:r>
                    <w:rPr>
                      <w:rFonts w:hint="eastAsia" w:ascii="Times New Roman" w:hAnsi="Times New Roman" w:eastAsia="宋体" w:cs="Times New Roman"/>
                      <w:color w:val="auto"/>
                      <w:sz w:val="18"/>
                      <w:szCs w:val="18"/>
                      <w:highlight w:val="none"/>
                      <w:lang w:val="en-US" w:eastAsia="zh-CN"/>
                    </w:rPr>
                    <w:t>。循环水站循环能力为4000</w:t>
                  </w:r>
                  <w:r>
                    <w:rPr>
                      <w:rFonts w:hint="default"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r>
                    <w:rPr>
                      <w:rFonts w:hint="eastAsia" w:ascii="Times New Roman" w:hAnsi="Times New Roman" w:eastAsia="宋体" w:cs="Times New Roman"/>
                      <w:color w:val="auto"/>
                      <w:sz w:val="18"/>
                      <w:szCs w:val="18"/>
                      <w:highlight w:val="none"/>
                      <w:lang w:val="en-US" w:eastAsia="zh-CN"/>
                    </w:rPr>
                    <w:t>，包括机械通风冷却塔（</w:t>
                  </w:r>
                  <w:r>
                    <w:rPr>
                      <w:rFonts w:hint="default" w:ascii="Times New Roman" w:hAnsi="Times New Roman" w:eastAsia="宋体" w:cs="Times New Roman"/>
                      <w:color w:val="auto"/>
                      <w:sz w:val="18"/>
                      <w:szCs w:val="18"/>
                      <w:highlight w:val="none"/>
                      <w:lang w:val="en-US" w:eastAsia="zh-CN"/>
                    </w:rPr>
                    <w:t>4</w:t>
                  </w:r>
                  <w:r>
                    <w:rPr>
                      <w:rFonts w:hint="eastAsia" w:ascii="Times New Roman" w:hAnsi="Times New Roman" w:eastAsia="宋体" w:cs="Times New Roman"/>
                      <w:color w:val="auto"/>
                      <w:sz w:val="18"/>
                      <w:szCs w:val="18"/>
                      <w:highlight w:val="none"/>
                      <w:lang w:val="en-US" w:eastAsia="zh-CN"/>
                    </w:rPr>
                    <w:t>座）。</w:t>
                  </w:r>
                </w:p>
              </w:tc>
              <w:tc>
                <w:tcPr>
                  <w:tcW w:w="485" w:type="pct"/>
                  <w:tcBorders>
                    <w:tl2br w:val="nil"/>
                    <w:tr2bl w:val="nil"/>
                  </w:tcBorders>
                  <w:vAlign w:val="center"/>
                </w:tcPr>
                <w:p w14:paraId="15554D5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依托</w:t>
                  </w:r>
                </w:p>
              </w:tc>
            </w:tr>
            <w:tr w14:paraId="75D5A7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1FC2F14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13F9708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燃料输送</w:t>
                  </w:r>
                </w:p>
              </w:tc>
              <w:tc>
                <w:tcPr>
                  <w:tcW w:w="3111" w:type="pct"/>
                  <w:tcBorders>
                    <w:tl2br w:val="nil"/>
                    <w:tr2bl w:val="nil"/>
                  </w:tcBorders>
                  <w:vAlign w:val="center"/>
                </w:tcPr>
                <w:p w14:paraId="51D7A71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厂区管道支架为钢结构支架，钢筋混凝土基础，煤气管道采用无坡度多管共架架空敷设形式，</w:t>
                  </w:r>
                  <w:r>
                    <w:rPr>
                      <w:rFonts w:hint="eastAsia" w:cs="Times New Roman"/>
                      <w:color w:val="auto"/>
                      <w:sz w:val="18"/>
                      <w:szCs w:val="18"/>
                      <w:highlight w:val="none"/>
                      <w:lang w:val="en-US" w:eastAsia="zh-CN"/>
                    </w:rPr>
                    <w:t>高炉煤气管道为DN1500，煤气管道长约100m，转炉煤气管道DN900，管道长约200m，焦炉煤气管道DN900，管道长约420m。</w:t>
                  </w:r>
                </w:p>
              </w:tc>
              <w:tc>
                <w:tcPr>
                  <w:tcW w:w="485" w:type="pct"/>
                  <w:tcBorders>
                    <w:tl2br w:val="nil"/>
                    <w:tr2bl w:val="nil"/>
                  </w:tcBorders>
                  <w:vAlign w:val="center"/>
                </w:tcPr>
                <w:p w14:paraId="73B2688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251CA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35" w:type="pct"/>
                  <w:vMerge w:val="continue"/>
                  <w:tcBorders>
                    <w:tl2br w:val="nil"/>
                    <w:tr2bl w:val="nil"/>
                  </w:tcBorders>
                  <w:vAlign w:val="center"/>
                </w:tcPr>
                <w:p w14:paraId="23599B9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3022ADE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主变室</w:t>
                  </w:r>
                </w:p>
              </w:tc>
              <w:tc>
                <w:tcPr>
                  <w:tcW w:w="3111" w:type="pct"/>
                  <w:tcBorders>
                    <w:tl2br w:val="nil"/>
                    <w:tr2bl w:val="nil"/>
                  </w:tcBorders>
                  <w:vAlign w:val="center"/>
                </w:tcPr>
                <w:p w14:paraId="5176275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砖混结构，用于控制</w:t>
                  </w:r>
                  <w:r>
                    <w:rPr>
                      <w:rFonts w:hint="eastAsia" w:cs="Times New Roman"/>
                      <w:color w:val="auto"/>
                      <w:sz w:val="18"/>
                      <w:szCs w:val="18"/>
                      <w:highlight w:val="none"/>
                      <w:lang w:val="en-US" w:eastAsia="zh-CN"/>
                    </w:rPr>
                    <w:t>煤气</w:t>
                  </w:r>
                  <w:r>
                    <w:rPr>
                      <w:rFonts w:hint="eastAsia" w:ascii="Times New Roman" w:hAnsi="Times New Roman" w:eastAsia="宋体" w:cs="Times New Roman"/>
                      <w:color w:val="auto"/>
                      <w:sz w:val="18"/>
                      <w:szCs w:val="18"/>
                      <w:highlight w:val="none"/>
                      <w:lang w:val="en-US" w:eastAsia="zh-CN"/>
                    </w:rPr>
                    <w:t>发电的整个系统。</w:t>
                  </w:r>
                </w:p>
              </w:tc>
              <w:tc>
                <w:tcPr>
                  <w:tcW w:w="485" w:type="pct"/>
                  <w:tcBorders>
                    <w:tl2br w:val="nil"/>
                    <w:tr2bl w:val="nil"/>
                  </w:tcBorders>
                  <w:vAlign w:val="center"/>
                </w:tcPr>
                <w:p w14:paraId="4A3867B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23B226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35" w:type="pct"/>
                  <w:vMerge w:val="continue"/>
                  <w:tcBorders>
                    <w:tl2br w:val="nil"/>
                    <w:tr2bl w:val="nil"/>
                  </w:tcBorders>
                  <w:vAlign w:val="center"/>
                </w:tcPr>
                <w:p w14:paraId="5DE2F2A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396D965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35kV配电室</w:t>
                  </w:r>
                </w:p>
              </w:tc>
              <w:tc>
                <w:tcPr>
                  <w:tcW w:w="3111" w:type="pct"/>
                  <w:tcBorders>
                    <w:tl2br w:val="nil"/>
                    <w:tr2bl w:val="nil"/>
                  </w:tcBorders>
                  <w:vAlign w:val="center"/>
                </w:tcPr>
                <w:p w14:paraId="19AC68A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35kV配电室为</w:t>
                  </w:r>
                  <w:r>
                    <w:rPr>
                      <w:rFonts w:hint="default" w:ascii="Times New Roman" w:hAnsi="Times New Roman" w:eastAsia="宋体" w:cs="Times New Roman"/>
                      <w:color w:val="auto"/>
                      <w:sz w:val="18"/>
                      <w:szCs w:val="18"/>
                      <w:highlight w:val="none"/>
                      <w:lang w:val="en-US" w:eastAsia="zh-CN"/>
                    </w:rPr>
                    <w:t>单层框架结构，采用卷材防水保温屋面，加气混凝土砌块砌筑，内外墙双面粉刷涂料饰面。</w:t>
                  </w:r>
                  <w:r>
                    <w:rPr>
                      <w:rFonts w:hint="eastAsia" w:ascii="Times New Roman" w:hAnsi="Times New Roman" w:eastAsia="宋体" w:cs="Times New Roman"/>
                      <w:color w:val="auto"/>
                      <w:sz w:val="18"/>
                      <w:szCs w:val="18"/>
                      <w:highlight w:val="none"/>
                      <w:lang w:val="en-US" w:eastAsia="zh-CN"/>
                    </w:rPr>
                    <w:t>35kV配电室采用防滑地砖地面，主变采用水泥砂浆地面，油池内铺卵石面层，钢防火门，塑钢推拉固定窗。</w:t>
                  </w:r>
                </w:p>
              </w:tc>
              <w:tc>
                <w:tcPr>
                  <w:tcW w:w="485" w:type="pct"/>
                  <w:tcBorders>
                    <w:tl2br w:val="nil"/>
                    <w:tr2bl w:val="nil"/>
                  </w:tcBorders>
                  <w:vAlign w:val="center"/>
                </w:tcPr>
                <w:p w14:paraId="3309FC4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5FAB54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35" w:type="pct"/>
                  <w:vMerge w:val="restart"/>
                  <w:tcBorders>
                    <w:tl2br w:val="nil"/>
                    <w:tr2bl w:val="nil"/>
                  </w:tcBorders>
                  <w:vAlign w:val="center"/>
                </w:tcPr>
                <w:p w14:paraId="01B5D24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储运工程</w:t>
                  </w:r>
                </w:p>
              </w:tc>
              <w:tc>
                <w:tcPr>
                  <w:tcW w:w="968" w:type="pct"/>
                  <w:gridSpan w:val="2"/>
                  <w:tcBorders>
                    <w:tl2br w:val="nil"/>
                    <w:tr2bl w:val="nil"/>
                  </w:tcBorders>
                  <w:vAlign w:val="center"/>
                </w:tcPr>
                <w:p w14:paraId="5FCBE28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煤气柜</w:t>
                  </w:r>
                </w:p>
              </w:tc>
              <w:tc>
                <w:tcPr>
                  <w:tcW w:w="3111" w:type="pct"/>
                  <w:tcBorders>
                    <w:tl2br w:val="nil"/>
                    <w:tr2bl w:val="nil"/>
                  </w:tcBorders>
                  <w:vAlign w:val="center"/>
                </w:tcPr>
                <w:p w14:paraId="5F64FDB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lang w:val="en-US" w:eastAsia="zh-CN"/>
                    </w:rPr>
                    <w:t>本项目不新建煤气柜，依托厂区现有的1座20万m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的高炉煤气柜、1座9.5万m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和1座5万m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转炉煤气柜，以及正在建设的1座5万m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的焦炉煤气柜。</w:t>
                  </w:r>
                </w:p>
              </w:tc>
              <w:tc>
                <w:tcPr>
                  <w:tcW w:w="485" w:type="pct"/>
                  <w:tcBorders>
                    <w:tl2br w:val="nil"/>
                    <w:tr2bl w:val="nil"/>
                  </w:tcBorders>
                  <w:vAlign w:val="center"/>
                </w:tcPr>
                <w:p w14:paraId="057C470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w:t>
                  </w:r>
                </w:p>
              </w:tc>
            </w:tr>
            <w:tr w14:paraId="615AA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35" w:type="pct"/>
                  <w:vMerge w:val="continue"/>
                  <w:tcBorders>
                    <w:tl2br w:val="nil"/>
                    <w:tr2bl w:val="nil"/>
                  </w:tcBorders>
                  <w:vAlign w:val="center"/>
                </w:tcPr>
                <w:p w14:paraId="27B863D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29EC933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灰仓</w:t>
                  </w:r>
                </w:p>
              </w:tc>
              <w:tc>
                <w:tcPr>
                  <w:tcW w:w="3111" w:type="pct"/>
                  <w:tcBorders>
                    <w:tl2br w:val="nil"/>
                    <w:tr2bl w:val="nil"/>
                  </w:tcBorders>
                  <w:vAlign w:val="center"/>
                </w:tcPr>
                <w:p w14:paraId="72D134B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间</w:t>
                  </w:r>
                  <w:r>
                    <w:rPr>
                      <w:rFonts w:hint="default" w:ascii="Times New Roman" w:hAnsi="Times New Roman" w:eastAsia="宋体" w:cs="Times New Roman"/>
                      <w:color w:val="auto"/>
                      <w:sz w:val="18"/>
                      <w:szCs w:val="18"/>
                      <w:highlight w:val="none"/>
                      <w:lang w:val="en-US" w:eastAsia="zh-CN"/>
                    </w:rPr>
                    <w:t>，单层框架结构建筑，</w:t>
                  </w:r>
                  <w:r>
                    <w:rPr>
                      <w:rFonts w:hint="eastAsia" w:ascii="Times New Roman" w:hAnsi="Times New Roman" w:eastAsia="宋体" w:cs="Times New Roman"/>
                      <w:color w:val="auto"/>
                      <w:kern w:val="0"/>
                      <w:sz w:val="18"/>
                      <w:szCs w:val="18"/>
                    </w:rPr>
                    <w:t>容积为</w:t>
                  </w:r>
                  <w:r>
                    <w:rPr>
                      <w:rFonts w:hint="eastAsia" w:ascii="Times New Roman" w:hAnsi="Times New Roman" w:eastAsia="宋体" w:cs="Times New Roman"/>
                      <w:color w:val="auto"/>
                      <w:kern w:val="0"/>
                      <w:sz w:val="18"/>
                      <w:szCs w:val="18"/>
                      <w:lang w:val="en-US" w:eastAsia="zh-CN"/>
                    </w:rPr>
                    <w:t>135</w:t>
                  </w:r>
                  <w:r>
                    <w:rPr>
                      <w:rFonts w:hint="eastAsia" w:ascii="Times New Roman" w:hAnsi="Times New Roman" w:eastAsia="宋体" w:cs="Times New Roman"/>
                      <w:color w:val="auto"/>
                      <w:kern w:val="0"/>
                      <w:sz w:val="18"/>
                      <w:szCs w:val="18"/>
                    </w:rPr>
                    <w:t>m</w:t>
                  </w:r>
                  <w:r>
                    <w:rPr>
                      <w:rFonts w:hint="eastAsia" w:ascii="Times New Roman" w:hAnsi="Times New Roman" w:eastAsia="宋体" w:cs="Times New Roman"/>
                      <w:color w:val="auto"/>
                      <w:kern w:val="0"/>
                      <w:sz w:val="18"/>
                      <w:szCs w:val="18"/>
                      <w:vertAlign w:val="superscript"/>
                    </w:rPr>
                    <w:t>3</w:t>
                  </w:r>
                  <w:r>
                    <w:rPr>
                      <w:rFonts w:hint="eastAsia" w:ascii="Times New Roman" w:hAnsi="Times New Roman" w:eastAsia="宋体" w:cs="Times New Roman"/>
                      <w:color w:val="auto"/>
                      <w:kern w:val="0"/>
                      <w:sz w:val="18"/>
                      <w:szCs w:val="18"/>
                      <w:vertAlign w:val="baseline"/>
                      <w:lang w:eastAsia="zh-CN"/>
                    </w:rPr>
                    <w:t>，</w:t>
                  </w:r>
                  <w:r>
                    <w:rPr>
                      <w:rFonts w:hint="eastAsia" w:ascii="Times New Roman" w:hAnsi="Times New Roman" w:eastAsia="宋体" w:cs="Times New Roman"/>
                      <w:color w:val="auto"/>
                      <w:kern w:val="0"/>
                      <w:sz w:val="18"/>
                      <w:szCs w:val="18"/>
                    </w:rPr>
                    <w:t>出口设置有手动插板阀、电动插板阀、</w:t>
                  </w:r>
                  <w:r>
                    <w:rPr>
                      <w:rFonts w:hint="eastAsia" w:ascii="Times New Roman" w:hAnsi="Times New Roman" w:eastAsia="宋体" w:cs="Times New Roman"/>
                      <w:color w:val="auto"/>
                      <w:kern w:val="0"/>
                      <w:sz w:val="18"/>
                      <w:szCs w:val="18"/>
                      <w:highlight w:val="none"/>
                      <w:lang w:val="en-US" w:eastAsia="zh-CN"/>
                    </w:rPr>
                    <w:t>星型给料机</w:t>
                  </w:r>
                  <w:r>
                    <w:rPr>
                      <w:rFonts w:hint="eastAsia" w:ascii="Times New Roman" w:hAnsi="Times New Roman" w:eastAsia="宋体" w:cs="Times New Roman"/>
                      <w:color w:val="auto"/>
                      <w:kern w:val="0"/>
                      <w:sz w:val="18"/>
                      <w:szCs w:val="18"/>
                    </w:rPr>
                    <w:t>和</w:t>
                  </w:r>
                  <w:r>
                    <w:rPr>
                      <w:rFonts w:hint="eastAsia" w:ascii="Times New Roman" w:hAnsi="Times New Roman" w:eastAsia="宋体" w:cs="Times New Roman"/>
                      <w:color w:val="auto"/>
                      <w:kern w:val="0"/>
                      <w:sz w:val="18"/>
                      <w:szCs w:val="18"/>
                      <w:highlight w:val="none"/>
                      <w:lang w:val="en-US" w:eastAsia="zh-CN"/>
                    </w:rPr>
                    <w:t>负压罐车吸灰卸料器</w:t>
                  </w:r>
                  <w:r>
                    <w:rPr>
                      <w:rFonts w:hint="eastAsia" w:ascii="Times New Roman" w:hAnsi="Times New Roman" w:eastAsia="宋体" w:cs="Times New Roman"/>
                      <w:color w:val="auto"/>
                      <w:kern w:val="0"/>
                      <w:sz w:val="18"/>
                      <w:szCs w:val="18"/>
                    </w:rPr>
                    <w:t>，可以方便控制</w:t>
                  </w:r>
                  <w:r>
                    <w:rPr>
                      <w:rFonts w:hint="eastAsia" w:ascii="Times New Roman" w:hAnsi="Times New Roman" w:eastAsia="宋体" w:cs="Times New Roman"/>
                      <w:color w:val="auto"/>
                      <w:kern w:val="0"/>
                      <w:sz w:val="18"/>
                      <w:szCs w:val="18"/>
                      <w:lang w:val="en-US" w:eastAsia="zh-CN"/>
                    </w:rPr>
                    <w:t>灰仓</w:t>
                  </w:r>
                  <w:r>
                    <w:rPr>
                      <w:rFonts w:hint="eastAsia" w:ascii="Times New Roman" w:hAnsi="Times New Roman" w:eastAsia="宋体" w:cs="Times New Roman"/>
                      <w:color w:val="auto"/>
                      <w:kern w:val="0"/>
                      <w:sz w:val="18"/>
                      <w:szCs w:val="18"/>
                    </w:rPr>
                    <w:t>卸料，脱硫灰吨袋在堆存、转运过程中需叉车配合操作；同时为使灰库正常运行，灰库配备仓顶除尘器、真空压力释放阀、高低料位计等</w:t>
                  </w:r>
                  <w:r>
                    <w:rPr>
                      <w:rFonts w:hint="eastAsia" w:ascii="Times New Roman" w:hAnsi="Times New Roman" w:eastAsia="宋体" w:cs="Times New Roman"/>
                      <w:color w:val="auto"/>
                      <w:kern w:val="0"/>
                      <w:sz w:val="18"/>
                      <w:szCs w:val="18"/>
                      <w:lang w:eastAsia="zh-CN"/>
                    </w:rPr>
                    <w:t>。</w:t>
                  </w:r>
                </w:p>
              </w:tc>
              <w:tc>
                <w:tcPr>
                  <w:tcW w:w="485" w:type="pct"/>
                  <w:tcBorders>
                    <w:tl2br w:val="nil"/>
                    <w:tr2bl w:val="nil"/>
                  </w:tcBorders>
                  <w:vAlign w:val="center"/>
                </w:tcPr>
                <w:p w14:paraId="65B32A9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新建</w:t>
                  </w:r>
                </w:p>
              </w:tc>
            </w:tr>
            <w:tr w14:paraId="330785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5" w:type="pct"/>
                  <w:vMerge w:val="continue"/>
                  <w:tcBorders>
                    <w:tl2br w:val="nil"/>
                    <w:tr2bl w:val="nil"/>
                  </w:tcBorders>
                  <w:vAlign w:val="center"/>
                </w:tcPr>
                <w:p w14:paraId="793A762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18"/>
                      <w:szCs w:val="18"/>
                      <w:highlight w:val="none"/>
                      <w:lang w:val="en-US" w:eastAsia="zh-CN"/>
                    </w:rPr>
                  </w:pPr>
                </w:p>
              </w:tc>
              <w:tc>
                <w:tcPr>
                  <w:tcW w:w="968" w:type="pct"/>
                  <w:gridSpan w:val="2"/>
                  <w:tcBorders>
                    <w:tl2br w:val="nil"/>
                    <w:tr2bl w:val="nil"/>
                  </w:tcBorders>
                  <w:vAlign w:val="center"/>
                </w:tcPr>
                <w:p w14:paraId="11CB713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包装间</w:t>
                  </w:r>
                </w:p>
              </w:tc>
              <w:tc>
                <w:tcPr>
                  <w:tcW w:w="3111" w:type="pct"/>
                  <w:tcBorders>
                    <w:tl2br w:val="nil"/>
                    <w:tr2bl w:val="nil"/>
                  </w:tcBorders>
                  <w:vAlign w:val="center"/>
                </w:tcPr>
                <w:p w14:paraId="7B7BD1F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1间，</w:t>
                  </w:r>
                  <w:r>
                    <w:rPr>
                      <w:rFonts w:hint="default" w:ascii="Times New Roman" w:hAnsi="Times New Roman" w:eastAsia="宋体" w:cs="Times New Roman"/>
                      <w:color w:val="auto"/>
                      <w:sz w:val="18"/>
                      <w:szCs w:val="18"/>
                      <w:highlight w:val="none"/>
                      <w:lang w:val="en-US" w:eastAsia="zh-CN"/>
                    </w:rPr>
                    <w:t>钢筋混凝土框架结构</w:t>
                  </w:r>
                  <w:r>
                    <w:rPr>
                      <w:rFonts w:hint="eastAsia" w:ascii="Times New Roman" w:hAnsi="Times New Roman" w:eastAsia="宋体" w:cs="Times New Roman"/>
                      <w:color w:val="auto"/>
                      <w:sz w:val="18"/>
                      <w:szCs w:val="18"/>
                      <w:highlight w:val="none"/>
                      <w:lang w:val="en-US" w:eastAsia="zh-CN"/>
                    </w:rPr>
                    <w:t>，主要用于包装脱硫灰。</w:t>
                  </w:r>
                </w:p>
              </w:tc>
              <w:tc>
                <w:tcPr>
                  <w:tcW w:w="485" w:type="pct"/>
                  <w:tcBorders>
                    <w:tl2br w:val="nil"/>
                    <w:tr2bl w:val="nil"/>
                  </w:tcBorders>
                  <w:vAlign w:val="center"/>
                </w:tcPr>
                <w:p w14:paraId="6610037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4C415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35" w:type="pct"/>
                  <w:vMerge w:val="continue"/>
                  <w:tcBorders>
                    <w:tl2br w:val="nil"/>
                    <w:tr2bl w:val="nil"/>
                  </w:tcBorders>
                  <w:vAlign w:val="center"/>
                </w:tcPr>
                <w:p w14:paraId="78B8B6D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7D28367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氨水罐</w:t>
                  </w:r>
                </w:p>
              </w:tc>
              <w:tc>
                <w:tcPr>
                  <w:tcW w:w="3111" w:type="pct"/>
                  <w:tcBorders>
                    <w:tl2br w:val="nil"/>
                    <w:tr2bl w:val="nil"/>
                  </w:tcBorders>
                  <w:vAlign w:val="center"/>
                </w:tcPr>
                <w:p w14:paraId="13C1EFF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项目设置1台厚度6mm，φ3.4×3.4m，</w:t>
                  </w:r>
                  <w:r>
                    <w:rPr>
                      <w:rFonts w:hint="eastAsia" w:cs="Times New Roman"/>
                      <w:color w:val="auto"/>
                      <w:sz w:val="18"/>
                      <w:szCs w:val="18"/>
                      <w:highlight w:val="none"/>
                      <w:lang w:val="en-US" w:eastAsia="zh-CN"/>
                    </w:rPr>
                    <w:t>容积为30m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304不锈钢的氨水罐，为脱硝系统提供氨水。</w:t>
                  </w:r>
                </w:p>
              </w:tc>
              <w:tc>
                <w:tcPr>
                  <w:tcW w:w="485" w:type="pct"/>
                  <w:tcBorders>
                    <w:tl2br w:val="nil"/>
                    <w:tr2bl w:val="nil"/>
                  </w:tcBorders>
                  <w:vAlign w:val="center"/>
                </w:tcPr>
                <w:p w14:paraId="3E4234B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57968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35" w:type="pct"/>
                  <w:vMerge w:val="continue"/>
                  <w:tcBorders>
                    <w:tl2br w:val="nil"/>
                    <w:tr2bl w:val="nil"/>
                  </w:tcBorders>
                  <w:vAlign w:val="center"/>
                </w:tcPr>
                <w:p w14:paraId="05F062D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4126EE5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盐酸罐</w:t>
                  </w:r>
                </w:p>
              </w:tc>
              <w:tc>
                <w:tcPr>
                  <w:tcW w:w="3111" w:type="pct"/>
                  <w:tcBorders>
                    <w:tl2br w:val="nil"/>
                    <w:tr2bl w:val="nil"/>
                  </w:tcBorders>
                  <w:vAlign w:val="center"/>
                </w:tcPr>
                <w:p w14:paraId="2A3AAF8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lang w:val="en-US" w:eastAsia="zh-CN"/>
                    </w:rPr>
                    <w:t>项目在</w:t>
                  </w:r>
                  <w:r>
                    <w:rPr>
                      <w:rFonts w:hint="default" w:ascii="Times New Roman" w:hAnsi="Times New Roman" w:eastAsia="宋体" w:cs="Times New Roman"/>
                      <w:color w:val="auto"/>
                      <w:sz w:val="18"/>
                      <w:szCs w:val="18"/>
                      <w:highlight w:val="none"/>
                      <w:lang w:val="en-US" w:eastAsia="zh-CN"/>
                    </w:rPr>
                    <w:t>凝结水精处理间</w:t>
                  </w:r>
                  <w:r>
                    <w:rPr>
                      <w:rFonts w:hint="eastAsia" w:cs="Times New Roman"/>
                      <w:color w:val="auto"/>
                      <w:sz w:val="18"/>
                      <w:szCs w:val="18"/>
                      <w:highlight w:val="none"/>
                      <w:lang w:val="en-US" w:eastAsia="zh-CN"/>
                    </w:rPr>
                    <w:t>设置2台容积为5m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的盐酸储罐，用于储存37%盐酸。</w:t>
                  </w:r>
                </w:p>
              </w:tc>
              <w:tc>
                <w:tcPr>
                  <w:tcW w:w="485" w:type="pct"/>
                  <w:tcBorders>
                    <w:tl2br w:val="nil"/>
                    <w:tr2bl w:val="nil"/>
                  </w:tcBorders>
                  <w:vAlign w:val="center"/>
                </w:tcPr>
                <w:p w14:paraId="796F6D2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4FD5AA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tcBorders>
                    <w:tl2br w:val="nil"/>
                    <w:tr2bl w:val="nil"/>
                  </w:tcBorders>
                  <w:vAlign w:val="center"/>
                </w:tcPr>
                <w:p w14:paraId="1804C69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201AA5E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钙粉设备间</w:t>
                  </w:r>
                </w:p>
              </w:tc>
              <w:tc>
                <w:tcPr>
                  <w:tcW w:w="3111" w:type="pct"/>
                  <w:tcBorders>
                    <w:tl2br w:val="nil"/>
                    <w:tr2bl w:val="nil"/>
                  </w:tcBorders>
                  <w:vAlign w:val="center"/>
                </w:tcPr>
                <w:p w14:paraId="6F11D40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钙粉设备间为主体单层混凝土框架结构，主要用于储存烟气脱硫所用的钙粉，钙粉整袋（吨袋）运至钙粉设备间，在钙粉设备间顶部电动葫芦将钙粉吨袋吊运至仓顶，人工破袋完成卸料，通过设置在仓底的星型给料机将钙基粉仓内的钙粉送入脱硫专业送粉装置。</w:t>
                  </w:r>
                </w:p>
              </w:tc>
              <w:tc>
                <w:tcPr>
                  <w:tcW w:w="485" w:type="pct"/>
                  <w:tcBorders>
                    <w:tl2br w:val="nil"/>
                    <w:tr2bl w:val="nil"/>
                  </w:tcBorders>
                  <w:vAlign w:val="center"/>
                </w:tcPr>
                <w:p w14:paraId="6ACDEC6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新建</w:t>
                  </w:r>
                </w:p>
              </w:tc>
            </w:tr>
            <w:tr w14:paraId="02E27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77BF9DF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036934A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运输道路</w:t>
                  </w:r>
                </w:p>
              </w:tc>
              <w:tc>
                <w:tcPr>
                  <w:tcW w:w="3111" w:type="pct"/>
                  <w:tcBorders>
                    <w:tl2br w:val="nil"/>
                    <w:tr2bl w:val="nil"/>
                  </w:tcBorders>
                  <w:vAlign w:val="center"/>
                </w:tcPr>
                <w:p w14:paraId="4FD2BF5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为满足设备运输、检修及消防的需要，本工程在主厂房区设置4-6m宽的运输及检修道路，冷却塔及化水车间东侧道路利旧。新建道路与场地外部道路相接，道路型式为公路型，最小转弯为6m。</w:t>
                  </w:r>
                </w:p>
              </w:tc>
              <w:tc>
                <w:tcPr>
                  <w:tcW w:w="485" w:type="pct"/>
                  <w:tcBorders>
                    <w:tl2br w:val="nil"/>
                    <w:tr2bl w:val="nil"/>
                  </w:tcBorders>
                  <w:vAlign w:val="center"/>
                </w:tcPr>
                <w:p w14:paraId="3A1F9EC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5F3E80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restart"/>
                  <w:tcBorders>
                    <w:tl2br w:val="nil"/>
                    <w:tr2bl w:val="nil"/>
                  </w:tcBorders>
                  <w:vAlign w:val="center"/>
                </w:tcPr>
                <w:p w14:paraId="5F9FD2B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公用工程</w:t>
                  </w:r>
                </w:p>
              </w:tc>
              <w:tc>
                <w:tcPr>
                  <w:tcW w:w="968" w:type="pct"/>
                  <w:gridSpan w:val="2"/>
                  <w:tcBorders>
                    <w:tl2br w:val="nil"/>
                    <w:tr2bl w:val="nil"/>
                  </w:tcBorders>
                  <w:vAlign w:val="center"/>
                </w:tcPr>
                <w:p w14:paraId="4E63E8E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供水</w:t>
                  </w:r>
                </w:p>
              </w:tc>
              <w:tc>
                <w:tcPr>
                  <w:tcW w:w="3111" w:type="pct"/>
                  <w:tcBorders>
                    <w:tl2br w:val="nil"/>
                    <w:tr2bl w:val="nil"/>
                  </w:tcBorders>
                  <w:vAlign w:val="center"/>
                </w:tcPr>
                <w:p w14:paraId="1BA7BA5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生活用水</w:t>
                  </w:r>
                  <w:r>
                    <w:rPr>
                      <w:rFonts w:hint="eastAsia" w:cs="Times New Roman"/>
                      <w:color w:val="auto"/>
                      <w:sz w:val="18"/>
                      <w:szCs w:val="18"/>
                      <w:highlight w:val="none"/>
                      <w:lang w:val="en-US" w:eastAsia="zh-CN"/>
                    </w:rPr>
                    <w:t>来自</w:t>
                  </w:r>
                  <w:r>
                    <w:rPr>
                      <w:rFonts w:hint="default" w:ascii="Times New Roman" w:hAnsi="Times New Roman" w:eastAsia="宋体" w:cs="Times New Roman"/>
                      <w:color w:val="auto"/>
                      <w:sz w:val="18"/>
                      <w:szCs w:val="18"/>
                      <w:highlight w:val="none"/>
                      <w:lang w:val="en-US" w:eastAsia="zh-CN"/>
                    </w:rPr>
                    <w:t>生活给水管网，生产用水来源于中央水处理站的生产新水给水系统。</w:t>
                  </w:r>
                </w:p>
              </w:tc>
              <w:tc>
                <w:tcPr>
                  <w:tcW w:w="485" w:type="pct"/>
                  <w:tcBorders>
                    <w:tl2br w:val="nil"/>
                    <w:tr2bl w:val="nil"/>
                  </w:tcBorders>
                  <w:vAlign w:val="center"/>
                </w:tcPr>
                <w:p w14:paraId="47A1F80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利旧</w:t>
                  </w:r>
                </w:p>
              </w:tc>
            </w:tr>
            <w:tr w14:paraId="092A7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tcBorders>
                    <w:tl2br w:val="nil"/>
                    <w:tr2bl w:val="nil"/>
                  </w:tcBorders>
                  <w:vAlign w:val="center"/>
                </w:tcPr>
                <w:p w14:paraId="08C5840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206CA5C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排水</w:t>
                  </w:r>
                </w:p>
              </w:tc>
              <w:tc>
                <w:tcPr>
                  <w:tcW w:w="3111" w:type="pct"/>
                  <w:tcBorders>
                    <w:tl2br w:val="nil"/>
                    <w:tr2bl w:val="nil"/>
                  </w:tcBorders>
                  <w:vAlign w:val="center"/>
                </w:tcPr>
                <w:p w14:paraId="1DBC713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采用</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雨污分流</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雨水经室外雨排水管网收集后，最终排入全厂雨排水管网；生产废水经管道排入区域生产废水排水系统，再排入全厂生产废水排水管网，最终进入厂内现有的中央水处理站。生活污水依托仙福集团现有生活污水处理站。</w:t>
                  </w:r>
                </w:p>
              </w:tc>
              <w:tc>
                <w:tcPr>
                  <w:tcW w:w="485" w:type="pct"/>
                  <w:tcBorders>
                    <w:tl2br w:val="nil"/>
                    <w:tr2bl w:val="nil"/>
                  </w:tcBorders>
                  <w:vAlign w:val="center"/>
                </w:tcPr>
                <w:p w14:paraId="7F88E51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新建+依托</w:t>
                  </w:r>
                </w:p>
              </w:tc>
            </w:tr>
            <w:tr w14:paraId="4D8307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55C2B0F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7D938AC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供电</w:t>
                  </w:r>
                </w:p>
              </w:tc>
              <w:tc>
                <w:tcPr>
                  <w:tcW w:w="3111" w:type="pct"/>
                  <w:tcBorders>
                    <w:tl2br w:val="nil"/>
                    <w:tr2bl w:val="nil"/>
                  </w:tcBorders>
                  <w:vAlign w:val="center"/>
                </w:tcPr>
                <w:p w14:paraId="175FE20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项目采用10kV电源供电，取自</w:t>
                  </w:r>
                  <w:r>
                    <w:rPr>
                      <w:rFonts w:hint="eastAsia" w:ascii="Times New Roman" w:hAnsi="Times New Roman" w:eastAsia="宋体" w:cs="Times New Roman"/>
                      <w:color w:val="auto"/>
                      <w:sz w:val="18"/>
                      <w:szCs w:val="18"/>
                      <w:highlight w:val="none"/>
                      <w:lang w:val="en-US" w:eastAsia="zh-CN"/>
                    </w:rPr>
                    <w:t>35kV高炉变</w:t>
                  </w:r>
                  <w:r>
                    <w:rPr>
                      <w:rFonts w:hint="default" w:ascii="Times New Roman" w:hAnsi="Times New Roman" w:eastAsia="宋体" w:cs="Times New Roman"/>
                      <w:color w:val="auto"/>
                      <w:sz w:val="18"/>
                      <w:szCs w:val="18"/>
                      <w:highlight w:val="none"/>
                      <w:lang w:val="en-US" w:eastAsia="zh-CN"/>
                    </w:rPr>
                    <w:t>，电源线路沿厂内电缆沟及新建电缆桥架引至项目10kV高压配电室。</w:t>
                  </w:r>
                </w:p>
              </w:tc>
              <w:tc>
                <w:tcPr>
                  <w:tcW w:w="485" w:type="pct"/>
                  <w:tcBorders>
                    <w:tl2br w:val="nil"/>
                    <w:tr2bl w:val="nil"/>
                  </w:tcBorders>
                  <w:vAlign w:val="center"/>
                </w:tcPr>
                <w:p w14:paraId="373EF95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新建+依托</w:t>
                  </w:r>
                </w:p>
              </w:tc>
            </w:tr>
            <w:tr w14:paraId="231D53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35" w:type="pct"/>
                  <w:vMerge w:val="restart"/>
                  <w:tcBorders>
                    <w:tl2br w:val="nil"/>
                    <w:tr2bl w:val="nil"/>
                  </w:tcBorders>
                  <w:vAlign w:val="center"/>
                </w:tcPr>
                <w:p w14:paraId="6488145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环保工程</w:t>
                  </w:r>
                </w:p>
              </w:tc>
              <w:tc>
                <w:tcPr>
                  <w:tcW w:w="269" w:type="pct"/>
                  <w:vMerge w:val="restart"/>
                  <w:tcBorders>
                    <w:tl2br w:val="nil"/>
                    <w:tr2bl w:val="nil"/>
                  </w:tcBorders>
                  <w:vAlign w:val="center"/>
                </w:tcPr>
                <w:p w14:paraId="42AB6BC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698" w:type="pct"/>
                  <w:tcBorders>
                    <w:tl2br w:val="nil"/>
                    <w:tr2bl w:val="nil"/>
                  </w:tcBorders>
                  <w:vAlign w:val="center"/>
                </w:tcPr>
                <w:p w14:paraId="2FB0860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锅炉废气</w:t>
                  </w:r>
                </w:p>
              </w:tc>
              <w:tc>
                <w:tcPr>
                  <w:tcW w:w="3111" w:type="pct"/>
                  <w:tcBorders>
                    <w:tl2br w:val="nil"/>
                    <w:tr2bl w:val="nil"/>
                  </w:tcBorders>
                  <w:vAlign w:val="center"/>
                </w:tcPr>
                <w:p w14:paraId="302085C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煤气发电生产线废气主要为锅炉废气，</w:t>
                  </w:r>
                  <w:r>
                    <w:rPr>
                      <w:rFonts w:hint="eastAsia" w:cs="Times New Roman"/>
                      <w:color w:val="auto"/>
                      <w:sz w:val="18"/>
                      <w:szCs w:val="18"/>
                      <w:highlight w:val="none"/>
                      <w:lang w:val="en-US" w:eastAsia="zh-CN"/>
                    </w:rPr>
                    <w:t>锅炉设置低氮燃烧器，</w:t>
                  </w:r>
                  <w:r>
                    <w:rPr>
                      <w:rFonts w:hint="default" w:ascii="Times New Roman" w:hAnsi="Times New Roman" w:eastAsia="宋体" w:cs="Times New Roman"/>
                      <w:color w:val="auto"/>
                      <w:sz w:val="18"/>
                      <w:szCs w:val="18"/>
                      <w:highlight w:val="none"/>
                      <w:lang w:val="en-US" w:eastAsia="zh-CN"/>
                    </w:rPr>
                    <w:t>建设1套干法脱硫装置</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脱硫装置选用</w:t>
                  </w:r>
                  <w:r>
                    <w:rPr>
                      <w:rFonts w:hint="eastAsia" w:ascii="Times New Roman" w:hAnsi="Times New Roman" w:eastAsia="宋体" w:cs="Times New Roman"/>
                      <w:color w:val="auto"/>
                      <w:sz w:val="18"/>
                      <w:szCs w:val="18"/>
                      <w:highlight w:val="none"/>
                      <w:lang w:val="en-US" w:eastAsia="zh-CN"/>
                    </w:rPr>
                    <w:t>钙基</w:t>
                  </w:r>
                  <w:r>
                    <w:rPr>
                      <w:rFonts w:hint="default" w:ascii="Times New Roman" w:hAnsi="Times New Roman" w:eastAsia="宋体" w:cs="Times New Roman"/>
                      <w:color w:val="auto"/>
                      <w:sz w:val="18"/>
                      <w:szCs w:val="18"/>
                      <w:highlight w:val="none"/>
                      <w:lang w:val="en-US" w:eastAsia="zh-CN"/>
                    </w:rPr>
                    <w:t>干法脱硫工艺</w:t>
                  </w:r>
                  <w:r>
                    <w:rPr>
                      <w:rFonts w:hint="eastAsia" w:ascii="Times New Roman" w:hAnsi="Times New Roman" w:eastAsia="宋体" w:cs="Times New Roman"/>
                      <w:color w:val="auto"/>
                      <w:sz w:val="18"/>
                      <w:szCs w:val="18"/>
                      <w:highlight w:val="none"/>
                      <w:lang w:val="en-US" w:eastAsia="zh-CN"/>
                    </w:rPr>
                    <w:t>，钙基脱硫工艺主</w:t>
                  </w:r>
                  <w:r>
                    <w:rPr>
                      <w:rFonts w:hint="eastAsia" w:cs="Times New Roman"/>
                      <w:color w:val="auto"/>
                      <w:sz w:val="18"/>
                      <w:szCs w:val="18"/>
                      <w:highlight w:val="none"/>
                      <w:lang w:val="en-US" w:eastAsia="zh-CN"/>
                    </w:rPr>
                    <w:t>要由</w:t>
                  </w:r>
                  <w:r>
                    <w:rPr>
                      <w:rFonts w:hint="default" w:ascii="Times New Roman" w:hAnsi="Times New Roman" w:eastAsia="宋体" w:cs="Times New Roman"/>
                      <w:color w:val="auto"/>
                      <w:sz w:val="18"/>
                      <w:szCs w:val="18"/>
                      <w:highlight w:val="none"/>
                      <w:lang w:val="en-US" w:eastAsia="zh-CN"/>
                    </w:rPr>
                    <w:t>吸收剂</w:t>
                  </w:r>
                  <w:r>
                    <w:rPr>
                      <w:rFonts w:hint="eastAsia" w:ascii="Times New Roman" w:hAnsi="Times New Roman" w:eastAsia="宋体" w:cs="Times New Roman"/>
                      <w:color w:val="auto"/>
                      <w:sz w:val="18"/>
                      <w:szCs w:val="18"/>
                      <w:highlight w:val="none"/>
                      <w:lang w:val="en-US" w:eastAsia="zh-CN"/>
                    </w:rPr>
                    <w:t>储存</w:t>
                  </w:r>
                  <w:r>
                    <w:rPr>
                      <w:rFonts w:hint="default" w:ascii="Times New Roman" w:hAnsi="Times New Roman" w:eastAsia="宋体" w:cs="Times New Roman"/>
                      <w:color w:val="auto"/>
                      <w:sz w:val="18"/>
                      <w:szCs w:val="18"/>
                      <w:highlight w:val="none"/>
                      <w:lang w:val="en-US" w:eastAsia="zh-CN"/>
                    </w:rPr>
                    <w:t>系统、</w:t>
                  </w:r>
                  <w:r>
                    <w:rPr>
                      <w:rFonts w:hint="eastAsia" w:ascii="Times New Roman" w:hAnsi="Times New Roman" w:eastAsia="宋体" w:cs="Times New Roman"/>
                      <w:color w:val="auto"/>
                      <w:sz w:val="18"/>
                      <w:szCs w:val="18"/>
                      <w:highlight w:val="none"/>
                      <w:lang w:val="en-US" w:eastAsia="zh-CN"/>
                    </w:rPr>
                    <w:t>喷射输送系统、</w:t>
                  </w:r>
                  <w:r>
                    <w:rPr>
                      <w:rFonts w:hint="default" w:ascii="Times New Roman" w:hAnsi="Times New Roman" w:eastAsia="宋体" w:cs="Times New Roman"/>
                      <w:color w:val="auto"/>
                      <w:sz w:val="18"/>
                      <w:szCs w:val="18"/>
                      <w:highlight w:val="none"/>
                      <w:lang w:val="en-US" w:eastAsia="zh-CN"/>
                    </w:rPr>
                    <w:t>反应器系统、布袋除尘系统、脱硫灰处理系统及仪表用气系统等组成</w:t>
                  </w:r>
                  <w:r>
                    <w:rPr>
                      <w:rFonts w:hint="eastAsia" w:ascii="Times New Roman" w:hAnsi="Times New Roman" w:eastAsia="宋体" w:cs="Times New Roman"/>
                      <w:color w:val="auto"/>
                      <w:sz w:val="18"/>
                      <w:szCs w:val="18"/>
                      <w:highlight w:val="none"/>
                      <w:lang w:val="en-US" w:eastAsia="zh-CN"/>
                    </w:rPr>
                    <w:t>。同时锅炉废气还配套建设</w:t>
                  </w:r>
                  <w:r>
                    <w:rPr>
                      <w:rFonts w:hint="default" w:ascii="Times New Roman" w:hAnsi="Times New Roman" w:eastAsia="宋体" w:cs="Times New Roman"/>
                      <w:color w:val="auto"/>
                      <w:sz w:val="18"/>
                      <w:szCs w:val="18"/>
                      <w:highlight w:val="none"/>
                      <w:lang w:val="en-US" w:eastAsia="zh-CN"/>
                    </w:rPr>
                    <w:t>1套烟气脱硝装置</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选用20%浓度氨水为脱硝还原剂，采用选择性催化还原脱硝（SCR）工艺，催化剂选择中高温脱硝催化剂</w:t>
                  </w:r>
                  <w:r>
                    <w:rPr>
                      <w:rFonts w:hint="eastAsia" w:ascii="Times New Roman" w:hAnsi="Times New Roman" w:eastAsia="宋体" w:cs="Times New Roman"/>
                      <w:color w:val="auto"/>
                      <w:sz w:val="18"/>
                      <w:szCs w:val="18"/>
                      <w:highlight w:val="none"/>
                      <w:lang w:val="en-US" w:eastAsia="zh-CN"/>
                    </w:rPr>
                    <w:t>，锅炉废气经中高温SCR脱硝</w:t>
                  </w:r>
                  <w:r>
                    <w:rPr>
                      <w:rFonts w:hint="eastAsia"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钙基干法脱硫+布袋除尘处理后，经过一根高</w:t>
                  </w:r>
                  <w:r>
                    <w:rPr>
                      <w:rFonts w:hint="eastAsia" w:cs="Times New Roman"/>
                      <w:color w:val="auto"/>
                      <w:sz w:val="18"/>
                      <w:szCs w:val="18"/>
                      <w:highlight w:val="none"/>
                      <w:lang w:val="en-US" w:eastAsia="zh-CN"/>
                    </w:rPr>
                    <w:t>80</w:t>
                  </w:r>
                  <w:r>
                    <w:rPr>
                      <w:rFonts w:hint="eastAsia" w:ascii="Times New Roman" w:hAnsi="Times New Roman" w:eastAsia="宋体" w:cs="Times New Roman"/>
                      <w:color w:val="auto"/>
                      <w:sz w:val="18"/>
                      <w:szCs w:val="18"/>
                      <w:highlight w:val="none"/>
                      <w:lang w:val="en-US" w:eastAsia="zh-CN"/>
                    </w:rPr>
                    <w:t>m的烟囱排放，安装在线监测系统1套，监测指标：烟尘、SO</w:t>
                  </w:r>
                  <w:r>
                    <w:rPr>
                      <w:rFonts w:hint="eastAsia" w:ascii="Times New Roman" w:hAnsi="Times New Roman" w:eastAsia="宋体" w:cs="Times New Roman"/>
                      <w:color w:val="auto"/>
                      <w:sz w:val="18"/>
                      <w:szCs w:val="18"/>
                      <w:highlight w:val="none"/>
                      <w:vertAlign w:val="subscript"/>
                      <w:lang w:val="en-US" w:eastAsia="zh-CN"/>
                    </w:rPr>
                    <w:t>2</w:t>
                  </w:r>
                  <w:r>
                    <w:rPr>
                      <w:rFonts w:hint="eastAsia" w:ascii="Times New Roman" w:hAnsi="Times New Roman" w:eastAsia="宋体" w:cs="Times New Roman"/>
                      <w:color w:val="auto"/>
                      <w:sz w:val="18"/>
                      <w:szCs w:val="18"/>
                      <w:highlight w:val="none"/>
                      <w:lang w:val="en-US" w:eastAsia="zh-CN"/>
                    </w:rPr>
                    <w:t>、NOx、氧含量、烟温、烟气量等，并与生态环境管理部门监测中心联网。</w:t>
                  </w:r>
                </w:p>
              </w:tc>
              <w:tc>
                <w:tcPr>
                  <w:tcW w:w="485" w:type="pct"/>
                  <w:tcBorders>
                    <w:tl2br w:val="nil"/>
                    <w:tr2bl w:val="nil"/>
                  </w:tcBorders>
                  <w:vAlign w:val="center"/>
                </w:tcPr>
                <w:p w14:paraId="13272B8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6E432B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35" w:type="pct"/>
                  <w:vMerge w:val="continue"/>
                  <w:tcBorders>
                    <w:tl2br w:val="nil"/>
                    <w:tr2bl w:val="nil"/>
                  </w:tcBorders>
                  <w:vAlign w:val="center"/>
                </w:tcPr>
                <w:p w14:paraId="40C6BC5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5F68E45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5A65E27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灰仓废气</w:t>
                  </w:r>
                </w:p>
              </w:tc>
              <w:tc>
                <w:tcPr>
                  <w:tcW w:w="3111" w:type="pct"/>
                  <w:tcBorders>
                    <w:tl2br w:val="nil"/>
                    <w:tr2bl w:val="nil"/>
                  </w:tcBorders>
                  <w:vAlign w:val="center"/>
                </w:tcPr>
                <w:p w14:paraId="29EA9D2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灰仓设置集气罩，</w:t>
                  </w:r>
                  <w:r>
                    <w:rPr>
                      <w:rFonts w:hint="eastAsia" w:cs="Times New Roman"/>
                      <w:sz w:val="18"/>
                      <w:szCs w:val="18"/>
                      <w:vertAlign w:val="baseline"/>
                      <w:lang w:val="en-US" w:eastAsia="zh-CN"/>
                    </w:rPr>
                    <w:t>灰仓粉尘和锅炉烟气一同处理后通过80m烟囱排放。</w:t>
                  </w:r>
                </w:p>
              </w:tc>
              <w:tc>
                <w:tcPr>
                  <w:tcW w:w="485" w:type="pct"/>
                  <w:tcBorders>
                    <w:tl2br w:val="nil"/>
                    <w:tr2bl w:val="nil"/>
                  </w:tcBorders>
                  <w:vAlign w:val="center"/>
                </w:tcPr>
                <w:p w14:paraId="5EF551A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新建</w:t>
                  </w:r>
                </w:p>
              </w:tc>
            </w:tr>
            <w:tr w14:paraId="079364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35" w:type="pct"/>
                  <w:vMerge w:val="continue"/>
                  <w:tcBorders>
                    <w:tl2br w:val="nil"/>
                    <w:tr2bl w:val="nil"/>
                  </w:tcBorders>
                  <w:vAlign w:val="center"/>
                </w:tcPr>
                <w:p w14:paraId="31D8ED3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restart"/>
                  <w:tcBorders>
                    <w:tl2br w:val="nil"/>
                    <w:tr2bl w:val="nil"/>
                  </w:tcBorders>
                  <w:vAlign w:val="center"/>
                </w:tcPr>
                <w:p w14:paraId="57786FB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698" w:type="pct"/>
                  <w:tcBorders>
                    <w:tl2br w:val="nil"/>
                    <w:tr2bl w:val="nil"/>
                  </w:tcBorders>
                  <w:vAlign w:val="center"/>
                </w:tcPr>
                <w:p w14:paraId="669D3D8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生产废水</w:t>
                  </w:r>
                </w:p>
              </w:tc>
              <w:tc>
                <w:tcPr>
                  <w:tcW w:w="3111" w:type="pct"/>
                  <w:tcBorders>
                    <w:tl2br w:val="nil"/>
                    <w:tr2bl w:val="nil"/>
                  </w:tcBorders>
                  <w:vAlign w:val="center"/>
                </w:tcPr>
                <w:p w14:paraId="7DDF34A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除盐水站废水、除盐水站反渗透系统设备冲洗水、凝结间处理站冲洗水、凝结间处理站树脂再生水、循环冷却水系统排污水、旁通过滤器反冲洗水收集后至全厂中央水处理站，处理后回用于各用水环节；锅炉排污水和设备冷却水冷却后进入循环水池重复利用，不外排。</w:t>
                  </w:r>
                </w:p>
              </w:tc>
              <w:tc>
                <w:tcPr>
                  <w:tcW w:w="485" w:type="pct"/>
                  <w:tcBorders>
                    <w:tl2br w:val="nil"/>
                    <w:tr2bl w:val="nil"/>
                  </w:tcBorders>
                  <w:vAlign w:val="center"/>
                </w:tcPr>
                <w:p w14:paraId="4FDB0A1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w:t>
                  </w:r>
                </w:p>
              </w:tc>
            </w:tr>
            <w:tr w14:paraId="2A6D89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35" w:type="pct"/>
                  <w:vMerge w:val="continue"/>
                  <w:tcBorders>
                    <w:tl2br w:val="nil"/>
                    <w:tr2bl w:val="nil"/>
                  </w:tcBorders>
                  <w:vAlign w:val="center"/>
                </w:tcPr>
                <w:p w14:paraId="62CEECD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7394F70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77BE076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生活污水</w:t>
                  </w:r>
                </w:p>
              </w:tc>
              <w:tc>
                <w:tcPr>
                  <w:tcW w:w="3111" w:type="pct"/>
                  <w:tcBorders>
                    <w:tl2br w:val="nil"/>
                    <w:tr2bl w:val="nil"/>
                  </w:tcBorders>
                  <w:vAlign w:val="center"/>
                </w:tcPr>
                <w:p w14:paraId="18C54C9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依托厂区现有生活污水处理站处理后回用。</w:t>
                  </w:r>
                </w:p>
              </w:tc>
              <w:tc>
                <w:tcPr>
                  <w:tcW w:w="485" w:type="pct"/>
                  <w:tcBorders>
                    <w:tl2br w:val="nil"/>
                    <w:tr2bl w:val="nil"/>
                  </w:tcBorders>
                  <w:vAlign w:val="center"/>
                </w:tcPr>
                <w:p w14:paraId="781413F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w:t>
                  </w:r>
                </w:p>
              </w:tc>
            </w:tr>
            <w:tr w14:paraId="5E3AEB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pct"/>
                  <w:vMerge w:val="continue"/>
                  <w:tcBorders>
                    <w:tl2br w:val="nil"/>
                    <w:tr2bl w:val="nil"/>
                  </w:tcBorders>
                  <w:vAlign w:val="center"/>
                </w:tcPr>
                <w:p w14:paraId="24E00B5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1A36458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w:t>
                  </w:r>
                </w:p>
              </w:tc>
              <w:tc>
                <w:tcPr>
                  <w:tcW w:w="3111" w:type="pct"/>
                  <w:tcBorders>
                    <w:tl2br w:val="nil"/>
                    <w:tr2bl w:val="nil"/>
                  </w:tcBorders>
                  <w:vAlign w:val="center"/>
                </w:tcPr>
                <w:p w14:paraId="6CFB65F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选用低噪声设备、风机安装消声器、厂房隔声</w:t>
                  </w:r>
                </w:p>
              </w:tc>
              <w:tc>
                <w:tcPr>
                  <w:tcW w:w="485" w:type="pct"/>
                  <w:tcBorders>
                    <w:tl2br w:val="nil"/>
                    <w:tr2bl w:val="nil"/>
                  </w:tcBorders>
                  <w:vAlign w:val="center"/>
                </w:tcPr>
                <w:p w14:paraId="1FAE47E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126B7C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073F94D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restart"/>
                  <w:tcBorders>
                    <w:tl2br w:val="nil"/>
                    <w:tr2bl w:val="nil"/>
                  </w:tcBorders>
                  <w:vAlign w:val="center"/>
                </w:tcPr>
                <w:p w14:paraId="76CBA9F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698" w:type="pct"/>
                  <w:tcBorders>
                    <w:tl2br w:val="nil"/>
                    <w:tr2bl w:val="nil"/>
                  </w:tcBorders>
                  <w:vAlign w:val="center"/>
                </w:tcPr>
                <w:p w14:paraId="2FCBE01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废过滤介质</w:t>
                  </w:r>
                </w:p>
              </w:tc>
              <w:tc>
                <w:tcPr>
                  <w:tcW w:w="3111" w:type="pct"/>
                  <w:tcBorders>
                    <w:tl2br w:val="nil"/>
                    <w:tr2bl w:val="nil"/>
                  </w:tcBorders>
                  <w:vAlign w:val="center"/>
                </w:tcPr>
                <w:p w14:paraId="126B348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不在厂区贮存，更换后由厂家带走回收利用。</w:t>
                  </w:r>
                </w:p>
              </w:tc>
              <w:tc>
                <w:tcPr>
                  <w:tcW w:w="485" w:type="pct"/>
                  <w:tcBorders>
                    <w:tl2br w:val="nil"/>
                    <w:tr2bl w:val="nil"/>
                  </w:tcBorders>
                  <w:vAlign w:val="center"/>
                </w:tcPr>
                <w:p w14:paraId="0FCD60D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14:paraId="3C6F9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35" w:type="pct"/>
                  <w:vMerge w:val="continue"/>
                  <w:tcBorders>
                    <w:tl2br w:val="nil"/>
                    <w:tr2bl w:val="nil"/>
                  </w:tcBorders>
                  <w:vAlign w:val="center"/>
                </w:tcPr>
                <w:p w14:paraId="52FED08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2E7E7C3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16448BE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废树脂</w:t>
                  </w:r>
                </w:p>
              </w:tc>
              <w:tc>
                <w:tcPr>
                  <w:tcW w:w="3111" w:type="pct"/>
                  <w:tcBorders>
                    <w:tl2br w:val="nil"/>
                    <w:tr2bl w:val="nil"/>
                  </w:tcBorders>
                  <w:vAlign w:val="center"/>
                </w:tcPr>
                <w:p w14:paraId="1308FB5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不在厂区贮存，更换后由厂家带走回收利用。</w:t>
                  </w:r>
                </w:p>
              </w:tc>
              <w:tc>
                <w:tcPr>
                  <w:tcW w:w="485" w:type="pct"/>
                  <w:tcBorders>
                    <w:tl2br w:val="nil"/>
                    <w:tr2bl w:val="nil"/>
                  </w:tcBorders>
                  <w:vAlign w:val="center"/>
                </w:tcPr>
                <w:p w14:paraId="23F2E2E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18"/>
                      <w:szCs w:val="18"/>
                      <w:highlight w:val="none"/>
                      <w:lang w:val="en-US" w:eastAsia="zh-CN"/>
                    </w:rPr>
                  </w:pPr>
                </w:p>
              </w:tc>
            </w:tr>
            <w:tr w14:paraId="7C1C9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3725170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1C7957A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0CA385F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脱硫灰</w:t>
                  </w:r>
                </w:p>
              </w:tc>
              <w:tc>
                <w:tcPr>
                  <w:tcW w:w="3111" w:type="pct"/>
                  <w:tcBorders>
                    <w:tl2br w:val="nil"/>
                    <w:tr2bl w:val="nil"/>
                  </w:tcBorders>
                  <w:vAlign w:val="center"/>
                </w:tcPr>
                <w:p w14:paraId="30CCB86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集中收集</w:t>
                  </w:r>
                  <w:r>
                    <w:rPr>
                      <w:rFonts w:hint="eastAsia" w:cs="Times New Roman"/>
                      <w:color w:val="auto"/>
                      <w:sz w:val="18"/>
                      <w:szCs w:val="18"/>
                      <w:highlight w:val="none"/>
                      <w:lang w:val="en-US" w:eastAsia="zh-CN"/>
                    </w:rPr>
                    <w:t>暂存于灰仓，在包装间打包装袋堆存，</w:t>
                  </w:r>
                  <w:r>
                    <w:rPr>
                      <w:rFonts w:hint="default" w:ascii="Times New Roman" w:hAnsi="Times New Roman" w:eastAsia="宋体" w:cs="Times New Roman"/>
                      <w:color w:val="auto"/>
                      <w:sz w:val="18"/>
                      <w:szCs w:val="18"/>
                      <w:highlight w:val="none"/>
                      <w:lang w:val="en-US" w:eastAsia="zh-CN"/>
                    </w:rPr>
                    <w:t>委托处置。</w:t>
                  </w:r>
                </w:p>
              </w:tc>
              <w:tc>
                <w:tcPr>
                  <w:tcW w:w="485" w:type="pct"/>
                  <w:tcBorders>
                    <w:tl2br w:val="nil"/>
                    <w:tr2bl w:val="nil"/>
                  </w:tcBorders>
                  <w:vAlign w:val="center"/>
                </w:tcPr>
                <w:p w14:paraId="47123C4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14:paraId="59FCFA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35" w:type="pct"/>
                  <w:vMerge w:val="continue"/>
                  <w:tcBorders>
                    <w:tl2br w:val="nil"/>
                    <w:tr2bl w:val="nil"/>
                  </w:tcBorders>
                  <w:vAlign w:val="center"/>
                </w:tcPr>
                <w:p w14:paraId="1C937BB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4B9FACA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4038E7D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废催化剂</w:t>
                  </w:r>
                </w:p>
              </w:tc>
              <w:tc>
                <w:tcPr>
                  <w:tcW w:w="3111" w:type="pct"/>
                  <w:tcBorders>
                    <w:tl2br w:val="nil"/>
                    <w:tr2bl w:val="nil"/>
                  </w:tcBorders>
                  <w:vAlign w:val="center"/>
                </w:tcPr>
                <w:p w14:paraId="32AD127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不在厂区贮存，更换后由厂家带走回收利用。</w:t>
                  </w:r>
                </w:p>
              </w:tc>
              <w:tc>
                <w:tcPr>
                  <w:tcW w:w="485" w:type="pct"/>
                  <w:tcBorders>
                    <w:tl2br w:val="nil"/>
                    <w:tr2bl w:val="nil"/>
                  </w:tcBorders>
                  <w:vAlign w:val="center"/>
                </w:tcPr>
                <w:p w14:paraId="058C7D1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14:paraId="0E108E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tcBorders>
                    <w:tl2br w:val="nil"/>
                    <w:tr2bl w:val="nil"/>
                  </w:tcBorders>
                  <w:vAlign w:val="center"/>
                </w:tcPr>
                <w:p w14:paraId="7E13EDD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224A131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4967979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废润滑油</w:t>
                  </w:r>
                </w:p>
              </w:tc>
              <w:tc>
                <w:tcPr>
                  <w:tcW w:w="3111" w:type="pct"/>
                  <w:tcBorders>
                    <w:tl2br w:val="nil"/>
                    <w:tr2bl w:val="nil"/>
                  </w:tcBorders>
                  <w:vAlign w:val="center"/>
                </w:tcPr>
                <w:p w14:paraId="2D8E88B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用专用</w:t>
                  </w:r>
                  <w:r>
                    <w:rPr>
                      <w:rFonts w:hint="eastAsia" w:cs="Times New Roman"/>
                      <w:color w:val="auto"/>
                      <w:sz w:val="18"/>
                      <w:szCs w:val="18"/>
                      <w:highlight w:val="none"/>
                      <w:lang w:val="en-US" w:eastAsia="zh-CN"/>
                    </w:rPr>
                    <w:t>带</w:t>
                  </w:r>
                  <w:r>
                    <w:rPr>
                      <w:rFonts w:hint="default" w:cs="Times New Roman"/>
                      <w:color w:val="auto"/>
                      <w:sz w:val="18"/>
                      <w:szCs w:val="18"/>
                      <w:highlight w:val="none"/>
                      <w:lang w:val="en-US" w:eastAsia="zh-CN"/>
                    </w:rPr>
                    <w:t>盖收集桶统一收集后暂存于</w:t>
                  </w:r>
                  <w:r>
                    <w:rPr>
                      <w:rFonts w:hint="eastAsia" w:cs="Times New Roman"/>
                      <w:color w:val="auto"/>
                      <w:sz w:val="18"/>
                      <w:szCs w:val="18"/>
                      <w:highlight w:val="none"/>
                      <w:lang w:val="en-US" w:eastAsia="zh-CN"/>
                    </w:rPr>
                    <w:t>仙福公司现有危险废物贮存库，委托有资质单位清运处置。</w:t>
                  </w:r>
                </w:p>
              </w:tc>
              <w:tc>
                <w:tcPr>
                  <w:tcW w:w="485" w:type="pct"/>
                  <w:tcBorders>
                    <w:tl2br w:val="nil"/>
                    <w:tr2bl w:val="nil"/>
                  </w:tcBorders>
                  <w:vAlign w:val="center"/>
                </w:tcPr>
                <w:p w14:paraId="7FB59BD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w:t>
                  </w:r>
                </w:p>
              </w:tc>
            </w:tr>
            <w:tr w14:paraId="43145A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tcBorders>
                    <w:tl2br w:val="nil"/>
                    <w:tr2bl w:val="nil"/>
                  </w:tcBorders>
                  <w:vAlign w:val="center"/>
                </w:tcPr>
                <w:p w14:paraId="0EDE4D5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73AA739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09494D6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废危化品包装桶</w:t>
                  </w:r>
                </w:p>
              </w:tc>
              <w:tc>
                <w:tcPr>
                  <w:tcW w:w="3111" w:type="pct"/>
                  <w:tcBorders>
                    <w:tl2br w:val="nil"/>
                    <w:tr2bl w:val="nil"/>
                  </w:tcBorders>
                  <w:vAlign w:val="center"/>
                </w:tcPr>
                <w:p w14:paraId="2232090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收集暂存于仙福公司现有危险废物贮存库，委托有资质单位清运处置。</w:t>
                  </w:r>
                </w:p>
              </w:tc>
              <w:tc>
                <w:tcPr>
                  <w:tcW w:w="485" w:type="pct"/>
                  <w:tcBorders>
                    <w:tl2br w:val="nil"/>
                    <w:tr2bl w:val="nil"/>
                  </w:tcBorders>
                  <w:vAlign w:val="center"/>
                </w:tcPr>
                <w:p w14:paraId="3F0957F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w:t>
                  </w:r>
                </w:p>
              </w:tc>
            </w:tr>
            <w:tr w14:paraId="77A2BA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35" w:type="pct"/>
                  <w:vMerge w:val="continue"/>
                  <w:tcBorders>
                    <w:tl2br w:val="nil"/>
                    <w:tr2bl w:val="nil"/>
                  </w:tcBorders>
                  <w:vAlign w:val="center"/>
                </w:tcPr>
                <w:p w14:paraId="5BAC73D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restart"/>
                  <w:tcBorders>
                    <w:tl2br w:val="nil"/>
                    <w:tr2bl w:val="nil"/>
                  </w:tcBorders>
                  <w:vAlign w:val="center"/>
                </w:tcPr>
                <w:p w14:paraId="6A14AA2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环境风险</w:t>
                  </w:r>
                </w:p>
              </w:tc>
              <w:tc>
                <w:tcPr>
                  <w:tcW w:w="698" w:type="pct"/>
                  <w:tcBorders>
                    <w:tl2br w:val="nil"/>
                    <w:tr2bl w:val="nil"/>
                  </w:tcBorders>
                  <w:vAlign w:val="center"/>
                </w:tcPr>
                <w:p w14:paraId="75E7213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煤气管道</w:t>
                  </w:r>
                </w:p>
              </w:tc>
              <w:tc>
                <w:tcPr>
                  <w:tcW w:w="3111" w:type="pct"/>
                  <w:tcBorders>
                    <w:tl2br w:val="nil"/>
                    <w:tr2bl w:val="nil"/>
                  </w:tcBorders>
                  <w:vAlign w:val="center"/>
                </w:tcPr>
                <w:p w14:paraId="3B03EF1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设置煤气泄漏报警装置。</w:t>
                  </w:r>
                </w:p>
              </w:tc>
              <w:tc>
                <w:tcPr>
                  <w:tcW w:w="485" w:type="pct"/>
                  <w:vMerge w:val="restart"/>
                  <w:tcBorders>
                    <w:tl2br w:val="nil"/>
                    <w:tr2bl w:val="nil"/>
                  </w:tcBorders>
                  <w:vAlign w:val="center"/>
                </w:tcPr>
                <w:p w14:paraId="6CFC228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w:t>
                  </w:r>
                </w:p>
              </w:tc>
            </w:tr>
            <w:tr w14:paraId="326F6B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35" w:type="pct"/>
                  <w:vMerge w:val="continue"/>
                  <w:tcBorders>
                    <w:tl2br w:val="nil"/>
                    <w:tr2bl w:val="nil"/>
                  </w:tcBorders>
                  <w:vAlign w:val="center"/>
                </w:tcPr>
                <w:p w14:paraId="15B9AA9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69" w:type="pct"/>
                  <w:vMerge w:val="continue"/>
                  <w:tcBorders>
                    <w:tl2br w:val="nil"/>
                    <w:tr2bl w:val="nil"/>
                  </w:tcBorders>
                  <w:vAlign w:val="center"/>
                </w:tcPr>
                <w:p w14:paraId="24B6F2B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8" w:type="pct"/>
                  <w:tcBorders>
                    <w:tl2br w:val="nil"/>
                    <w:tr2bl w:val="nil"/>
                  </w:tcBorders>
                  <w:vAlign w:val="center"/>
                </w:tcPr>
                <w:p w14:paraId="0353F27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危险废物贮存库</w:t>
                  </w:r>
                </w:p>
              </w:tc>
              <w:tc>
                <w:tcPr>
                  <w:tcW w:w="3111" w:type="pct"/>
                  <w:tcBorders>
                    <w:tl2br w:val="nil"/>
                    <w:tr2bl w:val="nil"/>
                  </w:tcBorders>
                  <w:vAlign w:val="center"/>
                </w:tcPr>
                <w:p w14:paraId="057C28A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依托的危险废物贮存库，</w:t>
                  </w:r>
                  <w:r>
                    <w:rPr>
                      <w:rFonts w:hint="default" w:ascii="Times New Roman" w:hAnsi="Times New Roman" w:eastAsia="宋体" w:cs="Times New Roman"/>
                      <w:color w:val="auto"/>
                      <w:sz w:val="18"/>
                      <w:szCs w:val="18"/>
                      <w:highlight w:val="none"/>
                      <w:lang w:val="en-US" w:eastAsia="zh-CN"/>
                    </w:rPr>
                    <w:t>已按照分区防渗要求进行重点防渗处理</w:t>
                  </w:r>
                  <w:r>
                    <w:rPr>
                      <w:rFonts w:hint="eastAsia" w:cs="Times New Roman"/>
                      <w:color w:val="auto"/>
                      <w:sz w:val="18"/>
                      <w:szCs w:val="18"/>
                      <w:highlight w:val="none"/>
                      <w:lang w:val="en-US" w:eastAsia="zh-CN"/>
                    </w:rPr>
                    <w:t>，已通过环保验收。</w:t>
                  </w:r>
                </w:p>
              </w:tc>
              <w:tc>
                <w:tcPr>
                  <w:tcW w:w="485" w:type="pct"/>
                  <w:vMerge w:val="continue"/>
                  <w:tcBorders>
                    <w:tl2br w:val="nil"/>
                    <w:tr2bl w:val="nil"/>
                  </w:tcBorders>
                  <w:vAlign w:val="center"/>
                </w:tcPr>
                <w:p w14:paraId="2DAC687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704388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restart"/>
                  <w:tcBorders>
                    <w:tl2br w:val="nil"/>
                    <w:tr2bl w:val="nil"/>
                  </w:tcBorders>
                  <w:vAlign w:val="center"/>
                </w:tcPr>
                <w:p w14:paraId="0AAC9C4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依托工程</w:t>
                  </w:r>
                </w:p>
              </w:tc>
              <w:tc>
                <w:tcPr>
                  <w:tcW w:w="968" w:type="pct"/>
                  <w:gridSpan w:val="2"/>
                  <w:tcBorders>
                    <w:tl2br w:val="nil"/>
                    <w:tr2bl w:val="nil"/>
                  </w:tcBorders>
                  <w:vAlign w:val="center"/>
                </w:tcPr>
                <w:p w14:paraId="3AD5F9A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中央水处理站</w:t>
                  </w:r>
                </w:p>
              </w:tc>
              <w:tc>
                <w:tcPr>
                  <w:tcW w:w="3111" w:type="pct"/>
                  <w:tcBorders>
                    <w:tl2br w:val="nil"/>
                    <w:tr2bl w:val="nil"/>
                  </w:tcBorders>
                  <w:vAlign w:val="center"/>
                </w:tcPr>
                <w:p w14:paraId="7552C75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依托仙福集团中央水处理站，中央水处理站主要包括三个水处理系统，即生产新水给水系统、软水给水系统、生产废水及污泥处理系统。中央水处理站的生产新水供水规模为1030m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/h，软水设计供水规模为600m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/h，除盐水设计供水规模为140m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/h，生产废水设计处理量为340m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485" w:type="pct"/>
                  <w:tcBorders>
                    <w:tl2br w:val="nil"/>
                    <w:tr2bl w:val="nil"/>
                  </w:tcBorders>
                  <w:vAlign w:val="center"/>
                </w:tcPr>
                <w:p w14:paraId="6D463C2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0B80D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13C5DAD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561B567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生活污水处理站</w:t>
                  </w:r>
                </w:p>
              </w:tc>
              <w:tc>
                <w:tcPr>
                  <w:tcW w:w="3111" w:type="pct"/>
                  <w:tcBorders>
                    <w:tl2br w:val="nil"/>
                    <w:tr2bl w:val="nil"/>
                  </w:tcBorders>
                  <w:vAlign w:val="center"/>
                </w:tcPr>
                <w:p w14:paraId="3893653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依托仙福集团现有生活污水处理站，处理能力为</w:t>
                  </w:r>
                  <w:r>
                    <w:rPr>
                      <w:rFonts w:hint="default" w:ascii="Times New Roman" w:hAnsi="Times New Roman" w:eastAsia="宋体" w:cs="Times New Roman"/>
                      <w:color w:val="auto"/>
                      <w:sz w:val="18"/>
                      <w:szCs w:val="18"/>
                      <w:highlight w:val="none"/>
                    </w:rPr>
                    <w:t>10m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p>
              </w:tc>
              <w:tc>
                <w:tcPr>
                  <w:tcW w:w="485" w:type="pct"/>
                  <w:tcBorders>
                    <w:tl2br w:val="nil"/>
                    <w:tr2bl w:val="nil"/>
                  </w:tcBorders>
                  <w:vAlign w:val="center"/>
                </w:tcPr>
                <w:p w14:paraId="36D7888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63456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35" w:type="pct"/>
                  <w:vMerge w:val="continue"/>
                  <w:tcBorders>
                    <w:tl2br w:val="nil"/>
                    <w:tr2bl w:val="nil"/>
                  </w:tcBorders>
                  <w:vAlign w:val="center"/>
                </w:tcPr>
                <w:p w14:paraId="07DF5DE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6FB0BF3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危险废物贮存库</w:t>
                  </w:r>
                </w:p>
              </w:tc>
              <w:tc>
                <w:tcPr>
                  <w:tcW w:w="3111" w:type="pct"/>
                  <w:tcBorders>
                    <w:tl2br w:val="nil"/>
                    <w:tr2bl w:val="nil"/>
                  </w:tcBorders>
                  <w:vAlign w:val="center"/>
                </w:tcPr>
                <w:p w14:paraId="368EE2C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依托仙福集团现有</w:t>
                  </w:r>
                  <w:r>
                    <w:rPr>
                      <w:rFonts w:hint="eastAsia" w:cs="Times New Roman"/>
                      <w:color w:val="auto"/>
                      <w:sz w:val="18"/>
                      <w:szCs w:val="18"/>
                      <w:highlight w:val="none"/>
                      <w:lang w:val="en-US" w:eastAsia="zh-CN"/>
                    </w:rPr>
                    <w:t>危险废物贮存库</w:t>
                  </w:r>
                  <w:r>
                    <w:rPr>
                      <w:rFonts w:hint="default" w:ascii="Times New Roman" w:hAnsi="Times New Roman" w:eastAsia="宋体" w:cs="Times New Roman"/>
                      <w:color w:val="auto"/>
                      <w:sz w:val="18"/>
                      <w:szCs w:val="18"/>
                      <w:highlight w:val="none"/>
                      <w:lang w:val="en-US" w:eastAsia="zh-CN"/>
                    </w:rPr>
                    <w:t>，占地面积</w:t>
                  </w:r>
                  <w:r>
                    <w:rPr>
                      <w:rFonts w:hint="eastAsia" w:cs="Times New Roman"/>
                      <w:color w:val="auto"/>
                      <w:sz w:val="18"/>
                      <w:szCs w:val="18"/>
                      <w:highlight w:val="none"/>
                      <w:lang w:val="en-US" w:eastAsia="zh-CN"/>
                    </w:rPr>
                    <w:t>66</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2</w:t>
                  </w:r>
                  <w:r>
                    <w:rPr>
                      <w:rFonts w:hint="eastAsia" w:cs="Times New Roman"/>
                      <w:color w:val="auto"/>
                      <w:sz w:val="18"/>
                      <w:szCs w:val="18"/>
                      <w:highlight w:val="none"/>
                      <w:vertAlign w:val="baseline"/>
                      <w:lang w:val="en-US" w:eastAsia="zh-CN"/>
                    </w:rPr>
                    <w:t>。</w:t>
                  </w:r>
                </w:p>
              </w:tc>
              <w:tc>
                <w:tcPr>
                  <w:tcW w:w="485" w:type="pct"/>
                  <w:tcBorders>
                    <w:tl2br w:val="nil"/>
                    <w:tr2bl w:val="nil"/>
                  </w:tcBorders>
                  <w:vAlign w:val="center"/>
                </w:tcPr>
                <w:p w14:paraId="291D18A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1A220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tcBorders>
                    <w:tl2br w:val="nil"/>
                    <w:tr2bl w:val="nil"/>
                  </w:tcBorders>
                  <w:vAlign w:val="center"/>
                </w:tcPr>
                <w:p w14:paraId="3F33E50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7AAD3A4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办公室</w:t>
                  </w:r>
                </w:p>
              </w:tc>
              <w:tc>
                <w:tcPr>
                  <w:tcW w:w="3111" w:type="pct"/>
                  <w:tcBorders>
                    <w:tl2br w:val="nil"/>
                    <w:tr2bl w:val="nil"/>
                  </w:tcBorders>
                  <w:vAlign w:val="center"/>
                </w:tcPr>
                <w:p w14:paraId="3BF9098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依托厂区现有的办公楼</w:t>
                  </w:r>
                </w:p>
              </w:tc>
              <w:tc>
                <w:tcPr>
                  <w:tcW w:w="485" w:type="pct"/>
                  <w:tcBorders>
                    <w:tl2br w:val="nil"/>
                    <w:tr2bl w:val="nil"/>
                  </w:tcBorders>
                  <w:vAlign w:val="center"/>
                </w:tcPr>
                <w:p w14:paraId="56488BD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71EBF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14:paraId="2C3CE08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68" w:type="pct"/>
                  <w:gridSpan w:val="2"/>
                  <w:tcBorders>
                    <w:tl2br w:val="nil"/>
                    <w:tr2bl w:val="nil"/>
                  </w:tcBorders>
                  <w:vAlign w:val="center"/>
                </w:tcPr>
                <w:p w14:paraId="49FD86D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3111" w:type="pct"/>
                  <w:tcBorders>
                    <w:tl2br w:val="nil"/>
                    <w:tr2bl w:val="nil"/>
                  </w:tcBorders>
                  <w:vAlign w:val="center"/>
                </w:tcPr>
                <w:p w14:paraId="2EB8A4D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依托仙福集团现有生活区食堂</w:t>
                  </w:r>
                </w:p>
              </w:tc>
              <w:tc>
                <w:tcPr>
                  <w:tcW w:w="485" w:type="pct"/>
                  <w:tcBorders>
                    <w:tl2br w:val="nil"/>
                    <w:tr2bl w:val="nil"/>
                  </w:tcBorders>
                  <w:vAlign w:val="center"/>
                </w:tcPr>
                <w:p w14:paraId="4605A05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bl>
          <w:p w14:paraId="701D3BF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（2）依托工程</w:t>
            </w:r>
          </w:p>
          <w:p w14:paraId="1F0F75E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生产供水及废水处理系统</w:t>
            </w:r>
          </w:p>
          <w:p w14:paraId="77F164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本项目建成后，生产供水及生产废水处理依托仙福公司厂内现有的全厂中央水处理站，施工期产生的生活污水依托厂内现有的生活污水处理系统。目前，全厂中央水处理站仅服务炼钢、连铸</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轧钢</w:t>
            </w:r>
            <w:r>
              <w:rPr>
                <w:rFonts w:hint="eastAsia" w:ascii="Times New Roman" w:hAnsi="Times New Roman" w:eastAsia="宋体" w:cs="Times New Roman"/>
                <w:color w:val="000000"/>
                <w:kern w:val="0"/>
                <w:sz w:val="24"/>
                <w:szCs w:val="24"/>
                <w:lang w:val="en-US" w:eastAsia="zh-CN" w:bidi="ar"/>
              </w:rPr>
              <w:t>以及110</w:t>
            </w:r>
            <w:r>
              <w:rPr>
                <w:rFonts w:hint="eastAsia" w:cs="Times New Roman"/>
                <w:color w:val="000000"/>
                <w:kern w:val="0"/>
                <w:sz w:val="24"/>
                <w:szCs w:val="24"/>
                <w:lang w:val="en-US" w:eastAsia="zh-CN" w:bidi="ar"/>
              </w:rPr>
              <w:t>兆瓦</w:t>
            </w:r>
            <w:r>
              <w:rPr>
                <w:rFonts w:hint="eastAsia" w:ascii="Times New Roman" w:hAnsi="Times New Roman" w:eastAsia="宋体" w:cs="Times New Roman"/>
                <w:color w:val="000000"/>
                <w:kern w:val="0"/>
                <w:sz w:val="24"/>
                <w:szCs w:val="24"/>
                <w:lang w:val="en-US" w:eastAsia="zh-CN" w:bidi="ar"/>
              </w:rPr>
              <w:t>煤气发电机组四</w:t>
            </w:r>
            <w:r>
              <w:rPr>
                <w:rFonts w:hint="default" w:ascii="Times New Roman" w:hAnsi="Times New Roman" w:eastAsia="宋体" w:cs="Times New Roman"/>
                <w:color w:val="000000"/>
                <w:kern w:val="0"/>
                <w:sz w:val="24"/>
                <w:szCs w:val="24"/>
                <w:lang w:val="en-US" w:eastAsia="zh-CN" w:bidi="ar"/>
              </w:rPr>
              <w:t>个生产单元的供水及废水处理，中央水处理站主要包括三个水处理系统，即生产新水给水系统、软水给水系统、生产废水及污泥处理系统，其位于厂区最低处，总占地面积约1.55万m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，布置于仙福公司东端，建设场地南侧紧邻5号钢材库，西侧紧邻213国道，东侧紧邻昆磨高速，北侧紧邻化念河，中央水处理站的生产新水供水规模为1030m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/h，除盐水设计供水规模为140m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/h，生产废水设计处理量为340m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p>
          <w:p w14:paraId="48A78C6E">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w:t>
            </w:r>
            <w:r>
              <w:rPr>
                <w:rFonts w:hint="default" w:ascii="Times New Roman" w:hAnsi="Times New Roman" w:eastAsia="宋体" w:cs="Times New Roman"/>
                <w:color w:val="000000"/>
                <w:kern w:val="0"/>
                <w:sz w:val="24"/>
                <w:szCs w:val="24"/>
                <w:lang w:val="en-US" w:eastAsia="zh-CN" w:bidi="ar"/>
              </w:rPr>
              <w:t>生产新水给水系统</w:t>
            </w:r>
          </w:p>
          <w:p w14:paraId="55F4D076">
            <w:pPr>
              <w:keepNext w:val="0"/>
              <w:keepLines w:val="0"/>
              <w:pageBreakBefore w:val="0"/>
              <w:widowControl/>
              <w:suppressLineNumbers w:val="0"/>
              <w:kinsoku/>
              <w:overflowPunct/>
              <w:autoSpaceDE/>
              <w:autoSpaceDN/>
              <w:bidi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生产用水来自项目区东面120m平甸河与化念河交汇处的河边自建水井及平甸河河水，原水</w:t>
            </w:r>
            <w:r>
              <w:rPr>
                <w:rFonts w:hint="eastAsia" w:cs="Times New Roman"/>
                <w:color w:val="000000"/>
                <w:kern w:val="0"/>
                <w:sz w:val="24"/>
                <w:szCs w:val="24"/>
                <w:lang w:val="en-US" w:eastAsia="zh-CN" w:bidi="ar"/>
              </w:rPr>
              <w:t>（河水）</w:t>
            </w:r>
            <w:r>
              <w:rPr>
                <w:rFonts w:hint="default" w:ascii="Times New Roman" w:hAnsi="Times New Roman" w:eastAsia="宋体" w:cs="Times New Roman"/>
                <w:color w:val="000000"/>
                <w:kern w:val="0"/>
                <w:sz w:val="24"/>
                <w:szCs w:val="24"/>
                <w:lang w:val="en-US" w:eastAsia="zh-CN" w:bidi="ar"/>
              </w:rPr>
              <w:t>经由管井及引水管的方式输送至生产新水池内。其中生产新水供水泵、交换器进水泵从生产新水池内吸水加压分别送至生产新水管网及软水给水系统。</w:t>
            </w:r>
          </w:p>
          <w:p w14:paraId="60E96BC5">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w:t>
            </w:r>
            <w:r>
              <w:rPr>
                <w:rFonts w:hint="default" w:ascii="Times New Roman" w:hAnsi="Times New Roman" w:eastAsia="宋体" w:cs="Times New Roman"/>
                <w:color w:val="000000"/>
                <w:kern w:val="0"/>
                <w:sz w:val="24"/>
                <w:szCs w:val="24"/>
                <w:lang w:val="en-US" w:eastAsia="zh-CN" w:bidi="ar"/>
              </w:rPr>
              <w:t>软水给水系统</w:t>
            </w:r>
          </w:p>
          <w:p w14:paraId="2FAFD814">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工艺流程：由交换器进水泵加压送至软水给水系统的生产新水经自清洗过滤器及钠离子交换器处理后，制得软水进入软水池。其中大部分软水经由软水供水泵加压送至软水管网，总水量为400m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剩余软水经超滤进水泵加压至超滤装置以去除水中微小悬浮物、胶体及大分子物质等。超滤产水进入超滤产水池后经反渗透进水泵加压进保安过滤器，再经反渗透高压泵加压进反渗透装置进行除盐，其中反渗透产水作为除盐水经脱盐水供水泵输送至除盐水管网，总水量为140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p>
          <w:p w14:paraId="2360A864">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③生产废水处理系统</w:t>
            </w:r>
          </w:p>
          <w:p w14:paraId="06B0EAF6">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工艺流程：生产废水通过生产废水管网首先进入粗格栅间，再由泵提升至细格栅间，经由格栅除去漂浮物和大颗粒杂质后进入废水调节池均质均量，再由提升泵进入机械加速澄清池内，经由快速反应及污泥回流等措施形成较大絮体颗粒以达到吸附及去除大部分污染物的效果。机加池出水自流进入中间水池，经由过滤器进水泵输送至多介质过滤器内进行深度处理后流入工业水池，与软水给水系统的反渗透浓水进行混合。水池内的回用水经由工业水泵加压送至中央水处理站红线外1m处，经由仙钢自行接至现有废水回用水系统（工业水系统）。该系统回用水总量为340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p>
          <w:p w14:paraId="56B388E6">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④</w:t>
            </w:r>
            <w:r>
              <w:rPr>
                <w:rFonts w:hint="default" w:ascii="Times New Roman" w:hAnsi="Times New Roman" w:eastAsia="宋体" w:cs="Times New Roman"/>
                <w:color w:val="000000"/>
                <w:kern w:val="0"/>
                <w:sz w:val="24"/>
                <w:szCs w:val="24"/>
                <w:lang w:val="en-US" w:eastAsia="zh-CN" w:bidi="ar"/>
              </w:rPr>
              <w:t>生活污水处理</w:t>
            </w:r>
          </w:p>
          <w:p w14:paraId="7432398D">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本项目施工期产生的生活污水依托厂内现有的生活污水处理系统（处理能力为10m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/h），生活污水</w:t>
            </w:r>
            <w:r>
              <w:rPr>
                <w:rFonts w:hint="eastAsia" w:cs="Times New Roman"/>
                <w:color w:val="000000"/>
                <w:kern w:val="0"/>
                <w:sz w:val="24"/>
                <w:szCs w:val="24"/>
                <w:lang w:val="en-US" w:eastAsia="zh-CN" w:bidi="ar"/>
              </w:rPr>
              <w:t>现有</w:t>
            </w:r>
            <w:r>
              <w:rPr>
                <w:rFonts w:hint="default" w:ascii="Times New Roman" w:hAnsi="Times New Roman" w:eastAsia="宋体" w:cs="Times New Roman"/>
                <w:color w:val="000000"/>
                <w:kern w:val="0"/>
                <w:sz w:val="24"/>
                <w:szCs w:val="24"/>
                <w:lang w:val="en-US" w:eastAsia="zh-CN" w:bidi="ar"/>
              </w:rPr>
              <w:t>的生活污水处理站处理后达《城市污水再生利用城市杂用水水质》（GB/T18920-2020）道路清扫、绿化用水标准后，回用于项目绿化及洒水降尘。工艺采用：“AO+消毒处理工艺”。</w:t>
            </w:r>
          </w:p>
          <w:p w14:paraId="00F83F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中央水处理站及生活污水处理站属于“云南玉溪仙福钢铁（集团）有限公司产能置换技术升级改造项目”的配套工程，已办理环评，</w:t>
            </w:r>
            <w:r>
              <w:rPr>
                <w:rFonts w:hint="eastAsia" w:cs="Times New Roman"/>
                <w:color w:val="000000"/>
                <w:kern w:val="0"/>
                <w:sz w:val="24"/>
                <w:szCs w:val="24"/>
                <w:lang w:val="en-US" w:eastAsia="zh-CN" w:bidi="ar"/>
              </w:rPr>
              <w:t>现已完成验收工作。</w:t>
            </w:r>
          </w:p>
          <w:p w14:paraId="4C97C81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w:t>
            </w:r>
            <w:r>
              <w:rPr>
                <w:rFonts w:hint="eastAsia" w:cs="Times New Roman"/>
                <w:b/>
                <w:bCs/>
                <w:color w:val="auto"/>
                <w:kern w:val="0"/>
                <w:sz w:val="24"/>
                <w:szCs w:val="24"/>
                <w:lang w:val="en-US" w:eastAsia="zh-CN" w:bidi="ar"/>
              </w:rPr>
              <w:t>煤气柜</w:t>
            </w:r>
          </w:p>
          <w:p w14:paraId="573351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vertAlign w:val="baseli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依托厂区已建成的高炉煤气柜、转炉煤气柜以及焦炉煤气柜，现阶段已建成1座20万m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的高炉煤气柜、</w:t>
            </w:r>
            <w:r>
              <w:rPr>
                <w:rFonts w:hint="eastAsia" w:cs="Times New Roman"/>
                <w:color w:val="auto"/>
                <w:sz w:val="24"/>
                <w:highlight w:val="none"/>
                <w:lang w:val="en-US" w:eastAsia="zh-CN"/>
              </w:rPr>
              <w:t>1座9.5万m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和</w:t>
            </w:r>
            <w:r>
              <w:rPr>
                <w:rFonts w:hint="eastAsia" w:cs="Times New Roman"/>
                <w:color w:val="auto"/>
                <w:sz w:val="24"/>
                <w:highlight w:val="none"/>
                <w:lang w:val="en-US" w:eastAsia="zh-CN"/>
              </w:rPr>
              <w:t>1座5万m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的转炉煤气柜，1座5万m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焦炉煤气柜正在建设中。高炉煤气柜为《云南玉溪仙福钢铁（集团）有限公司能源综合利用升级改造项目》配套建设内容，转炉煤气柜为《云南玉溪仙福钢铁（集团）有限公司产能置换技术升级改造项目》配套建设内容，焦炉煤气柜为《云南玉溪仙福钢铁（集团）有限公司配套100万吨/年焦化建设项目》配套建设内容，厂区不新增煤气，因此，本项目依托煤气柜可行。</w:t>
            </w:r>
          </w:p>
          <w:p w14:paraId="3D36438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2.3</w:t>
            </w:r>
            <w:r>
              <w:rPr>
                <w:rFonts w:hint="eastAsia" w:cs="Times New Roman"/>
                <w:b/>
                <w:bCs/>
                <w:color w:val="000000"/>
                <w:kern w:val="0"/>
                <w:sz w:val="24"/>
                <w:szCs w:val="24"/>
                <w:lang w:val="en-US" w:eastAsia="zh-CN" w:bidi="ar"/>
              </w:rPr>
              <w:t>建设规模</w:t>
            </w:r>
          </w:p>
          <w:p w14:paraId="65BFCB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1×260t/h超高温亚临界煤气锅炉+1×80兆瓦超高温亚临界中间一次再热凝汽式汽轮机+1×80兆瓦发电机及其配套辅助设施。本项目建成后，年新增供电量1.751×10</w:t>
            </w:r>
            <w:r>
              <w:rPr>
                <w:rFonts w:hint="default" w:ascii="Times New Roman" w:hAnsi="Times New Roman" w:cs="Times New Roman"/>
                <w:color w:val="auto"/>
                <w:sz w:val="24"/>
                <w:highlight w:val="none"/>
                <w:vertAlign w:val="superscript"/>
                <w:lang w:val="en-US" w:eastAsia="zh-CN"/>
              </w:rPr>
              <w:t>8</w:t>
            </w:r>
            <w:r>
              <w:rPr>
                <w:rFonts w:hint="default" w:ascii="Times New Roman" w:hAnsi="Times New Roman" w:cs="Times New Roman"/>
                <w:color w:val="auto"/>
                <w:sz w:val="24"/>
                <w:highlight w:val="none"/>
                <w:lang w:val="en-US" w:eastAsia="zh-CN"/>
              </w:rPr>
              <w:t>千瓦时，自发自用，余电上网，可节约标煤约5.355万吨标准煤。</w:t>
            </w:r>
          </w:p>
          <w:p w14:paraId="5DBB138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w:t>
            </w:r>
            <w:r>
              <w:rPr>
                <w:rFonts w:hint="eastAsia" w:cs="Times New Roman"/>
                <w:b/>
                <w:bCs/>
                <w:color w:val="000000"/>
                <w:kern w:val="0"/>
                <w:sz w:val="24"/>
                <w:szCs w:val="24"/>
                <w:lang w:val="en-US" w:eastAsia="zh-CN" w:bidi="ar"/>
              </w:rPr>
              <w:t>4锅炉燃料和生产辅料</w:t>
            </w:r>
          </w:p>
          <w:p w14:paraId="49A162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根据项目可行性研究报告，</w:t>
            </w:r>
            <w:r>
              <w:rPr>
                <w:rFonts w:hint="eastAsia" w:ascii="Times New Roman" w:hAnsi="Times New Roman" w:cs="Times New Roman"/>
                <w:color w:val="auto"/>
                <w:sz w:val="24"/>
                <w:highlight w:val="none"/>
                <w:lang w:val="en-US" w:eastAsia="zh-CN"/>
              </w:rPr>
              <w:t>本项目采用</w:t>
            </w:r>
            <w:r>
              <w:rPr>
                <w:rFonts w:hint="default" w:ascii="Times New Roman" w:hAnsi="Times New Roman" w:cs="Times New Roman"/>
                <w:color w:val="auto"/>
                <w:sz w:val="24"/>
                <w:highlight w:val="none"/>
                <w:lang w:val="en-US" w:eastAsia="zh-CN"/>
              </w:rPr>
              <w:t>高炉煤气、</w:t>
            </w:r>
            <w:r>
              <w:rPr>
                <w:rFonts w:hint="eastAsia" w:ascii="Times New Roman" w:hAnsi="Times New Roman" w:cs="Times New Roman"/>
                <w:color w:val="auto"/>
                <w:sz w:val="24"/>
                <w:highlight w:val="none"/>
                <w:lang w:val="en-US" w:eastAsia="zh-CN"/>
              </w:rPr>
              <w:t>转炉煤气、</w:t>
            </w:r>
            <w:r>
              <w:rPr>
                <w:rFonts w:hint="default" w:ascii="Times New Roman" w:hAnsi="Times New Roman" w:cs="Times New Roman"/>
                <w:color w:val="auto"/>
                <w:sz w:val="24"/>
                <w:highlight w:val="none"/>
                <w:lang w:val="en-US" w:eastAsia="zh-CN"/>
              </w:rPr>
              <w:t>焦炉煤气</w:t>
            </w:r>
            <w:r>
              <w:rPr>
                <w:rFonts w:hint="eastAsia" w:ascii="Times New Roman" w:hAnsi="Times New Roman" w:cs="Times New Roman"/>
                <w:color w:val="auto"/>
                <w:sz w:val="24"/>
                <w:highlight w:val="none"/>
                <w:lang w:val="en-US" w:eastAsia="zh-CN"/>
              </w:rPr>
              <w:t>进行发电。</w:t>
            </w:r>
          </w:p>
          <w:p w14:paraId="726130B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w:t>
            </w:r>
            <w:r>
              <w:rPr>
                <w:rFonts w:hint="eastAsia" w:cs="Times New Roman"/>
                <w:b/>
                <w:bCs/>
                <w:color w:val="000000"/>
                <w:kern w:val="0"/>
                <w:sz w:val="24"/>
                <w:szCs w:val="24"/>
                <w:lang w:val="en-US" w:eastAsia="zh-CN" w:bidi="ar"/>
              </w:rPr>
              <w:t>4.1锅炉燃料来源及成分</w:t>
            </w:r>
          </w:p>
          <w:p w14:paraId="44449F9F">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燃气需求量</w:t>
            </w:r>
          </w:p>
          <w:p w14:paraId="6556D4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color w:val="auto"/>
                <w:sz w:val="24"/>
                <w:highlight w:val="none"/>
                <w:lang w:val="en-US" w:eastAsia="zh-CN"/>
              </w:rPr>
              <w:t>根据项目可行性研究报告，按照80MW超高温亚临界煤气锅炉煤气发电机组单位发电用气</w:t>
            </w:r>
            <w:r>
              <w:rPr>
                <w:rFonts w:hint="eastAsia" w:ascii="Times New Roman" w:hAnsi="Times New Roman" w:eastAsia="宋体" w:cs="Times New Roman"/>
                <w:color w:val="auto"/>
                <w:sz w:val="24"/>
                <w:highlight w:val="none"/>
                <w:lang w:val="en-US" w:eastAsia="zh-CN"/>
              </w:rPr>
              <w:t>2.45</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k</w:t>
            </w:r>
            <w:r>
              <w:rPr>
                <w:rFonts w:hint="default" w:ascii="Times New Roman" w:hAnsi="Times New Roman" w:eastAsia="宋体" w:cs="Times New Roman"/>
                <w:color w:val="auto"/>
                <w:sz w:val="24"/>
                <w:highlight w:val="none"/>
                <w:lang w:val="en-US" w:eastAsia="zh-CN"/>
              </w:rPr>
              <w:t>Wh考虑，</w:t>
            </w:r>
            <w:r>
              <w:rPr>
                <w:rFonts w:hint="default" w:ascii="Times New Roman" w:hAnsi="Times New Roman" w:cs="Times New Roman"/>
                <w:color w:val="auto"/>
                <w:sz w:val="24"/>
                <w:highlight w:val="none"/>
                <w:lang w:val="en-US" w:eastAsia="zh-CN"/>
              </w:rPr>
              <w:t>高炉煤气、转炉煤气、焦炉煤气的年消耗量分别约为</w:t>
            </w:r>
            <w:r>
              <w:rPr>
                <w:rFonts w:hint="default" w:ascii="Times New Roman" w:hAnsi="Times New Roman" w:eastAsia="宋体" w:cs="Times New Roman"/>
                <w:i w:val="0"/>
                <w:iCs w:val="0"/>
                <w:color w:val="000000"/>
                <w:kern w:val="0"/>
                <w:sz w:val="24"/>
                <w:szCs w:val="24"/>
                <w:u w:val="none"/>
                <w:lang w:val="en-US" w:eastAsia="zh-CN" w:bidi="ar"/>
              </w:rPr>
              <w:t>48298万</w:t>
            </w:r>
            <w:r>
              <w:rPr>
                <w:rFonts w:hint="eastAsia" w:cs="Times New Roman"/>
                <w:i w:val="0"/>
                <w:iCs w:val="0"/>
                <w:color w:val="000000"/>
                <w:kern w:val="0"/>
                <w:sz w:val="24"/>
                <w:szCs w:val="24"/>
                <w:u w:val="none"/>
                <w:lang w:val="en-US" w:eastAsia="zh-CN" w:bidi="ar"/>
              </w:rPr>
              <w:t>N</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ascii="Times New Roman" w:hAnsi="Times New Roman"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/年、13694万</w:t>
            </w:r>
            <w:r>
              <w:rPr>
                <w:rFonts w:hint="eastAsia" w:cs="Times New Roman"/>
                <w:i w:val="0"/>
                <w:iCs w:val="0"/>
                <w:color w:val="000000"/>
                <w:kern w:val="0"/>
                <w:sz w:val="24"/>
                <w:szCs w:val="24"/>
                <w:u w:val="none"/>
                <w:lang w:val="en-US" w:eastAsia="zh-CN" w:bidi="ar"/>
              </w:rPr>
              <w:t>N</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ascii="Times New Roman" w:hAnsi="Times New Roman"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/年和22550万</w:t>
            </w:r>
            <w:r>
              <w:rPr>
                <w:rFonts w:hint="eastAsia" w:cs="Times New Roman"/>
                <w:i w:val="0"/>
                <w:iCs w:val="0"/>
                <w:color w:val="000000"/>
                <w:kern w:val="0"/>
                <w:sz w:val="24"/>
                <w:szCs w:val="24"/>
                <w:u w:val="none"/>
                <w:lang w:val="en-US" w:eastAsia="zh-CN" w:bidi="ar"/>
              </w:rPr>
              <w:t>N</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ascii="Times New Roman" w:hAnsi="Times New Roman"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/年</w:t>
            </w:r>
            <w:r>
              <w:rPr>
                <w:rFonts w:hint="eastAsia" w:cs="Times New Roman"/>
                <w:i w:val="0"/>
                <w:iCs w:val="0"/>
                <w:color w:val="000000"/>
                <w:kern w:val="0"/>
                <w:sz w:val="24"/>
                <w:szCs w:val="24"/>
                <w:u w:val="none"/>
                <w:lang w:val="en-US" w:eastAsia="zh-CN" w:bidi="ar"/>
              </w:rPr>
              <w:t>。</w:t>
            </w:r>
          </w:p>
          <w:p w14:paraId="569A3027">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燃气供应量及来源</w:t>
            </w:r>
          </w:p>
          <w:p w14:paraId="58B91B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本项目利用5.89万</w:t>
            </w:r>
            <w:r>
              <w:rPr>
                <w:rFonts w:hint="default" w:ascii="Times New Roman" w:hAnsi="Times New Roman" w:eastAsia="宋体" w:cs="Times New Roman"/>
                <w:color w:val="auto"/>
                <w:sz w:val="24"/>
                <w:highlight w:val="none"/>
                <w:lang w:val="en-US" w:eastAsia="zh-CN"/>
              </w:rPr>
              <w:t>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高炉煤气，1.67万</w:t>
            </w:r>
            <w:r>
              <w:rPr>
                <w:rFonts w:hint="default" w:ascii="Times New Roman" w:hAnsi="Times New Roman" w:eastAsia="宋体" w:cs="Times New Roman"/>
                <w:color w:val="auto"/>
                <w:sz w:val="24"/>
                <w:highlight w:val="none"/>
                <w:lang w:val="en-US" w:eastAsia="zh-CN"/>
              </w:rPr>
              <w:t>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转炉煤气（根据热值折合高炉煤气2.93万</w:t>
            </w:r>
            <w:r>
              <w:rPr>
                <w:rFonts w:hint="default" w:ascii="Times New Roman" w:hAnsi="Times New Roman" w:eastAsia="宋体" w:cs="Times New Roman"/>
                <w:color w:val="auto"/>
                <w:sz w:val="24"/>
                <w:highlight w:val="none"/>
                <w:lang w:val="en-US" w:eastAsia="zh-CN"/>
              </w:rPr>
              <w:t>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），2.75万</w:t>
            </w:r>
            <w:r>
              <w:rPr>
                <w:rFonts w:hint="default" w:ascii="Times New Roman" w:hAnsi="Times New Roman" w:eastAsia="宋体" w:cs="Times New Roman"/>
                <w:color w:val="auto"/>
                <w:sz w:val="24"/>
                <w:highlight w:val="none"/>
                <w:lang w:val="en-US" w:eastAsia="zh-CN"/>
              </w:rPr>
              <w:t>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焦炉煤气（根据热值折合高炉煤气14.70万</w:t>
            </w:r>
            <w:r>
              <w:rPr>
                <w:rFonts w:hint="default" w:ascii="Times New Roman" w:hAnsi="Times New Roman" w:eastAsia="宋体" w:cs="Times New Roman"/>
                <w:color w:val="auto"/>
                <w:sz w:val="24"/>
                <w:highlight w:val="none"/>
                <w:lang w:val="en-US" w:eastAsia="zh-CN"/>
              </w:rPr>
              <w:t>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），总用气量折为高炉煤气为22.26万</w:t>
            </w:r>
            <w:r>
              <w:rPr>
                <w:rFonts w:hint="default" w:ascii="Times New Roman" w:hAnsi="Times New Roman" w:eastAsia="宋体" w:cs="Times New Roman"/>
                <w:color w:val="auto"/>
                <w:sz w:val="24"/>
                <w:highlight w:val="none"/>
                <w:lang w:val="en-US" w:eastAsia="zh-CN"/>
              </w:rPr>
              <w:t>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煤气来源及参数见表</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3。</w:t>
            </w:r>
          </w:p>
          <w:p w14:paraId="688C4593">
            <w:pPr>
              <w:pStyle w:val="28"/>
              <w:keepNext/>
              <w:keepLines/>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表2-3  煤气来源及参数</w:t>
            </w:r>
          </w:p>
          <w:tbl>
            <w:tblPr>
              <w:tblStyle w:val="1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498"/>
              <w:gridCol w:w="1593"/>
              <w:gridCol w:w="1531"/>
              <w:gridCol w:w="1445"/>
              <w:gridCol w:w="854"/>
            </w:tblGrid>
            <w:tr w14:paraId="066A84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690" w:type="pct"/>
                  <w:tcBorders>
                    <w:tl2br w:val="nil"/>
                    <w:tr2bl w:val="nil"/>
                  </w:tcBorders>
                  <w:vAlign w:val="center"/>
                </w:tcPr>
                <w:p w14:paraId="48E85522">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煤气种类</w:t>
                  </w:r>
                </w:p>
              </w:tc>
              <w:tc>
                <w:tcPr>
                  <w:tcW w:w="932" w:type="pct"/>
                  <w:tcBorders>
                    <w:tl2br w:val="nil"/>
                    <w:tr2bl w:val="nil"/>
                  </w:tcBorders>
                  <w:vAlign w:val="center"/>
                </w:tcPr>
                <w:p w14:paraId="5707F4B1">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煤气热值（KJ/Nm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w:t>
                  </w:r>
                </w:p>
              </w:tc>
              <w:tc>
                <w:tcPr>
                  <w:tcW w:w="992" w:type="pct"/>
                  <w:tcBorders>
                    <w:tl2br w:val="nil"/>
                    <w:tr2bl w:val="nil"/>
                  </w:tcBorders>
                  <w:vAlign w:val="center"/>
                </w:tcPr>
                <w:p w14:paraId="3A03B4FF">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耗气量（</w:t>
                  </w:r>
                  <w:r>
                    <w:rPr>
                      <w:rFonts w:hint="eastAsia" w:ascii="Times New Roman" w:hAnsi="Times New Roman" w:eastAsia="宋体" w:cs="Times New Roman"/>
                      <w:color w:val="auto"/>
                      <w:sz w:val="18"/>
                      <w:szCs w:val="18"/>
                      <w:highlight w:val="none"/>
                      <w:lang w:val="en-US" w:eastAsia="zh-CN"/>
                    </w:rPr>
                    <w:t>万</w:t>
                  </w:r>
                  <w:r>
                    <w:rPr>
                      <w:rFonts w:hint="default" w:ascii="Times New Roman" w:hAnsi="Times New Roman" w:eastAsia="宋体" w:cs="Times New Roman"/>
                      <w:color w:val="auto"/>
                      <w:sz w:val="18"/>
                      <w:szCs w:val="18"/>
                      <w:highlight w:val="none"/>
                      <w:lang w:val="en-US" w:eastAsia="zh-CN"/>
                    </w:rPr>
                    <w:t>Nm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952" w:type="pct"/>
                  <w:tcBorders>
                    <w:tl2br w:val="nil"/>
                    <w:tr2bl w:val="nil"/>
                  </w:tcBorders>
                  <w:vAlign w:val="center"/>
                </w:tcPr>
                <w:p w14:paraId="7B2D26EC">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折为高炉煤气</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万</w:t>
                  </w:r>
                  <w:r>
                    <w:rPr>
                      <w:rFonts w:hint="default" w:ascii="Times New Roman" w:hAnsi="Times New Roman" w:eastAsia="宋体" w:cs="Times New Roman"/>
                      <w:color w:val="auto"/>
                      <w:sz w:val="18"/>
                      <w:szCs w:val="18"/>
                      <w:highlight w:val="none"/>
                      <w:lang w:val="en-US" w:eastAsia="zh-CN"/>
                    </w:rPr>
                    <w:t>Nm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899" w:type="pct"/>
                  <w:tcBorders>
                    <w:tl2br w:val="nil"/>
                    <w:tr2bl w:val="nil"/>
                  </w:tcBorders>
                  <w:vAlign w:val="center"/>
                </w:tcPr>
                <w:p w14:paraId="559A6B35">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来源</w:t>
                  </w:r>
                </w:p>
              </w:tc>
              <w:tc>
                <w:tcPr>
                  <w:tcW w:w="531" w:type="pct"/>
                  <w:tcBorders>
                    <w:tl2br w:val="nil"/>
                    <w:tr2bl w:val="nil"/>
                  </w:tcBorders>
                  <w:vAlign w:val="center"/>
                </w:tcPr>
                <w:p w14:paraId="05CAA637">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备注</w:t>
                  </w:r>
                </w:p>
              </w:tc>
            </w:tr>
            <w:tr w14:paraId="67F690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tcBorders>
                    <w:tl2br w:val="nil"/>
                    <w:tr2bl w:val="nil"/>
                  </w:tcBorders>
                  <w:vAlign w:val="center"/>
                </w:tcPr>
                <w:p w14:paraId="394F783E">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高炉煤气</w:t>
                  </w:r>
                </w:p>
              </w:tc>
              <w:tc>
                <w:tcPr>
                  <w:tcW w:w="932" w:type="pct"/>
                  <w:tcBorders>
                    <w:tl2br w:val="nil"/>
                    <w:tr2bl w:val="nil"/>
                  </w:tcBorders>
                  <w:vAlign w:val="center"/>
                </w:tcPr>
                <w:p w14:paraId="31C5FF81">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3780</w:t>
                  </w:r>
                </w:p>
              </w:tc>
              <w:tc>
                <w:tcPr>
                  <w:tcW w:w="992" w:type="pct"/>
                  <w:tcBorders>
                    <w:tl2br w:val="nil"/>
                    <w:tr2bl w:val="nil"/>
                  </w:tcBorders>
                  <w:vAlign w:val="center"/>
                </w:tcPr>
                <w:p w14:paraId="51EA367A">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5.89</w:t>
                  </w:r>
                </w:p>
              </w:tc>
              <w:tc>
                <w:tcPr>
                  <w:tcW w:w="952" w:type="pct"/>
                  <w:tcBorders>
                    <w:tl2br w:val="nil"/>
                    <w:tr2bl w:val="nil"/>
                  </w:tcBorders>
                  <w:vAlign w:val="center"/>
                </w:tcPr>
                <w:p w14:paraId="5BB2008F">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5.89</w:t>
                  </w:r>
                </w:p>
              </w:tc>
              <w:tc>
                <w:tcPr>
                  <w:tcW w:w="899" w:type="pct"/>
                  <w:tcBorders>
                    <w:tl2br w:val="nil"/>
                    <w:tr2bl w:val="nil"/>
                  </w:tcBorders>
                  <w:vAlign w:val="center"/>
                </w:tcPr>
                <w:p w14:paraId="1A731D85">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2×1350m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高炉</w:t>
                  </w:r>
                </w:p>
              </w:tc>
              <w:tc>
                <w:tcPr>
                  <w:tcW w:w="531" w:type="pct"/>
                  <w:tcBorders>
                    <w:tl2br w:val="nil"/>
                    <w:tr2bl w:val="nil"/>
                  </w:tcBorders>
                  <w:vAlign w:val="center"/>
                </w:tcPr>
                <w:p w14:paraId="397BF8D4">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14:paraId="0D3D89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tcBorders>
                    <w:tl2br w:val="nil"/>
                    <w:tr2bl w:val="nil"/>
                  </w:tcBorders>
                  <w:vAlign w:val="center"/>
                </w:tcPr>
                <w:p w14:paraId="4F101CE6">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转炉煤气</w:t>
                  </w:r>
                </w:p>
              </w:tc>
              <w:tc>
                <w:tcPr>
                  <w:tcW w:w="932" w:type="pct"/>
                  <w:tcBorders>
                    <w:tl2br w:val="nil"/>
                    <w:tr2bl w:val="nil"/>
                  </w:tcBorders>
                  <w:vAlign w:val="center"/>
                </w:tcPr>
                <w:p w14:paraId="5810B82C">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6487</w:t>
                  </w:r>
                </w:p>
              </w:tc>
              <w:tc>
                <w:tcPr>
                  <w:tcW w:w="992" w:type="pct"/>
                  <w:tcBorders>
                    <w:tl2br w:val="nil"/>
                    <w:tr2bl w:val="nil"/>
                  </w:tcBorders>
                  <w:vAlign w:val="center"/>
                </w:tcPr>
                <w:p w14:paraId="059F3900">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1.67</w:t>
                  </w:r>
                </w:p>
              </w:tc>
              <w:tc>
                <w:tcPr>
                  <w:tcW w:w="952" w:type="pct"/>
                  <w:tcBorders>
                    <w:tl2br w:val="nil"/>
                    <w:tr2bl w:val="nil"/>
                  </w:tcBorders>
                  <w:vAlign w:val="center"/>
                </w:tcPr>
                <w:p w14:paraId="7215B342">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2.93</w:t>
                  </w:r>
                </w:p>
              </w:tc>
              <w:tc>
                <w:tcPr>
                  <w:tcW w:w="899" w:type="pct"/>
                  <w:tcBorders>
                    <w:tl2br w:val="nil"/>
                    <w:tr2bl w:val="nil"/>
                  </w:tcBorders>
                  <w:vAlign w:val="center"/>
                </w:tcPr>
                <w:p w14:paraId="2F9DF237">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2×100t转炉</w:t>
                  </w:r>
                </w:p>
              </w:tc>
              <w:tc>
                <w:tcPr>
                  <w:tcW w:w="531" w:type="pct"/>
                  <w:tcBorders>
                    <w:tl2br w:val="nil"/>
                    <w:tr2bl w:val="nil"/>
                  </w:tcBorders>
                  <w:vAlign w:val="center"/>
                </w:tcPr>
                <w:p w14:paraId="20BAA8C6">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14:paraId="071A85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tcBorders>
                    <w:tl2br w:val="nil"/>
                    <w:tr2bl w:val="nil"/>
                  </w:tcBorders>
                  <w:vAlign w:val="center"/>
                </w:tcPr>
                <w:p w14:paraId="16D8394C">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焦炉煤气</w:t>
                  </w:r>
                </w:p>
              </w:tc>
              <w:tc>
                <w:tcPr>
                  <w:tcW w:w="932" w:type="pct"/>
                  <w:tcBorders>
                    <w:tl2br w:val="nil"/>
                    <w:tr2bl w:val="nil"/>
                  </w:tcBorders>
                  <w:vAlign w:val="center"/>
                </w:tcPr>
                <w:p w14:paraId="12E3B968">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16500</w:t>
                  </w:r>
                </w:p>
              </w:tc>
              <w:tc>
                <w:tcPr>
                  <w:tcW w:w="992" w:type="pct"/>
                  <w:tcBorders>
                    <w:tl2br w:val="nil"/>
                    <w:tr2bl w:val="nil"/>
                  </w:tcBorders>
                  <w:vAlign w:val="center"/>
                </w:tcPr>
                <w:p w14:paraId="55160BEB">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2.75</w:t>
                  </w:r>
                </w:p>
              </w:tc>
              <w:tc>
                <w:tcPr>
                  <w:tcW w:w="952" w:type="pct"/>
                  <w:tcBorders>
                    <w:tl2br w:val="nil"/>
                    <w:tr2bl w:val="nil"/>
                  </w:tcBorders>
                  <w:vAlign w:val="center"/>
                </w:tcPr>
                <w:p w14:paraId="3D2234C7">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14.70</w:t>
                  </w:r>
                </w:p>
              </w:tc>
              <w:tc>
                <w:tcPr>
                  <w:tcW w:w="899" w:type="pct"/>
                  <w:tcBorders>
                    <w:tl2br w:val="nil"/>
                    <w:tr2bl w:val="nil"/>
                  </w:tcBorders>
                  <w:vAlign w:val="center"/>
                </w:tcPr>
                <w:p w14:paraId="404A35FC">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100万吨焦炉</w:t>
                  </w:r>
                </w:p>
              </w:tc>
              <w:tc>
                <w:tcPr>
                  <w:tcW w:w="531" w:type="pct"/>
                  <w:tcBorders>
                    <w:tl2br w:val="nil"/>
                    <w:tr2bl w:val="nil"/>
                  </w:tcBorders>
                  <w:vAlign w:val="center"/>
                </w:tcPr>
                <w:p w14:paraId="0CF6CE80">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14:paraId="59752C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tcBorders>
                    <w:tl2br w:val="nil"/>
                    <w:tr2bl w:val="nil"/>
                  </w:tcBorders>
                  <w:vAlign w:val="center"/>
                </w:tcPr>
                <w:p w14:paraId="361986C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合计</w:t>
                  </w:r>
                </w:p>
              </w:tc>
              <w:tc>
                <w:tcPr>
                  <w:tcW w:w="932" w:type="pct"/>
                  <w:tcBorders>
                    <w:tl2br w:val="nil"/>
                    <w:tr2bl w:val="nil"/>
                  </w:tcBorders>
                  <w:vAlign w:val="center"/>
                </w:tcPr>
                <w:p w14:paraId="56C04561">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2" w:type="pct"/>
                  <w:tcBorders>
                    <w:tl2br w:val="nil"/>
                    <w:tr2bl w:val="nil"/>
                  </w:tcBorders>
                  <w:vAlign w:val="center"/>
                </w:tcPr>
                <w:p w14:paraId="4D70E90C">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52" w:type="pct"/>
                  <w:tcBorders>
                    <w:tl2br w:val="nil"/>
                    <w:tr2bl w:val="nil"/>
                  </w:tcBorders>
                  <w:vAlign w:val="center"/>
                </w:tcPr>
                <w:p w14:paraId="4E84F109">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22.26</w:t>
                  </w:r>
                </w:p>
              </w:tc>
              <w:tc>
                <w:tcPr>
                  <w:tcW w:w="899" w:type="pct"/>
                  <w:tcBorders>
                    <w:tl2br w:val="nil"/>
                    <w:tr2bl w:val="nil"/>
                  </w:tcBorders>
                  <w:vAlign w:val="center"/>
                </w:tcPr>
                <w:p w14:paraId="2C7EAB80">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31" w:type="pct"/>
                  <w:tcBorders>
                    <w:tl2br w:val="nil"/>
                    <w:tr2bl w:val="nil"/>
                  </w:tcBorders>
                  <w:vAlign w:val="center"/>
                </w:tcPr>
                <w:p w14:paraId="7E073489">
                  <w:pPr>
                    <w:pStyle w:val="29"/>
                    <w:keepNext/>
                    <w:keepLines/>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bl>
          <w:p w14:paraId="6FACEAC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000000"/>
                <w:kern w:val="0"/>
                <w:sz w:val="24"/>
                <w:szCs w:val="24"/>
                <w:lang w:val="en-US" w:eastAsia="zh-CN" w:bidi="ar"/>
              </w:rPr>
              <w:t>2.</w:t>
            </w:r>
            <w:r>
              <w:rPr>
                <w:rFonts w:hint="eastAsia" w:cs="Times New Roman"/>
                <w:b/>
                <w:bCs/>
                <w:color w:val="000000"/>
                <w:kern w:val="0"/>
                <w:sz w:val="24"/>
                <w:szCs w:val="24"/>
                <w:lang w:val="en-US" w:eastAsia="zh-CN" w:bidi="ar"/>
              </w:rPr>
              <w:t>4.1生产辅助材料消耗情况</w:t>
            </w:r>
          </w:p>
          <w:p w14:paraId="454CBA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i w:val="0"/>
                <w:iCs w:val="0"/>
                <w:color w:val="000000"/>
                <w:kern w:val="0"/>
                <w:sz w:val="24"/>
                <w:szCs w:val="24"/>
                <w:u w:val="none"/>
                <w:lang w:val="en-US" w:eastAsia="zh-CN" w:bidi="ar"/>
              </w:rPr>
            </w:pPr>
            <w:r>
              <w:rPr>
                <w:rFonts w:hint="eastAsia" w:ascii="Times New Roman" w:hAnsi="Times New Roman" w:eastAsia="宋体" w:cs="Times New Roman"/>
                <w:color w:val="auto"/>
                <w:sz w:val="24"/>
                <w:highlight w:val="none"/>
                <w:lang w:val="en-US" w:eastAsia="zh-CN"/>
              </w:rPr>
              <w:t>本项目使用的辅助材料主要有：氢氧化钙、氢氧化钠、工业盐酸、十二水磷酸三钠、丙酮肟、缓蚀阻垢剂、杀菌灭藻剂、润滑油等，其消耗量详见下表。</w:t>
            </w:r>
          </w:p>
          <w:p w14:paraId="2B89EB29">
            <w:pPr>
              <w:pStyle w:val="28"/>
              <w:keepNext/>
              <w:keepLines/>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表2-4  原辅材料消耗情况一览表</w:t>
            </w:r>
          </w:p>
          <w:tbl>
            <w:tblPr>
              <w:tblStyle w:val="18"/>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602"/>
              <w:gridCol w:w="707"/>
              <w:gridCol w:w="477"/>
              <w:gridCol w:w="1571"/>
              <w:gridCol w:w="889"/>
              <w:gridCol w:w="2345"/>
            </w:tblGrid>
            <w:tr w14:paraId="398146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69" w:type="pct"/>
                  <w:tcBorders>
                    <w:tl2br w:val="nil"/>
                    <w:tr2bl w:val="nil"/>
                  </w:tcBorders>
                  <w:vAlign w:val="center"/>
                </w:tcPr>
                <w:p w14:paraId="33B19FA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998" w:type="pct"/>
                  <w:tcBorders>
                    <w:tl2br w:val="nil"/>
                    <w:tr2bl w:val="nil"/>
                  </w:tcBorders>
                  <w:vAlign w:val="center"/>
                </w:tcPr>
                <w:p w14:paraId="7029194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辅助材料</w:t>
                  </w:r>
                </w:p>
              </w:tc>
              <w:tc>
                <w:tcPr>
                  <w:tcW w:w="440" w:type="pct"/>
                  <w:tcBorders>
                    <w:tl2br w:val="nil"/>
                    <w:tr2bl w:val="nil"/>
                  </w:tcBorders>
                  <w:vAlign w:val="center"/>
                </w:tcPr>
                <w:p w14:paraId="5782A76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年耗量（t）</w:t>
                  </w:r>
                </w:p>
              </w:tc>
              <w:tc>
                <w:tcPr>
                  <w:tcW w:w="297" w:type="pct"/>
                  <w:tcBorders>
                    <w:tl2br w:val="nil"/>
                    <w:tr2bl w:val="nil"/>
                  </w:tcBorders>
                  <w:vAlign w:val="center"/>
                </w:tcPr>
                <w:p w14:paraId="648F163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形态</w:t>
                  </w:r>
                </w:p>
              </w:tc>
              <w:tc>
                <w:tcPr>
                  <w:tcW w:w="978" w:type="pct"/>
                  <w:tcBorders>
                    <w:tl2br w:val="nil"/>
                    <w:tr2bl w:val="nil"/>
                  </w:tcBorders>
                  <w:vAlign w:val="center"/>
                </w:tcPr>
                <w:p w14:paraId="216E6BC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贮存形式及场所</w:t>
                  </w:r>
                </w:p>
              </w:tc>
              <w:tc>
                <w:tcPr>
                  <w:tcW w:w="553" w:type="pct"/>
                  <w:tcBorders>
                    <w:tl2br w:val="nil"/>
                    <w:tr2bl w:val="nil"/>
                  </w:tcBorders>
                  <w:vAlign w:val="center"/>
                </w:tcPr>
                <w:p w14:paraId="0339473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最大存储量（t）</w:t>
                  </w:r>
                </w:p>
              </w:tc>
              <w:tc>
                <w:tcPr>
                  <w:tcW w:w="1461" w:type="pct"/>
                  <w:tcBorders>
                    <w:tl2br w:val="nil"/>
                    <w:tr2bl w:val="nil"/>
                  </w:tcBorders>
                  <w:vAlign w:val="center"/>
                </w:tcPr>
                <w:p w14:paraId="7F8B7C1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备注</w:t>
                  </w:r>
                </w:p>
              </w:tc>
            </w:tr>
            <w:tr w14:paraId="4DDCB8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69" w:type="pct"/>
                  <w:tcBorders>
                    <w:tl2br w:val="nil"/>
                    <w:tr2bl w:val="nil"/>
                  </w:tcBorders>
                  <w:vAlign w:val="center"/>
                </w:tcPr>
                <w:p w14:paraId="01D2667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一</w:t>
                  </w:r>
                </w:p>
              </w:tc>
              <w:tc>
                <w:tcPr>
                  <w:tcW w:w="4730" w:type="pct"/>
                  <w:gridSpan w:val="6"/>
                  <w:tcBorders>
                    <w:tl2br w:val="nil"/>
                    <w:tr2bl w:val="nil"/>
                  </w:tcBorders>
                  <w:vAlign w:val="center"/>
                </w:tcPr>
                <w:p w14:paraId="770A36A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原料</w:t>
                  </w:r>
                </w:p>
              </w:tc>
            </w:tr>
            <w:tr w14:paraId="57136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69" w:type="pct"/>
                  <w:tcBorders>
                    <w:tl2br w:val="nil"/>
                    <w:tr2bl w:val="nil"/>
                  </w:tcBorders>
                  <w:vAlign w:val="center"/>
                </w:tcPr>
                <w:p w14:paraId="0DB24AA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998" w:type="pct"/>
                  <w:tcBorders>
                    <w:tl2br w:val="nil"/>
                    <w:tr2bl w:val="nil"/>
                  </w:tcBorders>
                  <w:vAlign w:val="center"/>
                </w:tcPr>
                <w:p w14:paraId="0D399E7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高炉煤气</w:t>
                  </w:r>
                </w:p>
              </w:tc>
              <w:tc>
                <w:tcPr>
                  <w:tcW w:w="440" w:type="pct"/>
                  <w:tcBorders>
                    <w:tl2br w:val="nil"/>
                    <w:tr2bl w:val="nil"/>
                  </w:tcBorders>
                  <w:vAlign w:val="center"/>
                </w:tcPr>
                <w:p w14:paraId="67D2E98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48298万m³/年</w:t>
                  </w:r>
                </w:p>
              </w:tc>
              <w:tc>
                <w:tcPr>
                  <w:tcW w:w="297" w:type="pct"/>
                  <w:tcBorders>
                    <w:tl2br w:val="nil"/>
                    <w:tr2bl w:val="nil"/>
                  </w:tcBorders>
                  <w:vAlign w:val="center"/>
                </w:tcPr>
                <w:p w14:paraId="2786C6F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气态</w:t>
                  </w:r>
                </w:p>
              </w:tc>
              <w:tc>
                <w:tcPr>
                  <w:tcW w:w="978" w:type="pct"/>
                  <w:tcBorders>
                    <w:tl2br w:val="nil"/>
                    <w:tr2bl w:val="nil"/>
                  </w:tcBorders>
                  <w:vAlign w:val="center"/>
                </w:tcPr>
                <w:p w14:paraId="295840F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高炉煤气柜</w:t>
                  </w:r>
                </w:p>
              </w:tc>
              <w:tc>
                <w:tcPr>
                  <w:tcW w:w="553" w:type="pct"/>
                  <w:tcBorders>
                    <w:tl2br w:val="nil"/>
                    <w:tr2bl w:val="nil"/>
                  </w:tcBorders>
                  <w:vAlign w:val="center"/>
                </w:tcPr>
                <w:p w14:paraId="5565149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26万</w:t>
                  </w:r>
                </w:p>
              </w:tc>
              <w:tc>
                <w:tcPr>
                  <w:tcW w:w="1461" w:type="pct"/>
                  <w:tcBorders>
                    <w:tl2br w:val="nil"/>
                    <w:tr2bl w:val="nil"/>
                  </w:tcBorders>
                  <w:vAlign w:val="center"/>
                </w:tcPr>
                <w:p w14:paraId="28110FD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依托现有高炉煤气柜储存</w:t>
                  </w:r>
                </w:p>
              </w:tc>
            </w:tr>
            <w:tr w14:paraId="5C2E40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69" w:type="pct"/>
                  <w:tcBorders>
                    <w:tl2br w:val="nil"/>
                    <w:tr2bl w:val="nil"/>
                  </w:tcBorders>
                  <w:vAlign w:val="center"/>
                </w:tcPr>
                <w:p w14:paraId="26C5997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998" w:type="pct"/>
                  <w:tcBorders>
                    <w:tl2br w:val="nil"/>
                    <w:tr2bl w:val="nil"/>
                  </w:tcBorders>
                  <w:vAlign w:val="center"/>
                </w:tcPr>
                <w:p w14:paraId="431A765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转炉煤气</w:t>
                  </w:r>
                </w:p>
              </w:tc>
              <w:tc>
                <w:tcPr>
                  <w:tcW w:w="440" w:type="pct"/>
                  <w:tcBorders>
                    <w:tl2br w:val="nil"/>
                    <w:tr2bl w:val="nil"/>
                  </w:tcBorders>
                  <w:vAlign w:val="center"/>
                </w:tcPr>
                <w:p w14:paraId="645F4EE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13694万m³/年</w:t>
                  </w:r>
                </w:p>
              </w:tc>
              <w:tc>
                <w:tcPr>
                  <w:tcW w:w="297" w:type="pct"/>
                  <w:tcBorders>
                    <w:tl2br w:val="nil"/>
                    <w:tr2bl w:val="nil"/>
                  </w:tcBorders>
                  <w:vAlign w:val="center"/>
                </w:tcPr>
                <w:p w14:paraId="24B79AF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气态</w:t>
                  </w:r>
                </w:p>
              </w:tc>
              <w:tc>
                <w:tcPr>
                  <w:tcW w:w="978" w:type="pct"/>
                  <w:tcBorders>
                    <w:tl2br w:val="nil"/>
                    <w:tr2bl w:val="nil"/>
                  </w:tcBorders>
                  <w:vAlign w:val="center"/>
                </w:tcPr>
                <w:p w14:paraId="37513E5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转炉煤气柜</w:t>
                  </w:r>
                </w:p>
              </w:tc>
              <w:tc>
                <w:tcPr>
                  <w:tcW w:w="553" w:type="pct"/>
                  <w:tcBorders>
                    <w:tl2br w:val="nil"/>
                    <w:tr2bl w:val="nil"/>
                  </w:tcBorders>
                  <w:vAlign w:val="center"/>
                </w:tcPr>
                <w:p w14:paraId="107984F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11.875万</w:t>
                  </w:r>
                </w:p>
              </w:tc>
              <w:tc>
                <w:tcPr>
                  <w:tcW w:w="1461" w:type="pct"/>
                  <w:tcBorders>
                    <w:tl2br w:val="nil"/>
                    <w:tr2bl w:val="nil"/>
                  </w:tcBorders>
                  <w:vAlign w:val="center"/>
                </w:tcPr>
                <w:p w14:paraId="03DCC18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依托现有转炉煤气柜储存</w:t>
                  </w:r>
                </w:p>
              </w:tc>
            </w:tr>
            <w:tr w14:paraId="652D83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69" w:type="pct"/>
                  <w:tcBorders>
                    <w:tl2br w:val="nil"/>
                    <w:tr2bl w:val="nil"/>
                  </w:tcBorders>
                  <w:vAlign w:val="center"/>
                </w:tcPr>
                <w:p w14:paraId="7893443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998" w:type="pct"/>
                  <w:tcBorders>
                    <w:tl2br w:val="nil"/>
                    <w:tr2bl w:val="nil"/>
                  </w:tcBorders>
                  <w:vAlign w:val="center"/>
                </w:tcPr>
                <w:p w14:paraId="4585734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焦炉煤气</w:t>
                  </w:r>
                </w:p>
              </w:tc>
              <w:tc>
                <w:tcPr>
                  <w:tcW w:w="440" w:type="pct"/>
                  <w:tcBorders>
                    <w:tl2br w:val="nil"/>
                    <w:tr2bl w:val="nil"/>
                  </w:tcBorders>
                  <w:vAlign w:val="center"/>
                </w:tcPr>
                <w:p w14:paraId="7A40BE3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22550万m³/年</w:t>
                  </w:r>
                </w:p>
              </w:tc>
              <w:tc>
                <w:tcPr>
                  <w:tcW w:w="297" w:type="pct"/>
                  <w:tcBorders>
                    <w:tl2br w:val="nil"/>
                    <w:tr2bl w:val="nil"/>
                  </w:tcBorders>
                  <w:vAlign w:val="center"/>
                </w:tcPr>
                <w:p w14:paraId="054EAEB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气态</w:t>
                  </w:r>
                </w:p>
              </w:tc>
              <w:tc>
                <w:tcPr>
                  <w:tcW w:w="978" w:type="pct"/>
                  <w:tcBorders>
                    <w:tl2br w:val="nil"/>
                    <w:tr2bl w:val="nil"/>
                  </w:tcBorders>
                  <w:vAlign w:val="center"/>
                </w:tcPr>
                <w:p w14:paraId="7A8F43F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vertAlign w:val="baseline"/>
                      <w:lang w:val="en-US" w:eastAsia="zh-CN"/>
                    </w:rPr>
                    <w:t>焦炉煤气柜</w:t>
                  </w:r>
                </w:p>
              </w:tc>
              <w:tc>
                <w:tcPr>
                  <w:tcW w:w="553" w:type="pct"/>
                  <w:tcBorders>
                    <w:tl2br w:val="nil"/>
                    <w:tr2bl w:val="nil"/>
                  </w:tcBorders>
                  <w:vAlign w:val="center"/>
                </w:tcPr>
                <w:p w14:paraId="7C6DF2A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2.5万</w:t>
                  </w:r>
                </w:p>
              </w:tc>
              <w:tc>
                <w:tcPr>
                  <w:tcW w:w="1461" w:type="pct"/>
                  <w:tcBorders>
                    <w:tl2br w:val="nil"/>
                    <w:tr2bl w:val="nil"/>
                  </w:tcBorders>
                  <w:vAlign w:val="center"/>
                </w:tcPr>
                <w:p w14:paraId="386E185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依托在建焦炉煤气柜储存</w:t>
                  </w:r>
                </w:p>
              </w:tc>
            </w:tr>
            <w:tr w14:paraId="3D99A5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69" w:type="pct"/>
                  <w:tcBorders>
                    <w:tl2br w:val="nil"/>
                    <w:tr2bl w:val="nil"/>
                  </w:tcBorders>
                  <w:vAlign w:val="center"/>
                </w:tcPr>
                <w:p w14:paraId="59061AE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二</w:t>
                  </w:r>
                </w:p>
              </w:tc>
              <w:tc>
                <w:tcPr>
                  <w:tcW w:w="4730" w:type="pct"/>
                  <w:gridSpan w:val="6"/>
                  <w:tcBorders>
                    <w:tl2br w:val="nil"/>
                    <w:tr2bl w:val="nil"/>
                  </w:tcBorders>
                  <w:vAlign w:val="center"/>
                </w:tcPr>
                <w:p w14:paraId="2748E41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辅料，化学水处理使用</w:t>
                  </w:r>
                </w:p>
              </w:tc>
            </w:tr>
            <w:tr w14:paraId="4A715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69" w:type="pct"/>
                  <w:tcBorders>
                    <w:tl2br w:val="nil"/>
                    <w:tr2bl w:val="nil"/>
                  </w:tcBorders>
                  <w:vAlign w:val="center"/>
                </w:tcPr>
                <w:p w14:paraId="79C74DA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998" w:type="pct"/>
                  <w:tcBorders>
                    <w:tl2br w:val="nil"/>
                    <w:tr2bl w:val="nil"/>
                  </w:tcBorders>
                  <w:vAlign w:val="center"/>
                </w:tcPr>
                <w:p w14:paraId="3D0650E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氢氧化钙</w:t>
                  </w:r>
                </w:p>
              </w:tc>
              <w:tc>
                <w:tcPr>
                  <w:tcW w:w="440" w:type="pct"/>
                  <w:tcBorders>
                    <w:tl2br w:val="nil"/>
                    <w:tr2bl w:val="nil"/>
                  </w:tcBorders>
                  <w:vAlign w:val="center"/>
                </w:tcPr>
                <w:p w14:paraId="6CD1148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580</w:t>
                  </w:r>
                </w:p>
              </w:tc>
              <w:tc>
                <w:tcPr>
                  <w:tcW w:w="297" w:type="pct"/>
                  <w:tcBorders>
                    <w:tl2br w:val="nil"/>
                    <w:tr2bl w:val="nil"/>
                  </w:tcBorders>
                  <w:vAlign w:val="center"/>
                </w:tcPr>
                <w:p w14:paraId="365DAD5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粉末状</w:t>
                  </w:r>
                </w:p>
              </w:tc>
              <w:tc>
                <w:tcPr>
                  <w:tcW w:w="978" w:type="pct"/>
                  <w:tcBorders>
                    <w:tl2br w:val="nil"/>
                    <w:tr2bl w:val="nil"/>
                  </w:tcBorders>
                  <w:vAlign w:val="center"/>
                </w:tcPr>
                <w:p w14:paraId="11B04B4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贮存于</w:t>
                  </w:r>
                  <w:r>
                    <w:rPr>
                      <w:rFonts w:hint="eastAsia" w:cs="Times New Roman"/>
                      <w:color w:val="auto"/>
                      <w:sz w:val="18"/>
                      <w:szCs w:val="18"/>
                      <w:highlight w:val="none"/>
                      <w:lang w:val="en-US" w:eastAsia="zh-CN"/>
                    </w:rPr>
                    <w:t>钙粉设备间</w:t>
                  </w:r>
                </w:p>
              </w:tc>
              <w:tc>
                <w:tcPr>
                  <w:tcW w:w="553" w:type="pct"/>
                  <w:tcBorders>
                    <w:tl2br w:val="nil"/>
                    <w:tr2bl w:val="nil"/>
                  </w:tcBorders>
                  <w:vAlign w:val="center"/>
                </w:tcPr>
                <w:p w14:paraId="29EB81B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30</w:t>
                  </w:r>
                </w:p>
              </w:tc>
              <w:tc>
                <w:tcPr>
                  <w:tcW w:w="1461" w:type="pct"/>
                  <w:tcBorders>
                    <w:tl2br w:val="nil"/>
                    <w:tr2bl w:val="nil"/>
                  </w:tcBorders>
                  <w:vAlign w:val="center"/>
                </w:tcPr>
                <w:p w14:paraId="5439A4D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外购，由钢铁厂统一供应，</w:t>
                  </w:r>
                  <w:r>
                    <w:rPr>
                      <w:rFonts w:hint="default" w:ascii="Times New Roman" w:hAnsi="Times New Roman" w:eastAsia="宋体" w:cs="Times New Roman"/>
                      <w:color w:val="auto"/>
                      <w:sz w:val="18"/>
                      <w:szCs w:val="18"/>
                      <w:highlight w:val="none"/>
                    </w:rPr>
                    <w:t>用于锅炉烟气脱硫作为吸收剂使用</w:t>
                  </w:r>
                  <w:r>
                    <w:rPr>
                      <w:rFonts w:hint="default" w:ascii="Times New Roman" w:hAnsi="Times New Roman" w:eastAsia="宋体" w:cs="Times New Roman"/>
                      <w:color w:val="auto"/>
                      <w:sz w:val="18"/>
                      <w:szCs w:val="18"/>
                      <w:highlight w:val="none"/>
                      <w:lang w:eastAsia="zh-CN"/>
                    </w:rPr>
                    <w:t>。</w:t>
                  </w:r>
                </w:p>
              </w:tc>
            </w:tr>
            <w:tr w14:paraId="58727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69" w:type="pct"/>
                  <w:tcBorders>
                    <w:tl2br w:val="nil"/>
                    <w:tr2bl w:val="nil"/>
                  </w:tcBorders>
                  <w:vAlign w:val="center"/>
                </w:tcPr>
                <w:p w14:paraId="10162B9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998" w:type="pct"/>
                  <w:tcBorders>
                    <w:tl2br w:val="nil"/>
                    <w:tr2bl w:val="nil"/>
                  </w:tcBorders>
                  <w:vAlign w:val="center"/>
                </w:tcPr>
                <w:p w14:paraId="6F6957B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NaOH</w:t>
                  </w:r>
                </w:p>
              </w:tc>
              <w:tc>
                <w:tcPr>
                  <w:tcW w:w="440" w:type="pct"/>
                  <w:tcBorders>
                    <w:tl2br w:val="nil"/>
                    <w:tr2bl w:val="nil"/>
                  </w:tcBorders>
                  <w:vAlign w:val="center"/>
                </w:tcPr>
                <w:p w14:paraId="124100C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297" w:type="pct"/>
                  <w:tcBorders>
                    <w:tl2br w:val="nil"/>
                    <w:tr2bl w:val="nil"/>
                  </w:tcBorders>
                  <w:vAlign w:val="center"/>
                </w:tcPr>
                <w:p w14:paraId="0D2E7FB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溶液</w:t>
                  </w:r>
                </w:p>
              </w:tc>
              <w:tc>
                <w:tcPr>
                  <w:tcW w:w="978" w:type="pct"/>
                  <w:tcBorders>
                    <w:tl2br w:val="nil"/>
                    <w:tr2bl w:val="nil"/>
                  </w:tcBorders>
                  <w:vAlign w:val="center"/>
                </w:tcPr>
                <w:p w14:paraId="68DAD9C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密闭储罐储存</w:t>
                  </w:r>
                  <w:r>
                    <w:rPr>
                      <w:rFonts w:hint="default" w:ascii="Times New Roman" w:hAnsi="Times New Roman" w:eastAsia="宋体" w:cs="Times New Roman"/>
                      <w:color w:val="auto"/>
                      <w:sz w:val="18"/>
                      <w:szCs w:val="18"/>
                      <w:highlight w:val="none"/>
                      <w:lang w:val="en-US" w:eastAsia="zh-CN"/>
                    </w:rPr>
                    <w:t>于凝结水精处理间，设置两个容积为5m</w:t>
                  </w:r>
                  <w:r>
                    <w:rPr>
                      <w:rFonts w:hint="eastAsia"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的NaOH储罐</w:t>
                  </w:r>
                </w:p>
              </w:tc>
              <w:tc>
                <w:tcPr>
                  <w:tcW w:w="553" w:type="pct"/>
                  <w:tcBorders>
                    <w:tl2br w:val="nil"/>
                    <w:tr2bl w:val="nil"/>
                  </w:tcBorders>
                  <w:vAlign w:val="center"/>
                </w:tcPr>
                <w:p w14:paraId="11C3FBF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10</w:t>
                  </w:r>
                </w:p>
              </w:tc>
              <w:tc>
                <w:tcPr>
                  <w:tcW w:w="1461" w:type="pct"/>
                  <w:tcBorders>
                    <w:tl2br w:val="nil"/>
                    <w:tr2bl w:val="nil"/>
                  </w:tcBorders>
                  <w:vAlign w:val="center"/>
                </w:tcPr>
                <w:p w14:paraId="69F1D7B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浓度≥32%，用于凝结水精处理车间的树脂再生。</w:t>
                  </w:r>
                </w:p>
              </w:tc>
            </w:tr>
            <w:tr w14:paraId="5E4783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69" w:type="pct"/>
                  <w:tcBorders>
                    <w:tl2br w:val="nil"/>
                    <w:tr2bl w:val="nil"/>
                  </w:tcBorders>
                  <w:vAlign w:val="center"/>
                </w:tcPr>
                <w:p w14:paraId="331414F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998" w:type="pct"/>
                  <w:tcBorders>
                    <w:tl2br w:val="nil"/>
                    <w:tr2bl w:val="nil"/>
                  </w:tcBorders>
                  <w:vAlign w:val="center"/>
                </w:tcPr>
                <w:p w14:paraId="31CF240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工业盐酸</w:t>
                  </w:r>
                </w:p>
              </w:tc>
              <w:tc>
                <w:tcPr>
                  <w:tcW w:w="440" w:type="pct"/>
                  <w:tcBorders>
                    <w:tl2br w:val="nil"/>
                    <w:tr2bl w:val="nil"/>
                  </w:tcBorders>
                  <w:vAlign w:val="center"/>
                </w:tcPr>
                <w:p w14:paraId="3A8D7D9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297" w:type="pct"/>
                  <w:tcBorders>
                    <w:tl2br w:val="nil"/>
                    <w:tr2bl w:val="nil"/>
                  </w:tcBorders>
                  <w:vAlign w:val="center"/>
                </w:tcPr>
                <w:p w14:paraId="75035D0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溶液</w:t>
                  </w:r>
                </w:p>
              </w:tc>
              <w:tc>
                <w:tcPr>
                  <w:tcW w:w="978" w:type="pct"/>
                  <w:tcBorders>
                    <w:tl2br w:val="nil"/>
                    <w:tr2bl w:val="nil"/>
                  </w:tcBorders>
                  <w:vAlign w:val="center"/>
                </w:tcPr>
                <w:p w14:paraId="329C1C4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密闭储罐储存</w:t>
                  </w:r>
                  <w:r>
                    <w:rPr>
                      <w:rFonts w:hint="default" w:ascii="Times New Roman" w:hAnsi="Times New Roman" w:eastAsia="宋体" w:cs="Times New Roman"/>
                      <w:color w:val="auto"/>
                      <w:sz w:val="18"/>
                      <w:szCs w:val="18"/>
                      <w:highlight w:val="none"/>
                      <w:lang w:val="en-US" w:eastAsia="zh-CN"/>
                    </w:rPr>
                    <w:t>于凝结水精处理间，设置两个容积为5m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的盐酸储罐</w:t>
                  </w:r>
                </w:p>
              </w:tc>
              <w:tc>
                <w:tcPr>
                  <w:tcW w:w="553" w:type="pct"/>
                  <w:tcBorders>
                    <w:tl2br w:val="nil"/>
                    <w:tr2bl w:val="nil"/>
                  </w:tcBorders>
                  <w:vAlign w:val="center"/>
                </w:tcPr>
                <w:p w14:paraId="5445822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10</w:t>
                  </w:r>
                </w:p>
              </w:tc>
              <w:tc>
                <w:tcPr>
                  <w:tcW w:w="1461" w:type="pct"/>
                  <w:tcBorders>
                    <w:tl2br w:val="nil"/>
                    <w:tr2bl w:val="nil"/>
                  </w:tcBorders>
                  <w:vAlign w:val="center"/>
                </w:tcPr>
                <w:p w14:paraId="5D7CEEA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浓度≥3</w:t>
                  </w:r>
                  <w:r>
                    <w:rPr>
                      <w:rFonts w:hint="eastAsia"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lang w:val="en-US" w:eastAsia="zh-CN"/>
                    </w:rPr>
                    <w:t>%，用于凝结水精处理车间的树脂再生。</w:t>
                  </w:r>
                </w:p>
              </w:tc>
            </w:tr>
            <w:tr w14:paraId="2AE3C0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tcBorders>
                    <w:tl2br w:val="nil"/>
                    <w:tr2bl w:val="nil"/>
                  </w:tcBorders>
                  <w:vAlign w:val="center"/>
                </w:tcPr>
                <w:p w14:paraId="70F5119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998" w:type="pct"/>
                  <w:tcBorders>
                    <w:tl2br w:val="nil"/>
                    <w:tr2bl w:val="nil"/>
                  </w:tcBorders>
                  <w:vAlign w:val="center"/>
                </w:tcPr>
                <w:p w14:paraId="0138AE7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Na</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PO</w:t>
                  </w:r>
                  <w:r>
                    <w:rPr>
                      <w:rFonts w:hint="default" w:ascii="Times New Roman" w:hAnsi="Times New Roman" w:eastAsia="宋体" w:cs="Times New Roman"/>
                      <w:color w:val="auto"/>
                      <w:sz w:val="18"/>
                      <w:szCs w:val="18"/>
                      <w:highlight w:val="none"/>
                      <w:vertAlign w:val="subscript"/>
                      <w:lang w:val="en-US" w:eastAsia="zh-CN"/>
                    </w:rPr>
                    <w:t>4</w:t>
                  </w:r>
                  <w:r>
                    <w:rPr>
                      <w:rFonts w:hint="default" w:ascii="Times New Roman" w:hAnsi="Times New Roman" w:eastAsia="宋体" w:cs="Times New Roman"/>
                      <w:color w:val="auto"/>
                      <w:sz w:val="18"/>
                      <w:szCs w:val="18"/>
                      <w:highlight w:val="none"/>
                      <w:lang w:val="en-US" w:eastAsia="zh-CN"/>
                    </w:rPr>
                    <w:t>·12H</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O</w:t>
                  </w:r>
                </w:p>
              </w:tc>
              <w:tc>
                <w:tcPr>
                  <w:tcW w:w="440" w:type="pct"/>
                  <w:tcBorders>
                    <w:tl2br w:val="nil"/>
                    <w:tr2bl w:val="nil"/>
                  </w:tcBorders>
                  <w:vAlign w:val="center"/>
                </w:tcPr>
                <w:p w14:paraId="21F112E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97" w:type="pct"/>
                  <w:tcBorders>
                    <w:tl2br w:val="nil"/>
                    <w:tr2bl w:val="nil"/>
                  </w:tcBorders>
                  <w:vAlign w:val="center"/>
                </w:tcPr>
                <w:p w14:paraId="222B55A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978" w:type="pct"/>
                  <w:tcBorders>
                    <w:tl2br w:val="nil"/>
                    <w:tr2bl w:val="nil"/>
                  </w:tcBorders>
                  <w:vAlign w:val="center"/>
                </w:tcPr>
                <w:p w14:paraId="16DB039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防潮密封袋装</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25kg/袋</w:t>
                  </w:r>
                </w:p>
              </w:tc>
              <w:tc>
                <w:tcPr>
                  <w:tcW w:w="553" w:type="pct"/>
                  <w:tcBorders>
                    <w:tl2br w:val="nil"/>
                    <w:tr2bl w:val="nil"/>
                  </w:tcBorders>
                  <w:vAlign w:val="center"/>
                </w:tcPr>
                <w:p w14:paraId="602C704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0.1</w:t>
                  </w:r>
                </w:p>
              </w:tc>
              <w:tc>
                <w:tcPr>
                  <w:tcW w:w="1461" w:type="pct"/>
                  <w:tcBorders>
                    <w:tl2br w:val="nil"/>
                    <w:tr2bl w:val="nil"/>
                  </w:tcBorders>
                  <w:vAlign w:val="center"/>
                </w:tcPr>
                <w:p w14:paraId="486718B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98%纯度，为防止锅内及炉水管路钙镁水垢的沉积和防止锅炉金属腐蚀</w:t>
                  </w:r>
                </w:p>
              </w:tc>
            </w:tr>
            <w:tr w14:paraId="7AA28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69" w:type="pct"/>
                  <w:tcBorders>
                    <w:tl2br w:val="nil"/>
                    <w:tr2bl w:val="nil"/>
                  </w:tcBorders>
                  <w:vAlign w:val="center"/>
                </w:tcPr>
                <w:p w14:paraId="455B311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998" w:type="pct"/>
                  <w:tcBorders>
                    <w:tl2br w:val="nil"/>
                    <w:tr2bl w:val="nil"/>
                  </w:tcBorders>
                  <w:vAlign w:val="center"/>
                </w:tcPr>
                <w:p w14:paraId="30D65B3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丙酮肟</w:t>
                  </w:r>
                </w:p>
              </w:tc>
              <w:tc>
                <w:tcPr>
                  <w:tcW w:w="440" w:type="pct"/>
                  <w:tcBorders>
                    <w:tl2br w:val="nil"/>
                    <w:tr2bl w:val="nil"/>
                  </w:tcBorders>
                  <w:vAlign w:val="center"/>
                </w:tcPr>
                <w:p w14:paraId="7916221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25</w:t>
                  </w:r>
                </w:p>
              </w:tc>
              <w:tc>
                <w:tcPr>
                  <w:tcW w:w="297" w:type="pct"/>
                  <w:tcBorders>
                    <w:tl2br w:val="nil"/>
                    <w:tr2bl w:val="nil"/>
                  </w:tcBorders>
                  <w:vAlign w:val="center"/>
                </w:tcPr>
                <w:p w14:paraId="7D36E81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978" w:type="pct"/>
                  <w:tcBorders>
                    <w:tl2br w:val="nil"/>
                    <w:tr2bl w:val="nil"/>
                  </w:tcBorders>
                  <w:vAlign w:val="center"/>
                </w:tcPr>
                <w:p w14:paraId="5CA18E4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密闭储罐储存</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25kg/桶</w:t>
                  </w:r>
                </w:p>
              </w:tc>
              <w:tc>
                <w:tcPr>
                  <w:tcW w:w="553" w:type="pct"/>
                  <w:tcBorders>
                    <w:tl2br w:val="nil"/>
                    <w:tr2bl w:val="nil"/>
                  </w:tcBorders>
                  <w:vAlign w:val="center"/>
                </w:tcPr>
                <w:p w14:paraId="05A3DB1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0.1</w:t>
                  </w:r>
                </w:p>
              </w:tc>
              <w:tc>
                <w:tcPr>
                  <w:tcW w:w="1461" w:type="pct"/>
                  <w:tcBorders>
                    <w:tl2br w:val="nil"/>
                    <w:tr2bl w:val="nil"/>
                  </w:tcBorders>
                  <w:vAlign w:val="center"/>
                </w:tcPr>
                <w:p w14:paraId="29BDFE3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99%纯度，</w:t>
                  </w:r>
                  <w:r>
                    <w:rPr>
                      <w:rFonts w:hint="default" w:ascii="Times New Roman" w:hAnsi="Times New Roman" w:eastAsia="宋体" w:cs="Times New Roman"/>
                      <w:color w:val="auto"/>
                      <w:sz w:val="18"/>
                      <w:szCs w:val="18"/>
                      <w:highlight w:val="none"/>
                    </w:rPr>
                    <w:t>锅炉内给水化学除氧剂</w:t>
                  </w:r>
                </w:p>
              </w:tc>
            </w:tr>
            <w:tr w14:paraId="69A018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9" w:type="pct"/>
                  <w:tcBorders>
                    <w:tl2br w:val="nil"/>
                    <w:tr2bl w:val="nil"/>
                  </w:tcBorders>
                  <w:vAlign w:val="center"/>
                </w:tcPr>
                <w:p w14:paraId="1431B45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三</w:t>
                  </w:r>
                </w:p>
              </w:tc>
              <w:tc>
                <w:tcPr>
                  <w:tcW w:w="4730" w:type="pct"/>
                  <w:gridSpan w:val="6"/>
                  <w:tcBorders>
                    <w:tl2br w:val="nil"/>
                    <w:tr2bl w:val="nil"/>
                  </w:tcBorders>
                  <w:vAlign w:val="center"/>
                </w:tcPr>
                <w:p w14:paraId="63DAB38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循环水系统使用</w:t>
                  </w:r>
                </w:p>
              </w:tc>
            </w:tr>
            <w:tr w14:paraId="4A3634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913ACE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998" w:type="pct"/>
                  <w:tcBorders>
                    <w:tl2br w:val="nil"/>
                    <w:tr2bl w:val="nil"/>
                  </w:tcBorders>
                  <w:vAlign w:val="center"/>
                </w:tcPr>
                <w:p w14:paraId="1D5DA32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缓蚀阻垢剂</w:t>
                  </w:r>
                </w:p>
              </w:tc>
              <w:tc>
                <w:tcPr>
                  <w:tcW w:w="440" w:type="pct"/>
                  <w:tcBorders>
                    <w:tl2br w:val="nil"/>
                    <w:tr2bl w:val="nil"/>
                  </w:tcBorders>
                  <w:vAlign w:val="center"/>
                </w:tcPr>
                <w:p w14:paraId="0128B96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w:t>
                  </w:r>
                  <w:r>
                    <w:rPr>
                      <w:rFonts w:hint="eastAsia" w:ascii="Times New Roman" w:hAnsi="Times New Roman" w:eastAsia="宋体" w:cs="Times New Roman"/>
                      <w:color w:val="auto"/>
                      <w:sz w:val="18"/>
                      <w:szCs w:val="18"/>
                      <w:highlight w:val="none"/>
                      <w:lang w:val="en-US" w:eastAsia="zh-CN"/>
                    </w:rPr>
                    <w:t>15</w:t>
                  </w:r>
                </w:p>
              </w:tc>
              <w:tc>
                <w:tcPr>
                  <w:tcW w:w="297" w:type="pct"/>
                  <w:tcBorders>
                    <w:tl2br w:val="nil"/>
                    <w:tr2bl w:val="nil"/>
                  </w:tcBorders>
                  <w:vAlign w:val="center"/>
                </w:tcPr>
                <w:p w14:paraId="6D4DA8D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02BC48B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桶装，20kg/桶</w:t>
                  </w:r>
                </w:p>
              </w:tc>
              <w:tc>
                <w:tcPr>
                  <w:tcW w:w="553" w:type="pct"/>
                  <w:tcBorders>
                    <w:tl2br w:val="nil"/>
                    <w:tr2bl w:val="nil"/>
                  </w:tcBorders>
                  <w:vAlign w:val="center"/>
                </w:tcPr>
                <w:p w14:paraId="69B8416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0.016</w:t>
                  </w:r>
                </w:p>
              </w:tc>
              <w:tc>
                <w:tcPr>
                  <w:tcW w:w="1461" w:type="pct"/>
                  <w:tcBorders>
                    <w:tl2br w:val="nil"/>
                    <w:tr2bl w:val="nil"/>
                  </w:tcBorders>
                  <w:vAlign w:val="center"/>
                </w:tcPr>
                <w:p w14:paraId="618A09C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抑制循环水中微生物生长</w:t>
                  </w:r>
                </w:p>
              </w:tc>
            </w:tr>
            <w:tr w14:paraId="1C114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217F247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998" w:type="pct"/>
                  <w:tcBorders>
                    <w:tl2br w:val="nil"/>
                    <w:tr2bl w:val="nil"/>
                  </w:tcBorders>
                  <w:vAlign w:val="center"/>
                </w:tcPr>
                <w:p w14:paraId="49ABCEE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杀菌灭藻剂</w:t>
                  </w:r>
                </w:p>
              </w:tc>
              <w:tc>
                <w:tcPr>
                  <w:tcW w:w="440" w:type="pct"/>
                  <w:tcBorders>
                    <w:tl2br w:val="nil"/>
                    <w:tr2bl w:val="nil"/>
                  </w:tcBorders>
                  <w:vAlign w:val="center"/>
                </w:tcPr>
                <w:p w14:paraId="6511F26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w:t>
                  </w:r>
                  <w:r>
                    <w:rPr>
                      <w:rFonts w:hint="eastAsia" w:ascii="Times New Roman" w:hAnsi="Times New Roman" w:eastAsia="宋体" w:cs="Times New Roman"/>
                      <w:color w:val="auto"/>
                      <w:sz w:val="18"/>
                      <w:szCs w:val="18"/>
                      <w:highlight w:val="none"/>
                      <w:lang w:val="en-US" w:eastAsia="zh-CN"/>
                    </w:rPr>
                    <w:t>20</w:t>
                  </w:r>
                </w:p>
              </w:tc>
              <w:tc>
                <w:tcPr>
                  <w:tcW w:w="297" w:type="pct"/>
                  <w:tcBorders>
                    <w:tl2br w:val="nil"/>
                    <w:tr2bl w:val="nil"/>
                  </w:tcBorders>
                  <w:vAlign w:val="center"/>
                </w:tcPr>
                <w:p w14:paraId="68247F7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6995786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桶装，20kg/桶</w:t>
                  </w:r>
                </w:p>
              </w:tc>
              <w:tc>
                <w:tcPr>
                  <w:tcW w:w="553" w:type="pct"/>
                  <w:tcBorders>
                    <w:tl2br w:val="nil"/>
                    <w:tr2bl w:val="nil"/>
                  </w:tcBorders>
                  <w:vAlign w:val="center"/>
                </w:tcPr>
                <w:p w14:paraId="2AED408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0.021</w:t>
                  </w:r>
                </w:p>
              </w:tc>
              <w:tc>
                <w:tcPr>
                  <w:tcW w:w="1461" w:type="pct"/>
                  <w:tcBorders>
                    <w:tl2br w:val="nil"/>
                    <w:tr2bl w:val="nil"/>
                  </w:tcBorders>
                  <w:vAlign w:val="center"/>
                </w:tcPr>
                <w:p w14:paraId="53E8171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抑制菌藻类生长</w:t>
                  </w:r>
                </w:p>
              </w:tc>
            </w:tr>
            <w:tr w14:paraId="7E0679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79CF1C8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四</w:t>
                  </w:r>
                </w:p>
              </w:tc>
              <w:tc>
                <w:tcPr>
                  <w:tcW w:w="4730" w:type="pct"/>
                  <w:gridSpan w:val="6"/>
                  <w:tcBorders>
                    <w:tl2br w:val="nil"/>
                    <w:tr2bl w:val="nil"/>
                  </w:tcBorders>
                  <w:vAlign w:val="center"/>
                </w:tcPr>
                <w:p w14:paraId="69C3BEA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汽轮机使用</w:t>
                  </w:r>
                </w:p>
              </w:tc>
            </w:tr>
            <w:tr w14:paraId="427736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69" w:type="pct"/>
                  <w:tcBorders>
                    <w:tl2br w:val="nil"/>
                    <w:tr2bl w:val="nil"/>
                  </w:tcBorders>
                  <w:vAlign w:val="center"/>
                </w:tcPr>
                <w:p w14:paraId="3938C0E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998" w:type="pct"/>
                  <w:tcBorders>
                    <w:tl2br w:val="nil"/>
                    <w:tr2bl w:val="nil"/>
                  </w:tcBorders>
                  <w:vAlign w:val="center"/>
                </w:tcPr>
                <w:p w14:paraId="1C53B9A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润滑油</w:t>
                  </w:r>
                </w:p>
              </w:tc>
              <w:tc>
                <w:tcPr>
                  <w:tcW w:w="440" w:type="pct"/>
                  <w:tcBorders>
                    <w:tl2br w:val="nil"/>
                    <w:tr2bl w:val="nil"/>
                  </w:tcBorders>
                  <w:vAlign w:val="center"/>
                </w:tcPr>
                <w:p w14:paraId="172F2EA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12.0</w:t>
                  </w:r>
                </w:p>
              </w:tc>
              <w:tc>
                <w:tcPr>
                  <w:tcW w:w="297" w:type="pct"/>
                  <w:tcBorders>
                    <w:tl2br w:val="nil"/>
                    <w:tr2bl w:val="nil"/>
                  </w:tcBorders>
                  <w:vAlign w:val="center"/>
                </w:tcPr>
                <w:p w14:paraId="0283BB2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13DBB71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桶装，200L/桶</w:t>
                  </w:r>
                </w:p>
              </w:tc>
              <w:tc>
                <w:tcPr>
                  <w:tcW w:w="553" w:type="pct"/>
                  <w:tcBorders>
                    <w:tl2br w:val="nil"/>
                    <w:tr2bl w:val="nil"/>
                  </w:tcBorders>
                  <w:vAlign w:val="center"/>
                </w:tcPr>
                <w:p w14:paraId="5B89338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1461" w:type="pct"/>
                  <w:tcBorders>
                    <w:tl2br w:val="nil"/>
                    <w:tr2bl w:val="nil"/>
                  </w:tcBorders>
                  <w:vAlign w:val="center"/>
                </w:tcPr>
                <w:p w14:paraId="0CF0996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润滑</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清洁冷却防锈密封抗氧化缓冲作用</w:t>
                  </w:r>
                </w:p>
              </w:tc>
            </w:tr>
            <w:tr w14:paraId="35DEF2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43501BA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998" w:type="pct"/>
                  <w:tcBorders>
                    <w:tl2br w:val="nil"/>
                    <w:tr2bl w:val="nil"/>
                  </w:tcBorders>
                  <w:vAlign w:val="center"/>
                </w:tcPr>
                <w:p w14:paraId="7048A6F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密封油</w:t>
                  </w:r>
                </w:p>
              </w:tc>
              <w:tc>
                <w:tcPr>
                  <w:tcW w:w="440" w:type="pct"/>
                  <w:tcBorders>
                    <w:tl2br w:val="nil"/>
                    <w:tr2bl w:val="nil"/>
                  </w:tcBorders>
                  <w:vAlign w:val="center"/>
                </w:tcPr>
                <w:p w14:paraId="3C04FFB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208</w:t>
                  </w:r>
                </w:p>
              </w:tc>
              <w:tc>
                <w:tcPr>
                  <w:tcW w:w="297" w:type="pct"/>
                  <w:tcBorders>
                    <w:tl2br w:val="nil"/>
                    <w:tr2bl w:val="nil"/>
                  </w:tcBorders>
                  <w:vAlign w:val="center"/>
                </w:tcPr>
                <w:p w14:paraId="3A1F9F9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129CCDD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桶装，200L/桶</w:t>
                  </w:r>
                </w:p>
              </w:tc>
              <w:tc>
                <w:tcPr>
                  <w:tcW w:w="553" w:type="pct"/>
                  <w:tcBorders>
                    <w:tl2br w:val="nil"/>
                    <w:tr2bl w:val="nil"/>
                  </w:tcBorders>
                  <w:vAlign w:val="center"/>
                </w:tcPr>
                <w:p w14:paraId="258CE0D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1461" w:type="pct"/>
                  <w:tcBorders>
                    <w:tl2br w:val="nil"/>
                    <w:tr2bl w:val="nil"/>
                  </w:tcBorders>
                  <w:vAlign w:val="center"/>
                </w:tcPr>
                <w:p w14:paraId="718BEF5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防止活塞下部的煤气向活塞上面的泄漏</w:t>
                  </w:r>
                </w:p>
              </w:tc>
            </w:tr>
            <w:tr w14:paraId="0E282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4F6909F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五</w:t>
                  </w:r>
                </w:p>
              </w:tc>
              <w:tc>
                <w:tcPr>
                  <w:tcW w:w="4730" w:type="pct"/>
                  <w:gridSpan w:val="6"/>
                  <w:tcBorders>
                    <w:tl2br w:val="nil"/>
                    <w:tr2bl w:val="nil"/>
                  </w:tcBorders>
                  <w:vAlign w:val="center"/>
                </w:tcPr>
                <w:p w14:paraId="61FB772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脱硝系统使用</w:t>
                  </w:r>
                </w:p>
              </w:tc>
            </w:tr>
            <w:tr w14:paraId="66720C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123079D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998" w:type="pct"/>
                  <w:tcBorders>
                    <w:tl2br w:val="nil"/>
                    <w:tr2bl w:val="nil"/>
                  </w:tcBorders>
                  <w:vAlign w:val="center"/>
                </w:tcPr>
                <w:p w14:paraId="4689DE2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20%浓度氨水</w:t>
                  </w:r>
                </w:p>
              </w:tc>
              <w:tc>
                <w:tcPr>
                  <w:tcW w:w="440" w:type="pct"/>
                  <w:tcBorders>
                    <w:tl2br w:val="nil"/>
                    <w:tr2bl w:val="nil"/>
                  </w:tcBorders>
                  <w:vAlign w:val="center"/>
                </w:tcPr>
                <w:p w14:paraId="56C9445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2850</w:t>
                  </w:r>
                </w:p>
              </w:tc>
              <w:tc>
                <w:tcPr>
                  <w:tcW w:w="297" w:type="pct"/>
                  <w:tcBorders>
                    <w:tl2br w:val="nil"/>
                    <w:tr2bl w:val="nil"/>
                  </w:tcBorders>
                  <w:vAlign w:val="center"/>
                </w:tcPr>
                <w:p w14:paraId="1FFEE28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71A62E5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灌装</w:t>
                  </w:r>
                </w:p>
              </w:tc>
              <w:tc>
                <w:tcPr>
                  <w:tcW w:w="553" w:type="pct"/>
                  <w:tcBorders>
                    <w:tl2br w:val="nil"/>
                    <w:tr2bl w:val="nil"/>
                  </w:tcBorders>
                  <w:vAlign w:val="center"/>
                </w:tcPr>
                <w:p w14:paraId="4E35CC5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1461" w:type="pct"/>
                  <w:tcBorders>
                    <w:tl2br w:val="nil"/>
                    <w:tr2bl w:val="nil"/>
                  </w:tcBorders>
                  <w:vAlign w:val="center"/>
                </w:tcPr>
                <w:p w14:paraId="4677AEC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用于SCR脱硝装置，作为还原剂</w:t>
                  </w:r>
                </w:p>
              </w:tc>
            </w:tr>
            <w:tr w14:paraId="047802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27F2565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w:t>
                  </w:r>
                </w:p>
              </w:tc>
              <w:tc>
                <w:tcPr>
                  <w:tcW w:w="998" w:type="pct"/>
                  <w:tcBorders>
                    <w:tl2br w:val="nil"/>
                    <w:tr2bl w:val="nil"/>
                  </w:tcBorders>
                  <w:vAlign w:val="center"/>
                </w:tcPr>
                <w:p w14:paraId="516A88A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脱硝催化剂</w:t>
                  </w:r>
                </w:p>
              </w:tc>
              <w:tc>
                <w:tcPr>
                  <w:tcW w:w="440" w:type="pct"/>
                  <w:tcBorders>
                    <w:tl2br w:val="nil"/>
                    <w:tr2bl w:val="nil"/>
                  </w:tcBorders>
                  <w:vAlign w:val="center"/>
                </w:tcPr>
                <w:p w14:paraId="5A5EB78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297" w:type="pct"/>
                  <w:tcBorders>
                    <w:tl2br w:val="nil"/>
                    <w:tr2bl w:val="nil"/>
                  </w:tcBorders>
                  <w:vAlign w:val="center"/>
                </w:tcPr>
                <w:p w14:paraId="06735BE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固态</w:t>
                  </w:r>
                </w:p>
              </w:tc>
              <w:tc>
                <w:tcPr>
                  <w:tcW w:w="978" w:type="pct"/>
                  <w:tcBorders>
                    <w:tl2br w:val="nil"/>
                    <w:tr2bl w:val="nil"/>
                  </w:tcBorders>
                  <w:vAlign w:val="center"/>
                </w:tcPr>
                <w:p w14:paraId="33CA3E8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53" w:type="pct"/>
                  <w:tcBorders>
                    <w:tl2br w:val="nil"/>
                    <w:tr2bl w:val="nil"/>
                  </w:tcBorders>
                  <w:vAlign w:val="center"/>
                </w:tcPr>
                <w:p w14:paraId="523EB0F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1461" w:type="pct"/>
                  <w:tcBorders>
                    <w:tl2br w:val="nil"/>
                    <w:tr2bl w:val="nil"/>
                  </w:tcBorders>
                  <w:vAlign w:val="center"/>
                </w:tcPr>
                <w:p w14:paraId="1F8DF49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用于SCR脱硝装置</w:t>
                  </w:r>
                </w:p>
              </w:tc>
            </w:tr>
            <w:tr w14:paraId="77D4F0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69F8370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998" w:type="pct"/>
                  <w:tcBorders>
                    <w:tl2br w:val="nil"/>
                    <w:tr2bl w:val="nil"/>
                  </w:tcBorders>
                  <w:vAlign w:val="center"/>
                </w:tcPr>
                <w:p w14:paraId="0873495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乳化油</w:t>
                  </w:r>
                </w:p>
              </w:tc>
              <w:tc>
                <w:tcPr>
                  <w:tcW w:w="440" w:type="pct"/>
                  <w:tcBorders>
                    <w:tl2br w:val="nil"/>
                    <w:tr2bl w:val="nil"/>
                  </w:tcBorders>
                  <w:vAlign w:val="center"/>
                </w:tcPr>
                <w:p w14:paraId="10CE003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1.8</w:t>
                  </w:r>
                </w:p>
              </w:tc>
              <w:tc>
                <w:tcPr>
                  <w:tcW w:w="297" w:type="pct"/>
                  <w:tcBorders>
                    <w:tl2br w:val="nil"/>
                    <w:tr2bl w:val="nil"/>
                  </w:tcBorders>
                  <w:vAlign w:val="center"/>
                </w:tcPr>
                <w:p w14:paraId="7E9D3C8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4812F63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桶装，200L/桶</w:t>
                  </w:r>
                </w:p>
              </w:tc>
              <w:tc>
                <w:tcPr>
                  <w:tcW w:w="553" w:type="pct"/>
                  <w:tcBorders>
                    <w:tl2br w:val="nil"/>
                    <w:tr2bl w:val="nil"/>
                  </w:tcBorders>
                  <w:vAlign w:val="center"/>
                </w:tcPr>
                <w:p w14:paraId="7A84F37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1461" w:type="pct"/>
                  <w:tcBorders>
                    <w:tl2br w:val="nil"/>
                    <w:tr2bl w:val="nil"/>
                  </w:tcBorders>
                  <w:vAlign w:val="center"/>
                </w:tcPr>
                <w:p w14:paraId="33CEF87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可</w:t>
                  </w:r>
                  <w:r>
                    <w:rPr>
                      <w:rFonts w:hint="default" w:ascii="Times New Roman" w:hAnsi="Times New Roman" w:eastAsia="宋体" w:cs="Times New Roman"/>
                      <w:color w:val="auto"/>
                      <w:sz w:val="18"/>
                      <w:szCs w:val="18"/>
                      <w:highlight w:val="none"/>
                    </w:rPr>
                    <w:t>起到清洗及润滑作用，</w:t>
                  </w:r>
                  <w:r>
                    <w:rPr>
                      <w:rFonts w:hint="default" w:ascii="Times New Roman" w:hAnsi="Times New Roman" w:eastAsia="宋体" w:cs="Times New Roman"/>
                      <w:color w:val="auto"/>
                      <w:sz w:val="18"/>
                      <w:szCs w:val="18"/>
                      <w:highlight w:val="none"/>
                      <w:lang w:val="en-US" w:eastAsia="zh-CN"/>
                    </w:rPr>
                    <w:t>也</w:t>
                  </w:r>
                  <w:r>
                    <w:rPr>
                      <w:rFonts w:hint="default" w:ascii="Times New Roman" w:hAnsi="Times New Roman" w:eastAsia="宋体" w:cs="Times New Roman"/>
                      <w:color w:val="auto"/>
                      <w:sz w:val="18"/>
                      <w:szCs w:val="18"/>
                      <w:highlight w:val="none"/>
                    </w:rPr>
                    <w:t>可以使得基础油在水中形成均匀的乳液，</w:t>
                  </w:r>
                  <w:r>
                    <w:rPr>
                      <w:rFonts w:hint="default" w:ascii="Times New Roman" w:hAnsi="Times New Roman" w:eastAsia="宋体" w:cs="Times New Roman"/>
                      <w:color w:val="auto"/>
                      <w:sz w:val="18"/>
                      <w:szCs w:val="18"/>
                      <w:highlight w:val="none"/>
                      <w:lang w:val="en-US" w:eastAsia="zh-CN"/>
                    </w:rPr>
                    <w:t>增加</w:t>
                  </w:r>
                  <w:r>
                    <w:rPr>
                      <w:rFonts w:hint="default" w:ascii="Times New Roman" w:hAnsi="Times New Roman" w:eastAsia="宋体" w:cs="Times New Roman"/>
                      <w:color w:val="auto"/>
                      <w:sz w:val="18"/>
                      <w:szCs w:val="18"/>
                      <w:highlight w:val="none"/>
                    </w:rPr>
                    <w:t>产品的使用稳定性。</w:t>
                  </w:r>
                </w:p>
              </w:tc>
            </w:tr>
            <w:tr w14:paraId="307F39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551CFAE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六</w:t>
                  </w:r>
                </w:p>
              </w:tc>
              <w:tc>
                <w:tcPr>
                  <w:tcW w:w="4730" w:type="pct"/>
                  <w:gridSpan w:val="6"/>
                  <w:tcBorders>
                    <w:tl2br w:val="nil"/>
                    <w:tr2bl w:val="nil"/>
                  </w:tcBorders>
                  <w:vAlign w:val="center"/>
                </w:tcPr>
                <w:p w14:paraId="5785BB2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锅炉点火使用</w:t>
                  </w:r>
                </w:p>
              </w:tc>
            </w:tr>
            <w:tr w14:paraId="2364D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9" w:type="pct"/>
                  <w:tcBorders>
                    <w:tl2br w:val="nil"/>
                    <w:tr2bl w:val="nil"/>
                  </w:tcBorders>
                  <w:vAlign w:val="center"/>
                </w:tcPr>
                <w:p w14:paraId="3A24E3A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998" w:type="pct"/>
                  <w:tcBorders>
                    <w:tl2br w:val="nil"/>
                    <w:tr2bl w:val="nil"/>
                  </w:tcBorders>
                  <w:vAlign w:val="center"/>
                </w:tcPr>
                <w:p w14:paraId="413FA14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液化石油气</w:t>
                  </w:r>
                </w:p>
              </w:tc>
              <w:tc>
                <w:tcPr>
                  <w:tcW w:w="440" w:type="pct"/>
                  <w:tcBorders>
                    <w:tl2br w:val="nil"/>
                    <w:tr2bl w:val="nil"/>
                  </w:tcBorders>
                  <w:vAlign w:val="center"/>
                </w:tcPr>
                <w:p w14:paraId="05B54DD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w:t>
                  </w:r>
                </w:p>
              </w:tc>
              <w:tc>
                <w:tcPr>
                  <w:tcW w:w="297" w:type="pct"/>
                  <w:tcBorders>
                    <w:tl2br w:val="nil"/>
                    <w:tr2bl w:val="nil"/>
                  </w:tcBorders>
                  <w:vAlign w:val="center"/>
                </w:tcPr>
                <w:p w14:paraId="49314E1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978" w:type="pct"/>
                  <w:tcBorders>
                    <w:tl2br w:val="nil"/>
                    <w:tr2bl w:val="nil"/>
                  </w:tcBorders>
                  <w:vAlign w:val="center"/>
                </w:tcPr>
                <w:p w14:paraId="277DF99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瓶装，20kg/瓶</w:t>
                  </w:r>
                </w:p>
              </w:tc>
              <w:tc>
                <w:tcPr>
                  <w:tcW w:w="553" w:type="pct"/>
                  <w:tcBorders>
                    <w:tl2br w:val="nil"/>
                    <w:tr2bl w:val="nil"/>
                  </w:tcBorders>
                  <w:vAlign w:val="center"/>
                </w:tcPr>
                <w:p w14:paraId="760EFCD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461" w:type="pct"/>
                  <w:tcBorders>
                    <w:tl2br w:val="nil"/>
                    <w:tr2bl w:val="nil"/>
                  </w:tcBorders>
                  <w:vAlign w:val="center"/>
                </w:tcPr>
                <w:p w14:paraId="77DFF92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用前购买，</w:t>
                  </w:r>
                  <w:r>
                    <w:rPr>
                      <w:rFonts w:hint="default" w:ascii="Times New Roman" w:hAnsi="Times New Roman" w:eastAsia="宋体" w:cs="Times New Roman"/>
                      <w:color w:val="auto"/>
                      <w:sz w:val="18"/>
                      <w:szCs w:val="18"/>
                      <w:highlight w:val="none"/>
                    </w:rPr>
                    <w:t>锅炉点火燃料</w:t>
                  </w:r>
                </w:p>
              </w:tc>
            </w:tr>
          </w:tbl>
          <w:p w14:paraId="0845EC5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（1）煤气成分</w:t>
            </w:r>
          </w:p>
          <w:p w14:paraId="1E766E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根据项目可行性研究报告，</w:t>
            </w:r>
            <w:r>
              <w:rPr>
                <w:rFonts w:hint="eastAsia" w:ascii="Times New Roman" w:hAnsi="Times New Roman" w:eastAsia="宋体" w:cs="Times New Roman"/>
                <w:color w:val="auto"/>
                <w:sz w:val="24"/>
                <w:highlight w:val="none"/>
                <w:lang w:val="en-US" w:eastAsia="zh-CN"/>
              </w:rPr>
              <w:t>高炉煤气主要成分见表</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；转炉煤气主要成分见表</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；净化后的焦炉煤气主要成分见表2-</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p>
          <w:p w14:paraId="1521722A">
            <w:pPr>
              <w:pStyle w:val="28"/>
              <w:keepNext/>
              <w:keepLines/>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表2-5  高炉煤气主要成分一览表  单位：%</w:t>
            </w:r>
          </w:p>
          <w:tbl>
            <w:tblPr>
              <w:tblStyle w:val="18"/>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681"/>
              <w:gridCol w:w="1156"/>
              <w:gridCol w:w="1126"/>
              <w:gridCol w:w="1006"/>
              <w:gridCol w:w="830"/>
              <w:gridCol w:w="1131"/>
              <w:gridCol w:w="1372"/>
            </w:tblGrid>
            <w:tr w14:paraId="6E28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dxa"/>
                  <w:tcBorders>
                    <w:left w:val="nil"/>
                  </w:tcBorders>
                  <w:vAlign w:val="center"/>
                </w:tcPr>
                <w:p w14:paraId="67A1046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项目</w:t>
                  </w:r>
                </w:p>
              </w:tc>
              <w:tc>
                <w:tcPr>
                  <w:tcW w:w="681" w:type="dxa"/>
                  <w:vAlign w:val="center"/>
                </w:tcPr>
                <w:p w14:paraId="5F9656A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vertAlign w:val="subscript"/>
                      <w:lang w:val="en-US" w:eastAsia="zh-CN"/>
                    </w:rPr>
                    <w:t>2</w:t>
                  </w:r>
                </w:p>
              </w:tc>
              <w:tc>
                <w:tcPr>
                  <w:tcW w:w="1156" w:type="dxa"/>
                  <w:vAlign w:val="center"/>
                </w:tcPr>
                <w:p w14:paraId="373B84C5">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w:t>
                  </w:r>
                </w:p>
              </w:tc>
              <w:tc>
                <w:tcPr>
                  <w:tcW w:w="1126" w:type="dxa"/>
                  <w:vAlign w:val="center"/>
                </w:tcPr>
                <w:p w14:paraId="0D9A7E20">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w:t>
                  </w:r>
                  <w:r>
                    <w:rPr>
                      <w:rFonts w:hint="eastAsia" w:ascii="Times New Roman" w:hAnsi="Times New Roman" w:eastAsia="宋体" w:cs="Times New Roman"/>
                      <w:color w:val="auto"/>
                      <w:sz w:val="18"/>
                      <w:szCs w:val="18"/>
                      <w:highlight w:val="none"/>
                      <w:vertAlign w:val="subscript"/>
                      <w:lang w:val="en-US" w:eastAsia="zh-CN"/>
                    </w:rPr>
                    <w:t>2</w:t>
                  </w:r>
                </w:p>
              </w:tc>
              <w:tc>
                <w:tcPr>
                  <w:tcW w:w="1006" w:type="dxa"/>
                  <w:vAlign w:val="center"/>
                </w:tcPr>
                <w:p w14:paraId="1678BD3E">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t>
                  </w:r>
                  <w:r>
                    <w:rPr>
                      <w:rFonts w:hint="eastAsia" w:ascii="Times New Roman" w:hAnsi="Times New Roman" w:eastAsia="宋体" w:cs="Times New Roman"/>
                      <w:color w:val="auto"/>
                      <w:sz w:val="18"/>
                      <w:szCs w:val="18"/>
                      <w:highlight w:val="none"/>
                      <w:vertAlign w:val="subscript"/>
                      <w:lang w:val="en-US" w:eastAsia="zh-CN"/>
                    </w:rPr>
                    <w:t>2</w:t>
                  </w:r>
                </w:p>
              </w:tc>
              <w:tc>
                <w:tcPr>
                  <w:tcW w:w="830" w:type="dxa"/>
                  <w:vAlign w:val="center"/>
                </w:tcPr>
                <w:p w14:paraId="21EDDBB4">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O</w:t>
                  </w:r>
                  <w:r>
                    <w:rPr>
                      <w:rFonts w:hint="eastAsia" w:ascii="Times New Roman" w:hAnsi="Times New Roman" w:eastAsia="宋体" w:cs="Times New Roman"/>
                      <w:color w:val="auto"/>
                      <w:sz w:val="18"/>
                      <w:szCs w:val="18"/>
                      <w:highlight w:val="none"/>
                      <w:vertAlign w:val="subscript"/>
                      <w:lang w:val="en-US" w:eastAsia="zh-CN"/>
                    </w:rPr>
                    <w:t>2</w:t>
                  </w:r>
                </w:p>
              </w:tc>
              <w:tc>
                <w:tcPr>
                  <w:tcW w:w="1131" w:type="dxa"/>
                  <w:tcBorders>
                    <w:right w:val="nil"/>
                  </w:tcBorders>
                  <w:vAlign w:val="center"/>
                </w:tcPr>
                <w:p w14:paraId="06B7C22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热值</w:t>
                  </w:r>
                </w:p>
              </w:tc>
              <w:tc>
                <w:tcPr>
                  <w:tcW w:w="1372" w:type="dxa"/>
                  <w:tcBorders>
                    <w:right w:val="nil"/>
                  </w:tcBorders>
                  <w:vAlign w:val="center"/>
                </w:tcPr>
                <w:p w14:paraId="6725AD1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S含量（H</w:t>
                  </w:r>
                  <w:r>
                    <w:rPr>
                      <w:rFonts w:hint="eastAsia" w:cs="Times New Roman"/>
                      <w:color w:val="auto"/>
                      <w:sz w:val="18"/>
                      <w:szCs w:val="18"/>
                      <w:highlight w:val="none"/>
                      <w:vertAlign w:val="subscript"/>
                      <w:lang w:val="en-US" w:eastAsia="zh-CN"/>
                    </w:rPr>
                    <w:t>2</w:t>
                  </w:r>
                  <w:r>
                    <w:rPr>
                      <w:rFonts w:hint="eastAsia" w:cs="Times New Roman"/>
                      <w:color w:val="auto"/>
                      <w:sz w:val="18"/>
                      <w:szCs w:val="18"/>
                      <w:highlight w:val="none"/>
                      <w:lang w:val="en-US" w:eastAsia="zh-CN"/>
                    </w:rPr>
                    <w:t>S）</w:t>
                  </w:r>
                </w:p>
              </w:tc>
            </w:tr>
            <w:tr w14:paraId="57A6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dxa"/>
                  <w:tcBorders>
                    <w:left w:val="nil"/>
                  </w:tcBorders>
                  <w:vAlign w:val="center"/>
                </w:tcPr>
                <w:p w14:paraId="7ED162E4">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数值</w:t>
                  </w:r>
                </w:p>
              </w:tc>
              <w:tc>
                <w:tcPr>
                  <w:tcW w:w="681" w:type="dxa"/>
                  <w:vAlign w:val="center"/>
                </w:tcPr>
                <w:p w14:paraId="28F0BE4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47.27</w:t>
                  </w:r>
                </w:p>
              </w:tc>
              <w:tc>
                <w:tcPr>
                  <w:tcW w:w="1156" w:type="dxa"/>
                  <w:vAlign w:val="center"/>
                </w:tcPr>
                <w:p w14:paraId="316F61C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27.07</w:t>
                  </w:r>
                </w:p>
              </w:tc>
              <w:tc>
                <w:tcPr>
                  <w:tcW w:w="1126" w:type="dxa"/>
                  <w:vAlign w:val="center"/>
                </w:tcPr>
                <w:p w14:paraId="09F8D3EC">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21.54</w:t>
                  </w:r>
                </w:p>
              </w:tc>
              <w:tc>
                <w:tcPr>
                  <w:tcW w:w="1006" w:type="dxa"/>
                  <w:vAlign w:val="center"/>
                </w:tcPr>
                <w:p w14:paraId="588F2AB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3.51</w:t>
                  </w:r>
                </w:p>
              </w:tc>
              <w:tc>
                <w:tcPr>
                  <w:tcW w:w="830" w:type="dxa"/>
                  <w:vAlign w:val="center"/>
                </w:tcPr>
                <w:p w14:paraId="3E81E3AC">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0.61</w:t>
                  </w:r>
                </w:p>
              </w:tc>
              <w:tc>
                <w:tcPr>
                  <w:tcW w:w="1131" w:type="dxa"/>
                  <w:tcBorders>
                    <w:right w:val="nil"/>
                  </w:tcBorders>
                  <w:vAlign w:val="center"/>
                </w:tcPr>
                <w:p w14:paraId="466649A9">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3780</w:t>
                  </w:r>
                  <w:r>
                    <w:rPr>
                      <w:rFonts w:hint="eastAsia" w:ascii="Times New Roman" w:hAnsi="Times New Roman" w:eastAsia="宋体" w:cs="Times New Roman"/>
                      <w:color w:val="auto"/>
                      <w:sz w:val="18"/>
                      <w:szCs w:val="18"/>
                      <w:highlight w:val="none"/>
                      <w:lang w:val="en-US" w:eastAsia="zh-CN"/>
                    </w:rPr>
                    <w:t>kJ/Nm</w:t>
                  </w:r>
                  <w:r>
                    <w:rPr>
                      <w:rFonts w:hint="eastAsia" w:ascii="Times New Roman" w:hAnsi="Times New Roman" w:eastAsia="宋体" w:cs="Times New Roman"/>
                      <w:color w:val="auto"/>
                      <w:sz w:val="18"/>
                      <w:szCs w:val="18"/>
                      <w:highlight w:val="none"/>
                      <w:vertAlign w:val="superscript"/>
                      <w:lang w:val="en-US" w:eastAsia="zh-CN"/>
                    </w:rPr>
                    <w:t>3</w:t>
                  </w:r>
                </w:p>
              </w:tc>
              <w:tc>
                <w:tcPr>
                  <w:tcW w:w="1372" w:type="dxa"/>
                  <w:tcBorders>
                    <w:right w:val="nil"/>
                  </w:tcBorders>
                  <w:vAlign w:val="center"/>
                </w:tcPr>
                <w:p w14:paraId="18A7C631">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192Nmg/m</w:t>
                  </w:r>
                  <w:r>
                    <w:rPr>
                      <w:rFonts w:hint="eastAsia" w:cs="Times New Roman"/>
                      <w:color w:val="auto"/>
                      <w:sz w:val="18"/>
                      <w:szCs w:val="18"/>
                      <w:highlight w:val="none"/>
                      <w:vertAlign w:val="superscript"/>
                      <w:lang w:val="en-US" w:eastAsia="zh-CN"/>
                    </w:rPr>
                    <w:t>3</w:t>
                  </w:r>
                </w:p>
              </w:tc>
            </w:tr>
          </w:tbl>
          <w:p w14:paraId="4A5362F8">
            <w:pPr>
              <w:pStyle w:val="28"/>
              <w:keepNext/>
              <w:keepLines/>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表2-6  转炉煤气主要成分一览表  单位：%</w:t>
            </w:r>
          </w:p>
          <w:tbl>
            <w:tblPr>
              <w:tblStyle w:val="18"/>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897"/>
              <w:gridCol w:w="1236"/>
              <w:gridCol w:w="1341"/>
              <w:gridCol w:w="1197"/>
              <w:gridCol w:w="1139"/>
              <w:gridCol w:w="1182"/>
            </w:tblGrid>
            <w:tr w14:paraId="2695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6" w:type="dxa"/>
                  <w:tcBorders>
                    <w:left w:val="nil"/>
                  </w:tcBorders>
                  <w:vAlign w:val="center"/>
                </w:tcPr>
                <w:p w14:paraId="4C610DE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项目</w:t>
                  </w:r>
                </w:p>
              </w:tc>
              <w:tc>
                <w:tcPr>
                  <w:tcW w:w="898" w:type="dxa"/>
                  <w:vAlign w:val="center"/>
                </w:tcPr>
                <w:p w14:paraId="30E447D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vertAlign w:val="subscript"/>
                      <w:lang w:val="en-US" w:eastAsia="zh-CN"/>
                    </w:rPr>
                    <w:t>2</w:t>
                  </w:r>
                </w:p>
              </w:tc>
              <w:tc>
                <w:tcPr>
                  <w:tcW w:w="1238" w:type="dxa"/>
                  <w:vAlign w:val="center"/>
                </w:tcPr>
                <w:p w14:paraId="67759CB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w:t>
                  </w:r>
                </w:p>
              </w:tc>
              <w:tc>
                <w:tcPr>
                  <w:tcW w:w="1343" w:type="dxa"/>
                  <w:vAlign w:val="center"/>
                </w:tcPr>
                <w:p w14:paraId="047CF31B">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w:t>
                  </w:r>
                  <w:r>
                    <w:rPr>
                      <w:rFonts w:hint="eastAsia" w:ascii="Times New Roman" w:hAnsi="Times New Roman" w:eastAsia="宋体" w:cs="Times New Roman"/>
                      <w:color w:val="auto"/>
                      <w:sz w:val="18"/>
                      <w:szCs w:val="18"/>
                      <w:highlight w:val="none"/>
                      <w:vertAlign w:val="subscript"/>
                      <w:lang w:val="en-US" w:eastAsia="zh-CN"/>
                    </w:rPr>
                    <w:t>2</w:t>
                  </w:r>
                </w:p>
              </w:tc>
              <w:tc>
                <w:tcPr>
                  <w:tcW w:w="1199" w:type="dxa"/>
                  <w:vAlign w:val="center"/>
                </w:tcPr>
                <w:p w14:paraId="3DBC2D5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t>
                  </w:r>
                  <w:r>
                    <w:rPr>
                      <w:rFonts w:hint="eastAsia" w:ascii="Times New Roman" w:hAnsi="Times New Roman" w:eastAsia="宋体" w:cs="Times New Roman"/>
                      <w:color w:val="auto"/>
                      <w:sz w:val="18"/>
                      <w:szCs w:val="18"/>
                      <w:highlight w:val="none"/>
                      <w:vertAlign w:val="subscript"/>
                      <w:lang w:val="en-US" w:eastAsia="zh-CN"/>
                    </w:rPr>
                    <w:t>2</w:t>
                  </w:r>
                </w:p>
              </w:tc>
              <w:tc>
                <w:tcPr>
                  <w:tcW w:w="1141" w:type="dxa"/>
                  <w:tcBorders>
                    <w:right w:val="nil"/>
                  </w:tcBorders>
                  <w:vAlign w:val="center"/>
                </w:tcPr>
                <w:p w14:paraId="2586CDB0">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O</w:t>
                  </w:r>
                  <w:r>
                    <w:rPr>
                      <w:rFonts w:hint="eastAsia" w:ascii="Times New Roman" w:hAnsi="Times New Roman" w:eastAsia="宋体" w:cs="Times New Roman"/>
                      <w:color w:val="auto"/>
                      <w:sz w:val="18"/>
                      <w:szCs w:val="18"/>
                      <w:highlight w:val="none"/>
                      <w:vertAlign w:val="subscript"/>
                      <w:lang w:val="en-US" w:eastAsia="zh-CN"/>
                    </w:rPr>
                    <w:t>2</w:t>
                  </w:r>
                </w:p>
              </w:tc>
              <w:tc>
                <w:tcPr>
                  <w:tcW w:w="1184" w:type="dxa"/>
                  <w:tcBorders>
                    <w:right w:val="nil"/>
                  </w:tcBorders>
                  <w:vAlign w:val="center"/>
                </w:tcPr>
                <w:p w14:paraId="3D265DE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热值</w:t>
                  </w:r>
                </w:p>
              </w:tc>
            </w:tr>
            <w:tr w14:paraId="4079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6" w:type="dxa"/>
                  <w:tcBorders>
                    <w:left w:val="nil"/>
                  </w:tcBorders>
                  <w:vAlign w:val="center"/>
                </w:tcPr>
                <w:p w14:paraId="589651F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数值</w:t>
                  </w:r>
                </w:p>
              </w:tc>
              <w:tc>
                <w:tcPr>
                  <w:tcW w:w="898" w:type="dxa"/>
                  <w:vAlign w:val="center"/>
                </w:tcPr>
                <w:p w14:paraId="0DCA16D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31.69</w:t>
                  </w:r>
                </w:p>
              </w:tc>
              <w:tc>
                <w:tcPr>
                  <w:tcW w:w="1238" w:type="dxa"/>
                  <w:vAlign w:val="center"/>
                </w:tcPr>
                <w:p w14:paraId="5E8DE3FE">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50.72</w:t>
                  </w:r>
                </w:p>
              </w:tc>
              <w:tc>
                <w:tcPr>
                  <w:tcW w:w="1343" w:type="dxa"/>
                  <w:vAlign w:val="center"/>
                </w:tcPr>
                <w:p w14:paraId="0D2CF350">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16.64</w:t>
                  </w:r>
                </w:p>
              </w:tc>
              <w:tc>
                <w:tcPr>
                  <w:tcW w:w="1199" w:type="dxa"/>
                  <w:vAlign w:val="center"/>
                </w:tcPr>
                <w:p w14:paraId="79581CE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w:t>
                  </w:r>
                </w:p>
              </w:tc>
              <w:tc>
                <w:tcPr>
                  <w:tcW w:w="1141" w:type="dxa"/>
                  <w:tcBorders>
                    <w:right w:val="nil"/>
                  </w:tcBorders>
                  <w:vAlign w:val="center"/>
                </w:tcPr>
                <w:p w14:paraId="10866941">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0.25</w:t>
                  </w:r>
                </w:p>
              </w:tc>
              <w:tc>
                <w:tcPr>
                  <w:tcW w:w="1184" w:type="dxa"/>
                  <w:tcBorders>
                    <w:right w:val="nil"/>
                  </w:tcBorders>
                  <w:vAlign w:val="center"/>
                </w:tcPr>
                <w:p w14:paraId="21ED16C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6487</w:t>
                  </w:r>
                  <w:r>
                    <w:rPr>
                      <w:rFonts w:hint="eastAsia" w:ascii="Times New Roman" w:hAnsi="Times New Roman" w:eastAsia="宋体" w:cs="Times New Roman"/>
                      <w:color w:val="auto"/>
                      <w:sz w:val="18"/>
                      <w:szCs w:val="18"/>
                      <w:highlight w:val="none"/>
                      <w:lang w:val="en-US" w:eastAsia="zh-CN"/>
                    </w:rPr>
                    <w:t>kJ/Nm</w:t>
                  </w:r>
                  <w:r>
                    <w:rPr>
                      <w:rFonts w:hint="eastAsia" w:ascii="Times New Roman" w:hAnsi="Times New Roman" w:eastAsia="宋体" w:cs="Times New Roman"/>
                      <w:color w:val="auto"/>
                      <w:sz w:val="18"/>
                      <w:szCs w:val="18"/>
                      <w:highlight w:val="none"/>
                      <w:vertAlign w:val="superscript"/>
                      <w:lang w:val="en-US" w:eastAsia="zh-CN"/>
                    </w:rPr>
                    <w:t>3</w:t>
                  </w:r>
                </w:p>
              </w:tc>
            </w:tr>
          </w:tbl>
          <w:p w14:paraId="4675093B">
            <w:pPr>
              <w:pStyle w:val="28"/>
              <w:keepNext/>
              <w:keepLines/>
              <w:pageBreakBefore w:val="0"/>
              <w:suppressLineNumbers w:val="0"/>
              <w:kinsoku/>
              <w:wordWrap/>
              <w:overflowPunct/>
              <w:topLinePunct w:val="0"/>
              <w:autoSpaceDE/>
              <w:autoSpaceDN/>
              <w:bidi w:val="0"/>
              <w:adjustRightInd/>
              <w:spacing w:before="0" w:beforeAutospacing="0" w:after="0" w:afterAutospacing="0"/>
              <w:ind w:left="0" w:right="0"/>
              <w:textAlignment w:val="auto"/>
              <w:rPr>
                <w:rFonts w:hint="default"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表2-7  净化后的焦炉煤气主要成分一览表  单位：%</w:t>
            </w:r>
          </w:p>
          <w:tbl>
            <w:tblPr>
              <w:tblStyle w:val="18"/>
              <w:tblW w:w="49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629"/>
              <w:gridCol w:w="557"/>
              <w:gridCol w:w="500"/>
              <w:gridCol w:w="473"/>
              <w:gridCol w:w="629"/>
              <w:gridCol w:w="567"/>
              <w:gridCol w:w="812"/>
              <w:gridCol w:w="1205"/>
              <w:gridCol w:w="1394"/>
            </w:tblGrid>
            <w:tr w14:paraId="0F16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1" w:type="pct"/>
                  <w:tcBorders>
                    <w:left w:val="nil"/>
                  </w:tcBorders>
                  <w:vAlign w:val="center"/>
                </w:tcPr>
                <w:p w14:paraId="5A3FF06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干煤气成分</w:t>
                  </w:r>
                </w:p>
              </w:tc>
              <w:tc>
                <w:tcPr>
                  <w:tcW w:w="396" w:type="pct"/>
                  <w:vAlign w:val="center"/>
                </w:tcPr>
                <w:p w14:paraId="3CFED5AB">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t>
                  </w:r>
                  <w:r>
                    <w:rPr>
                      <w:rFonts w:hint="eastAsia" w:ascii="Times New Roman" w:hAnsi="Times New Roman" w:eastAsia="宋体" w:cs="Times New Roman"/>
                      <w:color w:val="auto"/>
                      <w:sz w:val="18"/>
                      <w:szCs w:val="18"/>
                      <w:highlight w:val="none"/>
                      <w:vertAlign w:val="subscript"/>
                      <w:lang w:val="en-US" w:eastAsia="zh-CN"/>
                    </w:rPr>
                    <w:t>2</w:t>
                  </w:r>
                </w:p>
              </w:tc>
              <w:tc>
                <w:tcPr>
                  <w:tcW w:w="351" w:type="pct"/>
                  <w:vAlign w:val="center"/>
                </w:tcPr>
                <w:p w14:paraId="73A459B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CH</w:t>
                  </w:r>
                  <w:r>
                    <w:rPr>
                      <w:rFonts w:hint="eastAsia" w:ascii="Times New Roman" w:hAnsi="Times New Roman" w:eastAsia="宋体" w:cs="Times New Roman"/>
                      <w:color w:val="auto"/>
                      <w:sz w:val="18"/>
                      <w:szCs w:val="18"/>
                      <w:highlight w:val="none"/>
                      <w:vertAlign w:val="subscript"/>
                      <w:lang w:val="en-US" w:eastAsia="zh-CN"/>
                    </w:rPr>
                    <w:t>4</w:t>
                  </w:r>
                </w:p>
              </w:tc>
              <w:tc>
                <w:tcPr>
                  <w:tcW w:w="315" w:type="pct"/>
                  <w:vAlign w:val="center"/>
                </w:tcPr>
                <w:p w14:paraId="11CC478F">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w:t>
                  </w:r>
                </w:p>
              </w:tc>
              <w:tc>
                <w:tcPr>
                  <w:tcW w:w="298" w:type="pct"/>
                  <w:vAlign w:val="center"/>
                </w:tcPr>
                <w:p w14:paraId="2E0DF1FD">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vertAlign w:val="subscript"/>
                      <w:lang w:val="en-US" w:eastAsia="zh-CN"/>
                    </w:rPr>
                    <w:t>2</w:t>
                  </w:r>
                </w:p>
              </w:tc>
              <w:tc>
                <w:tcPr>
                  <w:tcW w:w="396" w:type="pct"/>
                  <w:vAlign w:val="center"/>
                </w:tcPr>
                <w:p w14:paraId="14F7800D">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w:t>
                  </w:r>
                  <w:r>
                    <w:rPr>
                      <w:rFonts w:hint="eastAsia" w:ascii="Times New Roman" w:hAnsi="Times New Roman" w:eastAsia="宋体" w:cs="Times New Roman"/>
                      <w:color w:val="auto"/>
                      <w:sz w:val="18"/>
                      <w:szCs w:val="18"/>
                      <w:highlight w:val="none"/>
                      <w:vertAlign w:val="subscript"/>
                      <w:lang w:val="en-US" w:eastAsia="zh-CN"/>
                    </w:rPr>
                    <w:t>2</w:t>
                  </w:r>
                </w:p>
              </w:tc>
              <w:tc>
                <w:tcPr>
                  <w:tcW w:w="357" w:type="pct"/>
                  <w:vAlign w:val="center"/>
                </w:tcPr>
                <w:p w14:paraId="020D894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O</w:t>
                  </w:r>
                  <w:r>
                    <w:rPr>
                      <w:rFonts w:hint="eastAsia" w:ascii="Times New Roman" w:hAnsi="Times New Roman" w:eastAsia="宋体" w:cs="Times New Roman"/>
                      <w:color w:val="auto"/>
                      <w:sz w:val="18"/>
                      <w:szCs w:val="18"/>
                      <w:highlight w:val="none"/>
                      <w:vertAlign w:val="subscript"/>
                      <w:lang w:val="en-US" w:eastAsia="zh-CN"/>
                    </w:rPr>
                    <w:t>2</w:t>
                  </w:r>
                </w:p>
              </w:tc>
              <w:tc>
                <w:tcPr>
                  <w:tcW w:w="512" w:type="pct"/>
                  <w:tcBorders>
                    <w:right w:val="nil"/>
                  </w:tcBorders>
                  <w:vAlign w:val="center"/>
                </w:tcPr>
                <w:p w14:paraId="3E06365D">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CmHn</w:t>
                  </w:r>
                </w:p>
              </w:tc>
              <w:tc>
                <w:tcPr>
                  <w:tcW w:w="760" w:type="pct"/>
                  <w:tcBorders>
                    <w:right w:val="nil"/>
                  </w:tcBorders>
                  <w:vAlign w:val="center"/>
                </w:tcPr>
                <w:p w14:paraId="41647AF1">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热值</w:t>
                  </w:r>
                </w:p>
              </w:tc>
              <w:tc>
                <w:tcPr>
                  <w:tcW w:w="879" w:type="pct"/>
                  <w:tcBorders>
                    <w:right w:val="nil"/>
                  </w:tcBorders>
                  <w:vAlign w:val="center"/>
                </w:tcPr>
                <w:p w14:paraId="22871ED6">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S含量（总硫）</w:t>
                  </w:r>
                </w:p>
              </w:tc>
            </w:tr>
            <w:tr w14:paraId="1477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1" w:type="pct"/>
                  <w:tcBorders>
                    <w:left w:val="nil"/>
                  </w:tcBorders>
                  <w:vAlign w:val="center"/>
                </w:tcPr>
                <w:p w14:paraId="70965F92">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体积%</w:t>
                  </w:r>
                </w:p>
              </w:tc>
              <w:tc>
                <w:tcPr>
                  <w:tcW w:w="396" w:type="pct"/>
                  <w:vAlign w:val="center"/>
                </w:tcPr>
                <w:p w14:paraId="7D51919A">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55.8</w:t>
                  </w:r>
                </w:p>
              </w:tc>
              <w:tc>
                <w:tcPr>
                  <w:tcW w:w="351" w:type="pct"/>
                  <w:vAlign w:val="center"/>
                </w:tcPr>
                <w:p w14:paraId="36F3CF14">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24.6</w:t>
                  </w:r>
                </w:p>
              </w:tc>
              <w:tc>
                <w:tcPr>
                  <w:tcW w:w="315" w:type="pct"/>
                  <w:vAlign w:val="center"/>
                </w:tcPr>
                <w:p w14:paraId="002DA231">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w:t>
                  </w:r>
                </w:p>
              </w:tc>
              <w:tc>
                <w:tcPr>
                  <w:tcW w:w="298" w:type="pct"/>
                  <w:vAlign w:val="center"/>
                </w:tcPr>
                <w:p w14:paraId="2CC21168">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8.1</w:t>
                  </w:r>
                </w:p>
              </w:tc>
              <w:tc>
                <w:tcPr>
                  <w:tcW w:w="396" w:type="pct"/>
                  <w:vAlign w:val="center"/>
                </w:tcPr>
                <w:p w14:paraId="5229B2AD">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357" w:type="pct"/>
                  <w:vAlign w:val="center"/>
                </w:tcPr>
                <w:p w14:paraId="74D4DAB1">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0.6</w:t>
                  </w:r>
                </w:p>
              </w:tc>
              <w:tc>
                <w:tcPr>
                  <w:tcW w:w="512" w:type="pct"/>
                  <w:tcBorders>
                    <w:right w:val="nil"/>
                  </w:tcBorders>
                  <w:vAlign w:val="center"/>
                </w:tcPr>
                <w:p w14:paraId="7055D890">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c>
                <w:tcPr>
                  <w:tcW w:w="760" w:type="pct"/>
                  <w:tcBorders>
                    <w:right w:val="nil"/>
                  </w:tcBorders>
                  <w:vAlign w:val="center"/>
                </w:tcPr>
                <w:p w14:paraId="451BA683">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16500</w:t>
                  </w:r>
                  <w:r>
                    <w:rPr>
                      <w:rFonts w:hint="eastAsia" w:ascii="Times New Roman" w:hAnsi="Times New Roman" w:eastAsia="宋体" w:cs="Times New Roman"/>
                      <w:color w:val="auto"/>
                      <w:sz w:val="18"/>
                      <w:szCs w:val="18"/>
                      <w:highlight w:val="none"/>
                      <w:lang w:val="en-US" w:eastAsia="zh-CN"/>
                    </w:rPr>
                    <w:t>kJ/Nm</w:t>
                  </w:r>
                  <w:r>
                    <w:rPr>
                      <w:rFonts w:hint="eastAsia" w:ascii="Times New Roman" w:hAnsi="Times New Roman" w:eastAsia="宋体" w:cs="Times New Roman"/>
                      <w:color w:val="auto"/>
                      <w:sz w:val="18"/>
                      <w:szCs w:val="18"/>
                      <w:highlight w:val="none"/>
                      <w:vertAlign w:val="superscript"/>
                      <w:lang w:val="en-US" w:eastAsia="zh-CN"/>
                    </w:rPr>
                    <w:t>3</w:t>
                  </w:r>
                </w:p>
              </w:tc>
              <w:tc>
                <w:tcPr>
                  <w:tcW w:w="879" w:type="pct"/>
                  <w:tcBorders>
                    <w:right w:val="nil"/>
                  </w:tcBorders>
                  <w:vAlign w:val="center"/>
                </w:tcPr>
                <w:p w14:paraId="017768BC">
                  <w:pPr>
                    <w:pStyle w:val="29"/>
                    <w:keepNext/>
                    <w:keepLines/>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200Nmg/m</w:t>
                  </w:r>
                  <w:r>
                    <w:rPr>
                      <w:rFonts w:hint="eastAsia" w:cs="Times New Roman"/>
                      <w:color w:val="auto"/>
                      <w:sz w:val="18"/>
                      <w:szCs w:val="18"/>
                      <w:highlight w:val="none"/>
                      <w:vertAlign w:val="superscript"/>
                      <w:lang w:val="en-US" w:eastAsia="zh-CN"/>
                    </w:rPr>
                    <w:t>3</w:t>
                  </w:r>
                </w:p>
              </w:tc>
            </w:tr>
          </w:tbl>
          <w:p w14:paraId="7963E371">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）十二水磷酸三钠的理化性质</w:t>
            </w:r>
          </w:p>
          <w:p w14:paraId="36EA54DA">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二水磷酸三钠：无色至白色针状结晶或结晶性粉末，无水物或含1~12分子的结晶水，无臭。十二水合物熔点73.4°C。易溶于水，不溶于乙醇。1%的水溶液pH值为11.5~12.1。在化工、纺织、印染、造纸、发电等行业中用作软水剂和洗涤剂，锅炉防垢剂。</w:t>
            </w:r>
          </w:p>
          <w:p w14:paraId="6756F063">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）丙酮肟的理化性质</w:t>
            </w:r>
          </w:p>
          <w:p w14:paraId="7E8B1D77">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丙酮肟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又称为二甲基酮肟，相对密度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0.9113，熔点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60℃，闪点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47.2℃，沸点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134.8℃，毒性LD50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5500mg/kg，易溶于水和醇、醚等溶剂，主要用于工业锅炉内给水化学除氧剂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与传统锅炉化学除氧剂相比，具有用量少、除氧效率高、无毒、无环境污染等特点，是亚临界锅炉的停用保护和钝化处理的最佳药品，也是在中、高压锅炉给水中取代联氨等传统化学除氧剂的理想产品。</w:t>
            </w:r>
          </w:p>
          <w:p w14:paraId="75D22232">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）缓蚀阻垢剂的理化性质</w:t>
            </w:r>
          </w:p>
          <w:p w14:paraId="10DF479A">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缓蚀阻垢剂：别名乙二胺四甲叉膦酸钠EDTMPS，是含氮有机多元膦酸，属阴极型缓蚀剂，与无机聚磷酸盐相比，缓蚀率高3~5倍。能与水混溶，无毒无污染，化学稳定性及耐温性好，在200℃下仍有良好的阻垢效果。EDTMPS在水溶液中能离解成8个正负离子，因而可以与多个金属离子螯合，形成多个单体结构大分子网状络合物，松散地分散于水中，使钙垢正常结晶被破坏。EDTMPS对硫酸钙、硫酸钡垢的阻垢效果好。加入锅炉中，缓蚀阻垢剂中的碱性物质，在炉内通过化学反应，与水中的钙、镁盐类反应生成水渣沉淀，通过锅炉定期排污排出，降低水中钙、镁离子的浓度，使其形不成水垢。</w:t>
            </w:r>
          </w:p>
          <w:p w14:paraId="73716096">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）杀菌灭藻剂的理化性质</w:t>
            </w:r>
          </w:p>
          <w:p w14:paraId="4AA394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杀菌灭藻剂，别名洁尔灭、苯扎氯铵。化学名十二烷基二甲基苄基氯化铵。是一种阳离子表面活性剂，属非氧化性杀菌剂，具有广谱、高效的杀菌灭藻能力，能有效地控制水中菌藻繁殖和粘泥生长，并具有良好的粘泥剥离作用和一定的分散、渗透作用，能有效地挖去藻类繁殖和粘泥增长，在不同的</w:t>
            </w:r>
            <w:r>
              <w:rPr>
                <w:rFonts w:hint="eastAsia"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H值范围内均有很好的杀菌；同时具有一定的去油、除臭能力和缓蚀作用。灭菌灭藻剂主要是用于循环水系统内。</w:t>
            </w:r>
          </w:p>
          <w:p w14:paraId="0A4334F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20%氨水理化性质</w:t>
            </w:r>
          </w:p>
          <w:p w14:paraId="0DB2B3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一种无色透明液体，有刺激性气味。熔点：-77.773°C，沸点：-33.34°C，密度0.91g/cm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氨水易挥发出氨气，随温度升高和放置时间延长而挥发率增加，氨水有一定的腐蚀作用。储存：储存于阴凉、通风的库房。远离火种、热源。库温不宜超过30℃。应与氧化剂、酸类、卤素、食用化学品分开存放，切忌混储。采用防爆型照明、通风设施。禁止使用易产生火花的机械设备和工具。</w:t>
            </w:r>
          </w:p>
          <w:p w14:paraId="45ADD05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）脱硝催化剂</w:t>
            </w:r>
          </w:p>
          <w:p w14:paraId="2ACBBC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本项目催化剂采用钒钛系（</w:t>
            </w:r>
            <w:r>
              <w:rPr>
                <w:rFonts w:hint="default" w:ascii="Times New Roman" w:hAnsi="Times New Roman" w:eastAsia="宋体" w:cs="Times New Roman"/>
                <w:color w:val="auto"/>
                <w:sz w:val="24"/>
                <w:szCs w:val="24"/>
                <w:highlight w:val="none"/>
                <w:lang w:val="en-US" w:eastAsia="zh-CN"/>
              </w:rPr>
              <w:t>TiO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-V</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-WO</w:t>
            </w:r>
            <w:r>
              <w:rPr>
                <w:rFonts w:hint="default"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）蜂窝催化剂，属于金属氧化物催化剂，</w:t>
            </w:r>
            <w:r>
              <w:rPr>
                <w:rFonts w:hint="default" w:ascii="Times New Roman" w:hAnsi="Times New Roman" w:eastAsia="宋体" w:cs="Times New Roman"/>
                <w:color w:val="auto"/>
                <w:sz w:val="24"/>
                <w:szCs w:val="24"/>
                <w:highlight w:val="none"/>
                <w:lang w:val="en-US" w:eastAsia="zh-CN"/>
              </w:rPr>
              <w:t>TiO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是催化剂的载体。</w:t>
            </w:r>
            <w:r>
              <w:rPr>
                <w:rFonts w:hint="default" w:ascii="Times New Roman" w:hAnsi="Times New Roman" w:eastAsia="宋体" w:cs="Times New Roman"/>
                <w:color w:val="auto"/>
                <w:sz w:val="24"/>
                <w:szCs w:val="24"/>
                <w:highlight w:val="none"/>
                <w:lang w:val="en-US" w:eastAsia="zh-CN"/>
              </w:rPr>
              <w:t>V</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是催化剂最主要的活性成分，其主要作用是增加催化剂的活性及热稳定性，正常情况下不分解。</w:t>
            </w:r>
          </w:p>
          <w:p w14:paraId="78A48E0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2.5主要生产设备及参数</w:t>
            </w:r>
          </w:p>
          <w:p w14:paraId="726CF5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s="Times New Roman"/>
                <w:i w:val="0"/>
                <w:iCs w:val="0"/>
                <w:color w:val="auto"/>
                <w:kern w:val="0"/>
                <w:sz w:val="24"/>
                <w:szCs w:val="24"/>
                <w:u w:val="none"/>
                <w:lang w:val="en-US" w:eastAsia="zh-CN" w:bidi="ar"/>
              </w:rPr>
              <w:t>本项目的主要工艺设备及参数见下表：</w:t>
            </w:r>
          </w:p>
          <w:p w14:paraId="3E56D47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i w:val="0"/>
                <w:iCs w:val="0"/>
                <w:color w:val="auto"/>
                <w:kern w:val="0"/>
                <w:sz w:val="21"/>
                <w:szCs w:val="21"/>
                <w:u w:val="none"/>
                <w:lang w:val="en-US" w:eastAsia="zh-CN" w:bidi="ar"/>
              </w:rPr>
            </w:pPr>
            <w:r>
              <w:rPr>
                <w:rFonts w:hint="eastAsia" w:ascii="黑体" w:hAnsi="黑体" w:eastAsia="黑体" w:cs="黑体"/>
                <w:i w:val="0"/>
                <w:iCs w:val="0"/>
                <w:color w:val="auto"/>
                <w:kern w:val="0"/>
                <w:sz w:val="21"/>
                <w:szCs w:val="21"/>
                <w:u w:val="none"/>
                <w:lang w:val="en-US" w:eastAsia="zh-CN" w:bidi="ar"/>
              </w:rPr>
              <w:t>表2-8 主要生产设备及参数一览表</w:t>
            </w:r>
          </w:p>
          <w:tbl>
            <w:tblPr>
              <w:tblStyle w:val="17"/>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4"/>
              <w:gridCol w:w="2031"/>
              <w:gridCol w:w="3235"/>
              <w:gridCol w:w="638"/>
              <w:gridCol w:w="732"/>
              <w:gridCol w:w="770"/>
            </w:tblGrid>
            <w:tr w14:paraId="34EA48F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0235AAE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1264" w:type="pct"/>
                  <w:tcBorders>
                    <w:tl2br w:val="nil"/>
                    <w:tr2bl w:val="nil"/>
                  </w:tcBorders>
                  <w:noWrap w:val="0"/>
                  <w:vAlign w:val="center"/>
                </w:tcPr>
                <w:p w14:paraId="306087C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设备名称</w:t>
                  </w:r>
                </w:p>
              </w:tc>
              <w:tc>
                <w:tcPr>
                  <w:tcW w:w="2014" w:type="pct"/>
                  <w:tcBorders>
                    <w:tl2br w:val="nil"/>
                    <w:tr2bl w:val="nil"/>
                  </w:tcBorders>
                  <w:noWrap w:val="0"/>
                  <w:vAlign w:val="center"/>
                </w:tcPr>
                <w:p w14:paraId="3C571A5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规格及性能参数</w:t>
                  </w:r>
                </w:p>
              </w:tc>
              <w:tc>
                <w:tcPr>
                  <w:tcW w:w="397" w:type="pct"/>
                  <w:tcBorders>
                    <w:tl2br w:val="nil"/>
                    <w:tr2bl w:val="nil"/>
                  </w:tcBorders>
                  <w:noWrap w:val="0"/>
                  <w:vAlign w:val="center"/>
                </w:tcPr>
                <w:p w14:paraId="68CAD61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单位</w:t>
                  </w:r>
                </w:p>
              </w:tc>
              <w:tc>
                <w:tcPr>
                  <w:tcW w:w="455" w:type="pct"/>
                  <w:tcBorders>
                    <w:tl2br w:val="nil"/>
                    <w:tr2bl w:val="nil"/>
                  </w:tcBorders>
                  <w:noWrap w:val="0"/>
                  <w:vAlign w:val="center"/>
                </w:tcPr>
                <w:p w14:paraId="04CCDD4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数量</w:t>
                  </w:r>
                </w:p>
              </w:tc>
              <w:tc>
                <w:tcPr>
                  <w:tcW w:w="479" w:type="pct"/>
                  <w:tcBorders>
                    <w:tl2br w:val="nil"/>
                    <w:tr2bl w:val="nil"/>
                  </w:tcBorders>
                  <w:noWrap w:val="0"/>
                  <w:vAlign w:val="center"/>
                </w:tcPr>
                <w:p w14:paraId="517B9B6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备注</w:t>
                  </w:r>
                </w:p>
              </w:tc>
            </w:tr>
            <w:tr w14:paraId="33E96BC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5000" w:type="pct"/>
                  <w:gridSpan w:val="6"/>
                  <w:tcBorders>
                    <w:tl2br w:val="nil"/>
                    <w:tr2bl w:val="nil"/>
                  </w:tcBorders>
                  <w:noWrap w:val="0"/>
                  <w:vAlign w:val="center"/>
                </w:tcPr>
                <w:p w14:paraId="7855E6A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both"/>
                    <w:textAlignment w:val="auto"/>
                    <w:rPr>
                      <w:rFonts w:hint="default" w:ascii="Times New Roman" w:hAnsi="Times New Roman" w:eastAsia="宋体" w:cs="Times New Roman"/>
                      <w:b/>
                      <w:color w:val="000000"/>
                      <w:sz w:val="18"/>
                      <w:szCs w:val="18"/>
                      <w:lang w:val="en-US" w:eastAsia="zh-CN"/>
                    </w:rPr>
                  </w:pPr>
                  <w:r>
                    <w:rPr>
                      <w:rFonts w:hint="eastAsia" w:cs="Times New Roman"/>
                      <w:b/>
                      <w:color w:val="000000"/>
                      <w:sz w:val="18"/>
                      <w:szCs w:val="18"/>
                      <w:lang w:val="en-US" w:eastAsia="zh-CN"/>
                    </w:rPr>
                    <w:t>一、锅炉间</w:t>
                  </w:r>
                </w:p>
              </w:tc>
            </w:tr>
            <w:tr w14:paraId="2CB10D0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388" w:type="pct"/>
                  <w:tcBorders>
                    <w:tl2br w:val="nil"/>
                    <w:tr2bl w:val="nil"/>
                  </w:tcBorders>
                  <w:noWrap w:val="0"/>
                  <w:vAlign w:val="center"/>
                </w:tcPr>
                <w:p w14:paraId="129C226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1</w:t>
                  </w:r>
                </w:p>
              </w:tc>
              <w:tc>
                <w:tcPr>
                  <w:tcW w:w="1264" w:type="pct"/>
                  <w:tcBorders>
                    <w:tl2br w:val="nil"/>
                    <w:tr2bl w:val="nil"/>
                  </w:tcBorders>
                  <w:noWrap w:val="0"/>
                  <w:vAlign w:val="center"/>
                </w:tcPr>
                <w:p w14:paraId="4B0E875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锅炉</w:t>
                  </w:r>
                </w:p>
              </w:tc>
              <w:tc>
                <w:tcPr>
                  <w:tcW w:w="2014" w:type="pct"/>
                  <w:tcBorders>
                    <w:tl2br w:val="nil"/>
                    <w:tr2bl w:val="nil"/>
                  </w:tcBorders>
                  <w:noWrap w:val="0"/>
                  <w:vAlign w:val="center"/>
                </w:tcPr>
                <w:p w14:paraId="3A281E8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rPr>
                    <w:t>17.6MPa，571℃，260t/h</w:t>
                  </w:r>
                </w:p>
              </w:tc>
              <w:tc>
                <w:tcPr>
                  <w:tcW w:w="397" w:type="pct"/>
                  <w:tcBorders>
                    <w:tl2br w:val="nil"/>
                    <w:tr2bl w:val="nil"/>
                  </w:tcBorders>
                  <w:noWrap w:val="0"/>
                  <w:vAlign w:val="center"/>
                </w:tcPr>
                <w:p w14:paraId="1EF8F32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4653A3D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7C4D722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1F05B40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388" w:type="pct"/>
                  <w:tcBorders>
                    <w:tl2br w:val="nil"/>
                    <w:tr2bl w:val="nil"/>
                  </w:tcBorders>
                  <w:noWrap w:val="0"/>
                  <w:vAlign w:val="center"/>
                </w:tcPr>
                <w:p w14:paraId="674B17C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2</w:t>
                  </w:r>
                </w:p>
              </w:tc>
              <w:tc>
                <w:tcPr>
                  <w:tcW w:w="1264" w:type="pct"/>
                  <w:tcBorders>
                    <w:tl2br w:val="nil"/>
                    <w:tr2bl w:val="nil"/>
                  </w:tcBorders>
                  <w:noWrap w:val="0"/>
                  <w:vAlign w:val="center"/>
                </w:tcPr>
                <w:p w14:paraId="629664B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送风机及电机</w:t>
                  </w:r>
                </w:p>
              </w:tc>
              <w:tc>
                <w:tcPr>
                  <w:tcW w:w="2014" w:type="pct"/>
                  <w:tcBorders>
                    <w:tl2br w:val="nil"/>
                    <w:tr2bl w:val="nil"/>
                  </w:tcBorders>
                  <w:noWrap w:val="0"/>
                  <w:vAlign w:val="center"/>
                </w:tcPr>
                <w:p w14:paraId="055D458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rPr>
                    <w:t>1</w:t>
                  </w:r>
                  <w:r>
                    <w:rPr>
                      <w:rFonts w:hint="default" w:ascii="Times New Roman" w:hAnsi="Times New Roman" w:eastAsia="宋体" w:cs="Times New Roman"/>
                      <w:b w:val="0"/>
                      <w:bCs/>
                      <w:color w:val="000000"/>
                      <w:sz w:val="18"/>
                      <w:szCs w:val="18"/>
                      <w:lang w:val="en-US" w:eastAsia="zh-CN"/>
                    </w:rPr>
                    <w:t>40</w:t>
                  </w:r>
                  <w:r>
                    <w:rPr>
                      <w:rFonts w:hint="default" w:ascii="Times New Roman" w:hAnsi="Times New Roman" w:eastAsia="宋体" w:cs="Times New Roman"/>
                      <w:b w:val="0"/>
                      <w:bCs/>
                      <w:color w:val="000000"/>
                      <w:sz w:val="18"/>
                      <w:szCs w:val="18"/>
                    </w:rPr>
                    <w:t>000m</w:t>
                  </w:r>
                  <w:r>
                    <w:rPr>
                      <w:rFonts w:hint="default" w:ascii="Times New Roman" w:hAnsi="Times New Roman" w:eastAsia="宋体" w:cs="Times New Roman"/>
                      <w:b w:val="0"/>
                      <w:bCs/>
                      <w:color w:val="000000"/>
                      <w:sz w:val="18"/>
                      <w:szCs w:val="18"/>
                      <w:vertAlign w:val="superscript"/>
                    </w:rPr>
                    <w:t>3</w:t>
                  </w:r>
                  <w:r>
                    <w:rPr>
                      <w:rFonts w:hint="default" w:ascii="Times New Roman" w:hAnsi="Times New Roman" w:eastAsia="宋体" w:cs="Times New Roman"/>
                      <w:b w:val="0"/>
                      <w:bCs/>
                      <w:color w:val="000000"/>
                      <w:sz w:val="18"/>
                      <w:szCs w:val="18"/>
                    </w:rPr>
                    <w:t>/h</w:t>
                  </w:r>
                  <w:r>
                    <w:rPr>
                      <w:rFonts w:hint="eastAsia" w:eastAsia="宋体" w:cs="Times New Roman"/>
                      <w:b w:val="0"/>
                      <w:bCs/>
                      <w:color w:val="000000"/>
                      <w:sz w:val="18"/>
                      <w:szCs w:val="18"/>
                      <w:lang w:eastAsia="zh-CN"/>
                    </w:rPr>
                    <w:t>，</w:t>
                  </w:r>
                  <w:r>
                    <w:rPr>
                      <w:rFonts w:hint="default" w:ascii="Times New Roman" w:hAnsi="Times New Roman" w:eastAsia="宋体" w:cs="Times New Roman"/>
                      <w:b w:val="0"/>
                      <w:bCs/>
                      <w:color w:val="000000"/>
                      <w:sz w:val="18"/>
                      <w:szCs w:val="18"/>
                    </w:rPr>
                    <w:t>5300Pa</w:t>
                  </w:r>
                  <w:r>
                    <w:rPr>
                      <w:rFonts w:hint="eastAsia" w:eastAsia="宋体" w:cs="Times New Roman"/>
                      <w:b w:val="0"/>
                      <w:bCs/>
                      <w:color w:val="000000"/>
                      <w:sz w:val="18"/>
                      <w:szCs w:val="18"/>
                      <w:lang w:eastAsia="zh-CN"/>
                    </w:rPr>
                    <w:t>，</w:t>
                  </w:r>
                  <w:r>
                    <w:rPr>
                      <w:rFonts w:hint="default" w:ascii="Times New Roman" w:hAnsi="Times New Roman" w:eastAsia="宋体" w:cs="Times New Roman"/>
                      <w:b w:val="0"/>
                      <w:bCs/>
                      <w:color w:val="000000"/>
                      <w:sz w:val="18"/>
                      <w:szCs w:val="18"/>
                      <w:lang w:val="en-US" w:eastAsia="zh-CN"/>
                    </w:rPr>
                    <w:t>300</w:t>
                  </w:r>
                  <w:r>
                    <w:rPr>
                      <w:rFonts w:hint="default" w:ascii="Times New Roman" w:hAnsi="Times New Roman" w:eastAsia="宋体" w:cs="Times New Roman"/>
                      <w:b w:val="0"/>
                      <w:bCs/>
                      <w:color w:val="000000"/>
                      <w:sz w:val="18"/>
                      <w:szCs w:val="18"/>
                    </w:rPr>
                    <w:t>kW</w:t>
                  </w:r>
                </w:p>
              </w:tc>
              <w:tc>
                <w:tcPr>
                  <w:tcW w:w="397" w:type="pct"/>
                  <w:tcBorders>
                    <w:tl2br w:val="nil"/>
                    <w:tr2bl w:val="nil"/>
                  </w:tcBorders>
                  <w:noWrap w:val="0"/>
                  <w:vAlign w:val="center"/>
                </w:tcPr>
                <w:p w14:paraId="75C983E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00FC2E3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479" w:type="pct"/>
                  <w:tcBorders>
                    <w:tl2br w:val="nil"/>
                    <w:tr2bl w:val="nil"/>
                  </w:tcBorders>
                  <w:noWrap w:val="0"/>
                  <w:vAlign w:val="center"/>
                </w:tcPr>
                <w:p w14:paraId="22CECD3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50ACBF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388" w:type="pct"/>
                  <w:tcBorders>
                    <w:tl2br w:val="nil"/>
                    <w:tr2bl w:val="nil"/>
                  </w:tcBorders>
                  <w:noWrap w:val="0"/>
                  <w:vAlign w:val="center"/>
                </w:tcPr>
                <w:p w14:paraId="4E0C988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3</w:t>
                  </w:r>
                </w:p>
              </w:tc>
              <w:tc>
                <w:tcPr>
                  <w:tcW w:w="1264" w:type="pct"/>
                  <w:tcBorders>
                    <w:tl2br w:val="nil"/>
                    <w:tr2bl w:val="nil"/>
                  </w:tcBorders>
                  <w:noWrap w:val="0"/>
                  <w:vAlign w:val="center"/>
                </w:tcPr>
                <w:p w14:paraId="2AC7C25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引风机及电机</w:t>
                  </w:r>
                </w:p>
              </w:tc>
              <w:tc>
                <w:tcPr>
                  <w:tcW w:w="2014" w:type="pct"/>
                  <w:tcBorders>
                    <w:tl2br w:val="nil"/>
                    <w:tr2bl w:val="nil"/>
                  </w:tcBorders>
                  <w:noWrap w:val="0"/>
                  <w:vAlign w:val="center"/>
                </w:tcPr>
                <w:p w14:paraId="0825F10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320</w:t>
                  </w:r>
                  <w:r>
                    <w:rPr>
                      <w:rFonts w:hint="default" w:ascii="Times New Roman" w:hAnsi="Times New Roman" w:eastAsia="宋体" w:cs="Times New Roman"/>
                      <w:b w:val="0"/>
                      <w:bCs/>
                      <w:color w:val="000000"/>
                      <w:sz w:val="18"/>
                      <w:szCs w:val="18"/>
                    </w:rPr>
                    <w:t>000m</w:t>
                  </w:r>
                  <w:r>
                    <w:rPr>
                      <w:rFonts w:hint="default" w:ascii="Times New Roman" w:hAnsi="Times New Roman" w:eastAsia="宋体" w:cs="Times New Roman"/>
                      <w:b w:val="0"/>
                      <w:bCs/>
                      <w:color w:val="000000"/>
                      <w:sz w:val="18"/>
                      <w:szCs w:val="18"/>
                      <w:vertAlign w:val="superscript"/>
                    </w:rPr>
                    <w:t>3</w:t>
                  </w:r>
                  <w:r>
                    <w:rPr>
                      <w:rFonts w:hint="default" w:ascii="Times New Roman" w:hAnsi="Times New Roman" w:eastAsia="宋体" w:cs="Times New Roman"/>
                      <w:b w:val="0"/>
                      <w:bCs/>
                      <w:color w:val="000000"/>
                      <w:sz w:val="18"/>
                      <w:szCs w:val="18"/>
                    </w:rPr>
                    <w:t>/h</w:t>
                  </w:r>
                  <w:r>
                    <w:rPr>
                      <w:rFonts w:hint="eastAsia" w:eastAsia="宋体" w:cs="Times New Roman"/>
                      <w:b w:val="0"/>
                      <w:bCs/>
                      <w:color w:val="000000"/>
                      <w:sz w:val="18"/>
                      <w:szCs w:val="18"/>
                      <w:lang w:eastAsia="zh-CN"/>
                    </w:rPr>
                    <w:t>，</w:t>
                  </w:r>
                  <w:r>
                    <w:rPr>
                      <w:rFonts w:hint="default" w:ascii="Times New Roman" w:hAnsi="Times New Roman" w:eastAsia="宋体" w:cs="Times New Roman"/>
                      <w:b w:val="0"/>
                      <w:bCs/>
                      <w:color w:val="000000"/>
                      <w:sz w:val="18"/>
                      <w:szCs w:val="18"/>
                      <w:lang w:val="en-US" w:eastAsia="zh-CN"/>
                    </w:rPr>
                    <w:t>110</w:t>
                  </w:r>
                  <w:r>
                    <w:rPr>
                      <w:rFonts w:hint="default" w:ascii="Times New Roman" w:hAnsi="Times New Roman" w:eastAsia="宋体" w:cs="Times New Roman"/>
                      <w:b w:val="0"/>
                      <w:bCs/>
                      <w:color w:val="000000"/>
                      <w:sz w:val="18"/>
                      <w:szCs w:val="18"/>
                    </w:rPr>
                    <w:t>00Pa</w:t>
                  </w:r>
                  <w:r>
                    <w:rPr>
                      <w:rFonts w:hint="eastAsia" w:eastAsia="宋体" w:cs="Times New Roman"/>
                      <w:b w:val="0"/>
                      <w:bCs/>
                      <w:color w:val="000000"/>
                      <w:sz w:val="18"/>
                      <w:szCs w:val="18"/>
                      <w:lang w:eastAsia="zh-CN"/>
                    </w:rPr>
                    <w:t>，</w:t>
                  </w:r>
                  <w:r>
                    <w:rPr>
                      <w:rFonts w:hint="default" w:ascii="Times New Roman" w:hAnsi="Times New Roman" w:eastAsia="宋体" w:cs="Times New Roman"/>
                      <w:b w:val="0"/>
                      <w:bCs/>
                      <w:color w:val="000000"/>
                      <w:sz w:val="18"/>
                      <w:szCs w:val="18"/>
                      <w:lang w:val="en-US" w:eastAsia="zh-CN"/>
                    </w:rPr>
                    <w:t>1400</w:t>
                  </w:r>
                  <w:r>
                    <w:rPr>
                      <w:rFonts w:hint="default" w:ascii="Times New Roman" w:hAnsi="Times New Roman" w:eastAsia="宋体" w:cs="Times New Roman"/>
                      <w:b w:val="0"/>
                      <w:bCs/>
                      <w:color w:val="000000"/>
                      <w:sz w:val="18"/>
                      <w:szCs w:val="18"/>
                    </w:rPr>
                    <w:t>kW</w:t>
                  </w:r>
                </w:p>
              </w:tc>
              <w:tc>
                <w:tcPr>
                  <w:tcW w:w="397" w:type="pct"/>
                  <w:tcBorders>
                    <w:tl2br w:val="nil"/>
                    <w:tr2bl w:val="nil"/>
                  </w:tcBorders>
                  <w:noWrap w:val="0"/>
                  <w:vAlign w:val="center"/>
                </w:tcPr>
                <w:p w14:paraId="3B1ADD8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0D815E1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479" w:type="pct"/>
                  <w:tcBorders>
                    <w:tl2br w:val="nil"/>
                    <w:tr2bl w:val="nil"/>
                  </w:tcBorders>
                  <w:noWrap w:val="0"/>
                  <w:vAlign w:val="center"/>
                </w:tcPr>
                <w:p w14:paraId="639007E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201D000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388" w:type="pct"/>
                  <w:tcBorders>
                    <w:tl2br w:val="nil"/>
                    <w:tr2bl w:val="nil"/>
                  </w:tcBorders>
                  <w:noWrap w:val="0"/>
                  <w:vAlign w:val="center"/>
                </w:tcPr>
                <w:p w14:paraId="7767EDC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4</w:t>
                  </w:r>
                </w:p>
              </w:tc>
              <w:tc>
                <w:tcPr>
                  <w:tcW w:w="1264" w:type="pct"/>
                  <w:tcBorders>
                    <w:tl2br w:val="nil"/>
                    <w:tr2bl w:val="nil"/>
                  </w:tcBorders>
                  <w:noWrap w:val="0"/>
                  <w:vAlign w:val="center"/>
                </w:tcPr>
                <w:p w14:paraId="59D2FA5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火检冷却风机及电机</w:t>
                  </w:r>
                </w:p>
              </w:tc>
              <w:tc>
                <w:tcPr>
                  <w:tcW w:w="2014" w:type="pct"/>
                  <w:tcBorders>
                    <w:tl2br w:val="nil"/>
                    <w:tr2bl w:val="nil"/>
                  </w:tcBorders>
                  <w:noWrap w:val="0"/>
                  <w:vAlign w:val="center"/>
                </w:tcPr>
                <w:p w14:paraId="595318B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2000m</w:t>
                  </w:r>
                  <w:r>
                    <w:rPr>
                      <w:rFonts w:hint="default" w:ascii="Times New Roman" w:hAnsi="Times New Roman" w:eastAsia="宋体" w:cs="Times New Roman"/>
                      <w:b w:val="0"/>
                      <w:bCs/>
                      <w:color w:val="000000"/>
                      <w:sz w:val="18"/>
                      <w:szCs w:val="18"/>
                      <w:vertAlign w:val="superscript"/>
                      <w:lang w:val="en-US" w:eastAsia="zh-CN"/>
                    </w:rPr>
                    <w:t>3</w:t>
                  </w:r>
                  <w:r>
                    <w:rPr>
                      <w:rFonts w:hint="default" w:ascii="Times New Roman" w:hAnsi="Times New Roman" w:eastAsia="宋体" w:cs="Times New Roman"/>
                      <w:b w:val="0"/>
                      <w:bCs/>
                      <w:color w:val="000000"/>
                      <w:sz w:val="18"/>
                      <w:szCs w:val="18"/>
                      <w:lang w:val="en-US" w:eastAsia="zh-CN"/>
                    </w:rPr>
                    <w:t>/h</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3000Pa</w:t>
                  </w:r>
                </w:p>
              </w:tc>
              <w:tc>
                <w:tcPr>
                  <w:tcW w:w="397" w:type="pct"/>
                  <w:tcBorders>
                    <w:tl2br w:val="nil"/>
                    <w:tr2bl w:val="nil"/>
                  </w:tcBorders>
                  <w:noWrap w:val="0"/>
                  <w:vAlign w:val="center"/>
                </w:tcPr>
                <w:p w14:paraId="7125530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6D01AD0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479" w:type="pct"/>
                  <w:tcBorders>
                    <w:tl2br w:val="nil"/>
                    <w:tr2bl w:val="nil"/>
                  </w:tcBorders>
                  <w:noWrap w:val="0"/>
                  <w:vAlign w:val="center"/>
                </w:tcPr>
                <w:p w14:paraId="51C669E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296454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8" w:type="pct"/>
                  <w:tcBorders>
                    <w:tl2br w:val="nil"/>
                    <w:tr2bl w:val="nil"/>
                  </w:tcBorders>
                  <w:noWrap w:val="0"/>
                  <w:vAlign w:val="center"/>
                </w:tcPr>
                <w:p w14:paraId="094C79A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5</w:t>
                  </w:r>
                </w:p>
              </w:tc>
              <w:tc>
                <w:tcPr>
                  <w:tcW w:w="1264" w:type="pct"/>
                  <w:tcBorders>
                    <w:tl2br w:val="nil"/>
                    <w:tr2bl w:val="nil"/>
                  </w:tcBorders>
                  <w:noWrap w:val="0"/>
                  <w:vAlign w:val="center"/>
                </w:tcPr>
                <w:p w14:paraId="0C293C4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煤气加热器</w:t>
                  </w:r>
                </w:p>
              </w:tc>
              <w:tc>
                <w:tcPr>
                  <w:tcW w:w="2014" w:type="pct"/>
                  <w:tcBorders>
                    <w:tl2br w:val="nil"/>
                    <w:tr2bl w:val="nil"/>
                  </w:tcBorders>
                  <w:noWrap w:val="0"/>
                  <w:vAlign w:val="center"/>
                </w:tcPr>
                <w:p w14:paraId="6DECB16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设计工况烟气出口温度145ºC</w:t>
                  </w:r>
                </w:p>
              </w:tc>
              <w:tc>
                <w:tcPr>
                  <w:tcW w:w="397" w:type="pct"/>
                  <w:tcBorders>
                    <w:tl2br w:val="nil"/>
                    <w:tr2bl w:val="nil"/>
                  </w:tcBorders>
                  <w:noWrap w:val="0"/>
                  <w:vAlign w:val="center"/>
                </w:tcPr>
                <w:p w14:paraId="4FD87FF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6821D8B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76FA976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C392C5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388" w:type="pct"/>
                  <w:tcBorders>
                    <w:tl2br w:val="nil"/>
                    <w:tr2bl w:val="nil"/>
                  </w:tcBorders>
                  <w:noWrap w:val="0"/>
                  <w:vAlign w:val="center"/>
                </w:tcPr>
                <w:p w14:paraId="761FA18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6</w:t>
                  </w:r>
                </w:p>
              </w:tc>
              <w:tc>
                <w:tcPr>
                  <w:tcW w:w="1264" w:type="pct"/>
                  <w:tcBorders>
                    <w:tl2br w:val="nil"/>
                    <w:tr2bl w:val="nil"/>
                  </w:tcBorders>
                  <w:noWrap w:val="0"/>
                  <w:vAlign w:val="center"/>
                </w:tcPr>
                <w:p w14:paraId="1BF8991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布袋除尘器</w:t>
                  </w:r>
                </w:p>
              </w:tc>
              <w:tc>
                <w:tcPr>
                  <w:tcW w:w="2014" w:type="pct"/>
                  <w:tcBorders>
                    <w:tl2br w:val="nil"/>
                    <w:tr2bl w:val="nil"/>
                  </w:tcBorders>
                  <w:noWrap w:val="0"/>
                  <w:vAlign w:val="center"/>
                </w:tcPr>
                <w:p w14:paraId="24F401F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出口粉尘浓度5mg/Nm</w:t>
                  </w:r>
                  <w:r>
                    <w:rPr>
                      <w:rFonts w:hint="default" w:ascii="Times New Roman" w:hAnsi="Times New Roman" w:eastAsia="宋体" w:cs="Times New Roman"/>
                      <w:b w:val="0"/>
                      <w:bCs/>
                      <w:color w:val="000000"/>
                      <w:sz w:val="18"/>
                      <w:szCs w:val="18"/>
                      <w:vertAlign w:val="superscript"/>
                      <w:lang w:val="en-US" w:eastAsia="zh-CN"/>
                    </w:rPr>
                    <w:t>3</w:t>
                  </w:r>
                </w:p>
              </w:tc>
              <w:tc>
                <w:tcPr>
                  <w:tcW w:w="397" w:type="pct"/>
                  <w:tcBorders>
                    <w:tl2br w:val="nil"/>
                    <w:tr2bl w:val="nil"/>
                  </w:tcBorders>
                  <w:noWrap w:val="0"/>
                  <w:vAlign w:val="center"/>
                </w:tcPr>
                <w:p w14:paraId="7FA21A3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6767391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1312938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3006096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388" w:type="pct"/>
                  <w:tcBorders>
                    <w:tl2br w:val="nil"/>
                    <w:tr2bl w:val="nil"/>
                  </w:tcBorders>
                  <w:noWrap w:val="0"/>
                  <w:vAlign w:val="center"/>
                </w:tcPr>
                <w:p w14:paraId="343BF31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7</w:t>
                  </w:r>
                </w:p>
              </w:tc>
              <w:tc>
                <w:tcPr>
                  <w:tcW w:w="1264" w:type="pct"/>
                  <w:tcBorders>
                    <w:tl2br w:val="nil"/>
                    <w:tr2bl w:val="nil"/>
                  </w:tcBorders>
                  <w:noWrap w:val="0"/>
                  <w:vAlign w:val="center"/>
                </w:tcPr>
                <w:p w14:paraId="4FC6C67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定排排污扩容器</w:t>
                  </w:r>
                </w:p>
              </w:tc>
              <w:tc>
                <w:tcPr>
                  <w:tcW w:w="2014" w:type="pct"/>
                  <w:tcBorders>
                    <w:tl2br w:val="nil"/>
                    <w:tr2bl w:val="nil"/>
                  </w:tcBorders>
                  <w:noWrap w:val="0"/>
                  <w:vAlign w:val="center"/>
                </w:tcPr>
                <w:p w14:paraId="6EBADB7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DP-7.5，V=7.5m</w:t>
                  </w:r>
                  <w:r>
                    <w:rPr>
                      <w:rFonts w:hint="default" w:ascii="Times New Roman" w:hAnsi="Times New Roman" w:eastAsia="宋体" w:cs="Times New Roman"/>
                      <w:b w:val="0"/>
                      <w:bCs/>
                      <w:color w:val="000000"/>
                      <w:sz w:val="18"/>
                      <w:szCs w:val="18"/>
                      <w:vertAlign w:val="superscript"/>
                      <w:lang w:val="en-US" w:eastAsia="zh-CN"/>
                    </w:rPr>
                    <w:t>3</w:t>
                  </w:r>
                </w:p>
              </w:tc>
              <w:tc>
                <w:tcPr>
                  <w:tcW w:w="397" w:type="pct"/>
                  <w:tcBorders>
                    <w:tl2br w:val="nil"/>
                    <w:tr2bl w:val="nil"/>
                  </w:tcBorders>
                  <w:noWrap w:val="0"/>
                  <w:vAlign w:val="center"/>
                </w:tcPr>
                <w:p w14:paraId="18B5EE3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1188E0C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0AC2C82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A7A995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388" w:type="pct"/>
                  <w:tcBorders>
                    <w:tl2br w:val="nil"/>
                    <w:tr2bl w:val="nil"/>
                  </w:tcBorders>
                  <w:noWrap w:val="0"/>
                  <w:vAlign w:val="center"/>
                </w:tcPr>
                <w:p w14:paraId="2E89ABA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8</w:t>
                  </w:r>
                </w:p>
              </w:tc>
              <w:tc>
                <w:tcPr>
                  <w:tcW w:w="1264" w:type="pct"/>
                  <w:tcBorders>
                    <w:tl2br w:val="nil"/>
                    <w:tr2bl w:val="nil"/>
                  </w:tcBorders>
                  <w:noWrap w:val="0"/>
                  <w:vAlign w:val="center"/>
                </w:tcPr>
                <w:p w14:paraId="33E4788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氮气储气罐</w:t>
                  </w:r>
                </w:p>
              </w:tc>
              <w:tc>
                <w:tcPr>
                  <w:tcW w:w="2014" w:type="pct"/>
                  <w:tcBorders>
                    <w:tl2br w:val="nil"/>
                    <w:tr2bl w:val="nil"/>
                  </w:tcBorders>
                  <w:noWrap w:val="0"/>
                  <w:vAlign w:val="center"/>
                </w:tcPr>
                <w:p w14:paraId="0EAAF03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V=6m</w:t>
                  </w:r>
                  <w:r>
                    <w:rPr>
                      <w:rFonts w:hint="default" w:ascii="Times New Roman" w:hAnsi="Times New Roman" w:eastAsia="宋体" w:cs="Times New Roman"/>
                      <w:b w:val="0"/>
                      <w:bCs/>
                      <w:color w:val="000000"/>
                      <w:sz w:val="18"/>
                      <w:szCs w:val="18"/>
                      <w:vertAlign w:val="superscript"/>
                      <w:lang w:val="en-US" w:eastAsia="zh-CN"/>
                    </w:rPr>
                    <w:t>3</w:t>
                  </w:r>
                </w:p>
              </w:tc>
              <w:tc>
                <w:tcPr>
                  <w:tcW w:w="397" w:type="pct"/>
                  <w:tcBorders>
                    <w:tl2br w:val="nil"/>
                    <w:tr2bl w:val="nil"/>
                  </w:tcBorders>
                  <w:noWrap w:val="0"/>
                  <w:vAlign w:val="center"/>
                </w:tcPr>
                <w:p w14:paraId="6822730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44AB32A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3B21EE9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1DC551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8" w:type="pct"/>
                  <w:tcBorders>
                    <w:tl2br w:val="nil"/>
                    <w:tr2bl w:val="nil"/>
                  </w:tcBorders>
                  <w:noWrap w:val="0"/>
                  <w:vAlign w:val="center"/>
                </w:tcPr>
                <w:p w14:paraId="5CE9BF7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9</w:t>
                  </w:r>
                </w:p>
              </w:tc>
              <w:tc>
                <w:tcPr>
                  <w:tcW w:w="1264" w:type="pct"/>
                  <w:tcBorders>
                    <w:tl2br w:val="nil"/>
                    <w:tr2bl w:val="nil"/>
                  </w:tcBorders>
                  <w:noWrap w:val="0"/>
                  <w:vAlign w:val="center"/>
                </w:tcPr>
                <w:p w14:paraId="0997328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压缩空气储气罐</w:t>
                  </w:r>
                </w:p>
              </w:tc>
              <w:tc>
                <w:tcPr>
                  <w:tcW w:w="2014" w:type="pct"/>
                  <w:tcBorders>
                    <w:tl2br w:val="nil"/>
                    <w:tr2bl w:val="nil"/>
                  </w:tcBorders>
                  <w:noWrap w:val="0"/>
                  <w:vAlign w:val="center"/>
                </w:tcPr>
                <w:p w14:paraId="60AD226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V=6m</w:t>
                  </w:r>
                  <w:r>
                    <w:rPr>
                      <w:rFonts w:hint="default" w:ascii="Times New Roman" w:hAnsi="Times New Roman" w:eastAsia="宋体" w:cs="Times New Roman"/>
                      <w:b w:val="0"/>
                      <w:bCs/>
                      <w:color w:val="000000"/>
                      <w:sz w:val="18"/>
                      <w:szCs w:val="18"/>
                      <w:vertAlign w:val="superscript"/>
                      <w:lang w:val="en-US" w:eastAsia="zh-CN"/>
                    </w:rPr>
                    <w:t>3</w:t>
                  </w:r>
                </w:p>
              </w:tc>
              <w:tc>
                <w:tcPr>
                  <w:tcW w:w="397" w:type="pct"/>
                  <w:tcBorders>
                    <w:tl2br w:val="nil"/>
                    <w:tr2bl w:val="nil"/>
                  </w:tcBorders>
                  <w:noWrap w:val="0"/>
                  <w:vAlign w:val="center"/>
                </w:tcPr>
                <w:p w14:paraId="375F22D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73227E3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29FD4A0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4D7EC8F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8" w:type="pct"/>
                  <w:tcBorders>
                    <w:tl2br w:val="nil"/>
                    <w:tr2bl w:val="nil"/>
                  </w:tcBorders>
                  <w:noWrap w:val="0"/>
                  <w:vAlign w:val="center"/>
                </w:tcPr>
                <w:p w14:paraId="43F1043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10</w:t>
                  </w:r>
                </w:p>
              </w:tc>
              <w:tc>
                <w:tcPr>
                  <w:tcW w:w="1264" w:type="pct"/>
                  <w:tcBorders>
                    <w:tl2br w:val="nil"/>
                    <w:tr2bl w:val="nil"/>
                  </w:tcBorders>
                  <w:noWrap w:val="0"/>
                  <w:vAlign w:val="center"/>
                </w:tcPr>
                <w:p w14:paraId="58BAAB4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加药装置</w:t>
                  </w:r>
                </w:p>
              </w:tc>
              <w:tc>
                <w:tcPr>
                  <w:tcW w:w="2014" w:type="pct"/>
                  <w:tcBorders>
                    <w:tl2br w:val="nil"/>
                    <w:tr2bl w:val="nil"/>
                  </w:tcBorders>
                  <w:noWrap w:val="0"/>
                  <w:vAlign w:val="center"/>
                </w:tcPr>
                <w:p w14:paraId="5D9CF7C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w:t>
                  </w:r>
                </w:p>
              </w:tc>
              <w:tc>
                <w:tcPr>
                  <w:tcW w:w="397" w:type="pct"/>
                  <w:tcBorders>
                    <w:tl2br w:val="nil"/>
                    <w:tr2bl w:val="nil"/>
                  </w:tcBorders>
                  <w:noWrap w:val="0"/>
                  <w:vAlign w:val="center"/>
                </w:tcPr>
                <w:p w14:paraId="00AD9E1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20D1FDD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17C63DD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3D90272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388" w:type="pct"/>
                  <w:tcBorders>
                    <w:tl2br w:val="nil"/>
                    <w:tr2bl w:val="nil"/>
                  </w:tcBorders>
                  <w:noWrap w:val="0"/>
                  <w:vAlign w:val="center"/>
                </w:tcPr>
                <w:p w14:paraId="2AF1BF2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11</w:t>
                  </w:r>
                </w:p>
              </w:tc>
              <w:tc>
                <w:tcPr>
                  <w:tcW w:w="1264" w:type="pct"/>
                  <w:tcBorders>
                    <w:tl2br w:val="nil"/>
                    <w:tr2bl w:val="nil"/>
                  </w:tcBorders>
                  <w:noWrap w:val="0"/>
                  <w:vAlign w:val="center"/>
                </w:tcPr>
                <w:p w14:paraId="5ADDBA2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汽水取样装置</w:t>
                  </w:r>
                </w:p>
              </w:tc>
              <w:tc>
                <w:tcPr>
                  <w:tcW w:w="2014" w:type="pct"/>
                  <w:tcBorders>
                    <w:tl2br w:val="nil"/>
                    <w:tr2bl w:val="nil"/>
                  </w:tcBorders>
                  <w:noWrap w:val="0"/>
                  <w:vAlign w:val="center"/>
                </w:tcPr>
                <w:p w14:paraId="1BBC5DF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w:t>
                  </w:r>
                </w:p>
              </w:tc>
              <w:tc>
                <w:tcPr>
                  <w:tcW w:w="397" w:type="pct"/>
                  <w:tcBorders>
                    <w:tl2br w:val="nil"/>
                    <w:tr2bl w:val="nil"/>
                  </w:tcBorders>
                  <w:noWrap w:val="0"/>
                  <w:vAlign w:val="center"/>
                </w:tcPr>
                <w:p w14:paraId="3687C8C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套</w:t>
                  </w:r>
                </w:p>
              </w:tc>
              <w:tc>
                <w:tcPr>
                  <w:tcW w:w="455" w:type="pct"/>
                  <w:tcBorders>
                    <w:tl2br w:val="nil"/>
                    <w:tr2bl w:val="nil"/>
                  </w:tcBorders>
                  <w:noWrap w:val="0"/>
                  <w:vAlign w:val="center"/>
                </w:tcPr>
                <w:p w14:paraId="62C8FAA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64CA90A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EA0C39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388" w:type="pct"/>
                  <w:tcBorders>
                    <w:tl2br w:val="nil"/>
                    <w:tr2bl w:val="nil"/>
                  </w:tcBorders>
                  <w:noWrap w:val="0"/>
                  <w:vAlign w:val="center"/>
                </w:tcPr>
                <w:p w14:paraId="6E5185D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eastAsia" w:cs="Times New Roman"/>
                      <w:b w:val="0"/>
                      <w:bCs/>
                      <w:color w:val="000000"/>
                      <w:sz w:val="18"/>
                      <w:szCs w:val="18"/>
                      <w:lang w:val="en-US" w:eastAsia="zh-CN" w:bidi="ar-SA"/>
                    </w:rPr>
                    <w:t>12</w:t>
                  </w:r>
                </w:p>
              </w:tc>
              <w:tc>
                <w:tcPr>
                  <w:tcW w:w="1264" w:type="pct"/>
                  <w:tcBorders>
                    <w:tl2br w:val="nil"/>
                    <w:tr2bl w:val="nil"/>
                  </w:tcBorders>
                  <w:noWrap w:val="0"/>
                  <w:vAlign w:val="center"/>
                </w:tcPr>
                <w:p w14:paraId="022EE27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煤气排水器</w:t>
                  </w:r>
                </w:p>
              </w:tc>
              <w:tc>
                <w:tcPr>
                  <w:tcW w:w="2014" w:type="pct"/>
                  <w:tcBorders>
                    <w:tl2br w:val="nil"/>
                    <w:tr2bl w:val="nil"/>
                  </w:tcBorders>
                  <w:noWrap w:val="0"/>
                  <w:vAlign w:val="center"/>
                </w:tcPr>
                <w:p w14:paraId="385B333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w:t>
                  </w:r>
                </w:p>
              </w:tc>
              <w:tc>
                <w:tcPr>
                  <w:tcW w:w="397" w:type="pct"/>
                  <w:tcBorders>
                    <w:tl2br w:val="nil"/>
                    <w:tr2bl w:val="nil"/>
                  </w:tcBorders>
                  <w:noWrap w:val="0"/>
                  <w:vAlign w:val="center"/>
                </w:tcPr>
                <w:p w14:paraId="48D1645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台</w:t>
                  </w:r>
                </w:p>
              </w:tc>
              <w:tc>
                <w:tcPr>
                  <w:tcW w:w="455" w:type="pct"/>
                  <w:tcBorders>
                    <w:tl2br w:val="nil"/>
                    <w:tr2bl w:val="nil"/>
                  </w:tcBorders>
                  <w:noWrap w:val="0"/>
                  <w:vAlign w:val="center"/>
                </w:tcPr>
                <w:p w14:paraId="1A5BD44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4</w:t>
                  </w:r>
                </w:p>
              </w:tc>
              <w:tc>
                <w:tcPr>
                  <w:tcW w:w="479" w:type="pct"/>
                  <w:tcBorders>
                    <w:tl2br w:val="nil"/>
                    <w:tr2bl w:val="nil"/>
                  </w:tcBorders>
                  <w:noWrap w:val="0"/>
                  <w:vAlign w:val="center"/>
                </w:tcPr>
                <w:p w14:paraId="597147C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48DD34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5000" w:type="pct"/>
                  <w:gridSpan w:val="6"/>
                  <w:tcBorders>
                    <w:tl2br w:val="nil"/>
                    <w:tr2bl w:val="nil"/>
                  </w:tcBorders>
                  <w:noWrap w:val="0"/>
                  <w:vAlign w:val="center"/>
                </w:tcPr>
                <w:p w14:paraId="47C5B94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both"/>
                    <w:textAlignment w:val="auto"/>
                    <w:rPr>
                      <w:rFonts w:hint="default" w:ascii="Times New Roman" w:hAnsi="Times New Roman" w:eastAsia="宋体" w:cs="Times New Roman"/>
                      <w:b/>
                      <w:color w:val="000000"/>
                      <w:sz w:val="18"/>
                      <w:szCs w:val="18"/>
                      <w:lang w:val="en-US" w:eastAsia="zh-CN"/>
                    </w:rPr>
                  </w:pPr>
                  <w:r>
                    <w:rPr>
                      <w:rFonts w:hint="eastAsia" w:cs="Times New Roman"/>
                      <w:b/>
                      <w:color w:val="000000"/>
                      <w:sz w:val="18"/>
                      <w:szCs w:val="18"/>
                      <w:lang w:val="en-US" w:eastAsia="zh-CN"/>
                    </w:rPr>
                    <w:t>二、汽轮机组</w:t>
                  </w:r>
                </w:p>
              </w:tc>
            </w:tr>
            <w:tr w14:paraId="2FA0862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2" w:hRule="atLeast"/>
                <w:jc w:val="center"/>
              </w:trPr>
              <w:tc>
                <w:tcPr>
                  <w:tcW w:w="388" w:type="pct"/>
                  <w:tcBorders>
                    <w:tl2br w:val="nil"/>
                    <w:tr2bl w:val="nil"/>
                  </w:tcBorders>
                  <w:noWrap w:val="0"/>
                  <w:vAlign w:val="center"/>
                </w:tcPr>
                <w:p w14:paraId="37CD4F3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w:t>
                  </w:r>
                </w:p>
              </w:tc>
              <w:tc>
                <w:tcPr>
                  <w:tcW w:w="1264" w:type="pct"/>
                  <w:tcBorders>
                    <w:tl2br w:val="nil"/>
                    <w:tr2bl w:val="nil"/>
                  </w:tcBorders>
                  <w:noWrap w:val="0"/>
                  <w:vAlign w:val="center"/>
                </w:tcPr>
                <w:p w14:paraId="021B84F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汽轮机</w:t>
                  </w:r>
                </w:p>
              </w:tc>
              <w:tc>
                <w:tcPr>
                  <w:tcW w:w="2014" w:type="pct"/>
                  <w:tcBorders>
                    <w:tl2br w:val="nil"/>
                    <w:tr2bl w:val="nil"/>
                  </w:tcBorders>
                  <w:noWrap w:val="0"/>
                  <w:vAlign w:val="center"/>
                </w:tcPr>
                <w:p w14:paraId="42DC949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N80-16.7/566/566型</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16.7MPa</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566℃/566℃</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超高温亚临界、一次再热、双缸单排汽、水冷凝汽式</w:t>
                  </w:r>
                </w:p>
              </w:tc>
              <w:tc>
                <w:tcPr>
                  <w:tcW w:w="397" w:type="pct"/>
                  <w:tcBorders>
                    <w:tl2br w:val="nil"/>
                    <w:tr2bl w:val="nil"/>
                  </w:tcBorders>
                  <w:noWrap w:val="0"/>
                  <w:vAlign w:val="center"/>
                </w:tcPr>
                <w:p w14:paraId="431B16A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153A8D2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21E0751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25397C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8" w:type="pct"/>
                  <w:tcBorders>
                    <w:tl2br w:val="nil"/>
                    <w:tr2bl w:val="nil"/>
                  </w:tcBorders>
                  <w:noWrap w:val="0"/>
                  <w:vAlign w:val="center"/>
                </w:tcPr>
                <w:p w14:paraId="15A93DC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2</w:t>
                  </w:r>
                </w:p>
              </w:tc>
              <w:tc>
                <w:tcPr>
                  <w:tcW w:w="1264" w:type="pct"/>
                  <w:tcBorders>
                    <w:tl2br w:val="nil"/>
                    <w:tr2bl w:val="nil"/>
                  </w:tcBorders>
                  <w:noWrap w:val="0"/>
                  <w:vAlign w:val="center"/>
                </w:tcPr>
                <w:p w14:paraId="25126FD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发电机</w:t>
                  </w:r>
                </w:p>
              </w:tc>
              <w:tc>
                <w:tcPr>
                  <w:tcW w:w="2014" w:type="pct"/>
                  <w:tcBorders>
                    <w:tl2br w:val="nil"/>
                    <w:tr2bl w:val="nil"/>
                  </w:tcBorders>
                  <w:noWrap w:val="0"/>
                  <w:vAlign w:val="center"/>
                </w:tcPr>
                <w:p w14:paraId="1B4088C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额定功率80MW</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10.5kV</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功率因数0.85</w:t>
                  </w:r>
                </w:p>
              </w:tc>
              <w:tc>
                <w:tcPr>
                  <w:tcW w:w="397" w:type="pct"/>
                  <w:tcBorders>
                    <w:tl2br w:val="nil"/>
                    <w:tr2bl w:val="nil"/>
                  </w:tcBorders>
                  <w:noWrap w:val="0"/>
                  <w:vAlign w:val="center"/>
                </w:tcPr>
                <w:p w14:paraId="20EF53D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3E864E1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24623EA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53F9423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388" w:type="pct"/>
                  <w:tcBorders>
                    <w:tl2br w:val="nil"/>
                    <w:tr2bl w:val="nil"/>
                  </w:tcBorders>
                  <w:noWrap w:val="0"/>
                  <w:vAlign w:val="center"/>
                </w:tcPr>
                <w:p w14:paraId="51AF4FE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3</w:t>
                  </w:r>
                </w:p>
              </w:tc>
              <w:tc>
                <w:tcPr>
                  <w:tcW w:w="1264" w:type="pct"/>
                  <w:tcBorders>
                    <w:tl2br w:val="nil"/>
                    <w:tr2bl w:val="nil"/>
                  </w:tcBorders>
                  <w:noWrap w:val="0"/>
                  <w:vAlign w:val="center"/>
                </w:tcPr>
                <w:p w14:paraId="0B72B82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励磁机</w:t>
                  </w:r>
                </w:p>
              </w:tc>
              <w:tc>
                <w:tcPr>
                  <w:tcW w:w="2014" w:type="pct"/>
                  <w:tcBorders>
                    <w:tl2br w:val="nil"/>
                    <w:tr2bl w:val="nil"/>
                  </w:tcBorders>
                  <w:noWrap w:val="0"/>
                  <w:vAlign w:val="center"/>
                </w:tcPr>
                <w:p w14:paraId="40DF167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静止励磁</w:t>
                  </w:r>
                </w:p>
              </w:tc>
              <w:tc>
                <w:tcPr>
                  <w:tcW w:w="397" w:type="pct"/>
                  <w:tcBorders>
                    <w:tl2br w:val="nil"/>
                    <w:tr2bl w:val="nil"/>
                  </w:tcBorders>
                  <w:noWrap w:val="0"/>
                  <w:vAlign w:val="center"/>
                </w:tcPr>
                <w:p w14:paraId="0DCCEFF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套</w:t>
                  </w:r>
                </w:p>
              </w:tc>
              <w:tc>
                <w:tcPr>
                  <w:tcW w:w="455" w:type="pct"/>
                  <w:tcBorders>
                    <w:tl2br w:val="nil"/>
                    <w:tr2bl w:val="nil"/>
                  </w:tcBorders>
                  <w:noWrap w:val="0"/>
                  <w:vAlign w:val="center"/>
                </w:tcPr>
                <w:p w14:paraId="4B612CD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71526FD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656889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88" w:type="pct"/>
                  <w:tcBorders>
                    <w:tl2br w:val="nil"/>
                    <w:tr2bl w:val="nil"/>
                  </w:tcBorders>
                  <w:noWrap w:val="0"/>
                  <w:vAlign w:val="center"/>
                </w:tcPr>
                <w:p w14:paraId="51BD226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4</w:t>
                  </w:r>
                </w:p>
              </w:tc>
              <w:tc>
                <w:tcPr>
                  <w:tcW w:w="1264" w:type="pct"/>
                  <w:tcBorders>
                    <w:tl2br w:val="nil"/>
                    <w:tr2bl w:val="nil"/>
                  </w:tcBorders>
                  <w:noWrap w:val="0"/>
                  <w:vAlign w:val="center"/>
                </w:tcPr>
                <w:p w14:paraId="3131EF5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空气冷却器</w:t>
                  </w:r>
                </w:p>
              </w:tc>
              <w:tc>
                <w:tcPr>
                  <w:tcW w:w="2014" w:type="pct"/>
                  <w:tcBorders>
                    <w:tl2br w:val="nil"/>
                    <w:tr2bl w:val="nil"/>
                  </w:tcBorders>
                  <w:noWrap w:val="0"/>
                  <w:vAlign w:val="center"/>
                </w:tcPr>
                <w:p w14:paraId="5823268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换热管材质316L不锈钢</w:t>
                  </w:r>
                </w:p>
              </w:tc>
              <w:tc>
                <w:tcPr>
                  <w:tcW w:w="397" w:type="pct"/>
                  <w:tcBorders>
                    <w:tl2br w:val="nil"/>
                    <w:tr2bl w:val="nil"/>
                  </w:tcBorders>
                  <w:noWrap w:val="0"/>
                  <w:vAlign w:val="center"/>
                </w:tcPr>
                <w:p w14:paraId="055C7BE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套</w:t>
                  </w:r>
                </w:p>
              </w:tc>
              <w:tc>
                <w:tcPr>
                  <w:tcW w:w="455" w:type="pct"/>
                  <w:tcBorders>
                    <w:tl2br w:val="nil"/>
                    <w:tr2bl w:val="nil"/>
                  </w:tcBorders>
                  <w:noWrap w:val="0"/>
                  <w:vAlign w:val="center"/>
                </w:tcPr>
                <w:p w14:paraId="56DE52B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6473FC6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46E047D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388" w:type="pct"/>
                  <w:tcBorders>
                    <w:tl2br w:val="nil"/>
                    <w:tr2bl w:val="nil"/>
                  </w:tcBorders>
                  <w:noWrap w:val="0"/>
                  <w:vAlign w:val="center"/>
                </w:tcPr>
                <w:p w14:paraId="77F1F27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5</w:t>
                  </w:r>
                </w:p>
              </w:tc>
              <w:tc>
                <w:tcPr>
                  <w:tcW w:w="1264" w:type="pct"/>
                  <w:tcBorders>
                    <w:tl2br w:val="nil"/>
                    <w:tr2bl w:val="nil"/>
                  </w:tcBorders>
                  <w:noWrap w:val="0"/>
                  <w:vAlign w:val="center"/>
                </w:tcPr>
                <w:p w14:paraId="2829687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凝结水泵及其配套电动机</w:t>
                  </w:r>
                </w:p>
              </w:tc>
              <w:tc>
                <w:tcPr>
                  <w:tcW w:w="2014" w:type="pct"/>
                  <w:tcBorders>
                    <w:tl2br w:val="nil"/>
                    <w:tr2bl w:val="nil"/>
                  </w:tcBorders>
                  <w:noWrap w:val="0"/>
                  <w:vAlign w:val="center"/>
                </w:tcPr>
                <w:p w14:paraId="66E189D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流量205m</w:t>
                  </w:r>
                  <w:r>
                    <w:rPr>
                      <w:rFonts w:hint="eastAsia" w:eastAsia="宋体" w:cs="Times New Roman"/>
                      <w:b w:val="0"/>
                      <w:bCs/>
                      <w:color w:val="000000"/>
                      <w:sz w:val="18"/>
                      <w:szCs w:val="18"/>
                      <w:vertAlign w:val="superscript"/>
                      <w:lang w:val="en-US" w:eastAsia="zh-CN"/>
                    </w:rPr>
                    <w:t>3</w:t>
                  </w:r>
                  <w:r>
                    <w:rPr>
                      <w:rFonts w:hint="default" w:ascii="Times New Roman" w:hAnsi="Times New Roman" w:eastAsia="宋体" w:cs="Times New Roman"/>
                      <w:b w:val="0"/>
                      <w:bCs/>
                      <w:color w:val="000000"/>
                      <w:sz w:val="18"/>
                      <w:szCs w:val="18"/>
                      <w:lang w:val="en-US" w:eastAsia="zh-CN"/>
                    </w:rPr>
                    <w:t>/h，扬程250m，电机功率220kW，10.5kv，变频</w:t>
                  </w:r>
                </w:p>
              </w:tc>
              <w:tc>
                <w:tcPr>
                  <w:tcW w:w="397" w:type="pct"/>
                  <w:tcBorders>
                    <w:tl2br w:val="nil"/>
                    <w:tr2bl w:val="nil"/>
                  </w:tcBorders>
                  <w:noWrap w:val="0"/>
                  <w:vAlign w:val="center"/>
                </w:tcPr>
                <w:p w14:paraId="6B7A43E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78AC01F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479" w:type="pct"/>
                  <w:tcBorders>
                    <w:tl2br w:val="nil"/>
                    <w:tr2bl w:val="nil"/>
                  </w:tcBorders>
                  <w:noWrap w:val="0"/>
                  <w:vAlign w:val="center"/>
                </w:tcPr>
                <w:p w14:paraId="64A746C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4A18125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388" w:type="pct"/>
                  <w:tcBorders>
                    <w:tl2br w:val="nil"/>
                    <w:tr2bl w:val="nil"/>
                  </w:tcBorders>
                  <w:noWrap w:val="0"/>
                  <w:vAlign w:val="center"/>
                </w:tcPr>
                <w:p w14:paraId="0C0C8A8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6</w:t>
                  </w:r>
                </w:p>
              </w:tc>
              <w:tc>
                <w:tcPr>
                  <w:tcW w:w="1264" w:type="pct"/>
                  <w:tcBorders>
                    <w:tl2br w:val="nil"/>
                    <w:tr2bl w:val="nil"/>
                  </w:tcBorders>
                  <w:noWrap w:val="0"/>
                  <w:vAlign w:val="center"/>
                </w:tcPr>
                <w:p w14:paraId="12B6434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低加疏水泵及其配套电动机</w:t>
                  </w:r>
                </w:p>
              </w:tc>
              <w:tc>
                <w:tcPr>
                  <w:tcW w:w="2014" w:type="pct"/>
                  <w:tcBorders>
                    <w:tl2br w:val="nil"/>
                    <w:tr2bl w:val="nil"/>
                  </w:tcBorders>
                  <w:noWrap w:val="0"/>
                  <w:vAlign w:val="center"/>
                </w:tcPr>
                <w:p w14:paraId="2BDE047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流量28m</w:t>
                  </w:r>
                  <w:r>
                    <w:rPr>
                      <w:rFonts w:hint="eastAsia" w:eastAsia="宋体" w:cs="Times New Roman"/>
                      <w:b w:val="0"/>
                      <w:bCs/>
                      <w:color w:val="000000"/>
                      <w:sz w:val="18"/>
                      <w:szCs w:val="18"/>
                      <w:vertAlign w:val="superscript"/>
                      <w:lang w:val="en-US" w:eastAsia="zh-CN"/>
                    </w:rPr>
                    <w:t>3</w:t>
                  </w:r>
                  <w:r>
                    <w:rPr>
                      <w:rFonts w:hint="default" w:ascii="Times New Roman" w:hAnsi="Times New Roman" w:eastAsia="宋体" w:cs="Times New Roman"/>
                      <w:b w:val="0"/>
                      <w:bCs/>
                      <w:color w:val="000000"/>
                      <w:sz w:val="18"/>
                      <w:szCs w:val="18"/>
                      <w:lang w:val="en-US" w:eastAsia="zh-CN"/>
                    </w:rPr>
                    <w:t>/h，扬程250m，电机功率45kW，380v，变频</w:t>
                  </w:r>
                </w:p>
              </w:tc>
              <w:tc>
                <w:tcPr>
                  <w:tcW w:w="397" w:type="pct"/>
                  <w:tcBorders>
                    <w:tl2br w:val="nil"/>
                    <w:tr2bl w:val="nil"/>
                  </w:tcBorders>
                  <w:noWrap w:val="0"/>
                  <w:vAlign w:val="center"/>
                </w:tcPr>
                <w:p w14:paraId="2929810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38798E9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479" w:type="pct"/>
                  <w:tcBorders>
                    <w:tl2br w:val="nil"/>
                    <w:tr2bl w:val="nil"/>
                  </w:tcBorders>
                  <w:noWrap w:val="0"/>
                  <w:vAlign w:val="center"/>
                </w:tcPr>
                <w:p w14:paraId="0150E44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120CB65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551FD74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7</w:t>
                  </w:r>
                </w:p>
              </w:tc>
              <w:tc>
                <w:tcPr>
                  <w:tcW w:w="1264" w:type="pct"/>
                  <w:tcBorders>
                    <w:tl2br w:val="nil"/>
                    <w:tr2bl w:val="nil"/>
                  </w:tcBorders>
                  <w:noWrap w:val="0"/>
                  <w:vAlign w:val="center"/>
                </w:tcPr>
                <w:p w14:paraId="76F1144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水环真空泵</w:t>
                  </w:r>
                </w:p>
              </w:tc>
              <w:tc>
                <w:tcPr>
                  <w:tcW w:w="2014" w:type="pct"/>
                  <w:tcBorders>
                    <w:tl2br w:val="nil"/>
                    <w:tr2bl w:val="nil"/>
                  </w:tcBorders>
                  <w:noWrap w:val="0"/>
                  <w:vAlign w:val="center"/>
                </w:tcPr>
                <w:p w14:paraId="5473502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抽干空气量~30kg/h，55</w:t>
                  </w:r>
                  <w:r>
                    <w:rPr>
                      <w:rFonts w:hint="eastAsia" w:cs="Times New Roman"/>
                      <w:b w:val="0"/>
                      <w:bCs/>
                      <w:color w:val="000000"/>
                      <w:sz w:val="18"/>
                      <w:szCs w:val="18"/>
                      <w:lang w:val="en-US" w:eastAsia="zh-CN"/>
                    </w:rPr>
                    <w:t>k</w:t>
                  </w:r>
                  <w:r>
                    <w:rPr>
                      <w:rFonts w:hint="default" w:ascii="Times New Roman" w:hAnsi="Times New Roman" w:eastAsia="宋体" w:cs="Times New Roman"/>
                      <w:b w:val="0"/>
                      <w:bCs/>
                      <w:color w:val="000000"/>
                      <w:sz w:val="18"/>
                      <w:szCs w:val="18"/>
                      <w:lang w:val="en-US" w:eastAsia="zh-CN"/>
                    </w:rPr>
                    <w:t>W，380V</w:t>
                  </w:r>
                </w:p>
              </w:tc>
              <w:tc>
                <w:tcPr>
                  <w:tcW w:w="397" w:type="pct"/>
                  <w:tcBorders>
                    <w:tl2br w:val="nil"/>
                    <w:tr2bl w:val="nil"/>
                  </w:tcBorders>
                  <w:noWrap w:val="0"/>
                  <w:vAlign w:val="center"/>
                </w:tcPr>
                <w:p w14:paraId="37D17BE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7C3A7BB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479" w:type="pct"/>
                  <w:tcBorders>
                    <w:tl2br w:val="nil"/>
                    <w:tr2bl w:val="nil"/>
                  </w:tcBorders>
                  <w:noWrap w:val="0"/>
                  <w:vAlign w:val="center"/>
                </w:tcPr>
                <w:p w14:paraId="1C7F0BB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57520E3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388" w:type="pct"/>
                  <w:tcBorders>
                    <w:tl2br w:val="nil"/>
                    <w:tr2bl w:val="nil"/>
                  </w:tcBorders>
                  <w:noWrap w:val="0"/>
                  <w:vAlign w:val="center"/>
                </w:tcPr>
                <w:p w14:paraId="6B71BEA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8</w:t>
                  </w:r>
                </w:p>
              </w:tc>
              <w:tc>
                <w:tcPr>
                  <w:tcW w:w="1264" w:type="pct"/>
                  <w:tcBorders>
                    <w:tl2br w:val="nil"/>
                    <w:tr2bl w:val="nil"/>
                  </w:tcBorders>
                  <w:noWrap w:val="0"/>
                  <w:vAlign w:val="center"/>
                </w:tcPr>
                <w:p w14:paraId="2C78B5A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电动双钩桥式起重机</w:t>
                  </w:r>
                </w:p>
              </w:tc>
              <w:tc>
                <w:tcPr>
                  <w:tcW w:w="2014" w:type="pct"/>
                  <w:tcBorders>
                    <w:tl2br w:val="nil"/>
                    <w:tr2bl w:val="nil"/>
                  </w:tcBorders>
                  <w:noWrap w:val="0"/>
                  <w:vAlign w:val="center"/>
                </w:tcPr>
                <w:p w14:paraId="7811CD7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起重量75/20t，跨度25.5mA3</w:t>
                  </w:r>
                </w:p>
              </w:tc>
              <w:tc>
                <w:tcPr>
                  <w:tcW w:w="397" w:type="pct"/>
                  <w:tcBorders>
                    <w:tl2br w:val="nil"/>
                    <w:tr2bl w:val="nil"/>
                  </w:tcBorders>
                  <w:noWrap w:val="0"/>
                  <w:vAlign w:val="center"/>
                </w:tcPr>
                <w:p w14:paraId="1FC558A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6E9485E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1</w:t>
                  </w:r>
                </w:p>
              </w:tc>
              <w:tc>
                <w:tcPr>
                  <w:tcW w:w="479" w:type="pct"/>
                  <w:tcBorders>
                    <w:tl2br w:val="nil"/>
                    <w:tr2bl w:val="nil"/>
                  </w:tcBorders>
                  <w:noWrap w:val="0"/>
                  <w:vAlign w:val="center"/>
                </w:tcPr>
                <w:p w14:paraId="32E5F0A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76435E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388" w:type="pct"/>
                  <w:tcBorders>
                    <w:tl2br w:val="nil"/>
                    <w:tr2bl w:val="nil"/>
                  </w:tcBorders>
                  <w:noWrap w:val="0"/>
                  <w:vAlign w:val="center"/>
                </w:tcPr>
                <w:p w14:paraId="30A354B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9</w:t>
                  </w:r>
                </w:p>
              </w:tc>
              <w:tc>
                <w:tcPr>
                  <w:tcW w:w="1264" w:type="pct"/>
                  <w:tcBorders>
                    <w:tl2br w:val="nil"/>
                    <w:tr2bl w:val="nil"/>
                  </w:tcBorders>
                  <w:noWrap w:val="0"/>
                  <w:vAlign w:val="center"/>
                </w:tcPr>
                <w:p w14:paraId="4100EE8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润滑油真空滤油机</w:t>
                  </w:r>
                </w:p>
              </w:tc>
              <w:tc>
                <w:tcPr>
                  <w:tcW w:w="2014" w:type="pct"/>
                  <w:tcBorders>
                    <w:tl2br w:val="nil"/>
                    <w:tr2bl w:val="nil"/>
                  </w:tcBorders>
                  <w:noWrap w:val="0"/>
                  <w:vAlign w:val="center"/>
                </w:tcPr>
                <w:p w14:paraId="07C3B00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100L/min</w:t>
                  </w:r>
                </w:p>
              </w:tc>
              <w:tc>
                <w:tcPr>
                  <w:tcW w:w="397" w:type="pct"/>
                  <w:tcBorders>
                    <w:tl2br w:val="nil"/>
                    <w:tr2bl w:val="nil"/>
                  </w:tcBorders>
                  <w:noWrap w:val="0"/>
                  <w:vAlign w:val="center"/>
                </w:tcPr>
                <w:p w14:paraId="648EEA0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2F018C1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1</w:t>
                  </w:r>
                </w:p>
              </w:tc>
              <w:tc>
                <w:tcPr>
                  <w:tcW w:w="479" w:type="pct"/>
                  <w:tcBorders>
                    <w:tl2br w:val="nil"/>
                    <w:tr2bl w:val="nil"/>
                  </w:tcBorders>
                  <w:noWrap w:val="0"/>
                  <w:vAlign w:val="center"/>
                </w:tcPr>
                <w:p w14:paraId="0A49C78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0C047A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388" w:type="pct"/>
                  <w:tcBorders>
                    <w:tl2br w:val="nil"/>
                    <w:tr2bl w:val="nil"/>
                  </w:tcBorders>
                  <w:noWrap w:val="0"/>
                  <w:vAlign w:val="center"/>
                </w:tcPr>
                <w:p w14:paraId="486C9F3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10</w:t>
                  </w:r>
                </w:p>
              </w:tc>
              <w:tc>
                <w:tcPr>
                  <w:tcW w:w="1264" w:type="pct"/>
                  <w:tcBorders>
                    <w:tl2br w:val="nil"/>
                    <w:tr2bl w:val="nil"/>
                  </w:tcBorders>
                  <w:noWrap w:val="0"/>
                  <w:vAlign w:val="center"/>
                </w:tcPr>
                <w:p w14:paraId="5041335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EH油滤油机</w:t>
                  </w:r>
                </w:p>
              </w:tc>
              <w:tc>
                <w:tcPr>
                  <w:tcW w:w="2014" w:type="pct"/>
                  <w:tcBorders>
                    <w:tl2br w:val="nil"/>
                    <w:tr2bl w:val="nil"/>
                  </w:tcBorders>
                  <w:noWrap w:val="0"/>
                  <w:vAlign w:val="center"/>
                </w:tcPr>
                <w:p w14:paraId="04C92D0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20L/min</w:t>
                  </w:r>
                </w:p>
              </w:tc>
              <w:tc>
                <w:tcPr>
                  <w:tcW w:w="397" w:type="pct"/>
                  <w:tcBorders>
                    <w:tl2br w:val="nil"/>
                    <w:tr2bl w:val="nil"/>
                  </w:tcBorders>
                  <w:noWrap w:val="0"/>
                  <w:vAlign w:val="center"/>
                </w:tcPr>
                <w:p w14:paraId="203B44D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0D4E8EA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1</w:t>
                  </w:r>
                </w:p>
              </w:tc>
              <w:tc>
                <w:tcPr>
                  <w:tcW w:w="479" w:type="pct"/>
                  <w:tcBorders>
                    <w:tl2br w:val="nil"/>
                    <w:tr2bl w:val="nil"/>
                  </w:tcBorders>
                  <w:noWrap w:val="0"/>
                  <w:vAlign w:val="center"/>
                </w:tcPr>
                <w:p w14:paraId="5A72DF6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2686820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50E00A7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11</w:t>
                  </w:r>
                </w:p>
              </w:tc>
              <w:tc>
                <w:tcPr>
                  <w:tcW w:w="1264" w:type="pct"/>
                  <w:tcBorders>
                    <w:tl2br w:val="nil"/>
                    <w:tr2bl w:val="nil"/>
                  </w:tcBorders>
                  <w:noWrap w:val="0"/>
                  <w:vAlign w:val="center"/>
                </w:tcPr>
                <w:p w14:paraId="7ED4200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电动给水泵及其配套电机</w:t>
                  </w:r>
                </w:p>
              </w:tc>
              <w:tc>
                <w:tcPr>
                  <w:tcW w:w="2014" w:type="pct"/>
                  <w:tcBorders>
                    <w:tl2br w:val="nil"/>
                    <w:tr2bl w:val="nil"/>
                  </w:tcBorders>
                  <w:noWrap w:val="0"/>
                  <w:vAlign w:val="center"/>
                </w:tcPr>
                <w:p w14:paraId="0ABFE65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出口Q=286t/h</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H=2320mH</w:t>
                  </w:r>
                  <w:r>
                    <w:rPr>
                      <w:rFonts w:hint="default" w:ascii="Times New Roman" w:hAnsi="Times New Roman" w:eastAsia="宋体" w:cs="Times New Roman"/>
                      <w:b w:val="0"/>
                      <w:bCs/>
                      <w:color w:val="000000"/>
                      <w:sz w:val="18"/>
                      <w:szCs w:val="18"/>
                      <w:vertAlign w:val="subscript"/>
                      <w:lang w:val="en-US" w:eastAsia="zh-CN"/>
                    </w:rPr>
                    <w:t>2</w:t>
                  </w:r>
                  <w:r>
                    <w:rPr>
                      <w:rFonts w:hint="default" w:ascii="Times New Roman" w:hAnsi="Times New Roman" w:eastAsia="宋体" w:cs="Times New Roman"/>
                      <w:b w:val="0"/>
                      <w:bCs/>
                      <w:color w:val="000000"/>
                      <w:sz w:val="18"/>
                      <w:szCs w:val="18"/>
                      <w:lang w:val="en-US" w:eastAsia="zh-CN"/>
                    </w:rPr>
                    <w:t>O，2800kW10kV，变频</w:t>
                  </w:r>
                </w:p>
              </w:tc>
              <w:tc>
                <w:tcPr>
                  <w:tcW w:w="397" w:type="pct"/>
                  <w:tcBorders>
                    <w:tl2br w:val="nil"/>
                    <w:tr2bl w:val="nil"/>
                  </w:tcBorders>
                  <w:noWrap w:val="0"/>
                  <w:vAlign w:val="center"/>
                </w:tcPr>
                <w:p w14:paraId="30828DD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7D73401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2</w:t>
                  </w:r>
                </w:p>
              </w:tc>
              <w:tc>
                <w:tcPr>
                  <w:tcW w:w="479" w:type="pct"/>
                  <w:tcBorders>
                    <w:tl2br w:val="nil"/>
                    <w:tr2bl w:val="nil"/>
                  </w:tcBorders>
                  <w:noWrap w:val="0"/>
                  <w:vAlign w:val="center"/>
                </w:tcPr>
                <w:p w14:paraId="253B2D5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CBDCE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3A8EB7B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12</w:t>
                  </w:r>
                </w:p>
              </w:tc>
              <w:tc>
                <w:tcPr>
                  <w:tcW w:w="1264" w:type="pct"/>
                  <w:tcBorders>
                    <w:tl2br w:val="nil"/>
                    <w:tr2bl w:val="nil"/>
                  </w:tcBorders>
                  <w:noWrap w:val="0"/>
                  <w:vAlign w:val="center"/>
                </w:tcPr>
                <w:p w14:paraId="7842EF5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高低压旁路装置</w:t>
                  </w:r>
                </w:p>
              </w:tc>
              <w:tc>
                <w:tcPr>
                  <w:tcW w:w="2014" w:type="pct"/>
                  <w:tcBorders>
                    <w:tl2br w:val="nil"/>
                    <w:tr2bl w:val="nil"/>
                  </w:tcBorders>
                  <w:noWrap w:val="0"/>
                  <w:vAlign w:val="center"/>
                </w:tcPr>
                <w:p w14:paraId="1C1C715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78t/h</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16.7/3.878MPa</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566/358.3°C</w:t>
                  </w:r>
                  <w:r>
                    <w:rPr>
                      <w:rFonts w:hint="eastAsia" w:eastAsia="宋体" w:cs="Times New Roman"/>
                      <w:b w:val="0"/>
                      <w:bCs/>
                      <w:color w:val="000000"/>
                      <w:sz w:val="18"/>
                      <w:szCs w:val="18"/>
                      <w:lang w:val="en-US" w:eastAsia="zh-CN"/>
                    </w:rPr>
                    <w:t>；</w:t>
                  </w:r>
                </w:p>
                <w:p w14:paraId="17EEB49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90.5t/h</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3.49/0.6MPa</w:t>
                  </w:r>
                  <w:r>
                    <w:rPr>
                      <w:rFonts w:hint="eastAsia" w:eastAsia="宋体" w:cs="Times New Roman"/>
                      <w:b w:val="0"/>
                      <w:bCs/>
                      <w:color w:val="000000"/>
                      <w:sz w:val="18"/>
                      <w:szCs w:val="18"/>
                      <w:lang w:val="en-US" w:eastAsia="zh-CN"/>
                    </w:rPr>
                    <w:t>，</w:t>
                  </w:r>
                  <w:r>
                    <w:rPr>
                      <w:rFonts w:hint="default" w:ascii="Times New Roman" w:hAnsi="Times New Roman" w:eastAsia="宋体" w:cs="Times New Roman"/>
                      <w:b w:val="0"/>
                      <w:bCs/>
                      <w:color w:val="000000"/>
                      <w:sz w:val="18"/>
                      <w:szCs w:val="18"/>
                      <w:lang w:val="en-US" w:eastAsia="zh-CN"/>
                    </w:rPr>
                    <w:t>566/160°C</w:t>
                  </w:r>
                </w:p>
              </w:tc>
              <w:tc>
                <w:tcPr>
                  <w:tcW w:w="397" w:type="pct"/>
                  <w:tcBorders>
                    <w:tl2br w:val="nil"/>
                    <w:tr2bl w:val="nil"/>
                  </w:tcBorders>
                  <w:noWrap w:val="0"/>
                  <w:vAlign w:val="center"/>
                </w:tcPr>
                <w:p w14:paraId="24F7D36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套</w:t>
                  </w:r>
                </w:p>
              </w:tc>
              <w:tc>
                <w:tcPr>
                  <w:tcW w:w="455" w:type="pct"/>
                  <w:tcBorders>
                    <w:tl2br w:val="nil"/>
                    <w:tr2bl w:val="nil"/>
                  </w:tcBorders>
                  <w:noWrap w:val="0"/>
                  <w:vAlign w:val="center"/>
                </w:tcPr>
                <w:p w14:paraId="51B7473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1</w:t>
                  </w:r>
                </w:p>
              </w:tc>
              <w:tc>
                <w:tcPr>
                  <w:tcW w:w="479" w:type="pct"/>
                  <w:tcBorders>
                    <w:tl2br w:val="nil"/>
                    <w:tr2bl w:val="nil"/>
                  </w:tcBorders>
                  <w:noWrap w:val="0"/>
                  <w:vAlign w:val="center"/>
                </w:tcPr>
                <w:p w14:paraId="421E59E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00A69F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388" w:type="pct"/>
                  <w:tcBorders>
                    <w:tl2br w:val="nil"/>
                    <w:tr2bl w:val="nil"/>
                  </w:tcBorders>
                  <w:noWrap w:val="0"/>
                  <w:vAlign w:val="center"/>
                </w:tcPr>
                <w:p w14:paraId="130D105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13</w:t>
                  </w:r>
                </w:p>
              </w:tc>
              <w:tc>
                <w:tcPr>
                  <w:tcW w:w="1264" w:type="pct"/>
                  <w:tcBorders>
                    <w:tl2br w:val="nil"/>
                    <w:tr2bl w:val="nil"/>
                  </w:tcBorders>
                  <w:noWrap w:val="0"/>
                  <w:vAlign w:val="center"/>
                </w:tcPr>
                <w:p w14:paraId="11817EC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内置式除氧器</w:t>
                  </w:r>
                </w:p>
              </w:tc>
              <w:tc>
                <w:tcPr>
                  <w:tcW w:w="2014" w:type="pct"/>
                  <w:tcBorders>
                    <w:tl2br w:val="nil"/>
                    <w:tr2bl w:val="nil"/>
                  </w:tcBorders>
                  <w:noWrap w:val="0"/>
                  <w:vAlign w:val="center"/>
                </w:tcPr>
                <w:p w14:paraId="7A31D5E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310t/h水箱容积65m</w:t>
                  </w:r>
                  <w:r>
                    <w:rPr>
                      <w:rFonts w:hint="eastAsia" w:eastAsia="宋体" w:cs="Times New Roman"/>
                      <w:b w:val="0"/>
                      <w:bCs/>
                      <w:color w:val="000000"/>
                      <w:sz w:val="18"/>
                      <w:szCs w:val="18"/>
                      <w:vertAlign w:val="superscript"/>
                      <w:lang w:val="en-US" w:eastAsia="zh-CN"/>
                    </w:rPr>
                    <w:t>3</w:t>
                  </w:r>
                </w:p>
              </w:tc>
              <w:tc>
                <w:tcPr>
                  <w:tcW w:w="397" w:type="pct"/>
                  <w:tcBorders>
                    <w:tl2br w:val="nil"/>
                    <w:tr2bl w:val="nil"/>
                  </w:tcBorders>
                  <w:noWrap w:val="0"/>
                  <w:vAlign w:val="center"/>
                </w:tcPr>
                <w:p w14:paraId="5BE1724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2C9AAF0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1</w:t>
                  </w:r>
                </w:p>
              </w:tc>
              <w:tc>
                <w:tcPr>
                  <w:tcW w:w="479" w:type="pct"/>
                  <w:tcBorders>
                    <w:tl2br w:val="nil"/>
                    <w:tr2bl w:val="nil"/>
                  </w:tcBorders>
                  <w:noWrap w:val="0"/>
                  <w:vAlign w:val="center"/>
                </w:tcPr>
                <w:p w14:paraId="29A9F37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53180F7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388" w:type="pct"/>
                  <w:tcBorders>
                    <w:tl2br w:val="nil"/>
                    <w:tr2bl w:val="nil"/>
                  </w:tcBorders>
                  <w:noWrap w:val="0"/>
                  <w:vAlign w:val="center"/>
                </w:tcPr>
                <w:p w14:paraId="3716527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14</w:t>
                  </w:r>
                </w:p>
              </w:tc>
              <w:tc>
                <w:tcPr>
                  <w:tcW w:w="1264" w:type="pct"/>
                  <w:tcBorders>
                    <w:tl2br w:val="nil"/>
                    <w:tr2bl w:val="nil"/>
                  </w:tcBorders>
                  <w:noWrap w:val="0"/>
                  <w:vAlign w:val="center"/>
                </w:tcPr>
                <w:p w14:paraId="0A102C0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连续排污扩容器</w:t>
                  </w:r>
                </w:p>
              </w:tc>
              <w:tc>
                <w:tcPr>
                  <w:tcW w:w="2014" w:type="pct"/>
                  <w:tcBorders>
                    <w:tl2br w:val="nil"/>
                    <w:tr2bl w:val="nil"/>
                  </w:tcBorders>
                  <w:noWrap w:val="0"/>
                  <w:vAlign w:val="center"/>
                </w:tcPr>
                <w:p w14:paraId="5866E87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LP-3.5，V=3.5m</w:t>
                  </w:r>
                  <w:r>
                    <w:rPr>
                      <w:rFonts w:hint="eastAsia" w:eastAsia="宋体" w:cs="Times New Roman"/>
                      <w:b w:val="0"/>
                      <w:bCs/>
                      <w:color w:val="000000"/>
                      <w:sz w:val="18"/>
                      <w:szCs w:val="18"/>
                      <w:vertAlign w:val="superscript"/>
                      <w:lang w:val="en-US" w:eastAsia="zh-CN"/>
                    </w:rPr>
                    <w:t>3</w:t>
                  </w:r>
                </w:p>
              </w:tc>
              <w:tc>
                <w:tcPr>
                  <w:tcW w:w="397" w:type="pct"/>
                  <w:tcBorders>
                    <w:tl2br w:val="nil"/>
                    <w:tr2bl w:val="nil"/>
                  </w:tcBorders>
                  <w:noWrap w:val="0"/>
                  <w:vAlign w:val="center"/>
                </w:tcPr>
                <w:p w14:paraId="79F790B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rPr>
                    <w:t>台</w:t>
                  </w:r>
                </w:p>
              </w:tc>
              <w:tc>
                <w:tcPr>
                  <w:tcW w:w="455" w:type="pct"/>
                  <w:tcBorders>
                    <w:tl2br w:val="nil"/>
                    <w:tr2bl w:val="nil"/>
                  </w:tcBorders>
                  <w:noWrap w:val="0"/>
                  <w:vAlign w:val="center"/>
                </w:tcPr>
                <w:p w14:paraId="1D2434C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r>
                    <w:rPr>
                      <w:rFonts w:hint="default" w:ascii="Times New Roman" w:hAnsi="Times New Roman" w:eastAsia="宋体" w:cs="Times New Roman"/>
                      <w:b w:val="0"/>
                      <w:bCs/>
                      <w:color w:val="000000"/>
                      <w:sz w:val="18"/>
                      <w:szCs w:val="18"/>
                      <w:lang w:val="en-US" w:eastAsia="zh-CN" w:bidi="ar-SA"/>
                    </w:rPr>
                    <w:t>1</w:t>
                  </w:r>
                </w:p>
              </w:tc>
              <w:tc>
                <w:tcPr>
                  <w:tcW w:w="479" w:type="pct"/>
                  <w:tcBorders>
                    <w:tl2br w:val="nil"/>
                    <w:tr2bl w:val="nil"/>
                  </w:tcBorders>
                  <w:noWrap w:val="0"/>
                  <w:vAlign w:val="center"/>
                </w:tcPr>
                <w:p w14:paraId="452726D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5E4A8A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1B44FEE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15</w:t>
                  </w:r>
                </w:p>
              </w:tc>
              <w:tc>
                <w:tcPr>
                  <w:tcW w:w="1264" w:type="pct"/>
                  <w:tcBorders>
                    <w:tl2br w:val="nil"/>
                    <w:tr2bl w:val="nil"/>
                  </w:tcBorders>
                  <w:noWrap w:val="0"/>
                  <w:vAlign w:val="center"/>
                </w:tcPr>
                <w:p w14:paraId="338739A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机械通风冷却塔</w:t>
                  </w:r>
                </w:p>
              </w:tc>
              <w:tc>
                <w:tcPr>
                  <w:tcW w:w="2014" w:type="pct"/>
                  <w:tcBorders>
                    <w:tl2br w:val="nil"/>
                    <w:tr2bl w:val="nil"/>
                  </w:tcBorders>
                  <w:noWrap w:val="0"/>
                  <w:vAlign w:val="center"/>
                </w:tcPr>
                <w:p w14:paraId="7E0648B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Q=4000m</w:t>
                  </w:r>
                  <w:r>
                    <w:rPr>
                      <w:rFonts w:hint="eastAsia" w:eastAsia="宋体" w:cs="Times New Roman"/>
                      <w:color w:val="000000"/>
                      <w:sz w:val="18"/>
                      <w:szCs w:val="18"/>
                      <w:highlight w:val="none"/>
                      <w:vertAlign w:val="superscript"/>
                      <w:lang w:val="en-US" w:eastAsia="zh-CN"/>
                    </w:rPr>
                    <w:t>3</w:t>
                  </w:r>
                  <w:r>
                    <w:rPr>
                      <w:rFonts w:hint="default" w:ascii="Times New Roman" w:hAnsi="Times New Roman" w:eastAsia="宋体" w:cs="Times New Roman"/>
                      <w:color w:val="000000"/>
                      <w:sz w:val="18"/>
                      <w:szCs w:val="18"/>
                      <w:highlight w:val="none"/>
                    </w:rPr>
                    <w:t>/h，钢结构，玻璃钢围护板，3座，填料高度1.5m，风机功率200kW，380V，IP55</w:t>
                  </w:r>
                </w:p>
              </w:tc>
              <w:tc>
                <w:tcPr>
                  <w:tcW w:w="397" w:type="pct"/>
                  <w:tcBorders>
                    <w:tl2br w:val="nil"/>
                    <w:tr2bl w:val="nil"/>
                  </w:tcBorders>
                  <w:noWrap w:val="0"/>
                  <w:vAlign w:val="center"/>
                </w:tcPr>
                <w:p w14:paraId="4DA5E63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台</w:t>
                  </w:r>
                </w:p>
              </w:tc>
              <w:tc>
                <w:tcPr>
                  <w:tcW w:w="455" w:type="pct"/>
                  <w:tcBorders>
                    <w:tl2br w:val="nil"/>
                    <w:tr2bl w:val="nil"/>
                  </w:tcBorders>
                  <w:noWrap w:val="0"/>
                  <w:vAlign w:val="center"/>
                </w:tcPr>
                <w:p w14:paraId="45357F8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3</w:t>
                  </w:r>
                </w:p>
              </w:tc>
              <w:tc>
                <w:tcPr>
                  <w:tcW w:w="479" w:type="pct"/>
                  <w:tcBorders>
                    <w:tl2br w:val="nil"/>
                    <w:tr2bl w:val="nil"/>
                  </w:tcBorders>
                  <w:noWrap w:val="0"/>
                  <w:vAlign w:val="center"/>
                </w:tcPr>
                <w:p w14:paraId="73A6022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00EB4C7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558975F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16</w:t>
                  </w:r>
                </w:p>
              </w:tc>
              <w:tc>
                <w:tcPr>
                  <w:tcW w:w="1264" w:type="pct"/>
                  <w:tcBorders>
                    <w:tl2br w:val="nil"/>
                    <w:tr2bl w:val="nil"/>
                  </w:tcBorders>
                  <w:noWrap w:val="0"/>
                  <w:vAlign w:val="center"/>
                </w:tcPr>
                <w:p w14:paraId="54188CA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循环水泵</w:t>
                  </w:r>
                </w:p>
              </w:tc>
              <w:tc>
                <w:tcPr>
                  <w:tcW w:w="2014" w:type="pct"/>
                  <w:tcBorders>
                    <w:tl2br w:val="nil"/>
                    <w:tr2bl w:val="nil"/>
                  </w:tcBorders>
                  <w:noWrap w:val="0"/>
                  <w:vAlign w:val="center"/>
                </w:tcPr>
                <w:p w14:paraId="6D161B1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卧式单级双吸离心泵，Q=2400m</w:t>
                  </w:r>
                  <w:r>
                    <w:rPr>
                      <w:rFonts w:hint="eastAsia" w:eastAsia="宋体" w:cs="Times New Roman"/>
                      <w:color w:val="000000"/>
                      <w:sz w:val="18"/>
                      <w:szCs w:val="18"/>
                      <w:highlight w:val="none"/>
                      <w:vertAlign w:val="superscript"/>
                      <w:lang w:val="en-US" w:eastAsia="zh-CN"/>
                    </w:rPr>
                    <w:t>3</w:t>
                  </w:r>
                  <w:r>
                    <w:rPr>
                      <w:rFonts w:hint="default" w:ascii="Times New Roman" w:hAnsi="Times New Roman" w:eastAsia="宋体" w:cs="Times New Roman"/>
                      <w:color w:val="000000"/>
                      <w:sz w:val="18"/>
                      <w:szCs w:val="18"/>
                      <w:highlight w:val="none"/>
                    </w:rPr>
                    <w:t>/h，H=20m，机械密封，叶轮SS304，水泵轴承测温；定子测温，带钢质底座</w:t>
                  </w:r>
                </w:p>
              </w:tc>
              <w:tc>
                <w:tcPr>
                  <w:tcW w:w="397" w:type="pct"/>
                  <w:tcBorders>
                    <w:tl2br w:val="nil"/>
                    <w:tr2bl w:val="nil"/>
                  </w:tcBorders>
                  <w:noWrap w:val="0"/>
                  <w:vAlign w:val="center"/>
                </w:tcPr>
                <w:p w14:paraId="5037D3D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台</w:t>
                  </w:r>
                </w:p>
              </w:tc>
              <w:tc>
                <w:tcPr>
                  <w:tcW w:w="455" w:type="pct"/>
                  <w:tcBorders>
                    <w:tl2br w:val="nil"/>
                    <w:tr2bl w:val="nil"/>
                  </w:tcBorders>
                  <w:noWrap w:val="0"/>
                  <w:vAlign w:val="center"/>
                </w:tcPr>
                <w:p w14:paraId="463E537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4</w:t>
                  </w:r>
                </w:p>
              </w:tc>
              <w:tc>
                <w:tcPr>
                  <w:tcW w:w="479" w:type="pct"/>
                  <w:tcBorders>
                    <w:tl2br w:val="nil"/>
                    <w:tr2bl w:val="nil"/>
                  </w:tcBorders>
                  <w:noWrap w:val="0"/>
                  <w:vAlign w:val="center"/>
                </w:tcPr>
                <w:p w14:paraId="191CBA6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5734D41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0C06A3D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17</w:t>
                  </w:r>
                </w:p>
              </w:tc>
              <w:tc>
                <w:tcPr>
                  <w:tcW w:w="1264" w:type="pct"/>
                  <w:tcBorders>
                    <w:tl2br w:val="nil"/>
                    <w:tr2bl w:val="nil"/>
                  </w:tcBorders>
                  <w:noWrap w:val="0"/>
                  <w:vAlign w:val="center"/>
                </w:tcPr>
                <w:p w14:paraId="0FEC114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循环水泵配套高压电机</w:t>
                  </w:r>
                </w:p>
              </w:tc>
              <w:tc>
                <w:tcPr>
                  <w:tcW w:w="2014" w:type="pct"/>
                  <w:tcBorders>
                    <w:tl2br w:val="nil"/>
                    <w:tr2bl w:val="nil"/>
                  </w:tcBorders>
                  <w:noWrap w:val="0"/>
                  <w:vAlign w:val="center"/>
                </w:tcPr>
                <w:p w14:paraId="513CD10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N=220kW，U=10KV，IP55</w:t>
                  </w:r>
                  <w:r>
                    <w:rPr>
                      <w:rFonts w:hint="eastAsia" w:eastAsia="宋体" w:cs="Times New Roman"/>
                      <w:color w:val="000000"/>
                      <w:sz w:val="18"/>
                      <w:szCs w:val="18"/>
                      <w:highlight w:val="none"/>
                      <w:lang w:eastAsia="zh-CN"/>
                    </w:rPr>
                    <w:t>，</w:t>
                  </w:r>
                  <w:r>
                    <w:rPr>
                      <w:rFonts w:hint="default" w:ascii="Times New Roman" w:hAnsi="Times New Roman" w:eastAsia="宋体" w:cs="Times New Roman"/>
                      <w:color w:val="000000"/>
                      <w:sz w:val="18"/>
                      <w:szCs w:val="18"/>
                      <w:highlight w:val="none"/>
                    </w:rPr>
                    <w:t>980r/min，电机轴承测温；定子测温，带钢制底座</w:t>
                  </w:r>
                </w:p>
              </w:tc>
              <w:tc>
                <w:tcPr>
                  <w:tcW w:w="397" w:type="pct"/>
                  <w:tcBorders>
                    <w:tl2br w:val="nil"/>
                    <w:tr2bl w:val="nil"/>
                  </w:tcBorders>
                  <w:noWrap w:val="0"/>
                  <w:vAlign w:val="center"/>
                </w:tcPr>
                <w:p w14:paraId="3755F21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台</w:t>
                  </w:r>
                </w:p>
              </w:tc>
              <w:tc>
                <w:tcPr>
                  <w:tcW w:w="455" w:type="pct"/>
                  <w:tcBorders>
                    <w:tl2br w:val="nil"/>
                    <w:tr2bl w:val="nil"/>
                  </w:tcBorders>
                  <w:noWrap w:val="0"/>
                  <w:vAlign w:val="center"/>
                </w:tcPr>
                <w:p w14:paraId="5B2A157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4</w:t>
                  </w:r>
                </w:p>
              </w:tc>
              <w:tc>
                <w:tcPr>
                  <w:tcW w:w="479" w:type="pct"/>
                  <w:tcBorders>
                    <w:tl2br w:val="nil"/>
                    <w:tr2bl w:val="nil"/>
                  </w:tcBorders>
                  <w:noWrap w:val="0"/>
                  <w:vAlign w:val="center"/>
                </w:tcPr>
                <w:p w14:paraId="10EE331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47AD449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7AA7115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18</w:t>
                  </w:r>
                </w:p>
              </w:tc>
              <w:tc>
                <w:tcPr>
                  <w:tcW w:w="1264" w:type="pct"/>
                  <w:tcBorders>
                    <w:tl2br w:val="nil"/>
                    <w:tr2bl w:val="nil"/>
                  </w:tcBorders>
                  <w:noWrap w:val="0"/>
                  <w:vAlign w:val="center"/>
                </w:tcPr>
                <w:p w14:paraId="3D69336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加药装置</w:t>
                  </w:r>
                </w:p>
              </w:tc>
              <w:tc>
                <w:tcPr>
                  <w:tcW w:w="2014" w:type="pct"/>
                  <w:tcBorders>
                    <w:tl2br w:val="nil"/>
                    <w:tr2bl w:val="nil"/>
                  </w:tcBorders>
                  <w:noWrap w:val="0"/>
                  <w:vAlign w:val="center"/>
                </w:tcPr>
                <w:p w14:paraId="5DA3D7F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溶解罐1台Ф1.5m×1.5m，碳钢衬塑，带1台搅拌器，2台计量泵，（1用1备）</w:t>
                  </w:r>
                  <w:r>
                    <w:rPr>
                      <w:rFonts w:hint="eastAsia" w:eastAsia="宋体" w:cs="Times New Roman"/>
                      <w:color w:val="000000"/>
                      <w:sz w:val="18"/>
                      <w:szCs w:val="18"/>
                      <w:highlight w:val="none"/>
                      <w:lang w:eastAsia="zh-CN"/>
                    </w:rPr>
                    <w:t>，</w:t>
                  </w:r>
                  <w:r>
                    <w:rPr>
                      <w:rFonts w:hint="default" w:ascii="Times New Roman" w:hAnsi="Times New Roman" w:eastAsia="宋体" w:cs="Times New Roman"/>
                      <w:color w:val="000000"/>
                      <w:sz w:val="18"/>
                      <w:szCs w:val="18"/>
                      <w:highlight w:val="none"/>
                    </w:rPr>
                    <w:t>Q=0~630L/h</w:t>
                  </w:r>
                  <w:r>
                    <w:rPr>
                      <w:rFonts w:hint="eastAsia" w:eastAsia="宋体" w:cs="Times New Roman"/>
                      <w:color w:val="000000"/>
                      <w:sz w:val="18"/>
                      <w:szCs w:val="18"/>
                      <w:highlight w:val="none"/>
                      <w:lang w:eastAsia="zh-CN"/>
                    </w:rPr>
                    <w:t>，</w:t>
                  </w:r>
                  <w:r>
                    <w:rPr>
                      <w:rFonts w:hint="default" w:ascii="Times New Roman" w:hAnsi="Times New Roman" w:eastAsia="宋体" w:cs="Times New Roman"/>
                      <w:color w:val="000000"/>
                      <w:sz w:val="18"/>
                      <w:szCs w:val="18"/>
                      <w:highlight w:val="none"/>
                    </w:rPr>
                    <w:t>H=0~0.5MPa，N=2.5</w:t>
                  </w:r>
                  <w:r>
                    <w:rPr>
                      <w:rFonts w:hint="eastAsia" w:cs="Times New Roman"/>
                      <w:color w:val="000000"/>
                      <w:sz w:val="18"/>
                      <w:szCs w:val="18"/>
                      <w:highlight w:val="none"/>
                      <w:lang w:val="en-US" w:eastAsia="zh-CN"/>
                    </w:rPr>
                    <w:t>k</w:t>
                  </w:r>
                  <w:r>
                    <w:rPr>
                      <w:rFonts w:hint="default" w:ascii="Times New Roman" w:hAnsi="Times New Roman" w:eastAsia="宋体" w:cs="Times New Roman"/>
                      <w:color w:val="000000"/>
                      <w:sz w:val="18"/>
                      <w:szCs w:val="18"/>
                      <w:highlight w:val="none"/>
                    </w:rPr>
                    <w:t>W</w:t>
                  </w:r>
                </w:p>
              </w:tc>
              <w:tc>
                <w:tcPr>
                  <w:tcW w:w="397" w:type="pct"/>
                  <w:tcBorders>
                    <w:tl2br w:val="nil"/>
                    <w:tr2bl w:val="nil"/>
                  </w:tcBorders>
                  <w:noWrap w:val="0"/>
                  <w:vAlign w:val="center"/>
                </w:tcPr>
                <w:p w14:paraId="4306F9A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套</w:t>
                  </w:r>
                </w:p>
              </w:tc>
              <w:tc>
                <w:tcPr>
                  <w:tcW w:w="455" w:type="pct"/>
                  <w:tcBorders>
                    <w:tl2br w:val="nil"/>
                    <w:tr2bl w:val="nil"/>
                  </w:tcBorders>
                  <w:noWrap w:val="0"/>
                  <w:vAlign w:val="center"/>
                </w:tcPr>
                <w:p w14:paraId="164D0DD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7DB6423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55E2FD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4D4B847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19</w:t>
                  </w:r>
                </w:p>
              </w:tc>
              <w:tc>
                <w:tcPr>
                  <w:tcW w:w="1264" w:type="pct"/>
                  <w:tcBorders>
                    <w:tl2br w:val="nil"/>
                    <w:tr2bl w:val="nil"/>
                  </w:tcBorders>
                  <w:noWrap w:val="0"/>
                  <w:vAlign w:val="center"/>
                </w:tcPr>
                <w:p w14:paraId="0E8660C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旁滤水泵</w:t>
                  </w:r>
                </w:p>
              </w:tc>
              <w:tc>
                <w:tcPr>
                  <w:tcW w:w="2014" w:type="pct"/>
                  <w:tcBorders>
                    <w:tl2br w:val="nil"/>
                    <w:tr2bl w:val="nil"/>
                  </w:tcBorders>
                  <w:noWrap w:val="0"/>
                  <w:vAlign w:val="center"/>
                </w:tcPr>
                <w:p w14:paraId="0691274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000000"/>
                      <w:sz w:val="18"/>
                      <w:szCs w:val="18"/>
                      <w:highlight w:val="none"/>
                      <w:lang w:val="en-US" w:eastAsia="zh-CN" w:bidi="ar-SA"/>
                    </w:rPr>
                  </w:pPr>
                  <w:r>
                    <w:rPr>
                      <w:rFonts w:hint="default" w:ascii="Times New Roman" w:hAnsi="Times New Roman" w:eastAsia="宋体" w:cs="Times New Roman"/>
                      <w:color w:val="000000"/>
                      <w:sz w:val="18"/>
                      <w:szCs w:val="18"/>
                      <w:highlight w:val="none"/>
                    </w:rPr>
                    <w:t>卧式单级单吸离心泵，Q=350m</w:t>
                  </w:r>
                  <w:r>
                    <w:rPr>
                      <w:rFonts w:hint="eastAsia" w:eastAsia="宋体" w:cs="Times New Roman"/>
                      <w:color w:val="000000"/>
                      <w:sz w:val="18"/>
                      <w:szCs w:val="18"/>
                      <w:highlight w:val="none"/>
                      <w:vertAlign w:val="superscript"/>
                      <w:lang w:val="en-US" w:eastAsia="zh-CN"/>
                    </w:rPr>
                    <w:t>3</w:t>
                  </w:r>
                  <w:r>
                    <w:rPr>
                      <w:rFonts w:hint="default" w:ascii="Times New Roman" w:hAnsi="Times New Roman" w:eastAsia="宋体" w:cs="Times New Roman"/>
                      <w:color w:val="000000"/>
                      <w:sz w:val="18"/>
                      <w:szCs w:val="18"/>
                      <w:highlight w:val="none"/>
                    </w:rPr>
                    <w:t>/h，H=30m，1480r/min，机械密封；叶轮QT500</w:t>
                  </w:r>
                  <w:r>
                    <w:rPr>
                      <w:rFonts w:hint="eastAsia" w:eastAsia="宋体" w:cs="Times New Roman"/>
                      <w:color w:val="000000"/>
                      <w:sz w:val="18"/>
                      <w:szCs w:val="18"/>
                      <w:highlight w:val="none"/>
                      <w:lang w:eastAsia="zh-CN"/>
                    </w:rPr>
                    <w:t>；</w:t>
                  </w:r>
                  <w:r>
                    <w:rPr>
                      <w:rFonts w:hint="default" w:ascii="Times New Roman" w:hAnsi="Times New Roman" w:eastAsia="宋体" w:cs="Times New Roman"/>
                      <w:color w:val="000000"/>
                      <w:sz w:val="18"/>
                      <w:szCs w:val="18"/>
                      <w:highlight w:val="none"/>
                    </w:rPr>
                    <w:t>配电机45k</w:t>
                  </w:r>
                  <w:r>
                    <w:rPr>
                      <w:rFonts w:hint="eastAsia" w:cs="Times New Roman"/>
                      <w:color w:val="000000"/>
                      <w:sz w:val="18"/>
                      <w:szCs w:val="18"/>
                      <w:highlight w:val="none"/>
                      <w:lang w:val="en-US" w:eastAsia="zh-CN"/>
                    </w:rPr>
                    <w:t>W</w:t>
                  </w:r>
                </w:p>
              </w:tc>
              <w:tc>
                <w:tcPr>
                  <w:tcW w:w="397" w:type="pct"/>
                  <w:tcBorders>
                    <w:tl2br w:val="nil"/>
                    <w:tr2bl w:val="nil"/>
                  </w:tcBorders>
                  <w:noWrap w:val="0"/>
                  <w:vAlign w:val="center"/>
                </w:tcPr>
                <w:p w14:paraId="54BE029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63753D9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2</w:t>
                  </w:r>
                </w:p>
              </w:tc>
              <w:tc>
                <w:tcPr>
                  <w:tcW w:w="479" w:type="pct"/>
                  <w:tcBorders>
                    <w:tl2br w:val="nil"/>
                    <w:tr2bl w:val="nil"/>
                  </w:tcBorders>
                  <w:noWrap w:val="0"/>
                  <w:vAlign w:val="center"/>
                </w:tcPr>
                <w:p w14:paraId="574FF2B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5D7BEB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53FFD34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20</w:t>
                  </w:r>
                </w:p>
              </w:tc>
              <w:tc>
                <w:tcPr>
                  <w:tcW w:w="1264" w:type="pct"/>
                  <w:tcBorders>
                    <w:tl2br w:val="nil"/>
                    <w:tr2bl w:val="nil"/>
                  </w:tcBorders>
                  <w:noWrap w:val="0"/>
                  <w:vAlign w:val="center"/>
                </w:tcPr>
                <w:p w14:paraId="6B8102E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循环水增压泵</w:t>
                  </w:r>
                </w:p>
              </w:tc>
              <w:tc>
                <w:tcPr>
                  <w:tcW w:w="2014" w:type="pct"/>
                  <w:tcBorders>
                    <w:tl2br w:val="nil"/>
                    <w:tr2bl w:val="nil"/>
                  </w:tcBorders>
                  <w:noWrap w:val="0"/>
                  <w:vAlign w:val="center"/>
                </w:tcPr>
                <w:p w14:paraId="5B326FD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卧式单级单吸离心泵，Q=220m</w:t>
                  </w:r>
                  <w:r>
                    <w:rPr>
                      <w:rFonts w:hint="eastAsia" w:eastAsia="宋体" w:cs="Times New Roman"/>
                      <w:sz w:val="18"/>
                      <w:szCs w:val="18"/>
                      <w:highlight w:val="none"/>
                      <w:vertAlign w:val="superscript"/>
                      <w:lang w:val="en-US" w:eastAsia="zh-CN"/>
                    </w:rPr>
                    <w:t>3</w:t>
                  </w:r>
                  <w:r>
                    <w:rPr>
                      <w:rFonts w:hint="default" w:ascii="Times New Roman" w:hAnsi="Times New Roman" w:eastAsia="宋体" w:cs="Times New Roman"/>
                      <w:sz w:val="18"/>
                      <w:szCs w:val="18"/>
                      <w:highlight w:val="none"/>
                    </w:rPr>
                    <w:t>/h，H=35m，1480r/min，机械密封；叶轮QT500</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配电机37k</w:t>
                  </w:r>
                  <w:r>
                    <w:rPr>
                      <w:rFonts w:hint="eastAsia" w:cs="Times New Roman"/>
                      <w:sz w:val="18"/>
                      <w:szCs w:val="18"/>
                      <w:highlight w:val="none"/>
                      <w:lang w:val="en-US" w:eastAsia="zh-CN"/>
                    </w:rPr>
                    <w:t>W</w:t>
                  </w:r>
                </w:p>
              </w:tc>
              <w:tc>
                <w:tcPr>
                  <w:tcW w:w="397" w:type="pct"/>
                  <w:tcBorders>
                    <w:tl2br w:val="nil"/>
                    <w:tr2bl w:val="nil"/>
                  </w:tcBorders>
                  <w:noWrap w:val="0"/>
                  <w:vAlign w:val="center"/>
                </w:tcPr>
                <w:p w14:paraId="68725E8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028F736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2</w:t>
                  </w:r>
                </w:p>
              </w:tc>
              <w:tc>
                <w:tcPr>
                  <w:tcW w:w="479" w:type="pct"/>
                  <w:tcBorders>
                    <w:tl2br w:val="nil"/>
                    <w:tr2bl w:val="nil"/>
                  </w:tcBorders>
                  <w:noWrap w:val="0"/>
                  <w:vAlign w:val="center"/>
                </w:tcPr>
                <w:p w14:paraId="231188D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3D74AE0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4" w:hRule="atLeast"/>
                <w:jc w:val="center"/>
              </w:trPr>
              <w:tc>
                <w:tcPr>
                  <w:tcW w:w="388" w:type="pct"/>
                  <w:tcBorders>
                    <w:tl2br w:val="nil"/>
                    <w:tr2bl w:val="nil"/>
                  </w:tcBorders>
                  <w:noWrap w:val="0"/>
                  <w:vAlign w:val="center"/>
                </w:tcPr>
                <w:p w14:paraId="4C16E45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21</w:t>
                  </w:r>
                </w:p>
              </w:tc>
              <w:tc>
                <w:tcPr>
                  <w:tcW w:w="1264" w:type="pct"/>
                  <w:tcBorders>
                    <w:tl2br w:val="nil"/>
                    <w:tr2bl w:val="nil"/>
                  </w:tcBorders>
                  <w:noWrap w:val="0"/>
                  <w:vAlign w:val="center"/>
                </w:tcPr>
                <w:p w14:paraId="77235E5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浅层砂过滤器</w:t>
                  </w:r>
                </w:p>
              </w:tc>
              <w:tc>
                <w:tcPr>
                  <w:tcW w:w="2014" w:type="pct"/>
                  <w:tcBorders>
                    <w:tl2br w:val="nil"/>
                    <w:tr2bl w:val="nil"/>
                  </w:tcBorders>
                  <w:noWrap w:val="0"/>
                  <w:vAlign w:val="center"/>
                </w:tcPr>
                <w:p w14:paraId="72FD4C7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处理水量175m</w:t>
                  </w:r>
                  <w:r>
                    <w:rPr>
                      <w:rFonts w:hint="eastAsia" w:eastAsia="宋体" w:cs="Times New Roman"/>
                      <w:sz w:val="18"/>
                      <w:szCs w:val="18"/>
                      <w:highlight w:val="none"/>
                      <w:vertAlign w:val="superscript"/>
                      <w:lang w:val="en-US" w:eastAsia="zh-CN"/>
                    </w:rPr>
                    <w:t>3</w:t>
                  </w:r>
                  <w:r>
                    <w:rPr>
                      <w:rFonts w:hint="default" w:ascii="Times New Roman" w:hAnsi="Times New Roman" w:eastAsia="宋体" w:cs="Times New Roman"/>
                      <w:sz w:val="18"/>
                      <w:szCs w:val="18"/>
                      <w:highlight w:val="none"/>
                    </w:rPr>
                    <w:t>/h；1套4罐，单罐直径1.6m；含滤料、配套电动阀及SS304电控柜</w:t>
                  </w:r>
                </w:p>
              </w:tc>
              <w:tc>
                <w:tcPr>
                  <w:tcW w:w="397" w:type="pct"/>
                  <w:tcBorders>
                    <w:tl2br w:val="nil"/>
                    <w:tr2bl w:val="nil"/>
                  </w:tcBorders>
                  <w:noWrap w:val="0"/>
                  <w:vAlign w:val="center"/>
                </w:tcPr>
                <w:p w14:paraId="1A2D973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套</w:t>
                  </w:r>
                </w:p>
              </w:tc>
              <w:tc>
                <w:tcPr>
                  <w:tcW w:w="455" w:type="pct"/>
                  <w:tcBorders>
                    <w:tl2br w:val="nil"/>
                    <w:tr2bl w:val="nil"/>
                  </w:tcBorders>
                  <w:noWrap w:val="0"/>
                  <w:vAlign w:val="center"/>
                </w:tcPr>
                <w:p w14:paraId="6F55581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2</w:t>
                  </w:r>
                </w:p>
              </w:tc>
              <w:tc>
                <w:tcPr>
                  <w:tcW w:w="479" w:type="pct"/>
                  <w:tcBorders>
                    <w:tl2br w:val="nil"/>
                    <w:tr2bl w:val="nil"/>
                  </w:tcBorders>
                  <w:noWrap w:val="0"/>
                  <w:vAlign w:val="center"/>
                </w:tcPr>
                <w:p w14:paraId="39FD5C8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595F6F0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388" w:type="pct"/>
                  <w:tcBorders>
                    <w:tl2br w:val="nil"/>
                    <w:tr2bl w:val="nil"/>
                  </w:tcBorders>
                  <w:noWrap w:val="0"/>
                  <w:vAlign w:val="center"/>
                </w:tcPr>
                <w:p w14:paraId="0D0A1BC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22</w:t>
                  </w:r>
                </w:p>
              </w:tc>
              <w:tc>
                <w:tcPr>
                  <w:tcW w:w="1264" w:type="pct"/>
                  <w:tcBorders>
                    <w:tl2br w:val="nil"/>
                    <w:tr2bl w:val="nil"/>
                  </w:tcBorders>
                  <w:noWrap w:val="0"/>
                  <w:vAlign w:val="center"/>
                </w:tcPr>
                <w:p w14:paraId="5C06BFB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电动单梁悬挂起重机</w:t>
                  </w:r>
                </w:p>
              </w:tc>
              <w:tc>
                <w:tcPr>
                  <w:tcW w:w="2014" w:type="pct"/>
                  <w:tcBorders>
                    <w:tl2br w:val="nil"/>
                    <w:tr2bl w:val="nil"/>
                  </w:tcBorders>
                  <w:noWrap w:val="0"/>
                  <w:vAlign w:val="center"/>
                </w:tcPr>
                <w:p w14:paraId="3DEDECB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起重量5t，起升高度9m，跨度7m</w:t>
                  </w:r>
                </w:p>
              </w:tc>
              <w:tc>
                <w:tcPr>
                  <w:tcW w:w="397" w:type="pct"/>
                  <w:tcBorders>
                    <w:tl2br w:val="nil"/>
                    <w:tr2bl w:val="nil"/>
                  </w:tcBorders>
                  <w:noWrap w:val="0"/>
                  <w:vAlign w:val="center"/>
                </w:tcPr>
                <w:p w14:paraId="2AEDADE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207BF6B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65C6CE2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586E86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755063F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23</w:t>
                  </w:r>
                </w:p>
              </w:tc>
              <w:tc>
                <w:tcPr>
                  <w:tcW w:w="1264" w:type="pct"/>
                  <w:tcBorders>
                    <w:tl2br w:val="nil"/>
                    <w:tr2bl w:val="nil"/>
                  </w:tcBorders>
                  <w:noWrap w:val="0"/>
                  <w:vAlign w:val="center"/>
                </w:tcPr>
                <w:p w14:paraId="3B4D5E1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潜污泵</w:t>
                  </w:r>
                </w:p>
              </w:tc>
              <w:tc>
                <w:tcPr>
                  <w:tcW w:w="2014" w:type="pct"/>
                  <w:tcBorders>
                    <w:tl2br w:val="nil"/>
                    <w:tr2bl w:val="nil"/>
                  </w:tcBorders>
                  <w:noWrap w:val="0"/>
                  <w:vAlign w:val="center"/>
                </w:tcPr>
                <w:p w14:paraId="22DC330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Q=10m</w:t>
                  </w:r>
                  <w:r>
                    <w:rPr>
                      <w:rFonts w:hint="eastAsia" w:eastAsia="宋体" w:cs="Times New Roman"/>
                      <w:sz w:val="18"/>
                      <w:szCs w:val="18"/>
                      <w:highlight w:val="none"/>
                      <w:vertAlign w:val="superscript"/>
                      <w:lang w:val="en-US" w:eastAsia="zh-CN"/>
                    </w:rPr>
                    <w:t>3</w:t>
                  </w:r>
                  <w:r>
                    <w:rPr>
                      <w:rFonts w:hint="default" w:ascii="Times New Roman" w:hAnsi="Times New Roman" w:eastAsia="宋体" w:cs="Times New Roman"/>
                      <w:sz w:val="18"/>
                      <w:szCs w:val="18"/>
                      <w:highlight w:val="none"/>
                    </w:rPr>
                    <w:t>/h，H=10m</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N=0.75k</w:t>
                  </w:r>
                  <w:r>
                    <w:rPr>
                      <w:rFonts w:hint="eastAsia" w:cs="Times New Roman"/>
                      <w:sz w:val="18"/>
                      <w:szCs w:val="18"/>
                      <w:highlight w:val="none"/>
                      <w:lang w:val="en-US" w:eastAsia="zh-CN"/>
                    </w:rPr>
                    <w:t>W</w:t>
                  </w:r>
                  <w:r>
                    <w:rPr>
                      <w:rFonts w:hint="default" w:ascii="Times New Roman" w:hAnsi="Times New Roman" w:eastAsia="宋体" w:cs="Times New Roman"/>
                      <w:sz w:val="18"/>
                      <w:szCs w:val="18"/>
                      <w:highlight w:val="none"/>
                    </w:rPr>
                    <w:t>，自带电控箱；</w:t>
                  </w:r>
                </w:p>
              </w:tc>
              <w:tc>
                <w:tcPr>
                  <w:tcW w:w="397" w:type="pct"/>
                  <w:tcBorders>
                    <w:tl2br w:val="nil"/>
                    <w:tr2bl w:val="nil"/>
                  </w:tcBorders>
                  <w:noWrap w:val="0"/>
                  <w:vAlign w:val="center"/>
                </w:tcPr>
                <w:p w14:paraId="5820521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7A24215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2</w:t>
                  </w:r>
                </w:p>
              </w:tc>
              <w:tc>
                <w:tcPr>
                  <w:tcW w:w="479" w:type="pct"/>
                  <w:tcBorders>
                    <w:tl2br w:val="nil"/>
                    <w:tr2bl w:val="nil"/>
                  </w:tcBorders>
                  <w:noWrap w:val="0"/>
                  <w:vAlign w:val="center"/>
                </w:tcPr>
                <w:p w14:paraId="508CFD1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1523F45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6B48386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bidi="ar-SA"/>
                    </w:rPr>
                  </w:pPr>
                  <w:r>
                    <w:rPr>
                      <w:rFonts w:hint="eastAsia" w:cs="Times New Roman"/>
                      <w:color w:val="000000"/>
                      <w:sz w:val="18"/>
                      <w:szCs w:val="18"/>
                      <w:highlight w:val="none"/>
                      <w:lang w:val="en-US" w:eastAsia="zh-CN" w:bidi="ar-SA"/>
                    </w:rPr>
                    <w:t>24</w:t>
                  </w:r>
                </w:p>
              </w:tc>
              <w:tc>
                <w:tcPr>
                  <w:tcW w:w="1264" w:type="pct"/>
                  <w:tcBorders>
                    <w:tl2br w:val="nil"/>
                    <w:tr2bl w:val="nil"/>
                  </w:tcBorders>
                  <w:noWrap w:val="0"/>
                  <w:vAlign w:val="center"/>
                </w:tcPr>
                <w:p w14:paraId="4246AB7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排污降温池自吸泵</w:t>
                  </w:r>
                </w:p>
              </w:tc>
              <w:tc>
                <w:tcPr>
                  <w:tcW w:w="2014" w:type="pct"/>
                  <w:tcBorders>
                    <w:tl2br w:val="nil"/>
                    <w:tr2bl w:val="nil"/>
                  </w:tcBorders>
                  <w:noWrap w:val="0"/>
                  <w:vAlign w:val="center"/>
                </w:tcPr>
                <w:p w14:paraId="7E0AD86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立式耐高温自吸泵，Q=20m</w:t>
                  </w:r>
                  <w:r>
                    <w:rPr>
                      <w:rFonts w:hint="eastAsia" w:eastAsia="宋体" w:cs="Times New Roman"/>
                      <w:sz w:val="18"/>
                      <w:szCs w:val="18"/>
                      <w:highlight w:val="none"/>
                      <w:vertAlign w:val="superscript"/>
                      <w:lang w:val="en-US" w:eastAsia="zh-CN"/>
                    </w:rPr>
                    <w:t>3</w:t>
                  </w:r>
                  <w:r>
                    <w:rPr>
                      <w:rFonts w:hint="default" w:ascii="Times New Roman" w:hAnsi="Times New Roman" w:eastAsia="宋体" w:cs="Times New Roman"/>
                      <w:sz w:val="18"/>
                      <w:szCs w:val="18"/>
                      <w:highlight w:val="none"/>
                    </w:rPr>
                    <w:t>/h，H=25m，1480r/min，机械密封；叶轮304</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配电机5.5k</w:t>
                  </w:r>
                  <w:r>
                    <w:rPr>
                      <w:rFonts w:hint="eastAsia" w:cs="Times New Roman"/>
                      <w:sz w:val="18"/>
                      <w:szCs w:val="18"/>
                      <w:highlight w:val="none"/>
                      <w:lang w:val="en-US" w:eastAsia="zh-CN"/>
                    </w:rPr>
                    <w:t>W</w:t>
                  </w:r>
                  <w:r>
                    <w:rPr>
                      <w:rFonts w:hint="default" w:ascii="Times New Roman" w:hAnsi="Times New Roman" w:eastAsia="宋体" w:cs="Times New Roman"/>
                      <w:sz w:val="18"/>
                      <w:szCs w:val="18"/>
                      <w:highlight w:val="none"/>
                    </w:rPr>
                    <w:t>，配套SS304电控柜</w:t>
                  </w:r>
                </w:p>
              </w:tc>
              <w:tc>
                <w:tcPr>
                  <w:tcW w:w="397" w:type="pct"/>
                  <w:tcBorders>
                    <w:tl2br w:val="nil"/>
                    <w:tr2bl w:val="nil"/>
                  </w:tcBorders>
                  <w:noWrap w:val="0"/>
                  <w:vAlign w:val="center"/>
                </w:tcPr>
                <w:p w14:paraId="2448B81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09D96DA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bidi="ar-SA"/>
                    </w:rPr>
                  </w:pPr>
                  <w:r>
                    <w:rPr>
                      <w:rFonts w:hint="default" w:ascii="Times New Roman" w:hAnsi="Times New Roman" w:eastAsia="宋体" w:cs="Times New Roman"/>
                      <w:sz w:val="18"/>
                      <w:szCs w:val="18"/>
                      <w:highlight w:val="none"/>
                    </w:rPr>
                    <w:t>2</w:t>
                  </w:r>
                </w:p>
              </w:tc>
              <w:tc>
                <w:tcPr>
                  <w:tcW w:w="479" w:type="pct"/>
                  <w:tcBorders>
                    <w:tl2br w:val="nil"/>
                    <w:tr2bl w:val="nil"/>
                  </w:tcBorders>
                  <w:noWrap w:val="0"/>
                  <w:vAlign w:val="center"/>
                </w:tcPr>
                <w:p w14:paraId="5F863BC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3FE30F1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000" w:type="pct"/>
                  <w:gridSpan w:val="6"/>
                  <w:tcBorders>
                    <w:tl2br w:val="nil"/>
                    <w:tr2bl w:val="nil"/>
                  </w:tcBorders>
                  <w:noWrap w:val="0"/>
                  <w:vAlign w:val="center"/>
                </w:tcPr>
                <w:p w14:paraId="6CD714B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both"/>
                    <w:textAlignment w:val="auto"/>
                    <w:rPr>
                      <w:rFonts w:hint="default" w:ascii="Times New Roman" w:hAnsi="Times New Roman" w:eastAsia="宋体" w:cs="Times New Roman"/>
                      <w:b/>
                      <w:color w:val="000000"/>
                      <w:sz w:val="18"/>
                      <w:szCs w:val="18"/>
                    </w:rPr>
                  </w:pPr>
                  <w:r>
                    <w:rPr>
                      <w:rFonts w:hint="eastAsia" w:ascii="Times New Roman" w:hAnsi="Times New Roman" w:eastAsia="宋体" w:cs="Times New Roman"/>
                      <w:b/>
                      <w:bCs w:val="0"/>
                      <w:color w:val="000000"/>
                      <w:sz w:val="18"/>
                      <w:szCs w:val="18"/>
                      <w:lang w:val="en-US" w:eastAsia="zh-CN"/>
                    </w:rPr>
                    <w:t>三</w:t>
                  </w:r>
                  <w:r>
                    <w:rPr>
                      <w:rFonts w:hint="eastAsia" w:cs="Times New Roman"/>
                      <w:b/>
                      <w:bCs w:val="0"/>
                      <w:color w:val="000000"/>
                      <w:sz w:val="18"/>
                      <w:szCs w:val="18"/>
                      <w:lang w:val="en-US" w:eastAsia="zh-CN"/>
                    </w:rPr>
                    <w:t>、</w:t>
                  </w:r>
                  <w:r>
                    <w:rPr>
                      <w:rFonts w:hint="eastAsia" w:ascii="Times New Roman" w:hAnsi="Times New Roman" w:eastAsia="宋体" w:cs="Times New Roman"/>
                      <w:b/>
                      <w:bCs w:val="0"/>
                      <w:color w:val="000000"/>
                      <w:sz w:val="18"/>
                      <w:szCs w:val="18"/>
                      <w:lang w:val="en-US" w:eastAsia="zh-CN"/>
                    </w:rPr>
                    <w:t>化学水处理系统</w:t>
                  </w:r>
                </w:p>
              </w:tc>
            </w:tr>
            <w:tr w14:paraId="329AC23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388" w:type="pct"/>
                  <w:tcBorders>
                    <w:tl2br w:val="nil"/>
                    <w:tr2bl w:val="nil"/>
                  </w:tcBorders>
                  <w:noWrap w:val="0"/>
                  <w:vAlign w:val="center"/>
                </w:tcPr>
                <w:p w14:paraId="7468631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（1）</w:t>
                  </w:r>
                </w:p>
              </w:tc>
              <w:tc>
                <w:tcPr>
                  <w:tcW w:w="1264" w:type="pct"/>
                  <w:tcBorders>
                    <w:tl2br w:val="nil"/>
                    <w:tr2bl w:val="nil"/>
                  </w:tcBorders>
                  <w:noWrap w:val="0"/>
                  <w:vAlign w:val="center"/>
                </w:tcPr>
                <w:p w14:paraId="0D000C6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锅炉补给水系统</w:t>
                  </w:r>
                </w:p>
              </w:tc>
              <w:tc>
                <w:tcPr>
                  <w:tcW w:w="2014" w:type="pct"/>
                  <w:tcBorders>
                    <w:tl2br w:val="nil"/>
                    <w:tr2bl w:val="nil"/>
                  </w:tcBorders>
                  <w:noWrap w:val="0"/>
                  <w:vAlign w:val="center"/>
                </w:tcPr>
                <w:p w14:paraId="6C90388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p>
              </w:tc>
              <w:tc>
                <w:tcPr>
                  <w:tcW w:w="397" w:type="pct"/>
                  <w:tcBorders>
                    <w:tl2br w:val="nil"/>
                    <w:tr2bl w:val="nil"/>
                  </w:tcBorders>
                  <w:noWrap w:val="0"/>
                  <w:vAlign w:val="center"/>
                </w:tcPr>
                <w:p w14:paraId="4940260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p>
              </w:tc>
              <w:tc>
                <w:tcPr>
                  <w:tcW w:w="455" w:type="pct"/>
                  <w:tcBorders>
                    <w:tl2br w:val="nil"/>
                    <w:tr2bl w:val="nil"/>
                  </w:tcBorders>
                  <w:noWrap w:val="0"/>
                  <w:vAlign w:val="center"/>
                </w:tcPr>
                <w:p w14:paraId="2BDC467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p>
              </w:tc>
              <w:tc>
                <w:tcPr>
                  <w:tcW w:w="479" w:type="pct"/>
                  <w:tcBorders>
                    <w:tl2br w:val="nil"/>
                    <w:tr2bl w:val="nil"/>
                  </w:tcBorders>
                  <w:noWrap w:val="0"/>
                  <w:vAlign w:val="center"/>
                </w:tcPr>
                <w:p w14:paraId="18CBA41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71F8C7C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3A279379">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1</w:t>
                  </w:r>
                </w:p>
              </w:tc>
              <w:tc>
                <w:tcPr>
                  <w:tcW w:w="1264" w:type="pct"/>
                  <w:tcBorders>
                    <w:tl2br w:val="nil"/>
                    <w:tr2bl w:val="nil"/>
                  </w:tcBorders>
                  <w:noWrap w:val="0"/>
                  <w:vAlign w:val="center"/>
                </w:tcPr>
                <w:p w14:paraId="2D20260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反渗透装置</w:t>
                  </w:r>
                </w:p>
              </w:tc>
              <w:tc>
                <w:tcPr>
                  <w:tcW w:w="2014" w:type="pct"/>
                  <w:tcBorders>
                    <w:tl2br w:val="nil"/>
                    <w:tr2bl w:val="nil"/>
                  </w:tcBorders>
                  <w:noWrap w:val="0"/>
                  <w:vAlign w:val="center"/>
                </w:tcPr>
                <w:p w14:paraId="24D77E4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Q=</w:t>
                  </w:r>
                  <w:r>
                    <w:rPr>
                      <w:rFonts w:hint="default" w:ascii="Times New Roman" w:hAnsi="Times New Roman" w:eastAsia="宋体" w:cs="Times New Roman"/>
                      <w:sz w:val="18"/>
                      <w:szCs w:val="18"/>
                      <w:highlight w:val="none"/>
                      <w:lang w:val="en-US" w:eastAsia="zh-CN"/>
                    </w:rPr>
                    <w:t>17</w:t>
                  </w:r>
                  <w:r>
                    <w:rPr>
                      <w:rFonts w:hint="default" w:ascii="Times New Roman" w:hAnsi="Times New Roman" w:eastAsia="宋体" w:cs="Times New Roman"/>
                      <w:sz w:val="18"/>
                      <w:szCs w:val="18"/>
                      <w:highlight w:val="none"/>
                    </w:rPr>
                    <w:t>m</w:t>
                  </w:r>
                  <w:r>
                    <w:rPr>
                      <w:rFonts w:hint="default" w:ascii="Times New Roman" w:hAnsi="Times New Roman" w:eastAsia="宋体" w:cs="Times New Roman"/>
                      <w:sz w:val="18"/>
                      <w:szCs w:val="18"/>
                      <w:highlight w:val="none"/>
                      <w:vertAlign w:val="superscript"/>
                    </w:rPr>
                    <w:t>3</w:t>
                  </w:r>
                  <w:r>
                    <w:rPr>
                      <w:rFonts w:hint="default" w:ascii="Times New Roman" w:hAnsi="Times New Roman" w:eastAsia="宋体" w:cs="Times New Roman"/>
                      <w:sz w:val="18"/>
                      <w:szCs w:val="18"/>
                      <w:highlight w:val="none"/>
                    </w:rPr>
                    <w:t>/h</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25℃</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，回收率90%</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三年内）</w:t>
                  </w:r>
                  <w:r>
                    <w:rPr>
                      <w:rFonts w:hint="default" w:ascii="Times New Roman" w:hAnsi="Times New Roman" w:eastAsia="宋体" w:cs="Times New Roman"/>
                      <w:sz w:val="18"/>
                      <w:szCs w:val="18"/>
                      <w:highlight w:val="none"/>
                    </w:rPr>
                    <w:t>，脱盐率9</w:t>
                  </w:r>
                  <w:r>
                    <w:rPr>
                      <w:rFonts w:hint="default" w:ascii="Times New Roman" w:hAnsi="Times New Roman" w:eastAsia="宋体" w:cs="Times New Roman"/>
                      <w:sz w:val="18"/>
                      <w:szCs w:val="18"/>
                      <w:highlight w:val="none"/>
                      <w:lang w:val="en-US" w:eastAsia="zh-CN"/>
                    </w:rPr>
                    <w:t>0</w:t>
                  </w:r>
                  <w:r>
                    <w:rPr>
                      <w:rFonts w:hint="default" w:ascii="Times New Roman" w:hAnsi="Times New Roman" w:eastAsia="宋体" w:cs="Times New Roman"/>
                      <w:sz w:val="18"/>
                      <w:szCs w:val="18"/>
                      <w:highlight w:val="none"/>
                    </w:rPr>
                    <w:t>%</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三年内）</w:t>
                  </w:r>
                </w:p>
              </w:tc>
              <w:tc>
                <w:tcPr>
                  <w:tcW w:w="397" w:type="pct"/>
                  <w:tcBorders>
                    <w:tl2br w:val="nil"/>
                    <w:tr2bl w:val="nil"/>
                  </w:tcBorders>
                  <w:noWrap w:val="0"/>
                  <w:vAlign w:val="center"/>
                </w:tcPr>
                <w:p w14:paraId="4579165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套</w:t>
                  </w:r>
                </w:p>
              </w:tc>
              <w:tc>
                <w:tcPr>
                  <w:tcW w:w="455" w:type="pct"/>
                  <w:tcBorders>
                    <w:tl2br w:val="nil"/>
                    <w:tr2bl w:val="nil"/>
                  </w:tcBorders>
                  <w:noWrap w:val="0"/>
                  <w:vAlign w:val="center"/>
                </w:tcPr>
                <w:p w14:paraId="285737D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2</w:t>
                  </w:r>
                </w:p>
              </w:tc>
              <w:tc>
                <w:tcPr>
                  <w:tcW w:w="479" w:type="pct"/>
                  <w:tcBorders>
                    <w:tl2br w:val="nil"/>
                    <w:tr2bl w:val="nil"/>
                  </w:tcBorders>
                  <w:noWrap w:val="0"/>
                  <w:vAlign w:val="center"/>
                </w:tcPr>
                <w:p w14:paraId="168C6B3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4672FB4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388" w:type="pct"/>
                  <w:tcBorders>
                    <w:tl2br w:val="nil"/>
                    <w:tr2bl w:val="nil"/>
                  </w:tcBorders>
                  <w:noWrap w:val="0"/>
                  <w:vAlign w:val="center"/>
                </w:tcPr>
                <w:p w14:paraId="1752C0B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b w:val="0"/>
                      <w:bCs/>
                      <w:color w:val="000000"/>
                      <w:sz w:val="18"/>
                      <w:szCs w:val="18"/>
                      <w:lang w:val="en-US" w:eastAsia="zh-CN"/>
                    </w:rPr>
                    <w:t>2</w:t>
                  </w:r>
                </w:p>
              </w:tc>
              <w:tc>
                <w:tcPr>
                  <w:tcW w:w="1264" w:type="pct"/>
                  <w:tcBorders>
                    <w:tl2br w:val="nil"/>
                    <w:tr2bl w:val="nil"/>
                  </w:tcBorders>
                  <w:noWrap w:val="0"/>
                  <w:vAlign w:val="center"/>
                </w:tcPr>
                <w:p w14:paraId="7961218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EDI装置</w:t>
                  </w:r>
                </w:p>
              </w:tc>
              <w:tc>
                <w:tcPr>
                  <w:tcW w:w="2014" w:type="pct"/>
                  <w:tcBorders>
                    <w:tl2br w:val="nil"/>
                    <w:tr2bl w:val="nil"/>
                  </w:tcBorders>
                  <w:noWrap w:val="0"/>
                  <w:vAlign w:val="center"/>
                </w:tcPr>
                <w:p w14:paraId="4DC3693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Q=</w:t>
                  </w:r>
                  <w:r>
                    <w:rPr>
                      <w:rFonts w:hint="default" w:ascii="Times New Roman" w:hAnsi="Times New Roman" w:eastAsia="宋体" w:cs="Times New Roman"/>
                      <w:sz w:val="18"/>
                      <w:szCs w:val="18"/>
                      <w:highlight w:val="none"/>
                      <w:lang w:val="en-US" w:eastAsia="zh-CN"/>
                    </w:rPr>
                    <w:t>15</w:t>
                  </w:r>
                  <w:r>
                    <w:rPr>
                      <w:rFonts w:hint="default" w:ascii="Times New Roman" w:hAnsi="Times New Roman" w:eastAsia="宋体" w:cs="Times New Roman"/>
                      <w:sz w:val="18"/>
                      <w:szCs w:val="18"/>
                      <w:highlight w:val="none"/>
                    </w:rPr>
                    <w:t>m</w:t>
                  </w:r>
                  <w:r>
                    <w:rPr>
                      <w:rFonts w:hint="default" w:ascii="Times New Roman" w:hAnsi="Times New Roman" w:eastAsia="宋体" w:cs="Times New Roman"/>
                      <w:sz w:val="18"/>
                      <w:szCs w:val="18"/>
                      <w:highlight w:val="none"/>
                      <w:vertAlign w:val="superscript"/>
                    </w:rPr>
                    <w:t>3</w:t>
                  </w:r>
                  <w:r>
                    <w:rPr>
                      <w:rFonts w:hint="default" w:ascii="Times New Roman" w:hAnsi="Times New Roman" w:eastAsia="宋体" w:cs="Times New Roman"/>
                      <w:sz w:val="18"/>
                      <w:szCs w:val="18"/>
                      <w:highlight w:val="none"/>
                    </w:rPr>
                    <w:t>/h</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25℃</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回收率90%</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三年内）</w:t>
                  </w:r>
                </w:p>
              </w:tc>
              <w:tc>
                <w:tcPr>
                  <w:tcW w:w="397" w:type="pct"/>
                  <w:tcBorders>
                    <w:tl2br w:val="nil"/>
                    <w:tr2bl w:val="nil"/>
                  </w:tcBorders>
                  <w:noWrap w:val="0"/>
                  <w:vAlign w:val="center"/>
                </w:tcPr>
                <w:p w14:paraId="252EF58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套</w:t>
                  </w:r>
                </w:p>
              </w:tc>
              <w:tc>
                <w:tcPr>
                  <w:tcW w:w="455" w:type="pct"/>
                  <w:tcBorders>
                    <w:tl2br w:val="nil"/>
                    <w:tr2bl w:val="nil"/>
                  </w:tcBorders>
                  <w:noWrap w:val="0"/>
                  <w:vAlign w:val="center"/>
                </w:tcPr>
                <w:p w14:paraId="2524033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2</w:t>
                  </w:r>
                </w:p>
              </w:tc>
              <w:tc>
                <w:tcPr>
                  <w:tcW w:w="479" w:type="pct"/>
                  <w:tcBorders>
                    <w:tl2br w:val="nil"/>
                    <w:tr2bl w:val="nil"/>
                  </w:tcBorders>
                  <w:noWrap w:val="0"/>
                  <w:vAlign w:val="center"/>
                </w:tcPr>
                <w:p w14:paraId="015E412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03CF7F5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501608FA">
                  <w:pPr>
                    <w:keepNext w:val="0"/>
                    <w:keepLines w:val="0"/>
                    <w:pageBreakBefore w:val="0"/>
                    <w:kinsoku/>
                    <w:wordWrap/>
                    <w:overflowPunct/>
                    <w:topLinePunct w:val="0"/>
                    <w:autoSpaceDE/>
                    <w:autoSpaceDN/>
                    <w:bidi w:val="0"/>
                    <w:adjustRightInd/>
                    <w:snapToGrid w:val="0"/>
                    <w:spacing w:line="240" w:lineRule="auto"/>
                    <w:ind w:left="0" w:leftChars="0" w:right="0" w:rightChars="0" w:firstLine="180" w:firstLineChars="100"/>
                    <w:jc w:val="both"/>
                    <w:textAlignment w:val="auto"/>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3</w:t>
                  </w:r>
                </w:p>
              </w:tc>
              <w:tc>
                <w:tcPr>
                  <w:tcW w:w="1264" w:type="pct"/>
                  <w:tcBorders>
                    <w:tl2br w:val="nil"/>
                    <w:tr2bl w:val="nil"/>
                  </w:tcBorders>
                  <w:noWrap w:val="0"/>
                  <w:vAlign w:val="center"/>
                </w:tcPr>
                <w:p w14:paraId="4E60710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RO/EDI化学清洗装置</w:t>
                  </w:r>
                </w:p>
              </w:tc>
              <w:tc>
                <w:tcPr>
                  <w:tcW w:w="2014" w:type="pct"/>
                  <w:tcBorders>
                    <w:tl2br w:val="nil"/>
                    <w:tr2bl w:val="nil"/>
                  </w:tcBorders>
                  <w:noWrap w:val="0"/>
                  <w:vAlign w:val="center"/>
                </w:tcPr>
                <w:p w14:paraId="43305EC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与RO/EDI配套</w:t>
                  </w:r>
                </w:p>
              </w:tc>
              <w:tc>
                <w:tcPr>
                  <w:tcW w:w="397" w:type="pct"/>
                  <w:tcBorders>
                    <w:tl2br w:val="nil"/>
                    <w:tr2bl w:val="nil"/>
                  </w:tcBorders>
                  <w:noWrap w:val="0"/>
                  <w:vAlign w:val="center"/>
                </w:tcPr>
                <w:p w14:paraId="6A869F2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套</w:t>
                  </w:r>
                </w:p>
              </w:tc>
              <w:tc>
                <w:tcPr>
                  <w:tcW w:w="455" w:type="pct"/>
                  <w:tcBorders>
                    <w:tl2br w:val="nil"/>
                    <w:tr2bl w:val="nil"/>
                  </w:tcBorders>
                  <w:noWrap w:val="0"/>
                  <w:vAlign w:val="center"/>
                </w:tcPr>
                <w:p w14:paraId="2B71379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1</w:t>
                  </w:r>
                </w:p>
              </w:tc>
              <w:tc>
                <w:tcPr>
                  <w:tcW w:w="479" w:type="pct"/>
                  <w:tcBorders>
                    <w:tl2br w:val="nil"/>
                    <w:tr2bl w:val="nil"/>
                  </w:tcBorders>
                  <w:noWrap w:val="0"/>
                  <w:vAlign w:val="center"/>
                </w:tcPr>
                <w:p w14:paraId="0C068D7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59D4D7B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388" w:type="pct"/>
                  <w:tcBorders>
                    <w:tl2br w:val="nil"/>
                    <w:tr2bl w:val="nil"/>
                  </w:tcBorders>
                  <w:noWrap w:val="0"/>
                  <w:vAlign w:val="center"/>
                </w:tcPr>
                <w:p w14:paraId="3B690B0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4</w:t>
                  </w:r>
                </w:p>
              </w:tc>
              <w:tc>
                <w:tcPr>
                  <w:tcW w:w="1264" w:type="pct"/>
                  <w:tcBorders>
                    <w:tl2br w:val="nil"/>
                    <w:tr2bl w:val="nil"/>
                  </w:tcBorders>
                  <w:noWrap w:val="0"/>
                  <w:vAlign w:val="center"/>
                </w:tcPr>
                <w:p w14:paraId="2870DEB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水箱、水泵</w:t>
                  </w:r>
                </w:p>
              </w:tc>
              <w:tc>
                <w:tcPr>
                  <w:tcW w:w="2014" w:type="pct"/>
                  <w:tcBorders>
                    <w:tl2br w:val="nil"/>
                    <w:tr2bl w:val="nil"/>
                  </w:tcBorders>
                  <w:noWrap w:val="0"/>
                  <w:vAlign w:val="center"/>
                </w:tcPr>
                <w:p w14:paraId="3C04BFA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与系统配套</w:t>
                  </w:r>
                </w:p>
              </w:tc>
              <w:tc>
                <w:tcPr>
                  <w:tcW w:w="397" w:type="pct"/>
                  <w:tcBorders>
                    <w:tl2br w:val="nil"/>
                    <w:tr2bl w:val="nil"/>
                  </w:tcBorders>
                  <w:noWrap w:val="0"/>
                  <w:vAlign w:val="center"/>
                </w:tcPr>
                <w:p w14:paraId="2178FE9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批</w:t>
                  </w:r>
                </w:p>
              </w:tc>
              <w:tc>
                <w:tcPr>
                  <w:tcW w:w="455" w:type="pct"/>
                  <w:tcBorders>
                    <w:tl2br w:val="nil"/>
                    <w:tr2bl w:val="nil"/>
                  </w:tcBorders>
                  <w:noWrap w:val="0"/>
                  <w:vAlign w:val="center"/>
                </w:tcPr>
                <w:p w14:paraId="38857FA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1</w:t>
                  </w:r>
                </w:p>
              </w:tc>
              <w:tc>
                <w:tcPr>
                  <w:tcW w:w="479" w:type="pct"/>
                  <w:tcBorders>
                    <w:tl2br w:val="nil"/>
                    <w:tr2bl w:val="nil"/>
                  </w:tcBorders>
                  <w:noWrap w:val="0"/>
                  <w:vAlign w:val="center"/>
                </w:tcPr>
                <w:p w14:paraId="18680D8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30D33D7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jc w:val="center"/>
              </w:trPr>
              <w:tc>
                <w:tcPr>
                  <w:tcW w:w="388" w:type="pct"/>
                  <w:tcBorders>
                    <w:tl2br w:val="nil"/>
                    <w:tr2bl w:val="nil"/>
                  </w:tcBorders>
                  <w:noWrap w:val="0"/>
                  <w:vAlign w:val="center"/>
                </w:tcPr>
                <w:p w14:paraId="138E6ED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5</w:t>
                  </w:r>
                </w:p>
              </w:tc>
              <w:tc>
                <w:tcPr>
                  <w:tcW w:w="1264" w:type="pct"/>
                  <w:tcBorders>
                    <w:tl2br w:val="nil"/>
                    <w:tr2bl w:val="nil"/>
                  </w:tcBorders>
                  <w:noWrap w:val="0"/>
                  <w:vAlign w:val="center"/>
                </w:tcPr>
                <w:p w14:paraId="173B456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加药装置</w:t>
                  </w:r>
                </w:p>
              </w:tc>
              <w:tc>
                <w:tcPr>
                  <w:tcW w:w="2014" w:type="pct"/>
                  <w:tcBorders>
                    <w:tl2br w:val="nil"/>
                    <w:tr2bl w:val="nil"/>
                  </w:tcBorders>
                  <w:noWrap w:val="0"/>
                  <w:vAlign w:val="center"/>
                </w:tcPr>
                <w:p w14:paraId="4729F32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与系统配套</w:t>
                  </w:r>
                </w:p>
              </w:tc>
              <w:tc>
                <w:tcPr>
                  <w:tcW w:w="397" w:type="pct"/>
                  <w:tcBorders>
                    <w:tl2br w:val="nil"/>
                    <w:tr2bl w:val="nil"/>
                  </w:tcBorders>
                  <w:noWrap w:val="0"/>
                  <w:vAlign w:val="center"/>
                </w:tcPr>
                <w:p w14:paraId="7439870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批</w:t>
                  </w:r>
                </w:p>
              </w:tc>
              <w:tc>
                <w:tcPr>
                  <w:tcW w:w="455" w:type="pct"/>
                  <w:tcBorders>
                    <w:tl2br w:val="nil"/>
                    <w:tr2bl w:val="nil"/>
                  </w:tcBorders>
                  <w:noWrap w:val="0"/>
                  <w:vAlign w:val="center"/>
                </w:tcPr>
                <w:p w14:paraId="3025AB1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1</w:t>
                  </w:r>
                </w:p>
              </w:tc>
              <w:tc>
                <w:tcPr>
                  <w:tcW w:w="479" w:type="pct"/>
                  <w:tcBorders>
                    <w:tl2br w:val="nil"/>
                    <w:tr2bl w:val="nil"/>
                  </w:tcBorders>
                  <w:noWrap w:val="0"/>
                  <w:vAlign w:val="center"/>
                </w:tcPr>
                <w:p w14:paraId="00C4CD5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2C57D75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88" w:type="pct"/>
                  <w:tcBorders>
                    <w:tl2br w:val="nil"/>
                    <w:tr2bl w:val="nil"/>
                  </w:tcBorders>
                  <w:noWrap w:val="0"/>
                  <w:vAlign w:val="center"/>
                </w:tcPr>
                <w:p w14:paraId="69853EC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（2）</w:t>
                  </w:r>
                </w:p>
              </w:tc>
              <w:tc>
                <w:tcPr>
                  <w:tcW w:w="1264" w:type="pct"/>
                  <w:tcBorders>
                    <w:tl2br w:val="nil"/>
                    <w:tr2bl w:val="nil"/>
                  </w:tcBorders>
                  <w:noWrap w:val="0"/>
                  <w:vAlign w:val="center"/>
                </w:tcPr>
                <w:p w14:paraId="33E8056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凝结水精处理系统</w:t>
                  </w:r>
                </w:p>
              </w:tc>
              <w:tc>
                <w:tcPr>
                  <w:tcW w:w="2014" w:type="pct"/>
                  <w:tcBorders>
                    <w:tl2br w:val="nil"/>
                    <w:tr2bl w:val="nil"/>
                  </w:tcBorders>
                  <w:noWrap w:val="0"/>
                  <w:vAlign w:val="center"/>
                </w:tcPr>
                <w:p w14:paraId="7F3E0FF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p>
              </w:tc>
              <w:tc>
                <w:tcPr>
                  <w:tcW w:w="397" w:type="pct"/>
                  <w:tcBorders>
                    <w:tl2br w:val="nil"/>
                    <w:tr2bl w:val="nil"/>
                  </w:tcBorders>
                  <w:noWrap w:val="0"/>
                  <w:vAlign w:val="center"/>
                </w:tcPr>
                <w:p w14:paraId="43A11D1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p>
              </w:tc>
              <w:tc>
                <w:tcPr>
                  <w:tcW w:w="455" w:type="pct"/>
                  <w:tcBorders>
                    <w:tl2br w:val="nil"/>
                    <w:tr2bl w:val="nil"/>
                  </w:tcBorders>
                  <w:noWrap w:val="0"/>
                  <w:vAlign w:val="center"/>
                </w:tcPr>
                <w:p w14:paraId="31A7C6C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bidi="ar-SA"/>
                    </w:rPr>
                  </w:pPr>
                </w:p>
              </w:tc>
              <w:tc>
                <w:tcPr>
                  <w:tcW w:w="479" w:type="pct"/>
                  <w:tcBorders>
                    <w:tl2br w:val="nil"/>
                    <w:tr2bl w:val="nil"/>
                  </w:tcBorders>
                  <w:noWrap w:val="0"/>
                  <w:vAlign w:val="center"/>
                </w:tcPr>
                <w:p w14:paraId="0120BE5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03C1950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388" w:type="pct"/>
                  <w:tcBorders>
                    <w:tl2br w:val="nil"/>
                    <w:tr2bl w:val="nil"/>
                  </w:tcBorders>
                  <w:noWrap w:val="0"/>
                  <w:vAlign w:val="center"/>
                </w:tcPr>
                <w:p w14:paraId="79A32FB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w:t>
                  </w:r>
                </w:p>
              </w:tc>
              <w:tc>
                <w:tcPr>
                  <w:tcW w:w="1264" w:type="pct"/>
                  <w:tcBorders>
                    <w:tl2br w:val="nil"/>
                    <w:tr2bl w:val="nil"/>
                  </w:tcBorders>
                  <w:noWrap w:val="0"/>
                  <w:vAlign w:val="center"/>
                </w:tcPr>
                <w:p w14:paraId="2F74FBB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再循环泵</w:t>
                  </w:r>
                </w:p>
              </w:tc>
              <w:tc>
                <w:tcPr>
                  <w:tcW w:w="2014" w:type="pct"/>
                  <w:tcBorders>
                    <w:tl2br w:val="nil"/>
                    <w:tr2bl w:val="nil"/>
                  </w:tcBorders>
                  <w:noWrap w:val="0"/>
                  <w:vAlign w:val="center"/>
                </w:tcPr>
                <w:p w14:paraId="408524C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Q=60~120m</w:t>
                  </w:r>
                  <w:r>
                    <w:rPr>
                      <w:rFonts w:hint="default" w:ascii="Times New Roman" w:hAnsi="Times New Roman" w:eastAsia="宋体" w:cs="Times New Roman"/>
                      <w:sz w:val="18"/>
                      <w:szCs w:val="18"/>
                      <w:highlight w:val="none"/>
                      <w:vertAlign w:val="superscript"/>
                    </w:rPr>
                    <w:t>3</w:t>
                  </w:r>
                  <w:r>
                    <w:rPr>
                      <w:rFonts w:hint="default" w:ascii="Times New Roman" w:hAnsi="Times New Roman" w:eastAsia="宋体" w:cs="Times New Roman"/>
                      <w:sz w:val="18"/>
                      <w:szCs w:val="18"/>
                      <w:highlight w:val="none"/>
                    </w:rPr>
                    <w:t>/h</w:t>
                  </w:r>
                  <w:r>
                    <w:rPr>
                      <w:rFonts w:hint="eastAsia" w:eastAsia="宋体" w:cs="Times New Roman"/>
                      <w:sz w:val="18"/>
                      <w:szCs w:val="18"/>
                      <w:highlight w:val="none"/>
                      <w:lang w:eastAsia="zh-CN"/>
                    </w:rPr>
                    <w:t>，</w:t>
                  </w:r>
                  <w:r>
                    <w:rPr>
                      <w:rFonts w:hint="default" w:ascii="Times New Roman" w:hAnsi="Times New Roman" w:eastAsia="宋体" w:cs="Times New Roman"/>
                      <w:sz w:val="18"/>
                      <w:szCs w:val="18"/>
                      <w:highlight w:val="none"/>
                    </w:rPr>
                    <w:t>H=0.34~0.30MPa，N=15kW</w:t>
                  </w:r>
                </w:p>
              </w:tc>
              <w:tc>
                <w:tcPr>
                  <w:tcW w:w="397" w:type="pct"/>
                  <w:tcBorders>
                    <w:tl2br w:val="nil"/>
                    <w:tr2bl w:val="nil"/>
                  </w:tcBorders>
                  <w:noWrap w:val="0"/>
                  <w:vAlign w:val="center"/>
                </w:tcPr>
                <w:p w14:paraId="35F08E9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1F5B57E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p>
              </w:tc>
              <w:tc>
                <w:tcPr>
                  <w:tcW w:w="479" w:type="pct"/>
                  <w:tcBorders>
                    <w:tl2br w:val="nil"/>
                    <w:tr2bl w:val="nil"/>
                  </w:tcBorders>
                  <w:noWrap w:val="0"/>
                  <w:vAlign w:val="center"/>
                </w:tcPr>
                <w:p w14:paraId="26867B0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171A8F5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noWrap w:val="0"/>
                  <w:vAlign w:val="center"/>
                </w:tcPr>
                <w:p w14:paraId="794DCA52">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2</w:t>
                  </w:r>
                </w:p>
              </w:tc>
              <w:tc>
                <w:tcPr>
                  <w:tcW w:w="1264" w:type="pct"/>
                  <w:tcBorders>
                    <w:tl2br w:val="nil"/>
                    <w:tr2bl w:val="nil"/>
                  </w:tcBorders>
                  <w:noWrap w:val="0"/>
                  <w:vAlign w:val="center"/>
                </w:tcPr>
                <w:p w14:paraId="37BE7EA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树脂分离罐</w:t>
                  </w:r>
                </w:p>
              </w:tc>
              <w:tc>
                <w:tcPr>
                  <w:tcW w:w="2014" w:type="pct"/>
                  <w:tcBorders>
                    <w:tl2br w:val="nil"/>
                    <w:tr2bl w:val="nil"/>
                  </w:tcBorders>
                  <w:noWrap w:val="0"/>
                  <w:vAlign w:val="center"/>
                </w:tcPr>
                <w:p w14:paraId="2D2CB58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DN900/DN1500  PN0.6MPa，Q235-B衬胶</w:t>
                  </w:r>
                </w:p>
              </w:tc>
              <w:tc>
                <w:tcPr>
                  <w:tcW w:w="397" w:type="pct"/>
                  <w:tcBorders>
                    <w:tl2br w:val="nil"/>
                    <w:tr2bl w:val="nil"/>
                  </w:tcBorders>
                  <w:noWrap w:val="0"/>
                  <w:vAlign w:val="center"/>
                </w:tcPr>
                <w:p w14:paraId="2703C47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027E0FA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319ACF0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39679FD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388" w:type="pct"/>
                  <w:tcBorders>
                    <w:tl2br w:val="nil"/>
                    <w:tr2bl w:val="nil"/>
                  </w:tcBorders>
                  <w:noWrap w:val="0"/>
                  <w:vAlign w:val="center"/>
                </w:tcPr>
                <w:p w14:paraId="06A524E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3</w:t>
                  </w:r>
                </w:p>
              </w:tc>
              <w:tc>
                <w:tcPr>
                  <w:tcW w:w="1264" w:type="pct"/>
                  <w:tcBorders>
                    <w:tl2br w:val="nil"/>
                    <w:tr2bl w:val="nil"/>
                  </w:tcBorders>
                  <w:noWrap w:val="0"/>
                  <w:vAlign w:val="center"/>
                </w:tcPr>
                <w:p w14:paraId="1B80E3B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阴再生罐</w:t>
                  </w:r>
                </w:p>
              </w:tc>
              <w:tc>
                <w:tcPr>
                  <w:tcW w:w="2014" w:type="pct"/>
                  <w:tcBorders>
                    <w:tl2br w:val="nil"/>
                    <w:tr2bl w:val="nil"/>
                  </w:tcBorders>
                  <w:noWrap w:val="0"/>
                  <w:vAlign w:val="center"/>
                </w:tcPr>
                <w:p w14:paraId="569FEAF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DN800  PN0.6MPa，Q235-B衬胶</w:t>
                  </w:r>
                </w:p>
              </w:tc>
              <w:tc>
                <w:tcPr>
                  <w:tcW w:w="397" w:type="pct"/>
                  <w:tcBorders>
                    <w:tl2br w:val="nil"/>
                    <w:tr2bl w:val="nil"/>
                  </w:tcBorders>
                  <w:noWrap w:val="0"/>
                  <w:vAlign w:val="center"/>
                </w:tcPr>
                <w:p w14:paraId="05663BF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78374E5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2FCE57C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46CDA1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388" w:type="pct"/>
                  <w:tcBorders>
                    <w:tl2br w:val="nil"/>
                    <w:tr2bl w:val="nil"/>
                  </w:tcBorders>
                  <w:noWrap w:val="0"/>
                  <w:vAlign w:val="center"/>
                </w:tcPr>
                <w:p w14:paraId="40308D7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4</w:t>
                  </w:r>
                </w:p>
              </w:tc>
              <w:tc>
                <w:tcPr>
                  <w:tcW w:w="1264" w:type="pct"/>
                  <w:tcBorders>
                    <w:tl2br w:val="nil"/>
                    <w:tr2bl w:val="nil"/>
                  </w:tcBorders>
                  <w:noWrap w:val="0"/>
                  <w:vAlign w:val="center"/>
                </w:tcPr>
                <w:p w14:paraId="1A197F3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阳再生兼贮存罐</w:t>
                  </w:r>
                </w:p>
              </w:tc>
              <w:tc>
                <w:tcPr>
                  <w:tcW w:w="2014" w:type="pct"/>
                  <w:tcBorders>
                    <w:tl2br w:val="nil"/>
                    <w:tr2bl w:val="nil"/>
                  </w:tcBorders>
                  <w:noWrap w:val="0"/>
                  <w:vAlign w:val="center"/>
                </w:tcPr>
                <w:p w14:paraId="4F09C29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DN1000  PN0.6MPa，Q235-B衬胶</w:t>
                  </w:r>
                </w:p>
              </w:tc>
              <w:tc>
                <w:tcPr>
                  <w:tcW w:w="397" w:type="pct"/>
                  <w:tcBorders>
                    <w:tl2br w:val="nil"/>
                    <w:tr2bl w:val="nil"/>
                  </w:tcBorders>
                  <w:noWrap w:val="0"/>
                  <w:vAlign w:val="center"/>
                </w:tcPr>
                <w:p w14:paraId="6883A56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3D50BB1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2E2CE96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1F459F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388" w:type="pct"/>
                  <w:tcBorders>
                    <w:tl2br w:val="nil"/>
                    <w:tr2bl w:val="nil"/>
                  </w:tcBorders>
                  <w:noWrap w:val="0"/>
                  <w:vAlign w:val="center"/>
                </w:tcPr>
                <w:p w14:paraId="03BEC7B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5</w:t>
                  </w:r>
                </w:p>
              </w:tc>
              <w:tc>
                <w:tcPr>
                  <w:tcW w:w="1264" w:type="pct"/>
                  <w:tcBorders>
                    <w:tl2br w:val="nil"/>
                    <w:tr2bl w:val="nil"/>
                  </w:tcBorders>
                  <w:noWrap w:val="0"/>
                  <w:vAlign w:val="center"/>
                </w:tcPr>
                <w:p w14:paraId="50C12C3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废水树脂捕捉器</w:t>
                  </w:r>
                </w:p>
              </w:tc>
              <w:tc>
                <w:tcPr>
                  <w:tcW w:w="2014" w:type="pct"/>
                  <w:tcBorders>
                    <w:tl2br w:val="nil"/>
                    <w:tr2bl w:val="nil"/>
                  </w:tcBorders>
                  <w:noWrap w:val="0"/>
                  <w:vAlign w:val="center"/>
                </w:tcPr>
                <w:p w14:paraId="54FB3A0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DN</w:t>
                  </w:r>
                  <w:r>
                    <w:rPr>
                      <w:rFonts w:hint="default" w:ascii="Times New Roman" w:hAnsi="Times New Roman" w:eastAsia="宋体" w:cs="Times New Roman"/>
                      <w:sz w:val="18"/>
                      <w:szCs w:val="18"/>
                      <w:highlight w:val="none"/>
                      <w:lang w:val="en-US" w:eastAsia="zh-CN"/>
                    </w:rPr>
                    <w:t>5</w:t>
                  </w:r>
                  <w:r>
                    <w:rPr>
                      <w:rFonts w:hint="default" w:ascii="Times New Roman" w:hAnsi="Times New Roman" w:eastAsia="宋体" w:cs="Times New Roman"/>
                      <w:sz w:val="18"/>
                      <w:szCs w:val="18"/>
                      <w:highlight w:val="none"/>
                    </w:rPr>
                    <w:t>00  PN0.6MPa，Q235-B衬胶</w:t>
                  </w:r>
                </w:p>
              </w:tc>
              <w:tc>
                <w:tcPr>
                  <w:tcW w:w="397" w:type="pct"/>
                  <w:tcBorders>
                    <w:tl2br w:val="nil"/>
                    <w:tr2bl w:val="nil"/>
                  </w:tcBorders>
                  <w:noWrap w:val="0"/>
                  <w:vAlign w:val="center"/>
                </w:tcPr>
                <w:p w14:paraId="135AC37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4FFC272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30F8BEB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000000"/>
                      <w:sz w:val="18"/>
                      <w:szCs w:val="18"/>
                    </w:rPr>
                  </w:pPr>
                </w:p>
              </w:tc>
            </w:tr>
            <w:tr w14:paraId="6D65FD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388" w:type="pct"/>
                  <w:tcBorders>
                    <w:tl2br w:val="nil"/>
                    <w:tr2bl w:val="nil"/>
                  </w:tcBorders>
                  <w:noWrap w:val="0"/>
                  <w:vAlign w:val="center"/>
                </w:tcPr>
                <w:p w14:paraId="762F26F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6</w:t>
                  </w:r>
                </w:p>
              </w:tc>
              <w:tc>
                <w:tcPr>
                  <w:tcW w:w="1264" w:type="pct"/>
                  <w:tcBorders>
                    <w:tl2br w:val="nil"/>
                    <w:tr2bl w:val="nil"/>
                  </w:tcBorders>
                  <w:noWrap w:val="0"/>
                  <w:vAlign w:val="center"/>
                </w:tcPr>
                <w:p w14:paraId="17F225F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电热水罐</w:t>
                  </w:r>
                </w:p>
              </w:tc>
              <w:tc>
                <w:tcPr>
                  <w:tcW w:w="2014" w:type="pct"/>
                  <w:tcBorders>
                    <w:tl2br w:val="nil"/>
                    <w:tr2bl w:val="nil"/>
                  </w:tcBorders>
                  <w:noWrap w:val="0"/>
                  <w:vAlign w:val="center"/>
                </w:tcPr>
                <w:p w14:paraId="6179663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V=4m</w:t>
                  </w:r>
                  <w:r>
                    <w:rPr>
                      <w:rFonts w:hint="default" w:ascii="Times New Roman" w:hAnsi="Times New Roman" w:eastAsia="宋体" w:cs="Times New Roman"/>
                      <w:sz w:val="18"/>
                      <w:szCs w:val="18"/>
                      <w:highlight w:val="none"/>
                      <w:vertAlign w:val="superscript"/>
                    </w:rPr>
                    <w:t>3</w:t>
                  </w:r>
                  <w:r>
                    <w:rPr>
                      <w:rFonts w:hint="eastAsia"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DN1500  PN1.0MPa 不锈钢S30408材质</w:t>
                  </w:r>
                </w:p>
              </w:tc>
              <w:tc>
                <w:tcPr>
                  <w:tcW w:w="397" w:type="pct"/>
                  <w:tcBorders>
                    <w:tl2br w:val="nil"/>
                    <w:tr2bl w:val="nil"/>
                  </w:tcBorders>
                  <w:noWrap w:val="0"/>
                  <w:vAlign w:val="center"/>
                </w:tcPr>
                <w:p w14:paraId="2C5A091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6FAD600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3F144F3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rPr>
                  </w:pPr>
                </w:p>
              </w:tc>
            </w:tr>
            <w:tr w14:paraId="1F66ED1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388" w:type="pct"/>
                  <w:tcBorders>
                    <w:tl2br w:val="nil"/>
                    <w:tr2bl w:val="nil"/>
                  </w:tcBorders>
                  <w:noWrap w:val="0"/>
                  <w:vAlign w:val="center"/>
                </w:tcPr>
                <w:p w14:paraId="1839179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7</w:t>
                  </w:r>
                </w:p>
              </w:tc>
              <w:tc>
                <w:tcPr>
                  <w:tcW w:w="1264" w:type="pct"/>
                  <w:tcBorders>
                    <w:tl2br w:val="nil"/>
                    <w:tr2bl w:val="nil"/>
                  </w:tcBorders>
                  <w:noWrap w:val="0"/>
                  <w:vAlign w:val="center"/>
                </w:tcPr>
                <w:p w14:paraId="18B3966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酸储存罐</w:t>
                  </w:r>
                </w:p>
              </w:tc>
              <w:tc>
                <w:tcPr>
                  <w:tcW w:w="2014" w:type="pct"/>
                  <w:tcBorders>
                    <w:tl2br w:val="nil"/>
                    <w:tr2bl w:val="nil"/>
                  </w:tcBorders>
                  <w:noWrap w:val="0"/>
                  <w:vAlign w:val="center"/>
                </w:tcPr>
                <w:p w14:paraId="5E4A92A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V=10m</w:t>
                  </w:r>
                  <w:r>
                    <w:rPr>
                      <w:rFonts w:hint="default" w:ascii="Times New Roman" w:hAnsi="Times New Roman" w:eastAsia="宋体" w:cs="Times New Roman"/>
                      <w:sz w:val="18"/>
                      <w:szCs w:val="18"/>
                      <w:highlight w:val="none"/>
                      <w:vertAlign w:val="superscript"/>
                    </w:rPr>
                    <w:t>3</w:t>
                  </w:r>
                  <w:r>
                    <w:rPr>
                      <w:rFonts w:hint="default" w:ascii="Times New Roman" w:hAnsi="Times New Roman" w:eastAsia="宋体" w:cs="Times New Roman"/>
                      <w:sz w:val="18"/>
                      <w:szCs w:val="18"/>
                      <w:highlight w:val="none"/>
                    </w:rPr>
                    <w:t xml:space="preserve">   Q235B衬胶</w:t>
                  </w:r>
                </w:p>
              </w:tc>
              <w:tc>
                <w:tcPr>
                  <w:tcW w:w="397" w:type="pct"/>
                  <w:tcBorders>
                    <w:tl2br w:val="nil"/>
                    <w:tr2bl w:val="nil"/>
                  </w:tcBorders>
                  <w:noWrap w:val="0"/>
                  <w:vAlign w:val="center"/>
                </w:tcPr>
                <w:p w14:paraId="30B2831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603066D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4F5E5B4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rPr>
                  </w:pPr>
                </w:p>
              </w:tc>
            </w:tr>
            <w:tr w14:paraId="0D49921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388" w:type="pct"/>
                  <w:tcBorders>
                    <w:tl2br w:val="nil"/>
                    <w:tr2bl w:val="nil"/>
                  </w:tcBorders>
                  <w:noWrap w:val="0"/>
                  <w:vAlign w:val="center"/>
                </w:tcPr>
                <w:p w14:paraId="66348C5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8</w:t>
                  </w:r>
                </w:p>
              </w:tc>
              <w:tc>
                <w:tcPr>
                  <w:tcW w:w="1264" w:type="pct"/>
                  <w:tcBorders>
                    <w:tl2br w:val="nil"/>
                    <w:tr2bl w:val="nil"/>
                  </w:tcBorders>
                  <w:noWrap w:val="0"/>
                  <w:vAlign w:val="center"/>
                </w:tcPr>
                <w:p w14:paraId="7CB0FD3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碱储存罐</w:t>
                  </w:r>
                </w:p>
              </w:tc>
              <w:tc>
                <w:tcPr>
                  <w:tcW w:w="2014" w:type="pct"/>
                  <w:tcBorders>
                    <w:tl2br w:val="nil"/>
                    <w:tr2bl w:val="nil"/>
                  </w:tcBorders>
                  <w:noWrap w:val="0"/>
                  <w:vAlign w:val="center"/>
                </w:tcPr>
                <w:p w14:paraId="63EC591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V=10m</w:t>
                  </w:r>
                  <w:r>
                    <w:rPr>
                      <w:rFonts w:hint="default" w:ascii="Times New Roman" w:hAnsi="Times New Roman" w:eastAsia="宋体" w:cs="Times New Roman"/>
                      <w:sz w:val="18"/>
                      <w:szCs w:val="18"/>
                      <w:highlight w:val="none"/>
                      <w:vertAlign w:val="superscript"/>
                    </w:rPr>
                    <w:t>3</w:t>
                  </w:r>
                  <w:r>
                    <w:rPr>
                      <w:rFonts w:hint="default" w:ascii="Times New Roman" w:hAnsi="Times New Roman" w:eastAsia="宋体" w:cs="Times New Roman"/>
                      <w:sz w:val="18"/>
                      <w:szCs w:val="18"/>
                      <w:highlight w:val="none"/>
                    </w:rPr>
                    <w:t xml:space="preserve">   Q235B衬胶</w:t>
                  </w:r>
                </w:p>
              </w:tc>
              <w:tc>
                <w:tcPr>
                  <w:tcW w:w="397" w:type="pct"/>
                  <w:tcBorders>
                    <w:tl2br w:val="nil"/>
                    <w:tr2bl w:val="nil"/>
                  </w:tcBorders>
                  <w:noWrap w:val="0"/>
                  <w:vAlign w:val="center"/>
                </w:tcPr>
                <w:p w14:paraId="66A2411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台</w:t>
                  </w:r>
                </w:p>
              </w:tc>
              <w:tc>
                <w:tcPr>
                  <w:tcW w:w="455" w:type="pct"/>
                  <w:tcBorders>
                    <w:tl2br w:val="nil"/>
                    <w:tr2bl w:val="nil"/>
                  </w:tcBorders>
                  <w:noWrap w:val="0"/>
                  <w:vAlign w:val="center"/>
                </w:tcPr>
                <w:p w14:paraId="11213A8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33D9DE1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rPr>
                  </w:pPr>
                </w:p>
              </w:tc>
            </w:tr>
            <w:tr w14:paraId="0EE7AAB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388" w:type="pct"/>
                  <w:tcBorders>
                    <w:tl2br w:val="nil"/>
                    <w:tr2bl w:val="nil"/>
                  </w:tcBorders>
                  <w:noWrap w:val="0"/>
                  <w:vAlign w:val="center"/>
                </w:tcPr>
                <w:p w14:paraId="4B0B0408">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9</w:t>
                  </w:r>
                </w:p>
              </w:tc>
              <w:tc>
                <w:tcPr>
                  <w:tcW w:w="1264" w:type="pct"/>
                  <w:tcBorders>
                    <w:tl2br w:val="nil"/>
                    <w:tr2bl w:val="nil"/>
                  </w:tcBorders>
                  <w:noWrap w:val="0"/>
                  <w:vAlign w:val="center"/>
                </w:tcPr>
                <w:p w14:paraId="3C69EEC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水泵</w:t>
                  </w:r>
                </w:p>
              </w:tc>
              <w:tc>
                <w:tcPr>
                  <w:tcW w:w="2014" w:type="pct"/>
                  <w:tcBorders>
                    <w:tl2br w:val="nil"/>
                    <w:tr2bl w:val="nil"/>
                  </w:tcBorders>
                  <w:noWrap w:val="0"/>
                  <w:vAlign w:val="center"/>
                </w:tcPr>
                <w:p w14:paraId="07651C4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与系统配套</w:t>
                  </w:r>
                </w:p>
              </w:tc>
              <w:tc>
                <w:tcPr>
                  <w:tcW w:w="397" w:type="pct"/>
                  <w:tcBorders>
                    <w:tl2br w:val="nil"/>
                    <w:tr2bl w:val="nil"/>
                  </w:tcBorders>
                  <w:noWrap w:val="0"/>
                  <w:vAlign w:val="center"/>
                </w:tcPr>
                <w:p w14:paraId="727BA2D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批</w:t>
                  </w:r>
                </w:p>
              </w:tc>
              <w:tc>
                <w:tcPr>
                  <w:tcW w:w="455" w:type="pct"/>
                  <w:tcBorders>
                    <w:tl2br w:val="nil"/>
                    <w:tr2bl w:val="nil"/>
                  </w:tcBorders>
                  <w:noWrap w:val="0"/>
                  <w:vAlign w:val="center"/>
                </w:tcPr>
                <w:p w14:paraId="4E565E7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w:t>
                  </w:r>
                </w:p>
              </w:tc>
              <w:tc>
                <w:tcPr>
                  <w:tcW w:w="479" w:type="pct"/>
                  <w:tcBorders>
                    <w:tl2br w:val="nil"/>
                    <w:tr2bl w:val="nil"/>
                  </w:tcBorders>
                  <w:noWrap w:val="0"/>
                  <w:vAlign w:val="center"/>
                </w:tcPr>
                <w:p w14:paraId="6512374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rPr>
                  </w:pPr>
                </w:p>
              </w:tc>
            </w:tr>
            <w:tr w14:paraId="1628B87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5000" w:type="pct"/>
                  <w:gridSpan w:val="6"/>
                  <w:tcBorders>
                    <w:tl2br w:val="nil"/>
                    <w:tr2bl w:val="nil"/>
                  </w:tcBorders>
                  <w:shd w:val="clear" w:color="auto" w:fill="auto"/>
                  <w:noWrap w:val="0"/>
                  <w:vAlign w:val="center"/>
                </w:tcPr>
                <w:p w14:paraId="473C1E3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both"/>
                    <w:textAlignment w:val="auto"/>
                    <w:rPr>
                      <w:rFonts w:hint="default" w:ascii="Times New Roman" w:hAnsi="Times New Roman" w:eastAsia="宋体" w:cs="Times New Roman"/>
                      <w:b/>
                      <w:color w:val="auto"/>
                      <w:sz w:val="18"/>
                      <w:szCs w:val="18"/>
                      <w:highlight w:val="none"/>
                    </w:rPr>
                  </w:pPr>
                  <w:r>
                    <w:rPr>
                      <w:rFonts w:hint="eastAsia" w:ascii="Times New Roman" w:hAnsi="Times New Roman" w:eastAsia="宋体" w:cs="Times New Roman"/>
                      <w:b/>
                      <w:bCs w:val="0"/>
                      <w:color w:val="auto"/>
                      <w:sz w:val="18"/>
                      <w:szCs w:val="18"/>
                      <w:highlight w:val="none"/>
                      <w:lang w:val="en-US" w:eastAsia="zh-CN"/>
                    </w:rPr>
                    <w:t>五</w:t>
                  </w:r>
                  <w:r>
                    <w:rPr>
                      <w:rFonts w:hint="eastAsia" w:cs="Times New Roman"/>
                      <w:b/>
                      <w:bCs w:val="0"/>
                      <w:color w:val="auto"/>
                      <w:sz w:val="18"/>
                      <w:szCs w:val="18"/>
                      <w:highlight w:val="none"/>
                      <w:lang w:val="en-US" w:eastAsia="zh-CN"/>
                    </w:rPr>
                    <w:t>、</w:t>
                  </w:r>
                  <w:r>
                    <w:rPr>
                      <w:rFonts w:hint="eastAsia" w:ascii="Times New Roman" w:hAnsi="Times New Roman" w:eastAsia="宋体" w:cs="Times New Roman"/>
                      <w:b/>
                      <w:bCs w:val="0"/>
                      <w:color w:val="auto"/>
                      <w:sz w:val="18"/>
                      <w:szCs w:val="18"/>
                      <w:highlight w:val="none"/>
                      <w:lang w:val="en-US" w:eastAsia="zh-CN"/>
                    </w:rPr>
                    <w:t>脱硝系统</w:t>
                  </w:r>
                </w:p>
              </w:tc>
            </w:tr>
            <w:tr w14:paraId="3BF8B6A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shd w:val="clear" w:color="auto" w:fill="auto"/>
                  <w:noWrap w:val="0"/>
                  <w:vAlign w:val="center"/>
                </w:tcPr>
                <w:p w14:paraId="42DB6FA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w:t>
                  </w:r>
                </w:p>
              </w:tc>
              <w:tc>
                <w:tcPr>
                  <w:tcW w:w="1264" w:type="pct"/>
                  <w:tcBorders>
                    <w:tl2br w:val="nil"/>
                    <w:tr2bl w:val="nil"/>
                  </w:tcBorders>
                  <w:shd w:val="clear" w:color="000000" w:fill="FFFFFF"/>
                  <w:noWrap w:val="0"/>
                  <w:vAlign w:val="center"/>
                </w:tcPr>
                <w:p w14:paraId="2A31A66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稀释风机</w:t>
                  </w:r>
                </w:p>
              </w:tc>
              <w:tc>
                <w:tcPr>
                  <w:tcW w:w="2014" w:type="pct"/>
                  <w:tcBorders>
                    <w:tl2br w:val="nil"/>
                    <w:tr2bl w:val="nil"/>
                  </w:tcBorders>
                  <w:shd w:val="clear" w:color="000000" w:fill="FFFFFF"/>
                  <w:noWrap w:val="0"/>
                  <w:vAlign w:val="center"/>
                </w:tcPr>
                <w:p w14:paraId="0E4BDDC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风量8200m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/h，风压6kPa，介质：热风，温度215~300℃，机壳材质低锰合金钢Q355B，叶轮材质Q460，带进出口补偿器及进口过滤器</w:t>
                  </w:r>
                </w:p>
              </w:tc>
              <w:tc>
                <w:tcPr>
                  <w:tcW w:w="397" w:type="pct"/>
                  <w:tcBorders>
                    <w:tl2br w:val="nil"/>
                    <w:tr2bl w:val="nil"/>
                  </w:tcBorders>
                  <w:shd w:val="clear" w:color="000000" w:fill="FFFFFF"/>
                  <w:noWrap w:val="0"/>
                  <w:vAlign w:val="center"/>
                </w:tcPr>
                <w:p w14:paraId="3B31D54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2D7C7E9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479" w:type="pct"/>
                  <w:tcBorders>
                    <w:tl2br w:val="nil"/>
                    <w:tr2bl w:val="nil"/>
                  </w:tcBorders>
                  <w:noWrap w:val="0"/>
                  <w:vAlign w:val="center"/>
                </w:tcPr>
                <w:p w14:paraId="258C100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7E8361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388" w:type="pct"/>
                  <w:tcBorders>
                    <w:tl2br w:val="nil"/>
                    <w:tr2bl w:val="nil"/>
                  </w:tcBorders>
                  <w:shd w:val="clear" w:color="auto" w:fill="auto"/>
                  <w:noWrap w:val="0"/>
                  <w:vAlign w:val="center"/>
                </w:tcPr>
                <w:p w14:paraId="0DD185C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w:t>
                  </w:r>
                </w:p>
              </w:tc>
              <w:tc>
                <w:tcPr>
                  <w:tcW w:w="1264" w:type="pct"/>
                  <w:tcBorders>
                    <w:tl2br w:val="nil"/>
                    <w:tr2bl w:val="nil"/>
                  </w:tcBorders>
                  <w:shd w:val="clear" w:color="000000" w:fill="FFFFFF"/>
                  <w:noWrap w:val="0"/>
                  <w:vAlign w:val="center"/>
                </w:tcPr>
                <w:p w14:paraId="5A964A7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稀释风机冷却水增压泵</w:t>
                  </w:r>
                </w:p>
              </w:tc>
              <w:tc>
                <w:tcPr>
                  <w:tcW w:w="2014" w:type="pct"/>
                  <w:tcBorders>
                    <w:tl2br w:val="nil"/>
                    <w:tr2bl w:val="nil"/>
                  </w:tcBorders>
                  <w:shd w:val="clear" w:color="000000" w:fill="FFFFFF"/>
                  <w:noWrap w:val="0"/>
                  <w:vAlign w:val="center"/>
                </w:tcPr>
                <w:p w14:paraId="730D73E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Q=3m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/h，H=30m，碳钢</w:t>
                  </w:r>
                </w:p>
              </w:tc>
              <w:tc>
                <w:tcPr>
                  <w:tcW w:w="397" w:type="pct"/>
                  <w:tcBorders>
                    <w:tl2br w:val="nil"/>
                    <w:tr2bl w:val="nil"/>
                  </w:tcBorders>
                  <w:shd w:val="clear" w:color="000000" w:fill="FFFFFF"/>
                  <w:noWrap w:val="0"/>
                  <w:vAlign w:val="center"/>
                </w:tcPr>
                <w:p w14:paraId="49E3081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2637F61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479" w:type="pct"/>
                  <w:tcBorders>
                    <w:tl2br w:val="nil"/>
                    <w:tr2bl w:val="nil"/>
                  </w:tcBorders>
                  <w:noWrap w:val="0"/>
                  <w:vAlign w:val="center"/>
                </w:tcPr>
                <w:p w14:paraId="3A725A2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55329FA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388" w:type="pct"/>
                  <w:tcBorders>
                    <w:tl2br w:val="nil"/>
                    <w:tr2bl w:val="nil"/>
                  </w:tcBorders>
                  <w:shd w:val="clear" w:color="auto" w:fill="auto"/>
                  <w:noWrap w:val="0"/>
                  <w:vAlign w:val="center"/>
                </w:tcPr>
                <w:p w14:paraId="0C8B88E6">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w:t>
                  </w:r>
                </w:p>
              </w:tc>
              <w:tc>
                <w:tcPr>
                  <w:tcW w:w="1264" w:type="pct"/>
                  <w:tcBorders>
                    <w:tl2br w:val="nil"/>
                    <w:tr2bl w:val="nil"/>
                  </w:tcBorders>
                  <w:shd w:val="clear" w:color="000000" w:fill="FFFFFF"/>
                  <w:noWrap w:val="0"/>
                  <w:vAlign w:val="center"/>
                </w:tcPr>
                <w:p w14:paraId="20EE2E4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氨水蒸发器</w:t>
                  </w:r>
                </w:p>
              </w:tc>
              <w:tc>
                <w:tcPr>
                  <w:tcW w:w="2014" w:type="pct"/>
                  <w:tcBorders>
                    <w:tl2br w:val="nil"/>
                    <w:tr2bl w:val="nil"/>
                  </w:tcBorders>
                  <w:shd w:val="clear" w:color="000000" w:fill="FFFFFF"/>
                  <w:noWrap w:val="0"/>
                  <w:vAlign w:val="center"/>
                </w:tcPr>
                <w:p w14:paraId="1817625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成套设备，本体材质304，蒸汽蒸发，15~20%氨水全蒸发，蒸发量200kg/h</w:t>
                  </w:r>
                </w:p>
              </w:tc>
              <w:tc>
                <w:tcPr>
                  <w:tcW w:w="397" w:type="pct"/>
                  <w:tcBorders>
                    <w:tl2br w:val="nil"/>
                    <w:tr2bl w:val="nil"/>
                  </w:tcBorders>
                  <w:shd w:val="clear" w:color="000000" w:fill="FFFFFF"/>
                  <w:noWrap w:val="0"/>
                  <w:vAlign w:val="center"/>
                </w:tcPr>
                <w:p w14:paraId="54B66BB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套</w:t>
                  </w:r>
                </w:p>
              </w:tc>
              <w:tc>
                <w:tcPr>
                  <w:tcW w:w="455" w:type="pct"/>
                  <w:tcBorders>
                    <w:tl2br w:val="nil"/>
                    <w:tr2bl w:val="nil"/>
                  </w:tcBorders>
                  <w:shd w:val="clear" w:color="000000" w:fill="FFFFFF"/>
                  <w:noWrap w:val="0"/>
                  <w:vAlign w:val="center"/>
                </w:tcPr>
                <w:p w14:paraId="0B16349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479" w:type="pct"/>
                  <w:tcBorders>
                    <w:tl2br w:val="nil"/>
                    <w:tr2bl w:val="nil"/>
                  </w:tcBorders>
                  <w:noWrap w:val="0"/>
                  <w:vAlign w:val="center"/>
                </w:tcPr>
                <w:p w14:paraId="0959F6D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094AD2A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388" w:type="pct"/>
                  <w:tcBorders>
                    <w:tl2br w:val="nil"/>
                    <w:tr2bl w:val="nil"/>
                  </w:tcBorders>
                  <w:shd w:val="clear" w:color="auto" w:fill="auto"/>
                  <w:noWrap w:val="0"/>
                  <w:vAlign w:val="center"/>
                </w:tcPr>
                <w:p w14:paraId="4C8381D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1264" w:type="pct"/>
                  <w:tcBorders>
                    <w:tl2br w:val="nil"/>
                    <w:tr2bl w:val="nil"/>
                  </w:tcBorders>
                  <w:shd w:val="clear" w:color="000000" w:fill="FFFFFF"/>
                  <w:noWrap w:val="0"/>
                  <w:vAlign w:val="center"/>
                </w:tcPr>
                <w:p w14:paraId="53AA348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氨水输送泵</w:t>
                  </w:r>
                </w:p>
              </w:tc>
              <w:tc>
                <w:tcPr>
                  <w:tcW w:w="2014" w:type="pct"/>
                  <w:tcBorders>
                    <w:tl2br w:val="nil"/>
                    <w:tr2bl w:val="nil"/>
                  </w:tcBorders>
                  <w:shd w:val="clear" w:color="000000" w:fill="FFFFFF"/>
                  <w:noWrap w:val="0"/>
                  <w:vAlign w:val="center"/>
                </w:tcPr>
                <w:p w14:paraId="0C1D3C3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Q=1m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/h，H=100m，304，电机防爆</w:t>
                  </w:r>
                </w:p>
              </w:tc>
              <w:tc>
                <w:tcPr>
                  <w:tcW w:w="397" w:type="pct"/>
                  <w:tcBorders>
                    <w:tl2br w:val="nil"/>
                    <w:tr2bl w:val="nil"/>
                  </w:tcBorders>
                  <w:shd w:val="clear" w:color="000000" w:fill="FFFFFF"/>
                  <w:noWrap w:val="0"/>
                  <w:vAlign w:val="center"/>
                </w:tcPr>
                <w:p w14:paraId="21A07F2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462132B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479" w:type="pct"/>
                  <w:tcBorders>
                    <w:tl2br w:val="nil"/>
                    <w:tr2bl w:val="nil"/>
                  </w:tcBorders>
                  <w:noWrap w:val="0"/>
                  <w:vAlign w:val="center"/>
                </w:tcPr>
                <w:p w14:paraId="5DBB068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0D494E7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388" w:type="pct"/>
                  <w:tcBorders>
                    <w:tl2br w:val="nil"/>
                    <w:tr2bl w:val="nil"/>
                  </w:tcBorders>
                  <w:shd w:val="clear" w:color="auto" w:fill="auto"/>
                  <w:noWrap w:val="0"/>
                  <w:vAlign w:val="center"/>
                </w:tcPr>
                <w:p w14:paraId="56CF958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w:t>
                  </w:r>
                </w:p>
              </w:tc>
              <w:tc>
                <w:tcPr>
                  <w:tcW w:w="1264" w:type="pct"/>
                  <w:tcBorders>
                    <w:tl2br w:val="nil"/>
                    <w:tr2bl w:val="nil"/>
                  </w:tcBorders>
                  <w:shd w:val="clear" w:color="000000" w:fill="FFFFFF"/>
                  <w:noWrap w:val="0"/>
                  <w:vAlign w:val="center"/>
                </w:tcPr>
                <w:p w14:paraId="1A22527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卸氨泵</w:t>
                  </w:r>
                </w:p>
              </w:tc>
              <w:tc>
                <w:tcPr>
                  <w:tcW w:w="2014" w:type="pct"/>
                  <w:tcBorders>
                    <w:tl2br w:val="nil"/>
                    <w:tr2bl w:val="nil"/>
                  </w:tcBorders>
                  <w:shd w:val="clear" w:color="000000" w:fill="FFFFFF"/>
                  <w:noWrap w:val="0"/>
                  <w:vAlign w:val="center"/>
                </w:tcPr>
                <w:p w14:paraId="18172E0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Q=30m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/h，H=20m，304，电机防爆</w:t>
                  </w:r>
                </w:p>
              </w:tc>
              <w:tc>
                <w:tcPr>
                  <w:tcW w:w="397" w:type="pct"/>
                  <w:tcBorders>
                    <w:tl2br w:val="nil"/>
                    <w:tr2bl w:val="nil"/>
                  </w:tcBorders>
                  <w:shd w:val="clear" w:color="000000" w:fill="FFFFFF"/>
                  <w:noWrap w:val="0"/>
                  <w:vAlign w:val="center"/>
                </w:tcPr>
                <w:p w14:paraId="05FBF06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2FAADE1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479" w:type="pct"/>
                  <w:tcBorders>
                    <w:tl2br w:val="nil"/>
                    <w:tr2bl w:val="nil"/>
                  </w:tcBorders>
                  <w:noWrap w:val="0"/>
                  <w:vAlign w:val="center"/>
                </w:tcPr>
                <w:p w14:paraId="069BAD3D">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09F9A4D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388" w:type="pct"/>
                  <w:tcBorders>
                    <w:tl2br w:val="nil"/>
                    <w:tr2bl w:val="nil"/>
                  </w:tcBorders>
                  <w:shd w:val="clear" w:color="auto" w:fill="auto"/>
                  <w:noWrap w:val="0"/>
                  <w:vAlign w:val="center"/>
                </w:tcPr>
                <w:p w14:paraId="53844AA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w:t>
                  </w:r>
                </w:p>
              </w:tc>
              <w:tc>
                <w:tcPr>
                  <w:tcW w:w="1264" w:type="pct"/>
                  <w:tcBorders>
                    <w:tl2br w:val="nil"/>
                    <w:tr2bl w:val="nil"/>
                  </w:tcBorders>
                  <w:shd w:val="clear" w:color="000000" w:fill="FFFFFF"/>
                  <w:noWrap w:val="0"/>
                  <w:vAlign w:val="center"/>
                </w:tcPr>
                <w:p w14:paraId="6093A76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废水排出泵</w:t>
                  </w:r>
                </w:p>
              </w:tc>
              <w:tc>
                <w:tcPr>
                  <w:tcW w:w="2014" w:type="pct"/>
                  <w:tcBorders>
                    <w:tl2br w:val="nil"/>
                    <w:tr2bl w:val="nil"/>
                  </w:tcBorders>
                  <w:shd w:val="clear" w:color="000000" w:fill="FFFFFF"/>
                  <w:noWrap w:val="0"/>
                  <w:vAlign w:val="center"/>
                </w:tcPr>
                <w:p w14:paraId="5D25DF8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Q=30m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/h，H=25m，吸程3m，304，带自吸罐，电机防爆</w:t>
                  </w:r>
                </w:p>
              </w:tc>
              <w:tc>
                <w:tcPr>
                  <w:tcW w:w="397" w:type="pct"/>
                  <w:tcBorders>
                    <w:tl2br w:val="nil"/>
                    <w:tr2bl w:val="nil"/>
                  </w:tcBorders>
                  <w:shd w:val="clear" w:color="000000" w:fill="FFFFFF"/>
                  <w:noWrap w:val="0"/>
                  <w:vAlign w:val="center"/>
                </w:tcPr>
                <w:p w14:paraId="5E94158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44CE5A2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p>
              </w:tc>
              <w:tc>
                <w:tcPr>
                  <w:tcW w:w="479" w:type="pct"/>
                  <w:tcBorders>
                    <w:tl2br w:val="nil"/>
                    <w:tr2bl w:val="nil"/>
                  </w:tcBorders>
                  <w:noWrap w:val="0"/>
                  <w:vAlign w:val="center"/>
                </w:tcPr>
                <w:p w14:paraId="6028E69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7E15898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388" w:type="pct"/>
                  <w:tcBorders>
                    <w:tl2br w:val="nil"/>
                    <w:tr2bl w:val="nil"/>
                  </w:tcBorders>
                  <w:shd w:val="clear" w:color="auto" w:fill="auto"/>
                  <w:noWrap w:val="0"/>
                  <w:vAlign w:val="center"/>
                </w:tcPr>
                <w:p w14:paraId="134AA22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w:t>
                  </w:r>
                </w:p>
              </w:tc>
              <w:tc>
                <w:tcPr>
                  <w:tcW w:w="1264" w:type="pct"/>
                  <w:tcBorders>
                    <w:tl2br w:val="nil"/>
                    <w:tr2bl w:val="nil"/>
                  </w:tcBorders>
                  <w:shd w:val="clear" w:color="000000" w:fill="FFFFFF"/>
                  <w:noWrap w:val="0"/>
                  <w:vAlign w:val="center"/>
                </w:tcPr>
                <w:p w14:paraId="44ADD47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氨水罐</w:t>
                  </w:r>
                </w:p>
              </w:tc>
              <w:tc>
                <w:tcPr>
                  <w:tcW w:w="2014" w:type="pct"/>
                  <w:tcBorders>
                    <w:tl2br w:val="nil"/>
                    <w:tr2bl w:val="nil"/>
                  </w:tcBorders>
                  <w:shd w:val="clear" w:color="000000" w:fill="FFFFFF"/>
                  <w:noWrap w:val="0"/>
                  <w:vAlign w:val="center"/>
                </w:tcPr>
                <w:p w14:paraId="4124A91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厚度6mm，φ3.4×3.4m，304</w:t>
                  </w:r>
                  <w:r>
                    <w:rPr>
                      <w:rFonts w:hint="default" w:ascii="Times New Roman" w:hAnsi="Times New Roman" w:eastAsia="宋体" w:cs="Times New Roman"/>
                      <w:color w:val="auto"/>
                      <w:sz w:val="18"/>
                      <w:szCs w:val="18"/>
                      <w:highlight w:val="none"/>
                      <w:lang w:val="en-US" w:eastAsia="zh-CN"/>
                    </w:rPr>
                    <w:t>不锈钢</w:t>
                  </w:r>
                </w:p>
              </w:tc>
              <w:tc>
                <w:tcPr>
                  <w:tcW w:w="397" w:type="pct"/>
                  <w:tcBorders>
                    <w:tl2br w:val="nil"/>
                    <w:tr2bl w:val="nil"/>
                  </w:tcBorders>
                  <w:shd w:val="clear" w:color="000000" w:fill="FFFFFF"/>
                  <w:noWrap w:val="0"/>
                  <w:vAlign w:val="center"/>
                </w:tcPr>
                <w:p w14:paraId="48EF570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094AA2B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479" w:type="pct"/>
                  <w:tcBorders>
                    <w:tl2br w:val="nil"/>
                    <w:tr2bl w:val="nil"/>
                  </w:tcBorders>
                  <w:noWrap w:val="0"/>
                  <w:vAlign w:val="center"/>
                </w:tcPr>
                <w:p w14:paraId="522660D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70C6C66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5000" w:type="pct"/>
                  <w:gridSpan w:val="6"/>
                  <w:tcBorders>
                    <w:tl2br w:val="nil"/>
                    <w:tr2bl w:val="nil"/>
                  </w:tcBorders>
                  <w:shd w:val="clear" w:color="auto" w:fill="auto"/>
                  <w:noWrap w:val="0"/>
                  <w:vAlign w:val="center"/>
                </w:tcPr>
                <w:p w14:paraId="066B149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both"/>
                    <w:textAlignment w:val="auto"/>
                    <w:rPr>
                      <w:rFonts w:hint="default" w:ascii="Times New Roman" w:hAnsi="Times New Roman" w:eastAsia="宋体" w:cs="Times New Roman"/>
                      <w:b/>
                      <w:color w:val="auto"/>
                      <w:sz w:val="18"/>
                      <w:szCs w:val="18"/>
                      <w:highlight w:val="none"/>
                    </w:rPr>
                  </w:pPr>
                  <w:r>
                    <w:rPr>
                      <w:rFonts w:hint="eastAsia" w:ascii="Times New Roman" w:hAnsi="Times New Roman" w:eastAsia="宋体" w:cs="Times New Roman"/>
                      <w:b/>
                      <w:bCs w:val="0"/>
                      <w:color w:val="auto"/>
                      <w:sz w:val="18"/>
                      <w:szCs w:val="18"/>
                      <w:highlight w:val="none"/>
                      <w:lang w:val="en-US" w:eastAsia="zh-CN"/>
                    </w:rPr>
                    <w:t>六</w:t>
                  </w:r>
                  <w:r>
                    <w:rPr>
                      <w:rFonts w:hint="eastAsia" w:cs="Times New Roman"/>
                      <w:b/>
                      <w:bCs w:val="0"/>
                      <w:color w:val="auto"/>
                      <w:sz w:val="18"/>
                      <w:szCs w:val="18"/>
                      <w:highlight w:val="none"/>
                      <w:lang w:val="en-US" w:eastAsia="zh-CN"/>
                    </w:rPr>
                    <w:t>、</w:t>
                  </w:r>
                  <w:r>
                    <w:rPr>
                      <w:rFonts w:hint="eastAsia" w:ascii="Times New Roman" w:hAnsi="Times New Roman" w:eastAsia="宋体" w:cs="Times New Roman"/>
                      <w:b/>
                      <w:bCs w:val="0"/>
                      <w:color w:val="auto"/>
                      <w:sz w:val="18"/>
                      <w:szCs w:val="18"/>
                      <w:highlight w:val="none"/>
                      <w:lang w:val="en-US" w:eastAsia="zh-CN"/>
                    </w:rPr>
                    <w:t>脱硫系统</w:t>
                  </w:r>
                </w:p>
              </w:tc>
            </w:tr>
            <w:tr w14:paraId="57482F1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shd w:val="clear" w:color="auto" w:fill="auto"/>
                  <w:noWrap w:val="0"/>
                  <w:vAlign w:val="center"/>
                </w:tcPr>
                <w:p w14:paraId="1768C815">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w:t>
                  </w:r>
                </w:p>
              </w:tc>
              <w:tc>
                <w:tcPr>
                  <w:tcW w:w="1264" w:type="pct"/>
                  <w:tcBorders>
                    <w:tl2br w:val="nil"/>
                    <w:tr2bl w:val="nil"/>
                  </w:tcBorders>
                  <w:shd w:val="clear" w:color="000000" w:fill="FFFFFF"/>
                  <w:noWrap w:val="0"/>
                  <w:vAlign w:val="center"/>
                </w:tcPr>
                <w:p w14:paraId="14D7410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微型称重给料机</w:t>
                  </w:r>
                </w:p>
              </w:tc>
              <w:tc>
                <w:tcPr>
                  <w:tcW w:w="2014" w:type="pct"/>
                  <w:tcBorders>
                    <w:tl2br w:val="nil"/>
                    <w:tr2bl w:val="nil"/>
                  </w:tcBorders>
                  <w:shd w:val="clear" w:color="000000" w:fill="FFFFFF"/>
                  <w:noWrap w:val="0"/>
                  <w:vAlign w:val="center"/>
                </w:tcPr>
                <w:p w14:paraId="2B257C5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0~400kg/h，含称重料斗、称重模块、螺旋给料机（变频）、锁气阀、喷射器、软连接，配套电控柜</w:t>
                  </w:r>
                </w:p>
              </w:tc>
              <w:tc>
                <w:tcPr>
                  <w:tcW w:w="397" w:type="pct"/>
                  <w:tcBorders>
                    <w:tl2br w:val="nil"/>
                    <w:tr2bl w:val="nil"/>
                  </w:tcBorders>
                  <w:shd w:val="clear" w:color="000000" w:fill="FFFFFF"/>
                  <w:noWrap w:val="0"/>
                  <w:vAlign w:val="center"/>
                </w:tcPr>
                <w:p w14:paraId="05BD506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11746C9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479" w:type="pct"/>
                  <w:tcBorders>
                    <w:tl2br w:val="nil"/>
                    <w:tr2bl w:val="nil"/>
                  </w:tcBorders>
                  <w:noWrap w:val="0"/>
                  <w:vAlign w:val="center"/>
                </w:tcPr>
                <w:p w14:paraId="11C33674">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579A73C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8" w:type="pct"/>
                  <w:tcBorders>
                    <w:tl2br w:val="nil"/>
                    <w:tr2bl w:val="nil"/>
                  </w:tcBorders>
                  <w:shd w:val="clear" w:color="auto" w:fill="auto"/>
                  <w:noWrap w:val="0"/>
                  <w:vAlign w:val="center"/>
                </w:tcPr>
                <w:p w14:paraId="0F60B92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w:t>
                  </w:r>
                </w:p>
              </w:tc>
              <w:tc>
                <w:tcPr>
                  <w:tcW w:w="1264" w:type="pct"/>
                  <w:tcBorders>
                    <w:tl2br w:val="nil"/>
                    <w:tr2bl w:val="nil"/>
                  </w:tcBorders>
                  <w:shd w:val="clear" w:color="000000" w:fill="FFFFFF"/>
                  <w:noWrap w:val="0"/>
                  <w:vAlign w:val="center"/>
                </w:tcPr>
                <w:p w14:paraId="51A668E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工艺水泵</w:t>
                  </w:r>
                </w:p>
              </w:tc>
              <w:tc>
                <w:tcPr>
                  <w:tcW w:w="2014" w:type="pct"/>
                  <w:tcBorders>
                    <w:tl2br w:val="nil"/>
                    <w:tr2bl w:val="nil"/>
                  </w:tcBorders>
                  <w:shd w:val="clear" w:color="000000" w:fill="FFFFFF"/>
                  <w:noWrap w:val="0"/>
                  <w:vAlign w:val="center"/>
                </w:tcPr>
                <w:p w14:paraId="49F8D60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流量10m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扬程150m，电机22</w:t>
                  </w:r>
                  <w:r>
                    <w:rPr>
                      <w:rFonts w:hint="eastAsia" w:cs="Times New Roman"/>
                      <w:color w:val="auto"/>
                      <w:sz w:val="18"/>
                      <w:szCs w:val="18"/>
                      <w:highlight w:val="none"/>
                      <w:lang w:val="en-US" w:eastAsia="zh-CN"/>
                    </w:rPr>
                    <w:t>k</w:t>
                  </w:r>
                  <w:r>
                    <w:rPr>
                      <w:rFonts w:hint="default" w:ascii="Times New Roman" w:hAnsi="Times New Roman" w:eastAsia="宋体" w:cs="Times New Roman"/>
                      <w:color w:val="auto"/>
                      <w:sz w:val="18"/>
                      <w:szCs w:val="18"/>
                      <w:highlight w:val="none"/>
                    </w:rPr>
                    <w:t>W，304材质</w:t>
                  </w:r>
                </w:p>
              </w:tc>
              <w:tc>
                <w:tcPr>
                  <w:tcW w:w="397" w:type="pct"/>
                  <w:tcBorders>
                    <w:tl2br w:val="nil"/>
                    <w:tr2bl w:val="nil"/>
                  </w:tcBorders>
                  <w:shd w:val="clear" w:color="000000" w:fill="FFFFFF"/>
                  <w:noWrap w:val="0"/>
                  <w:vAlign w:val="center"/>
                </w:tcPr>
                <w:p w14:paraId="5693FBE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套</w:t>
                  </w:r>
                </w:p>
              </w:tc>
              <w:tc>
                <w:tcPr>
                  <w:tcW w:w="455" w:type="pct"/>
                  <w:tcBorders>
                    <w:tl2br w:val="nil"/>
                    <w:tr2bl w:val="nil"/>
                  </w:tcBorders>
                  <w:shd w:val="clear" w:color="000000" w:fill="FFFFFF"/>
                  <w:noWrap w:val="0"/>
                  <w:vAlign w:val="center"/>
                </w:tcPr>
                <w:p w14:paraId="3F92933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479" w:type="pct"/>
                  <w:tcBorders>
                    <w:tl2br w:val="nil"/>
                    <w:tr2bl w:val="nil"/>
                  </w:tcBorders>
                  <w:noWrap w:val="0"/>
                  <w:vAlign w:val="center"/>
                </w:tcPr>
                <w:p w14:paraId="2645679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4138ED2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388" w:type="pct"/>
                  <w:tcBorders>
                    <w:tl2br w:val="nil"/>
                    <w:tr2bl w:val="nil"/>
                  </w:tcBorders>
                  <w:shd w:val="clear" w:color="auto" w:fill="auto"/>
                  <w:noWrap w:val="0"/>
                  <w:vAlign w:val="center"/>
                </w:tcPr>
                <w:p w14:paraId="45B60EBC">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w:t>
                  </w:r>
                </w:p>
              </w:tc>
              <w:tc>
                <w:tcPr>
                  <w:tcW w:w="1264" w:type="pct"/>
                  <w:tcBorders>
                    <w:tl2br w:val="nil"/>
                    <w:tr2bl w:val="nil"/>
                  </w:tcBorders>
                  <w:shd w:val="clear" w:color="000000" w:fill="FFFFFF"/>
                  <w:noWrap w:val="0"/>
                  <w:vAlign w:val="center"/>
                </w:tcPr>
                <w:p w14:paraId="3863AD7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钢制灰仓</w:t>
                  </w:r>
                </w:p>
              </w:tc>
              <w:tc>
                <w:tcPr>
                  <w:tcW w:w="2014" w:type="pct"/>
                  <w:tcBorders>
                    <w:tl2br w:val="nil"/>
                    <w:tr2bl w:val="nil"/>
                  </w:tcBorders>
                  <w:shd w:val="clear" w:color="000000" w:fill="FFFFFF"/>
                  <w:noWrap w:val="0"/>
                  <w:vAlign w:val="center"/>
                </w:tcPr>
                <w:p w14:paraId="3D1DBBD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397" w:type="pct"/>
                  <w:tcBorders>
                    <w:tl2br w:val="nil"/>
                    <w:tr2bl w:val="nil"/>
                  </w:tcBorders>
                  <w:shd w:val="clear" w:color="000000" w:fill="FFFFFF"/>
                  <w:noWrap w:val="0"/>
                  <w:vAlign w:val="center"/>
                </w:tcPr>
                <w:p w14:paraId="0DC0A5D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座</w:t>
                  </w:r>
                </w:p>
              </w:tc>
              <w:tc>
                <w:tcPr>
                  <w:tcW w:w="455" w:type="pct"/>
                  <w:tcBorders>
                    <w:tl2br w:val="nil"/>
                    <w:tr2bl w:val="nil"/>
                  </w:tcBorders>
                  <w:shd w:val="clear" w:color="000000" w:fill="FFFFFF"/>
                  <w:noWrap w:val="0"/>
                  <w:vAlign w:val="center"/>
                </w:tcPr>
                <w:p w14:paraId="3945676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479" w:type="pct"/>
                  <w:tcBorders>
                    <w:tl2br w:val="nil"/>
                    <w:tr2bl w:val="nil"/>
                  </w:tcBorders>
                  <w:noWrap w:val="0"/>
                  <w:vAlign w:val="center"/>
                </w:tcPr>
                <w:p w14:paraId="65667AC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5C88DB9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88" w:type="pct"/>
                  <w:tcBorders>
                    <w:tl2br w:val="nil"/>
                    <w:tr2bl w:val="nil"/>
                  </w:tcBorders>
                  <w:shd w:val="clear" w:color="auto" w:fill="auto"/>
                  <w:noWrap w:val="0"/>
                  <w:vAlign w:val="center"/>
                </w:tcPr>
                <w:p w14:paraId="22E5960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w:t>
                  </w:r>
                </w:p>
              </w:tc>
              <w:tc>
                <w:tcPr>
                  <w:tcW w:w="1264" w:type="pct"/>
                  <w:tcBorders>
                    <w:tl2br w:val="nil"/>
                    <w:tr2bl w:val="nil"/>
                  </w:tcBorders>
                  <w:shd w:val="clear" w:color="000000" w:fill="FFFFFF"/>
                  <w:noWrap w:val="0"/>
                  <w:vAlign w:val="center"/>
                </w:tcPr>
                <w:p w14:paraId="7A6F702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新</w:t>
                  </w:r>
                  <w:r>
                    <w:rPr>
                      <w:rFonts w:hint="default" w:ascii="Times New Roman" w:hAnsi="Times New Roman" w:eastAsia="宋体" w:cs="Times New Roman"/>
                      <w:color w:val="auto"/>
                      <w:sz w:val="18"/>
                      <w:szCs w:val="18"/>
                      <w:highlight w:val="none"/>
                    </w:rPr>
                    <w:t>型给料机</w:t>
                  </w:r>
                </w:p>
              </w:tc>
              <w:tc>
                <w:tcPr>
                  <w:tcW w:w="2014" w:type="pct"/>
                  <w:tcBorders>
                    <w:tl2br w:val="nil"/>
                    <w:tr2bl w:val="nil"/>
                  </w:tcBorders>
                  <w:shd w:val="clear" w:color="000000" w:fill="FFFFFF"/>
                  <w:noWrap w:val="0"/>
                  <w:vAlign w:val="center"/>
                </w:tcPr>
                <w:p w14:paraId="3F674C6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Q=50t/h</w:t>
                  </w:r>
                </w:p>
              </w:tc>
              <w:tc>
                <w:tcPr>
                  <w:tcW w:w="397" w:type="pct"/>
                  <w:tcBorders>
                    <w:tl2br w:val="nil"/>
                    <w:tr2bl w:val="nil"/>
                  </w:tcBorders>
                  <w:shd w:val="clear" w:color="000000" w:fill="FFFFFF"/>
                  <w:noWrap w:val="0"/>
                  <w:vAlign w:val="center"/>
                </w:tcPr>
                <w:p w14:paraId="7DA62F77">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74EC126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p>
              </w:tc>
              <w:tc>
                <w:tcPr>
                  <w:tcW w:w="479" w:type="pct"/>
                  <w:tcBorders>
                    <w:tl2br w:val="nil"/>
                    <w:tr2bl w:val="nil"/>
                  </w:tcBorders>
                  <w:noWrap w:val="0"/>
                  <w:vAlign w:val="center"/>
                </w:tcPr>
                <w:p w14:paraId="3EF02D33">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r w14:paraId="6CA1DD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388" w:type="pct"/>
                  <w:tcBorders>
                    <w:tl2br w:val="nil"/>
                    <w:tr2bl w:val="nil"/>
                  </w:tcBorders>
                  <w:shd w:val="clear" w:color="auto" w:fill="auto"/>
                  <w:noWrap w:val="0"/>
                  <w:vAlign w:val="center"/>
                </w:tcPr>
                <w:p w14:paraId="11BC8B9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w:t>
                  </w:r>
                </w:p>
              </w:tc>
              <w:tc>
                <w:tcPr>
                  <w:tcW w:w="1264" w:type="pct"/>
                  <w:tcBorders>
                    <w:tl2br w:val="nil"/>
                    <w:tr2bl w:val="nil"/>
                  </w:tcBorders>
                  <w:shd w:val="clear" w:color="000000" w:fill="FFFFFF"/>
                  <w:noWrap w:val="0"/>
                  <w:vAlign w:val="center"/>
                </w:tcPr>
                <w:p w14:paraId="1B57008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真空罐车吸灰卸料器</w:t>
                  </w:r>
                </w:p>
              </w:tc>
              <w:tc>
                <w:tcPr>
                  <w:tcW w:w="2014" w:type="pct"/>
                  <w:tcBorders>
                    <w:tl2br w:val="nil"/>
                    <w:tr2bl w:val="nil"/>
                  </w:tcBorders>
                  <w:shd w:val="clear" w:color="000000" w:fill="FFFFFF"/>
                  <w:noWrap w:val="0"/>
                  <w:vAlign w:val="center"/>
                </w:tcPr>
                <w:p w14:paraId="69A365B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397" w:type="pct"/>
                  <w:tcBorders>
                    <w:tl2br w:val="nil"/>
                    <w:tr2bl w:val="nil"/>
                  </w:tcBorders>
                  <w:shd w:val="clear" w:color="000000" w:fill="FFFFFF"/>
                  <w:noWrap w:val="0"/>
                  <w:vAlign w:val="center"/>
                </w:tcPr>
                <w:p w14:paraId="37BD25E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55" w:type="pct"/>
                  <w:tcBorders>
                    <w:tl2br w:val="nil"/>
                    <w:tr2bl w:val="nil"/>
                  </w:tcBorders>
                  <w:shd w:val="clear" w:color="000000" w:fill="FFFFFF"/>
                  <w:noWrap w:val="0"/>
                  <w:vAlign w:val="center"/>
                </w:tcPr>
                <w:p w14:paraId="746F06B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p>
              </w:tc>
              <w:tc>
                <w:tcPr>
                  <w:tcW w:w="479" w:type="pct"/>
                  <w:tcBorders>
                    <w:tl2br w:val="nil"/>
                    <w:tr2bl w:val="nil"/>
                  </w:tcBorders>
                  <w:noWrap w:val="0"/>
                  <w:vAlign w:val="center"/>
                </w:tcPr>
                <w:p w14:paraId="002C6A2E">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p>
              </w:tc>
            </w:tr>
          </w:tbl>
          <w:p w14:paraId="5428A6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2.6平衡分析</w:t>
            </w:r>
          </w:p>
          <w:p w14:paraId="5489838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b/>
                <w:bCs/>
                <w:color w:val="000000"/>
                <w:kern w:val="0"/>
                <w:sz w:val="24"/>
                <w:szCs w:val="24"/>
                <w:lang w:val="en-US" w:eastAsia="zh-CN" w:bidi="ar"/>
              </w:rPr>
              <w:t>2.6.1煤气平衡</w:t>
            </w:r>
          </w:p>
          <w:p w14:paraId="060D5A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（一）现状气平衡</w:t>
            </w:r>
          </w:p>
          <w:p w14:paraId="4F520B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根据建设单位提供资料，现状煤气平衡见下表：</w:t>
            </w:r>
          </w:p>
          <w:p w14:paraId="4750CA28">
            <w:pPr>
              <w:pStyle w:val="28"/>
              <w:keepNext w:val="0"/>
              <w:keepLines w:val="0"/>
              <w:suppressLineNumbers w:val="0"/>
              <w:bidi w:val="0"/>
              <w:spacing w:before="0" w:beforeAutospacing="0" w:after="0" w:afterAutospacing="0"/>
              <w:ind w:left="0" w:right="0"/>
              <w:rPr>
                <w:rFonts w:hint="default"/>
                <w:color w:val="auto"/>
                <w:highlight w:val="none"/>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2-9</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现状</w:t>
            </w:r>
            <w:r>
              <w:rPr>
                <w:rFonts w:hint="eastAsia" w:ascii="黑体" w:hAnsi="黑体" w:eastAsia="黑体" w:cs="黑体"/>
                <w:b w:val="0"/>
                <w:bCs/>
                <w:color w:val="auto"/>
                <w:highlight w:val="none"/>
              </w:rPr>
              <w:t>煤气平衡一览表</w:t>
            </w:r>
          </w:p>
          <w:tbl>
            <w:tblPr>
              <w:tblStyle w:val="17"/>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82"/>
              <w:gridCol w:w="659"/>
              <w:gridCol w:w="1125"/>
              <w:gridCol w:w="1190"/>
              <w:gridCol w:w="2568"/>
              <w:gridCol w:w="1507"/>
            </w:tblGrid>
            <w:tr w14:paraId="20AD78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11" w:type="pct"/>
                  <w:tcBorders>
                    <w:tl2br w:val="nil"/>
                    <w:tr2bl w:val="nil"/>
                  </w:tcBorders>
                  <w:shd w:val="clear" w:color="auto" w:fill="auto"/>
                  <w:noWrap/>
                  <w:vAlign w:val="center"/>
                </w:tcPr>
                <w:p w14:paraId="75DABD5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煤气种类</w:t>
                  </w:r>
                </w:p>
              </w:tc>
              <w:tc>
                <w:tcPr>
                  <w:tcW w:w="410" w:type="pct"/>
                  <w:tcBorders>
                    <w:tl2br w:val="nil"/>
                    <w:tr2bl w:val="nil"/>
                  </w:tcBorders>
                  <w:shd w:val="clear" w:color="auto" w:fill="auto"/>
                  <w:noWrap/>
                  <w:vAlign w:val="center"/>
                </w:tcPr>
                <w:p w14:paraId="44E5152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700" w:type="pct"/>
                  <w:tcBorders>
                    <w:tl2br w:val="nil"/>
                    <w:tr2bl w:val="nil"/>
                  </w:tcBorders>
                  <w:shd w:val="clear" w:color="auto" w:fill="auto"/>
                  <w:noWrap/>
                  <w:vAlign w:val="center"/>
                </w:tcPr>
                <w:p w14:paraId="2B20C6E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产气环节</w:t>
                  </w:r>
                </w:p>
              </w:tc>
              <w:tc>
                <w:tcPr>
                  <w:tcW w:w="740" w:type="pct"/>
                  <w:tcBorders>
                    <w:tl2br w:val="nil"/>
                    <w:tr2bl w:val="nil"/>
                  </w:tcBorders>
                  <w:shd w:val="clear" w:color="auto" w:fill="auto"/>
                  <w:noWrap/>
                  <w:vAlign w:val="center"/>
                </w:tcPr>
                <w:p w14:paraId="5FA4F31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万m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1598" w:type="pct"/>
                  <w:tcBorders>
                    <w:tl2br w:val="nil"/>
                    <w:tr2bl w:val="nil"/>
                  </w:tcBorders>
                  <w:shd w:val="clear" w:color="auto" w:fill="auto"/>
                  <w:noWrap/>
                  <w:vAlign w:val="center"/>
                </w:tcPr>
                <w:p w14:paraId="7A6F424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用气环节</w:t>
                  </w:r>
                </w:p>
              </w:tc>
              <w:tc>
                <w:tcPr>
                  <w:tcW w:w="938" w:type="pct"/>
                  <w:tcBorders>
                    <w:tl2br w:val="nil"/>
                    <w:tr2bl w:val="nil"/>
                  </w:tcBorders>
                  <w:shd w:val="clear" w:color="auto" w:fill="auto"/>
                  <w:noWrap/>
                  <w:vAlign w:val="center"/>
                </w:tcPr>
                <w:p w14:paraId="51BF54D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使用量万m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r>
            <w:tr w14:paraId="162423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11" w:type="pct"/>
                  <w:vMerge w:val="restart"/>
                  <w:tcBorders>
                    <w:tl2br w:val="nil"/>
                    <w:tr2bl w:val="nil"/>
                  </w:tcBorders>
                  <w:shd w:val="clear" w:color="auto" w:fill="auto"/>
                  <w:noWrap/>
                  <w:vAlign w:val="center"/>
                </w:tcPr>
                <w:p w14:paraId="3E4D96D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高炉煤气</w:t>
                  </w:r>
                </w:p>
              </w:tc>
              <w:tc>
                <w:tcPr>
                  <w:tcW w:w="410" w:type="pct"/>
                  <w:tcBorders>
                    <w:tl2br w:val="nil"/>
                    <w:tr2bl w:val="nil"/>
                  </w:tcBorders>
                  <w:shd w:val="clear" w:color="auto" w:fill="auto"/>
                  <w:noWrap/>
                  <w:vAlign w:val="center"/>
                </w:tcPr>
                <w:p w14:paraId="6344322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700" w:type="pct"/>
                  <w:vMerge w:val="restart"/>
                  <w:tcBorders>
                    <w:tl2br w:val="nil"/>
                    <w:tr2bl w:val="nil"/>
                  </w:tcBorders>
                  <w:shd w:val="clear" w:color="auto" w:fill="auto"/>
                  <w:noWrap/>
                  <w:vAlign w:val="center"/>
                </w:tcPr>
                <w:p w14:paraId="129AFF8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2×1350m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高炉</w:t>
                  </w:r>
                </w:p>
              </w:tc>
              <w:tc>
                <w:tcPr>
                  <w:tcW w:w="740" w:type="pct"/>
                  <w:vMerge w:val="restart"/>
                  <w:tcBorders>
                    <w:tl2br w:val="nil"/>
                    <w:tr2bl w:val="nil"/>
                  </w:tcBorders>
                  <w:shd w:val="clear" w:color="auto" w:fill="auto"/>
                  <w:noWrap/>
                  <w:vAlign w:val="center"/>
                </w:tcPr>
                <w:p w14:paraId="21EC9FF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55.618</w:t>
                  </w:r>
                </w:p>
              </w:tc>
              <w:tc>
                <w:tcPr>
                  <w:tcW w:w="1598" w:type="pct"/>
                  <w:tcBorders>
                    <w:tl2br w:val="nil"/>
                    <w:tr2bl w:val="nil"/>
                  </w:tcBorders>
                  <w:shd w:val="clear" w:color="auto" w:fill="auto"/>
                  <w:noWrap/>
                  <w:vAlign w:val="center"/>
                </w:tcPr>
                <w:p w14:paraId="58B742A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热风炉及喷煤</w:t>
                  </w:r>
                </w:p>
              </w:tc>
              <w:tc>
                <w:tcPr>
                  <w:tcW w:w="938" w:type="pct"/>
                  <w:tcBorders>
                    <w:tl2br w:val="nil"/>
                    <w:tr2bl w:val="nil"/>
                  </w:tcBorders>
                  <w:shd w:val="clear" w:color="auto" w:fill="auto"/>
                  <w:noWrap/>
                  <w:vAlign w:val="center"/>
                </w:tcPr>
                <w:p w14:paraId="70FEECF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18.0925</w:t>
                  </w:r>
                </w:p>
              </w:tc>
            </w:tr>
            <w:tr w14:paraId="2AB80DE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11" w:type="pct"/>
                  <w:vMerge w:val="continue"/>
                  <w:tcBorders>
                    <w:tl2br w:val="nil"/>
                    <w:tr2bl w:val="nil"/>
                  </w:tcBorders>
                  <w:shd w:val="clear" w:color="auto" w:fill="auto"/>
                  <w:noWrap/>
                  <w:vAlign w:val="center"/>
                </w:tcPr>
                <w:p w14:paraId="37E556C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410" w:type="pct"/>
                  <w:tcBorders>
                    <w:tl2br w:val="nil"/>
                    <w:tr2bl w:val="nil"/>
                  </w:tcBorders>
                  <w:shd w:val="clear" w:color="auto" w:fill="auto"/>
                  <w:noWrap/>
                  <w:vAlign w:val="center"/>
                </w:tcPr>
                <w:p w14:paraId="7868699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700" w:type="pct"/>
                  <w:vMerge w:val="continue"/>
                  <w:tcBorders>
                    <w:tl2br w:val="nil"/>
                    <w:tr2bl w:val="nil"/>
                  </w:tcBorders>
                  <w:shd w:val="clear" w:color="auto" w:fill="auto"/>
                  <w:noWrap/>
                  <w:vAlign w:val="center"/>
                </w:tcPr>
                <w:p w14:paraId="5C8514E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0D8B61C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0D91D75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×360</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lang w:val="en-US" w:eastAsia="zh-CN"/>
                    </w:rPr>
                    <w:t>烧结</w:t>
                  </w:r>
                  <w:r>
                    <w:rPr>
                      <w:rFonts w:hint="eastAsia" w:ascii="Times New Roman" w:hAnsi="Times New Roman" w:eastAsia="宋体" w:cs="Times New Roman"/>
                      <w:color w:val="auto"/>
                      <w:sz w:val="18"/>
                      <w:szCs w:val="18"/>
                      <w:highlight w:val="none"/>
                      <w:lang w:val="en-US" w:eastAsia="zh-CN"/>
                    </w:rPr>
                    <w:t>（含脱硫脱硝）</w:t>
                  </w:r>
                </w:p>
              </w:tc>
              <w:tc>
                <w:tcPr>
                  <w:tcW w:w="938" w:type="pct"/>
                  <w:tcBorders>
                    <w:tl2br w:val="nil"/>
                    <w:tr2bl w:val="nil"/>
                  </w:tcBorders>
                  <w:shd w:val="clear" w:color="auto" w:fill="auto"/>
                  <w:noWrap/>
                  <w:vAlign w:val="center"/>
                </w:tcPr>
                <w:p w14:paraId="550D3A6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2.5865</w:t>
                  </w:r>
                </w:p>
              </w:tc>
            </w:tr>
            <w:tr w14:paraId="49BBA81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6D36A7C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0A92168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700" w:type="pct"/>
                  <w:vMerge w:val="continue"/>
                  <w:tcBorders>
                    <w:tl2br w:val="nil"/>
                    <w:tr2bl w:val="nil"/>
                  </w:tcBorders>
                  <w:shd w:val="clear" w:color="auto" w:fill="auto"/>
                  <w:noWrap/>
                  <w:vAlign w:val="center"/>
                </w:tcPr>
                <w:p w14:paraId="1500CC8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2DB2A4C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13C0B43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198m</w:t>
                  </w:r>
                  <w:r>
                    <w:rPr>
                      <w:rFonts w:hint="eastAsia"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lang w:val="en-US" w:eastAsia="zh-CN"/>
                    </w:rPr>
                    <w:t>烧结</w:t>
                  </w:r>
                  <w:r>
                    <w:rPr>
                      <w:rFonts w:hint="eastAsia" w:ascii="Times New Roman" w:hAnsi="Times New Roman" w:eastAsia="宋体" w:cs="Times New Roman"/>
                      <w:color w:val="auto"/>
                      <w:sz w:val="18"/>
                      <w:szCs w:val="18"/>
                      <w:highlight w:val="none"/>
                      <w:lang w:val="en-US" w:eastAsia="zh-CN"/>
                    </w:rPr>
                    <w:t>（含脱硫脱硝）</w:t>
                  </w:r>
                </w:p>
              </w:tc>
              <w:tc>
                <w:tcPr>
                  <w:tcW w:w="938" w:type="pct"/>
                  <w:tcBorders>
                    <w:tl2br w:val="nil"/>
                    <w:tr2bl w:val="nil"/>
                  </w:tcBorders>
                  <w:shd w:val="clear" w:color="auto" w:fill="auto"/>
                  <w:noWrap/>
                  <w:vAlign w:val="center"/>
                </w:tcPr>
                <w:p w14:paraId="0C25563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1.4049</w:t>
                  </w:r>
                </w:p>
              </w:tc>
            </w:tr>
            <w:tr w14:paraId="09E6E2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757BF1E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73B521CC">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700" w:type="pct"/>
                  <w:vMerge w:val="continue"/>
                  <w:tcBorders>
                    <w:tl2br w:val="nil"/>
                    <w:tr2bl w:val="nil"/>
                  </w:tcBorders>
                  <w:shd w:val="clear" w:color="auto" w:fill="auto"/>
                  <w:noWrap/>
                  <w:vAlign w:val="center"/>
                </w:tcPr>
                <w:p w14:paraId="0EEF2F5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1C52C11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0AAC906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炼钢：钢包烤包</w:t>
                  </w:r>
                </w:p>
              </w:tc>
              <w:tc>
                <w:tcPr>
                  <w:tcW w:w="938" w:type="pct"/>
                  <w:tcBorders>
                    <w:tl2br w:val="nil"/>
                    <w:tr2bl w:val="nil"/>
                  </w:tcBorders>
                  <w:shd w:val="clear" w:color="auto" w:fill="auto"/>
                  <w:noWrap/>
                  <w:vAlign w:val="center"/>
                </w:tcPr>
                <w:p w14:paraId="7677CD5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2.1465</w:t>
                  </w:r>
                </w:p>
              </w:tc>
            </w:tr>
            <w:tr w14:paraId="494412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6CC4062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6BD2D546">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700" w:type="pct"/>
                  <w:vMerge w:val="continue"/>
                  <w:tcBorders>
                    <w:tl2br w:val="nil"/>
                    <w:tr2bl w:val="nil"/>
                  </w:tcBorders>
                  <w:shd w:val="clear" w:color="auto" w:fill="auto"/>
                  <w:noWrap/>
                  <w:vAlign w:val="center"/>
                </w:tcPr>
                <w:p w14:paraId="11599C9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3F77AA6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757D63A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52吨合金电炉</w:t>
                  </w:r>
                </w:p>
              </w:tc>
              <w:tc>
                <w:tcPr>
                  <w:tcW w:w="938" w:type="pct"/>
                  <w:tcBorders>
                    <w:tl2br w:val="nil"/>
                    <w:tr2bl w:val="nil"/>
                  </w:tcBorders>
                  <w:shd w:val="clear" w:color="auto" w:fill="auto"/>
                  <w:noWrap/>
                  <w:vAlign w:val="center"/>
                </w:tcPr>
                <w:p w14:paraId="542C53C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0.191</w:t>
                  </w:r>
                </w:p>
              </w:tc>
            </w:tr>
            <w:tr w14:paraId="0689255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5884D92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3C29D5AB">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700" w:type="pct"/>
                  <w:vMerge w:val="continue"/>
                  <w:tcBorders>
                    <w:tl2br w:val="nil"/>
                    <w:tr2bl w:val="nil"/>
                  </w:tcBorders>
                  <w:shd w:val="clear" w:color="auto" w:fill="auto"/>
                  <w:noWrap/>
                  <w:vAlign w:val="center"/>
                </w:tcPr>
                <w:p w14:paraId="541FEC4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471C51A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447073A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连铸</w:t>
                  </w:r>
                </w:p>
              </w:tc>
              <w:tc>
                <w:tcPr>
                  <w:tcW w:w="938" w:type="pct"/>
                  <w:tcBorders>
                    <w:tl2br w:val="nil"/>
                    <w:tr2bl w:val="nil"/>
                  </w:tcBorders>
                  <w:shd w:val="clear" w:color="auto" w:fill="auto"/>
                  <w:noWrap/>
                  <w:vAlign w:val="center"/>
                </w:tcPr>
                <w:p w14:paraId="1A4CB32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0.7611</w:t>
                  </w:r>
                </w:p>
              </w:tc>
            </w:tr>
            <w:tr w14:paraId="3F753C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17A6376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6F931928">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700" w:type="pct"/>
                  <w:vMerge w:val="continue"/>
                  <w:tcBorders>
                    <w:tl2br w:val="nil"/>
                    <w:tr2bl w:val="nil"/>
                  </w:tcBorders>
                  <w:shd w:val="clear" w:color="auto" w:fill="auto"/>
                  <w:noWrap/>
                  <w:vAlign w:val="center"/>
                </w:tcPr>
                <w:p w14:paraId="3FD110B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730F33D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45603D2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轧钢—50加热炉</w:t>
                  </w:r>
                </w:p>
              </w:tc>
              <w:tc>
                <w:tcPr>
                  <w:tcW w:w="938" w:type="pct"/>
                  <w:tcBorders>
                    <w:tl2br w:val="nil"/>
                    <w:tr2bl w:val="nil"/>
                  </w:tcBorders>
                  <w:shd w:val="clear" w:color="auto" w:fill="auto"/>
                  <w:noWrap/>
                  <w:vAlign w:val="center"/>
                </w:tcPr>
                <w:p w14:paraId="56B2A36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1.4195</w:t>
                  </w:r>
                </w:p>
              </w:tc>
            </w:tr>
            <w:tr w14:paraId="17B62B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4" w:hRule="atLeast"/>
              </w:trPr>
              <w:tc>
                <w:tcPr>
                  <w:tcW w:w="611" w:type="pct"/>
                  <w:vMerge w:val="continue"/>
                  <w:tcBorders>
                    <w:tl2br w:val="nil"/>
                    <w:tr2bl w:val="nil"/>
                  </w:tcBorders>
                  <w:shd w:val="clear" w:color="auto" w:fill="auto"/>
                  <w:noWrap/>
                  <w:vAlign w:val="center"/>
                </w:tcPr>
                <w:p w14:paraId="08A6820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6CE1F699">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700" w:type="pct"/>
                  <w:vMerge w:val="continue"/>
                  <w:tcBorders>
                    <w:tl2br w:val="nil"/>
                    <w:tr2bl w:val="nil"/>
                  </w:tcBorders>
                  <w:shd w:val="clear" w:color="auto" w:fill="auto"/>
                  <w:noWrap/>
                  <w:vAlign w:val="center"/>
                </w:tcPr>
                <w:p w14:paraId="30AE428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16795AF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792E0A2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轧钢—80加热炉</w:t>
                  </w:r>
                </w:p>
              </w:tc>
              <w:tc>
                <w:tcPr>
                  <w:tcW w:w="938" w:type="pct"/>
                  <w:tcBorders>
                    <w:tl2br w:val="nil"/>
                    <w:tr2bl w:val="nil"/>
                  </w:tcBorders>
                  <w:shd w:val="clear" w:color="auto" w:fill="auto"/>
                  <w:noWrap/>
                  <w:vAlign w:val="center"/>
                </w:tcPr>
                <w:p w14:paraId="774BEB0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2.2712</w:t>
                  </w:r>
                </w:p>
              </w:tc>
            </w:tr>
            <w:tr w14:paraId="165E9A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709F831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146014E9">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700" w:type="pct"/>
                  <w:vMerge w:val="continue"/>
                  <w:tcBorders>
                    <w:tl2br w:val="nil"/>
                    <w:tr2bl w:val="nil"/>
                  </w:tcBorders>
                  <w:shd w:val="clear" w:color="auto" w:fill="auto"/>
                  <w:noWrap/>
                  <w:vAlign w:val="center"/>
                </w:tcPr>
                <w:p w14:paraId="504A5F3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466FD6C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1A2FE61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轧钢—140加热炉</w:t>
                  </w:r>
                </w:p>
              </w:tc>
              <w:tc>
                <w:tcPr>
                  <w:tcW w:w="938" w:type="pct"/>
                  <w:tcBorders>
                    <w:tl2br w:val="nil"/>
                    <w:tr2bl w:val="nil"/>
                  </w:tcBorders>
                  <w:shd w:val="clear" w:color="auto" w:fill="auto"/>
                  <w:noWrap/>
                  <w:vAlign w:val="center"/>
                </w:tcPr>
                <w:p w14:paraId="65DDF47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3.9745</w:t>
                  </w:r>
                </w:p>
              </w:tc>
            </w:tr>
            <w:tr w14:paraId="7D5091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6951322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53ED83C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700" w:type="pct"/>
                  <w:vMerge w:val="continue"/>
                  <w:tcBorders>
                    <w:tl2br w:val="nil"/>
                    <w:tr2bl w:val="nil"/>
                  </w:tcBorders>
                  <w:shd w:val="clear" w:color="auto" w:fill="auto"/>
                  <w:noWrap/>
                  <w:vAlign w:val="center"/>
                </w:tcPr>
                <w:p w14:paraId="41F55E0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3C8137B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21E29BA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轧钢—180万吨带钢加热炉1</w:t>
                  </w:r>
                </w:p>
              </w:tc>
              <w:tc>
                <w:tcPr>
                  <w:tcW w:w="938" w:type="pct"/>
                  <w:tcBorders>
                    <w:tl2br w:val="nil"/>
                    <w:tr2bl w:val="nil"/>
                  </w:tcBorders>
                  <w:shd w:val="clear" w:color="auto" w:fill="auto"/>
                  <w:noWrap/>
                  <w:vAlign w:val="center"/>
                </w:tcPr>
                <w:p w14:paraId="392FFF8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2.1246</w:t>
                  </w:r>
                </w:p>
              </w:tc>
            </w:tr>
            <w:tr w14:paraId="01BDCD9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196B3B2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38F37C5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700" w:type="pct"/>
                  <w:vMerge w:val="continue"/>
                  <w:tcBorders>
                    <w:tl2br w:val="nil"/>
                    <w:tr2bl w:val="nil"/>
                  </w:tcBorders>
                  <w:shd w:val="clear" w:color="auto" w:fill="auto"/>
                  <w:noWrap/>
                  <w:vAlign w:val="center"/>
                </w:tcPr>
                <w:p w14:paraId="1B8692B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272858B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6A7FAAF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轧钢—180万吨带钢加热炉2</w:t>
                  </w:r>
                </w:p>
              </w:tc>
              <w:tc>
                <w:tcPr>
                  <w:tcW w:w="938" w:type="pct"/>
                  <w:tcBorders>
                    <w:tl2br w:val="nil"/>
                    <w:tr2bl w:val="nil"/>
                  </w:tcBorders>
                  <w:shd w:val="clear" w:color="auto" w:fill="auto"/>
                  <w:noWrap/>
                  <w:vAlign w:val="center"/>
                </w:tcPr>
                <w:p w14:paraId="13D3389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2.1246</w:t>
                  </w:r>
                </w:p>
              </w:tc>
            </w:tr>
            <w:tr w14:paraId="00C08A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439FA3B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7DBB44C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700" w:type="pct"/>
                  <w:vMerge w:val="continue"/>
                  <w:tcBorders>
                    <w:tl2br w:val="nil"/>
                    <w:tr2bl w:val="nil"/>
                  </w:tcBorders>
                  <w:shd w:val="clear" w:color="auto" w:fill="auto"/>
                  <w:noWrap/>
                  <w:vAlign w:val="center"/>
                </w:tcPr>
                <w:p w14:paraId="67AA368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3910C02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44138EE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12MW发电机组</w:t>
                  </w:r>
                </w:p>
              </w:tc>
              <w:tc>
                <w:tcPr>
                  <w:tcW w:w="938" w:type="pct"/>
                  <w:tcBorders>
                    <w:tl2br w:val="nil"/>
                    <w:tr2bl w:val="nil"/>
                  </w:tcBorders>
                  <w:shd w:val="clear" w:color="auto" w:fill="auto"/>
                  <w:noWrap/>
                  <w:vAlign w:val="center"/>
                </w:tcPr>
                <w:p w14:paraId="41F7B5E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1.36</w:t>
                  </w:r>
                </w:p>
              </w:tc>
            </w:tr>
            <w:tr w14:paraId="4659F2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63280F0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1CE9A61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700" w:type="pct"/>
                  <w:vMerge w:val="continue"/>
                  <w:tcBorders>
                    <w:tl2br w:val="nil"/>
                    <w:tr2bl w:val="nil"/>
                  </w:tcBorders>
                  <w:shd w:val="clear" w:color="auto" w:fill="auto"/>
                  <w:noWrap/>
                  <w:vAlign w:val="center"/>
                </w:tcPr>
                <w:p w14:paraId="26A0231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7ABDE74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5C934AC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20MW发电机组</w:t>
                  </w:r>
                </w:p>
              </w:tc>
              <w:tc>
                <w:tcPr>
                  <w:tcW w:w="938" w:type="pct"/>
                  <w:tcBorders>
                    <w:tl2br w:val="nil"/>
                    <w:tr2bl w:val="nil"/>
                  </w:tcBorders>
                  <w:shd w:val="clear" w:color="auto" w:fill="auto"/>
                  <w:noWrap/>
                  <w:vAlign w:val="center"/>
                </w:tcPr>
                <w:p w14:paraId="26F7267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1.73</w:t>
                  </w:r>
                </w:p>
              </w:tc>
            </w:tr>
            <w:tr w14:paraId="0D640B7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4D0C8FD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0154439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w:t>
                  </w:r>
                </w:p>
              </w:tc>
              <w:tc>
                <w:tcPr>
                  <w:tcW w:w="700" w:type="pct"/>
                  <w:vMerge w:val="continue"/>
                  <w:tcBorders>
                    <w:tl2br w:val="nil"/>
                    <w:tr2bl w:val="nil"/>
                  </w:tcBorders>
                  <w:shd w:val="clear" w:color="auto" w:fill="auto"/>
                  <w:noWrap/>
                  <w:vAlign w:val="center"/>
                </w:tcPr>
                <w:p w14:paraId="028F98C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480F715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7361E6D9">
                  <w:pPr>
                    <w:pStyle w:val="29"/>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25MW发电机组</w:t>
                  </w:r>
                </w:p>
              </w:tc>
              <w:tc>
                <w:tcPr>
                  <w:tcW w:w="938" w:type="pct"/>
                  <w:tcBorders>
                    <w:tl2br w:val="nil"/>
                    <w:tr2bl w:val="nil"/>
                  </w:tcBorders>
                  <w:shd w:val="clear" w:color="auto" w:fill="auto"/>
                  <w:noWrap/>
                  <w:vAlign w:val="center"/>
                </w:tcPr>
                <w:p w14:paraId="3D5A51CA">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2.8</w:t>
                  </w:r>
                </w:p>
              </w:tc>
            </w:tr>
            <w:tr w14:paraId="03BBF91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53FFBD3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37C3B03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700" w:type="pct"/>
                  <w:vMerge w:val="continue"/>
                  <w:tcBorders>
                    <w:tl2br w:val="nil"/>
                    <w:tr2bl w:val="nil"/>
                  </w:tcBorders>
                  <w:shd w:val="clear" w:color="auto" w:fill="auto"/>
                  <w:noWrap/>
                  <w:vAlign w:val="center"/>
                </w:tcPr>
                <w:p w14:paraId="7FF78D1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25EE1AE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0D77080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110MW亚临界超高温汽轮发电机组发电</w:t>
                  </w:r>
                </w:p>
              </w:tc>
              <w:tc>
                <w:tcPr>
                  <w:tcW w:w="938" w:type="pct"/>
                  <w:tcBorders>
                    <w:tl2br w:val="nil"/>
                    <w:tr2bl w:val="nil"/>
                  </w:tcBorders>
                  <w:shd w:val="clear" w:color="auto" w:fill="auto"/>
                  <w:noWrap/>
                  <w:vAlign w:val="center"/>
                </w:tcPr>
                <w:p w14:paraId="616EFE9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12.2919</w:t>
                  </w:r>
                </w:p>
              </w:tc>
            </w:tr>
            <w:tr w14:paraId="3B7C40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3AEFAED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533724F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700" w:type="pct"/>
                  <w:vMerge w:val="continue"/>
                  <w:tcBorders>
                    <w:tl2br w:val="nil"/>
                    <w:tr2bl w:val="nil"/>
                  </w:tcBorders>
                  <w:shd w:val="clear" w:color="auto" w:fill="auto"/>
                  <w:noWrap/>
                  <w:vAlign w:val="center"/>
                </w:tcPr>
                <w:p w14:paraId="3EC374C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588A5A0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30CE782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管道损失</w:t>
                  </w:r>
                </w:p>
              </w:tc>
              <w:tc>
                <w:tcPr>
                  <w:tcW w:w="938" w:type="pct"/>
                  <w:tcBorders>
                    <w:tl2br w:val="nil"/>
                    <w:tr2bl w:val="nil"/>
                  </w:tcBorders>
                  <w:shd w:val="clear" w:color="auto" w:fill="auto"/>
                  <w:noWrap/>
                  <w:vAlign w:val="center"/>
                </w:tcPr>
                <w:p w14:paraId="6257FE4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0.3392</w:t>
                  </w:r>
                </w:p>
              </w:tc>
            </w:tr>
            <w:tr w14:paraId="67350F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3ADEDB9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110" w:type="pct"/>
                  <w:gridSpan w:val="2"/>
                  <w:tcBorders>
                    <w:tl2br w:val="nil"/>
                    <w:tr2bl w:val="nil"/>
                  </w:tcBorders>
                  <w:shd w:val="clear" w:color="auto" w:fill="auto"/>
                  <w:noWrap/>
                  <w:vAlign w:val="center"/>
                </w:tcPr>
                <w:p w14:paraId="3CB2D40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740" w:type="pct"/>
                  <w:tcBorders>
                    <w:tl2br w:val="nil"/>
                    <w:tr2bl w:val="nil"/>
                  </w:tcBorders>
                  <w:shd w:val="clear" w:color="auto" w:fill="auto"/>
                  <w:noWrap/>
                  <w:vAlign w:val="center"/>
                </w:tcPr>
                <w:p w14:paraId="3A283F8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55.618</w:t>
                  </w:r>
                </w:p>
              </w:tc>
              <w:tc>
                <w:tcPr>
                  <w:tcW w:w="1598" w:type="pct"/>
                  <w:tcBorders>
                    <w:tl2br w:val="nil"/>
                    <w:tr2bl w:val="nil"/>
                  </w:tcBorders>
                  <w:shd w:val="clear" w:color="auto" w:fill="auto"/>
                  <w:noWrap/>
                  <w:vAlign w:val="center"/>
                </w:tcPr>
                <w:p w14:paraId="09C68ED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938" w:type="pct"/>
                  <w:tcBorders>
                    <w:tl2br w:val="nil"/>
                    <w:tr2bl w:val="nil"/>
                  </w:tcBorders>
                  <w:shd w:val="clear" w:color="auto" w:fill="auto"/>
                  <w:noWrap/>
                  <w:vAlign w:val="center"/>
                </w:tcPr>
                <w:p w14:paraId="0A16139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55.618</w:t>
                  </w:r>
                </w:p>
              </w:tc>
            </w:tr>
            <w:tr w14:paraId="07DA8F9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9" w:hRule="atLeast"/>
              </w:trPr>
              <w:tc>
                <w:tcPr>
                  <w:tcW w:w="611" w:type="pct"/>
                  <w:vMerge w:val="restart"/>
                  <w:tcBorders>
                    <w:tl2br w:val="nil"/>
                    <w:tr2bl w:val="nil"/>
                  </w:tcBorders>
                  <w:shd w:val="clear" w:color="auto" w:fill="auto"/>
                  <w:noWrap/>
                  <w:vAlign w:val="center"/>
                </w:tcPr>
                <w:p w14:paraId="28DD67EC">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转炉煤气</w:t>
                  </w:r>
                </w:p>
              </w:tc>
              <w:tc>
                <w:tcPr>
                  <w:tcW w:w="410" w:type="pct"/>
                  <w:tcBorders>
                    <w:tl2br w:val="nil"/>
                    <w:tr2bl w:val="nil"/>
                  </w:tcBorders>
                  <w:shd w:val="clear" w:color="auto" w:fill="auto"/>
                  <w:noWrap/>
                  <w:vAlign w:val="center"/>
                </w:tcPr>
                <w:p w14:paraId="7148B02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17</w:t>
                  </w:r>
                </w:p>
              </w:tc>
              <w:tc>
                <w:tcPr>
                  <w:tcW w:w="700" w:type="pct"/>
                  <w:vMerge w:val="restart"/>
                  <w:tcBorders>
                    <w:tl2br w:val="nil"/>
                    <w:tr2bl w:val="nil"/>
                  </w:tcBorders>
                  <w:shd w:val="clear" w:color="auto" w:fill="auto"/>
                  <w:noWrap/>
                  <w:vAlign w:val="center"/>
                </w:tcPr>
                <w:p w14:paraId="3C400A1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2×100t转炉</w:t>
                  </w:r>
                </w:p>
              </w:tc>
              <w:tc>
                <w:tcPr>
                  <w:tcW w:w="740" w:type="pct"/>
                  <w:vMerge w:val="restart"/>
                  <w:tcBorders>
                    <w:tl2br w:val="nil"/>
                    <w:tr2bl w:val="nil"/>
                  </w:tcBorders>
                  <w:shd w:val="clear" w:color="auto" w:fill="auto"/>
                  <w:noWrap/>
                  <w:vAlign w:val="center"/>
                </w:tcPr>
                <w:p w14:paraId="605CAD5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5.7272</w:t>
                  </w:r>
                </w:p>
              </w:tc>
              <w:tc>
                <w:tcPr>
                  <w:tcW w:w="1598" w:type="pct"/>
                  <w:tcBorders>
                    <w:tl2br w:val="nil"/>
                    <w:tr2bl w:val="nil"/>
                  </w:tcBorders>
                  <w:shd w:val="clear" w:color="auto" w:fill="auto"/>
                  <w:noWrap/>
                  <w:vAlign w:val="center"/>
                </w:tcPr>
                <w:p w14:paraId="6AD6902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轧钢—180万吨带钢加热炉1</w:t>
                  </w:r>
                </w:p>
              </w:tc>
              <w:tc>
                <w:tcPr>
                  <w:tcW w:w="938" w:type="pct"/>
                  <w:tcBorders>
                    <w:tl2br w:val="nil"/>
                    <w:tr2bl w:val="nil"/>
                  </w:tcBorders>
                  <w:shd w:val="clear" w:color="auto" w:fill="auto"/>
                  <w:noWrap/>
                  <w:vAlign w:val="center"/>
                </w:tcPr>
                <w:p w14:paraId="06B651E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0.7082</w:t>
                  </w:r>
                </w:p>
              </w:tc>
            </w:tr>
            <w:tr w14:paraId="10B06D6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2D222C47">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75546FD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700" w:type="pct"/>
                  <w:vMerge w:val="continue"/>
                  <w:tcBorders>
                    <w:tl2br w:val="nil"/>
                    <w:tr2bl w:val="nil"/>
                  </w:tcBorders>
                  <w:shd w:val="clear" w:color="auto" w:fill="auto"/>
                  <w:noWrap/>
                  <w:vAlign w:val="center"/>
                </w:tcPr>
                <w:p w14:paraId="55E7BE0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5680B72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11795FD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轧钢—180万吨带钢加热炉2</w:t>
                  </w:r>
                </w:p>
              </w:tc>
              <w:tc>
                <w:tcPr>
                  <w:tcW w:w="938" w:type="pct"/>
                  <w:tcBorders>
                    <w:tl2br w:val="nil"/>
                    <w:tr2bl w:val="nil"/>
                  </w:tcBorders>
                  <w:shd w:val="clear" w:color="auto" w:fill="auto"/>
                  <w:noWrap/>
                  <w:vAlign w:val="center"/>
                </w:tcPr>
                <w:p w14:paraId="0004E4F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0.7082</w:t>
                  </w:r>
                </w:p>
              </w:tc>
            </w:tr>
            <w:tr w14:paraId="7DCEBB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3E2CFC69">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43DE488D">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19</w:t>
                  </w:r>
                </w:p>
              </w:tc>
              <w:tc>
                <w:tcPr>
                  <w:tcW w:w="700" w:type="pct"/>
                  <w:vMerge w:val="continue"/>
                  <w:tcBorders>
                    <w:tl2br w:val="nil"/>
                    <w:tr2bl w:val="nil"/>
                  </w:tcBorders>
                  <w:shd w:val="clear" w:color="auto" w:fill="auto"/>
                  <w:noWrap/>
                  <w:vAlign w:val="center"/>
                </w:tcPr>
                <w:p w14:paraId="54928D2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6A4ABE4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576243A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石灰窑</w:t>
                  </w:r>
                </w:p>
              </w:tc>
              <w:tc>
                <w:tcPr>
                  <w:tcW w:w="938" w:type="pct"/>
                  <w:tcBorders>
                    <w:tl2br w:val="nil"/>
                    <w:tr2bl w:val="nil"/>
                  </w:tcBorders>
                  <w:shd w:val="clear" w:color="auto" w:fill="auto"/>
                  <w:noWrap/>
                  <w:vAlign w:val="center"/>
                </w:tcPr>
                <w:p w14:paraId="105DFD07">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1.325</w:t>
                  </w:r>
                </w:p>
              </w:tc>
            </w:tr>
            <w:tr w14:paraId="7C3B55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11" w:type="pct"/>
                  <w:vMerge w:val="continue"/>
                  <w:tcBorders>
                    <w:tl2br w:val="nil"/>
                    <w:tr2bl w:val="nil"/>
                  </w:tcBorders>
                  <w:shd w:val="clear" w:color="auto" w:fill="auto"/>
                  <w:noWrap/>
                  <w:vAlign w:val="center"/>
                </w:tcPr>
                <w:p w14:paraId="3331386B">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0AD0BCAF">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700" w:type="pct"/>
                  <w:vMerge w:val="continue"/>
                  <w:tcBorders>
                    <w:tl2br w:val="nil"/>
                    <w:tr2bl w:val="nil"/>
                  </w:tcBorders>
                  <w:shd w:val="clear" w:color="auto" w:fill="auto"/>
                  <w:noWrap/>
                  <w:vAlign w:val="center"/>
                </w:tcPr>
                <w:p w14:paraId="0627763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3349753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1B58D6A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转炉自用</w:t>
                  </w:r>
                </w:p>
              </w:tc>
              <w:tc>
                <w:tcPr>
                  <w:tcW w:w="938" w:type="pct"/>
                  <w:tcBorders>
                    <w:tl2br w:val="nil"/>
                    <w:tr2bl w:val="nil"/>
                  </w:tcBorders>
                  <w:shd w:val="clear" w:color="auto" w:fill="auto"/>
                  <w:noWrap/>
                  <w:vAlign w:val="center"/>
                </w:tcPr>
                <w:p w14:paraId="3A5159C4">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1.2814</w:t>
                  </w:r>
                </w:p>
              </w:tc>
            </w:tr>
            <w:tr w14:paraId="3E453E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11" w:type="pct"/>
                  <w:vMerge w:val="continue"/>
                  <w:tcBorders>
                    <w:tl2br w:val="nil"/>
                    <w:tr2bl w:val="nil"/>
                  </w:tcBorders>
                  <w:shd w:val="clear" w:color="auto" w:fill="auto"/>
                  <w:noWrap/>
                  <w:vAlign w:val="center"/>
                </w:tcPr>
                <w:p w14:paraId="61D9F61E">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699B1BA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700" w:type="pct"/>
                  <w:vMerge w:val="continue"/>
                  <w:tcBorders>
                    <w:tl2br w:val="nil"/>
                    <w:tr2bl w:val="nil"/>
                  </w:tcBorders>
                  <w:shd w:val="clear" w:color="auto" w:fill="auto"/>
                  <w:noWrap/>
                  <w:vAlign w:val="center"/>
                </w:tcPr>
                <w:p w14:paraId="2A0A4DA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5E399F1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22EA920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110MW亚临界超高温汽轮发电机组发电</w:t>
                  </w:r>
                </w:p>
              </w:tc>
              <w:tc>
                <w:tcPr>
                  <w:tcW w:w="938" w:type="pct"/>
                  <w:tcBorders>
                    <w:tl2br w:val="nil"/>
                    <w:tr2bl w:val="nil"/>
                  </w:tcBorders>
                  <w:shd w:val="clear" w:color="auto" w:fill="auto"/>
                  <w:noWrap/>
                  <w:vAlign w:val="center"/>
                </w:tcPr>
                <w:p w14:paraId="1109663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1.67</w:t>
                  </w:r>
                </w:p>
              </w:tc>
            </w:tr>
            <w:tr w14:paraId="04C106F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611" w:type="pct"/>
                  <w:vMerge w:val="continue"/>
                  <w:tcBorders>
                    <w:tl2br w:val="nil"/>
                    <w:tr2bl w:val="nil"/>
                  </w:tcBorders>
                  <w:shd w:val="clear" w:color="auto" w:fill="auto"/>
                  <w:noWrap/>
                  <w:vAlign w:val="center"/>
                </w:tcPr>
                <w:p w14:paraId="2D437636">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tcBorders>
                    <w:tl2br w:val="nil"/>
                    <w:tr2bl w:val="nil"/>
                  </w:tcBorders>
                  <w:shd w:val="clear" w:color="auto" w:fill="auto"/>
                  <w:noWrap/>
                  <w:vAlign w:val="center"/>
                </w:tcPr>
                <w:p w14:paraId="325ED6D6">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700" w:type="pct"/>
                  <w:vMerge w:val="continue"/>
                  <w:tcBorders>
                    <w:tl2br w:val="nil"/>
                    <w:tr2bl w:val="nil"/>
                  </w:tcBorders>
                  <w:shd w:val="clear" w:color="auto" w:fill="auto"/>
                  <w:noWrap/>
                  <w:vAlign w:val="center"/>
                </w:tcPr>
                <w:p w14:paraId="0BE3917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40" w:type="pct"/>
                  <w:vMerge w:val="continue"/>
                  <w:tcBorders>
                    <w:tl2br w:val="nil"/>
                    <w:tr2bl w:val="nil"/>
                  </w:tcBorders>
                  <w:shd w:val="clear" w:color="auto" w:fill="auto"/>
                  <w:noWrap/>
                  <w:vAlign w:val="center"/>
                </w:tcPr>
                <w:p w14:paraId="6E3F7FF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98" w:type="pct"/>
                  <w:tcBorders>
                    <w:tl2br w:val="nil"/>
                    <w:tr2bl w:val="nil"/>
                  </w:tcBorders>
                  <w:shd w:val="clear" w:color="auto" w:fill="auto"/>
                  <w:noWrap/>
                  <w:vAlign w:val="center"/>
                </w:tcPr>
                <w:p w14:paraId="3F8AD81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损失及其他</w:t>
                  </w:r>
                </w:p>
              </w:tc>
              <w:tc>
                <w:tcPr>
                  <w:tcW w:w="938" w:type="pct"/>
                  <w:tcBorders>
                    <w:tl2br w:val="nil"/>
                    <w:tr2bl w:val="nil"/>
                  </w:tcBorders>
                  <w:shd w:val="clear" w:color="auto" w:fill="auto"/>
                  <w:noWrap/>
                  <w:vAlign w:val="center"/>
                </w:tcPr>
                <w:p w14:paraId="1520650B">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0.0344</w:t>
                  </w:r>
                </w:p>
              </w:tc>
            </w:tr>
            <w:tr w14:paraId="5DF476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611" w:type="pct"/>
                  <w:vMerge w:val="continue"/>
                  <w:tcBorders>
                    <w:tl2br w:val="nil"/>
                    <w:tr2bl w:val="nil"/>
                  </w:tcBorders>
                  <w:shd w:val="clear" w:color="auto" w:fill="auto"/>
                  <w:noWrap/>
                  <w:vAlign w:val="center"/>
                </w:tcPr>
                <w:p w14:paraId="6B0000EA">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1110" w:type="pct"/>
                  <w:gridSpan w:val="2"/>
                  <w:tcBorders>
                    <w:tl2br w:val="nil"/>
                    <w:tr2bl w:val="nil"/>
                  </w:tcBorders>
                  <w:shd w:val="clear" w:color="auto" w:fill="auto"/>
                  <w:noWrap/>
                  <w:vAlign w:val="center"/>
                </w:tcPr>
                <w:p w14:paraId="4B7716B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740" w:type="pct"/>
                  <w:tcBorders>
                    <w:tl2br w:val="nil"/>
                    <w:tr2bl w:val="nil"/>
                  </w:tcBorders>
                  <w:shd w:val="clear" w:color="auto" w:fill="auto"/>
                  <w:noWrap/>
                  <w:vAlign w:val="center"/>
                </w:tcPr>
                <w:p w14:paraId="4EA1E25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5.7272</w:t>
                  </w:r>
                </w:p>
              </w:tc>
              <w:tc>
                <w:tcPr>
                  <w:tcW w:w="1598" w:type="pct"/>
                  <w:tcBorders>
                    <w:tl2br w:val="nil"/>
                    <w:tr2bl w:val="nil"/>
                  </w:tcBorders>
                  <w:shd w:val="clear" w:color="auto" w:fill="auto"/>
                  <w:noWrap/>
                  <w:vAlign w:val="center"/>
                </w:tcPr>
                <w:p w14:paraId="22856BB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938" w:type="pct"/>
                  <w:tcBorders>
                    <w:tl2br w:val="nil"/>
                    <w:tr2bl w:val="nil"/>
                  </w:tcBorders>
                  <w:shd w:val="clear" w:color="auto" w:fill="auto"/>
                  <w:noWrap/>
                  <w:vAlign w:val="center"/>
                </w:tcPr>
                <w:p w14:paraId="6F8C8FA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5.7272</w:t>
                  </w:r>
                </w:p>
              </w:tc>
            </w:tr>
            <w:tr w14:paraId="1D58FB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611" w:type="pct"/>
                  <w:vMerge w:val="restart"/>
                  <w:tcBorders>
                    <w:tl2br w:val="nil"/>
                    <w:tr2bl w:val="nil"/>
                  </w:tcBorders>
                  <w:shd w:val="clear" w:color="auto" w:fill="auto"/>
                  <w:noWrap/>
                  <w:vAlign w:val="center"/>
                </w:tcPr>
                <w:p w14:paraId="196A58C8">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焦炉煤气</w:t>
                  </w:r>
                </w:p>
              </w:tc>
              <w:tc>
                <w:tcPr>
                  <w:tcW w:w="410" w:type="pct"/>
                  <w:vMerge w:val="restart"/>
                  <w:tcBorders>
                    <w:tl2br w:val="nil"/>
                    <w:tr2bl w:val="nil"/>
                  </w:tcBorders>
                  <w:shd w:val="clear" w:color="auto" w:fill="auto"/>
                  <w:noWrap/>
                  <w:vAlign w:val="center"/>
                </w:tcPr>
                <w:p w14:paraId="12BB365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23</w:t>
                  </w:r>
                </w:p>
              </w:tc>
              <w:tc>
                <w:tcPr>
                  <w:tcW w:w="700" w:type="pct"/>
                  <w:vMerge w:val="restart"/>
                  <w:tcBorders>
                    <w:tl2br w:val="nil"/>
                    <w:tr2bl w:val="nil"/>
                  </w:tcBorders>
                  <w:shd w:val="clear" w:color="auto" w:fill="auto"/>
                  <w:noWrap/>
                  <w:vAlign w:val="center"/>
                </w:tcPr>
                <w:p w14:paraId="68A355D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焦炉</w:t>
                  </w:r>
                </w:p>
              </w:tc>
              <w:tc>
                <w:tcPr>
                  <w:tcW w:w="740" w:type="pct"/>
                  <w:vMerge w:val="restart"/>
                  <w:tcBorders>
                    <w:tl2br w:val="nil"/>
                    <w:tr2bl w:val="nil"/>
                  </w:tcBorders>
                  <w:shd w:val="clear" w:color="auto" w:fill="auto"/>
                  <w:noWrap/>
                  <w:vAlign w:val="center"/>
                </w:tcPr>
                <w:p w14:paraId="4167069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6.233</w:t>
                  </w:r>
                </w:p>
              </w:tc>
              <w:tc>
                <w:tcPr>
                  <w:tcW w:w="1598" w:type="pct"/>
                  <w:tcBorders>
                    <w:tl2br w:val="nil"/>
                    <w:tr2bl w:val="nil"/>
                  </w:tcBorders>
                  <w:shd w:val="clear" w:color="auto" w:fill="auto"/>
                  <w:noWrap/>
                  <w:vAlign w:val="center"/>
                </w:tcPr>
                <w:p w14:paraId="7362FD2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焦炉自用</w:t>
                  </w:r>
                </w:p>
              </w:tc>
              <w:tc>
                <w:tcPr>
                  <w:tcW w:w="938" w:type="pct"/>
                  <w:tcBorders>
                    <w:tl2br w:val="nil"/>
                    <w:tr2bl w:val="nil"/>
                  </w:tcBorders>
                  <w:shd w:val="clear" w:color="auto" w:fill="auto"/>
                  <w:noWrap/>
                  <w:vAlign w:val="center"/>
                </w:tcPr>
                <w:p w14:paraId="49DC91C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1.246</w:t>
                  </w:r>
                </w:p>
              </w:tc>
            </w:tr>
            <w:tr w14:paraId="32F1CF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611" w:type="pct"/>
                  <w:vMerge w:val="continue"/>
                  <w:tcBorders>
                    <w:tl2br w:val="nil"/>
                    <w:tr2bl w:val="nil"/>
                  </w:tcBorders>
                  <w:shd w:val="clear" w:color="auto" w:fill="auto"/>
                  <w:noWrap/>
                  <w:vAlign w:val="center"/>
                </w:tcPr>
                <w:p w14:paraId="4A89D60D">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vMerge w:val="continue"/>
                  <w:tcBorders>
                    <w:tl2br w:val="nil"/>
                    <w:tr2bl w:val="nil"/>
                  </w:tcBorders>
                  <w:shd w:val="clear" w:color="auto" w:fill="auto"/>
                  <w:noWrap/>
                  <w:vAlign w:val="center"/>
                </w:tcPr>
                <w:p w14:paraId="54EA71E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700" w:type="pct"/>
                  <w:vMerge w:val="continue"/>
                  <w:tcBorders>
                    <w:tl2br w:val="nil"/>
                    <w:tr2bl w:val="nil"/>
                  </w:tcBorders>
                  <w:shd w:val="clear" w:color="auto" w:fill="auto"/>
                  <w:noWrap/>
                  <w:vAlign w:val="center"/>
                </w:tcPr>
                <w:p w14:paraId="3716878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740" w:type="pct"/>
                  <w:vMerge w:val="continue"/>
                  <w:tcBorders>
                    <w:tl2br w:val="nil"/>
                    <w:tr2bl w:val="nil"/>
                  </w:tcBorders>
                  <w:shd w:val="clear" w:color="auto" w:fill="auto"/>
                  <w:noWrap/>
                  <w:vAlign w:val="center"/>
                </w:tcPr>
                <w:p w14:paraId="1DDEDDC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598" w:type="pct"/>
                  <w:tcBorders>
                    <w:tl2br w:val="nil"/>
                    <w:tr2bl w:val="nil"/>
                  </w:tcBorders>
                  <w:shd w:val="clear" w:color="auto" w:fill="auto"/>
                  <w:noWrap/>
                  <w:vAlign w:val="center"/>
                </w:tcPr>
                <w:p w14:paraId="61588EAE">
                  <w:pPr>
                    <w:pStyle w:val="29"/>
                    <w:keepNext w:val="0"/>
                    <w:keepLines w:val="0"/>
                    <w:suppressLineNumbers w:val="0"/>
                    <w:bidi w:val="0"/>
                    <w:spacing w:before="0" w:beforeAutospacing="0" w:after="0" w:afterAutospacing="0"/>
                    <w:ind w:left="0" w:right="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110MW亚临界超高温</w:t>
                  </w:r>
                </w:p>
                <w:p w14:paraId="14B3757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汽轮发电机组发电</w:t>
                  </w:r>
                </w:p>
              </w:tc>
              <w:tc>
                <w:tcPr>
                  <w:tcW w:w="938" w:type="pct"/>
                  <w:tcBorders>
                    <w:tl2br w:val="nil"/>
                    <w:tr2bl w:val="nil"/>
                  </w:tcBorders>
                  <w:shd w:val="clear" w:color="auto" w:fill="auto"/>
                  <w:noWrap/>
                  <w:vAlign w:val="center"/>
                </w:tcPr>
                <w:p w14:paraId="7787966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r>
            <w:tr w14:paraId="6A94C9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611" w:type="pct"/>
                  <w:vMerge w:val="continue"/>
                  <w:tcBorders>
                    <w:tl2br w:val="nil"/>
                    <w:tr2bl w:val="nil"/>
                  </w:tcBorders>
                  <w:shd w:val="clear" w:color="auto" w:fill="auto"/>
                  <w:noWrap/>
                  <w:vAlign w:val="center"/>
                </w:tcPr>
                <w:p w14:paraId="0D2BECB6">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10" w:type="pct"/>
                  <w:vMerge w:val="continue"/>
                  <w:tcBorders>
                    <w:tl2br w:val="nil"/>
                    <w:tr2bl w:val="nil"/>
                  </w:tcBorders>
                  <w:shd w:val="clear" w:color="auto" w:fill="auto"/>
                  <w:noWrap/>
                  <w:vAlign w:val="center"/>
                </w:tcPr>
                <w:p w14:paraId="24038BC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700" w:type="pct"/>
                  <w:vMerge w:val="continue"/>
                  <w:tcBorders>
                    <w:tl2br w:val="nil"/>
                    <w:tr2bl w:val="nil"/>
                  </w:tcBorders>
                  <w:shd w:val="clear" w:color="auto" w:fill="auto"/>
                  <w:noWrap/>
                  <w:vAlign w:val="center"/>
                </w:tcPr>
                <w:p w14:paraId="1908572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740" w:type="pct"/>
                  <w:vMerge w:val="continue"/>
                  <w:tcBorders>
                    <w:tl2br w:val="nil"/>
                    <w:tr2bl w:val="nil"/>
                  </w:tcBorders>
                  <w:shd w:val="clear" w:color="auto" w:fill="auto"/>
                  <w:noWrap/>
                  <w:vAlign w:val="center"/>
                </w:tcPr>
                <w:p w14:paraId="4F61234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598" w:type="pct"/>
                  <w:tcBorders>
                    <w:tl2br w:val="nil"/>
                    <w:tr2bl w:val="nil"/>
                  </w:tcBorders>
                  <w:shd w:val="clear" w:color="auto" w:fill="auto"/>
                  <w:noWrap/>
                  <w:vAlign w:val="center"/>
                </w:tcPr>
                <w:p w14:paraId="6370318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损失及其他</w:t>
                  </w:r>
                </w:p>
              </w:tc>
              <w:tc>
                <w:tcPr>
                  <w:tcW w:w="938" w:type="pct"/>
                  <w:tcBorders>
                    <w:tl2br w:val="nil"/>
                    <w:tr2bl w:val="nil"/>
                  </w:tcBorders>
                  <w:shd w:val="clear" w:color="auto" w:fill="auto"/>
                  <w:noWrap/>
                  <w:vAlign w:val="center"/>
                </w:tcPr>
                <w:p w14:paraId="2AC3F92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0.037</w:t>
                  </w:r>
                </w:p>
              </w:tc>
            </w:tr>
            <w:tr w14:paraId="072559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611" w:type="pct"/>
                  <w:vMerge w:val="continue"/>
                  <w:tcBorders>
                    <w:tl2br w:val="nil"/>
                    <w:tr2bl w:val="nil"/>
                  </w:tcBorders>
                  <w:shd w:val="clear" w:color="auto" w:fill="auto"/>
                  <w:noWrap/>
                  <w:vAlign w:val="center"/>
                </w:tcPr>
                <w:p w14:paraId="3CDE0367">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1110" w:type="pct"/>
                  <w:gridSpan w:val="2"/>
                  <w:tcBorders>
                    <w:tl2br w:val="nil"/>
                    <w:tr2bl w:val="nil"/>
                  </w:tcBorders>
                  <w:shd w:val="clear" w:color="auto" w:fill="auto"/>
                  <w:noWrap/>
                  <w:vAlign w:val="center"/>
                </w:tcPr>
                <w:p w14:paraId="235AAEC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740" w:type="pct"/>
                  <w:tcBorders>
                    <w:tl2br w:val="nil"/>
                    <w:tr2bl w:val="nil"/>
                  </w:tcBorders>
                  <w:shd w:val="clear" w:color="auto" w:fill="auto"/>
                  <w:noWrap/>
                  <w:vAlign w:val="center"/>
                </w:tcPr>
                <w:p w14:paraId="5BFC8AF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6.233</w:t>
                  </w:r>
                </w:p>
              </w:tc>
              <w:tc>
                <w:tcPr>
                  <w:tcW w:w="1598" w:type="pct"/>
                  <w:tcBorders>
                    <w:tl2br w:val="nil"/>
                    <w:tr2bl w:val="nil"/>
                  </w:tcBorders>
                  <w:shd w:val="clear" w:color="auto" w:fill="auto"/>
                  <w:noWrap/>
                  <w:vAlign w:val="center"/>
                </w:tcPr>
                <w:p w14:paraId="1D4DC7B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938" w:type="pct"/>
                  <w:tcBorders>
                    <w:tl2br w:val="nil"/>
                    <w:tr2bl w:val="nil"/>
                  </w:tcBorders>
                  <w:shd w:val="clear" w:color="auto" w:fill="auto"/>
                  <w:noWrap/>
                  <w:vAlign w:val="center"/>
                </w:tcPr>
                <w:p w14:paraId="178EA13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3.483</w:t>
                  </w:r>
                </w:p>
              </w:tc>
            </w:tr>
            <w:tr w14:paraId="09F777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611" w:type="pct"/>
                  <w:vMerge w:val="continue"/>
                  <w:tcBorders>
                    <w:tl2br w:val="nil"/>
                    <w:tr2bl w:val="nil"/>
                  </w:tcBorders>
                  <w:shd w:val="clear" w:color="auto" w:fill="auto"/>
                  <w:noWrap/>
                  <w:vAlign w:val="center"/>
                </w:tcPr>
                <w:p w14:paraId="3387ADAD">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4388" w:type="pct"/>
                  <w:gridSpan w:val="5"/>
                  <w:tcBorders>
                    <w:tl2br w:val="nil"/>
                    <w:tr2bl w:val="nil"/>
                  </w:tcBorders>
                  <w:shd w:val="clear" w:color="auto" w:fill="auto"/>
                  <w:noWrap/>
                  <w:vAlign w:val="center"/>
                </w:tcPr>
                <w:p w14:paraId="7657587A">
                  <w:pPr>
                    <w:pStyle w:val="29"/>
                    <w:keepNext w:val="0"/>
                    <w:keepLines w:val="0"/>
                    <w:suppressLineNumbers w:val="0"/>
                    <w:bidi w:val="0"/>
                    <w:spacing w:before="0" w:beforeAutospacing="0" w:after="0" w:afterAutospacing="0"/>
                    <w:ind w:left="0" w:right="0"/>
                    <w:jc w:val="both"/>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焦化项目建设完成后还有2.75</w:t>
                  </w:r>
                  <w:r>
                    <w:rPr>
                      <w:rFonts w:hint="default" w:ascii="Times New Roman" w:hAnsi="Times New Roman" w:eastAsia="宋体" w:cs="Times New Roman"/>
                      <w:color w:val="auto"/>
                      <w:sz w:val="18"/>
                      <w:szCs w:val="18"/>
                      <w:highlight w:val="none"/>
                      <w:lang w:val="en-US" w:eastAsia="zh-CN"/>
                    </w:rPr>
                    <w:t>万m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r>
                    <w:rPr>
                      <w:rFonts w:hint="eastAsia" w:cs="Times New Roman"/>
                      <w:color w:val="auto"/>
                      <w:sz w:val="18"/>
                      <w:szCs w:val="18"/>
                      <w:highlight w:val="none"/>
                      <w:lang w:val="en-US" w:eastAsia="zh-CN"/>
                    </w:rPr>
                    <w:t>煤气剩余，用于本项目80MW煤气发电机组发电使用。</w:t>
                  </w:r>
                </w:p>
              </w:tc>
            </w:tr>
          </w:tbl>
          <w:p w14:paraId="246633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（二）本项目煤气平衡</w:t>
            </w:r>
          </w:p>
          <w:p w14:paraId="738EFE6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i w:val="0"/>
                <w:iCs w:val="0"/>
                <w:color w:val="000000"/>
                <w:kern w:val="0"/>
                <w:sz w:val="24"/>
                <w:szCs w:val="24"/>
                <w:u w:val="none"/>
                <w:lang w:val="en-US" w:eastAsia="zh-CN" w:bidi="ar"/>
              </w:rPr>
            </w:pPr>
            <w:r>
              <w:rPr>
                <w:rFonts w:hint="eastAsia" w:ascii="Times New Roman" w:hAnsi="Times New Roman" w:eastAsia="宋体" w:cs="Times New Roman"/>
                <w:b w:val="0"/>
                <w:i w:val="0"/>
                <w:iCs w:val="0"/>
                <w:color w:val="000000"/>
                <w:kern w:val="0"/>
                <w:sz w:val="24"/>
                <w:szCs w:val="24"/>
                <w:u w:val="none"/>
                <w:lang w:val="en-US" w:eastAsia="zh-CN" w:bidi="ar"/>
              </w:rPr>
              <w:t>本项目采用高炉煤气、转炉煤气及焦炉煤气进行发电，</w:t>
            </w:r>
            <w:r>
              <w:rPr>
                <w:rFonts w:hint="eastAsia" w:cs="Times New Roman"/>
                <w:b w:val="0"/>
                <w:i w:val="0"/>
                <w:iCs w:val="0"/>
                <w:color w:val="000000"/>
                <w:kern w:val="0"/>
                <w:sz w:val="24"/>
                <w:szCs w:val="24"/>
                <w:u w:val="none"/>
                <w:lang w:val="en-US" w:eastAsia="zh-CN" w:bidi="ar"/>
              </w:rPr>
              <w:t>本项目建成后</w:t>
            </w:r>
            <w:r>
              <w:rPr>
                <w:rFonts w:hint="eastAsia" w:ascii="Times New Roman" w:hAnsi="Times New Roman" w:eastAsia="宋体" w:cs="Times New Roman"/>
                <w:b w:val="0"/>
                <w:i w:val="0"/>
                <w:iCs w:val="0"/>
                <w:color w:val="000000"/>
                <w:kern w:val="0"/>
                <w:sz w:val="24"/>
                <w:szCs w:val="24"/>
                <w:u w:val="none"/>
                <w:lang w:val="en-US" w:eastAsia="zh-CN" w:bidi="ar"/>
              </w:rPr>
              <w:t>将25MW中温中压发电机组仅作备用机组，停用12MW中温中压发电机组和20MW煤气+烧结余热发电机组，富余出来的煤气用于本项目80MW超高温亚临界煤气发电机组；110MW发电机组焦化项目建设完成前使用高炉煤气和转炉煤气发电，焦化项目建设完成后使用高炉煤气和焦炉煤气发电，本项目建成后使用的转炉煤气量来源于110MW前期使用的转炉煤气量。根据项目可行性研究报告及现场调查核实，本项目煤气平衡见下表：</w:t>
            </w:r>
          </w:p>
          <w:p w14:paraId="055C79E7">
            <w:pPr>
              <w:pStyle w:val="28"/>
              <w:keepNext w:val="0"/>
              <w:keepLines w:val="0"/>
              <w:suppressLineNumbers w:val="0"/>
              <w:bidi w:val="0"/>
              <w:spacing w:before="0" w:beforeAutospacing="0" w:after="0" w:afterAutospacing="0"/>
              <w:ind w:left="0" w:right="0"/>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rPr>
              <w:t>表</w:t>
            </w:r>
            <w:r>
              <w:rPr>
                <w:rFonts w:hint="eastAsia" w:ascii="黑体" w:hAnsi="黑体" w:eastAsia="黑体" w:cs="黑体"/>
                <w:b w:val="0"/>
                <w:bCs/>
                <w:color w:val="auto"/>
                <w:highlight w:val="none"/>
                <w:lang w:val="en-US" w:eastAsia="zh-CN"/>
              </w:rPr>
              <w:t>2-10</w:t>
            </w:r>
            <w:r>
              <w:rPr>
                <w:rFonts w:hint="eastAsia" w:ascii="黑体" w:hAnsi="黑体" w:eastAsia="黑体" w:cs="黑体"/>
                <w:b w:val="0"/>
                <w:bCs/>
                <w:color w:val="auto"/>
                <w:highlight w:val="none"/>
              </w:rPr>
              <w:t xml:space="preserve">  </w:t>
            </w:r>
            <w:r>
              <w:rPr>
                <w:rFonts w:hint="eastAsia" w:ascii="黑体" w:hAnsi="黑体" w:eastAsia="黑体" w:cs="黑体"/>
                <w:b w:val="0"/>
                <w:bCs/>
                <w:color w:val="auto"/>
                <w:highlight w:val="none"/>
                <w:lang w:val="en-US" w:eastAsia="zh-CN"/>
              </w:rPr>
              <w:t>本项目煤气平衡一览表</w:t>
            </w:r>
          </w:p>
          <w:tbl>
            <w:tblPr>
              <w:tblStyle w:val="17"/>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7"/>
              <w:gridCol w:w="917"/>
              <w:gridCol w:w="1116"/>
              <w:gridCol w:w="770"/>
              <w:gridCol w:w="2449"/>
              <w:gridCol w:w="1863"/>
            </w:tblGrid>
            <w:tr w14:paraId="4E4287A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570" w:type="pct"/>
                  <w:tcBorders>
                    <w:tl2br w:val="nil"/>
                    <w:tr2bl w:val="nil"/>
                  </w:tcBorders>
                  <w:shd w:val="clear" w:color="auto" w:fill="auto"/>
                  <w:noWrap/>
                  <w:vAlign w:val="center"/>
                </w:tcPr>
                <w:p w14:paraId="77D2788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煤气种类</w:t>
                  </w:r>
                </w:p>
              </w:tc>
              <w:tc>
                <w:tcPr>
                  <w:tcW w:w="570" w:type="pct"/>
                  <w:tcBorders>
                    <w:tl2br w:val="nil"/>
                    <w:tr2bl w:val="nil"/>
                  </w:tcBorders>
                  <w:shd w:val="clear" w:color="auto" w:fill="auto"/>
                  <w:noWrap/>
                  <w:vAlign w:val="center"/>
                </w:tcPr>
                <w:p w14:paraId="214A36C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694" w:type="pct"/>
                  <w:tcBorders>
                    <w:tl2br w:val="nil"/>
                    <w:tr2bl w:val="nil"/>
                  </w:tcBorders>
                  <w:shd w:val="clear" w:color="auto" w:fill="auto"/>
                  <w:noWrap/>
                  <w:vAlign w:val="center"/>
                </w:tcPr>
                <w:p w14:paraId="1F3B854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产气环节</w:t>
                  </w:r>
                </w:p>
              </w:tc>
              <w:tc>
                <w:tcPr>
                  <w:tcW w:w="479" w:type="pct"/>
                  <w:tcBorders>
                    <w:tl2br w:val="nil"/>
                    <w:tr2bl w:val="nil"/>
                  </w:tcBorders>
                  <w:shd w:val="clear" w:color="auto" w:fill="auto"/>
                  <w:noWrap/>
                  <w:vAlign w:val="center"/>
                </w:tcPr>
                <w:p w14:paraId="16D6AA9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万m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1524" w:type="pct"/>
                  <w:tcBorders>
                    <w:tl2br w:val="nil"/>
                    <w:tr2bl w:val="nil"/>
                  </w:tcBorders>
                  <w:shd w:val="clear" w:color="auto" w:fill="auto"/>
                  <w:noWrap/>
                  <w:vAlign w:val="center"/>
                </w:tcPr>
                <w:p w14:paraId="6375176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用气环节</w:t>
                  </w:r>
                </w:p>
              </w:tc>
              <w:tc>
                <w:tcPr>
                  <w:tcW w:w="1159" w:type="pct"/>
                  <w:tcBorders>
                    <w:tl2br w:val="nil"/>
                    <w:tr2bl w:val="nil"/>
                  </w:tcBorders>
                  <w:shd w:val="clear" w:color="auto" w:fill="auto"/>
                  <w:noWrap/>
                  <w:vAlign w:val="center"/>
                </w:tcPr>
                <w:p w14:paraId="2E35E81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使用量万m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r>
            <w:tr w14:paraId="027FDAF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570" w:type="pct"/>
                  <w:vMerge w:val="restart"/>
                  <w:tcBorders>
                    <w:tl2br w:val="nil"/>
                    <w:tr2bl w:val="nil"/>
                  </w:tcBorders>
                  <w:shd w:val="clear" w:color="auto" w:fill="auto"/>
                  <w:noWrap/>
                  <w:vAlign w:val="center"/>
                </w:tcPr>
                <w:p w14:paraId="6324E19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高炉煤气</w:t>
                  </w:r>
                </w:p>
              </w:tc>
              <w:tc>
                <w:tcPr>
                  <w:tcW w:w="570" w:type="pct"/>
                  <w:tcBorders>
                    <w:tl2br w:val="nil"/>
                    <w:tr2bl w:val="nil"/>
                  </w:tcBorders>
                  <w:shd w:val="clear" w:color="auto" w:fill="auto"/>
                  <w:noWrap/>
                  <w:vAlign w:val="center"/>
                </w:tcPr>
                <w:p w14:paraId="5FFD9F3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94" w:type="pct"/>
                  <w:vMerge w:val="restart"/>
                  <w:tcBorders>
                    <w:tl2br w:val="nil"/>
                    <w:tr2bl w:val="nil"/>
                  </w:tcBorders>
                  <w:shd w:val="clear" w:color="auto" w:fill="auto"/>
                  <w:noWrap/>
                  <w:vAlign w:val="center"/>
                </w:tcPr>
                <w:p w14:paraId="4381E2B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w:t>
                  </w:r>
                  <w:r>
                    <w:rPr>
                      <w:rFonts w:hint="default" w:ascii="Arial" w:hAnsi="Arial" w:eastAsia="宋体" w:cs="Arial"/>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1350</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高炉</w:t>
                  </w:r>
                </w:p>
              </w:tc>
              <w:tc>
                <w:tcPr>
                  <w:tcW w:w="479" w:type="pct"/>
                  <w:vMerge w:val="restart"/>
                  <w:tcBorders>
                    <w:tl2br w:val="nil"/>
                    <w:tr2bl w:val="nil"/>
                  </w:tcBorders>
                  <w:shd w:val="clear" w:color="auto" w:fill="auto"/>
                  <w:noWrap/>
                  <w:vAlign w:val="center"/>
                </w:tcPr>
                <w:p w14:paraId="3BC43CC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55.618</w:t>
                  </w:r>
                </w:p>
              </w:tc>
              <w:tc>
                <w:tcPr>
                  <w:tcW w:w="1524" w:type="pct"/>
                  <w:tcBorders>
                    <w:tl2br w:val="nil"/>
                    <w:tr2bl w:val="nil"/>
                  </w:tcBorders>
                  <w:shd w:val="clear" w:color="auto" w:fill="auto"/>
                  <w:noWrap/>
                  <w:vAlign w:val="center"/>
                </w:tcPr>
                <w:p w14:paraId="186C605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热风炉及喷煤</w:t>
                  </w:r>
                </w:p>
              </w:tc>
              <w:tc>
                <w:tcPr>
                  <w:tcW w:w="1159" w:type="pct"/>
                  <w:tcBorders>
                    <w:tl2br w:val="nil"/>
                    <w:tr2bl w:val="nil"/>
                  </w:tcBorders>
                  <w:shd w:val="clear" w:color="auto" w:fill="auto"/>
                  <w:noWrap/>
                  <w:vAlign w:val="center"/>
                </w:tcPr>
                <w:p w14:paraId="1C21A6B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18.0925</w:t>
                  </w:r>
                </w:p>
              </w:tc>
            </w:tr>
            <w:tr w14:paraId="1FC814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570" w:type="pct"/>
                  <w:vMerge w:val="continue"/>
                  <w:tcBorders>
                    <w:tl2br w:val="nil"/>
                    <w:tr2bl w:val="nil"/>
                  </w:tcBorders>
                  <w:shd w:val="clear" w:color="auto" w:fill="auto"/>
                  <w:noWrap/>
                  <w:vAlign w:val="center"/>
                </w:tcPr>
                <w:p w14:paraId="12A4B82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570" w:type="pct"/>
                  <w:tcBorders>
                    <w:tl2br w:val="nil"/>
                    <w:tr2bl w:val="nil"/>
                  </w:tcBorders>
                  <w:shd w:val="clear" w:color="auto" w:fill="auto"/>
                  <w:noWrap/>
                  <w:vAlign w:val="center"/>
                </w:tcPr>
                <w:p w14:paraId="49E8B3C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694" w:type="pct"/>
                  <w:vMerge w:val="continue"/>
                  <w:tcBorders>
                    <w:tl2br w:val="nil"/>
                    <w:tr2bl w:val="nil"/>
                  </w:tcBorders>
                  <w:shd w:val="clear" w:color="auto" w:fill="auto"/>
                  <w:noWrap/>
                  <w:vAlign w:val="center"/>
                </w:tcPr>
                <w:p w14:paraId="05788EA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3532919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2A0C08E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×360</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lang w:val="en-US" w:eastAsia="zh-CN"/>
                    </w:rPr>
                    <w:t>烧结</w:t>
                  </w:r>
                  <w:r>
                    <w:rPr>
                      <w:rFonts w:hint="eastAsia" w:ascii="Times New Roman" w:hAnsi="Times New Roman" w:eastAsia="宋体" w:cs="Times New Roman"/>
                      <w:color w:val="auto"/>
                      <w:sz w:val="18"/>
                      <w:szCs w:val="18"/>
                      <w:highlight w:val="none"/>
                      <w:lang w:val="en-US" w:eastAsia="zh-CN"/>
                    </w:rPr>
                    <w:t>（含脱硫脱硝）</w:t>
                  </w:r>
                </w:p>
              </w:tc>
              <w:tc>
                <w:tcPr>
                  <w:tcW w:w="1159" w:type="pct"/>
                  <w:tcBorders>
                    <w:tl2br w:val="nil"/>
                    <w:tr2bl w:val="nil"/>
                  </w:tcBorders>
                  <w:shd w:val="clear" w:color="auto" w:fill="auto"/>
                  <w:noWrap/>
                  <w:vAlign w:val="center"/>
                </w:tcPr>
                <w:p w14:paraId="6427D42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2.5865</w:t>
                  </w:r>
                </w:p>
              </w:tc>
            </w:tr>
            <w:tr w14:paraId="6FC754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1E8B7B6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382409C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694" w:type="pct"/>
                  <w:vMerge w:val="continue"/>
                  <w:tcBorders>
                    <w:tl2br w:val="nil"/>
                    <w:tr2bl w:val="nil"/>
                  </w:tcBorders>
                  <w:shd w:val="clear" w:color="auto" w:fill="auto"/>
                  <w:noWrap/>
                  <w:vAlign w:val="center"/>
                </w:tcPr>
                <w:p w14:paraId="25172E4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7831D60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1A18D65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198m</w:t>
                  </w:r>
                  <w:r>
                    <w:rPr>
                      <w:rFonts w:hint="eastAsia"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lang w:val="en-US" w:eastAsia="zh-CN"/>
                    </w:rPr>
                    <w:t>烧结</w:t>
                  </w:r>
                  <w:r>
                    <w:rPr>
                      <w:rFonts w:hint="eastAsia" w:ascii="Times New Roman" w:hAnsi="Times New Roman" w:eastAsia="宋体" w:cs="Times New Roman"/>
                      <w:color w:val="auto"/>
                      <w:sz w:val="18"/>
                      <w:szCs w:val="18"/>
                      <w:highlight w:val="none"/>
                      <w:lang w:val="en-US" w:eastAsia="zh-CN"/>
                    </w:rPr>
                    <w:t>（含脱硫脱硝）</w:t>
                  </w:r>
                </w:p>
              </w:tc>
              <w:tc>
                <w:tcPr>
                  <w:tcW w:w="1159" w:type="pct"/>
                  <w:tcBorders>
                    <w:tl2br w:val="nil"/>
                    <w:tr2bl w:val="nil"/>
                  </w:tcBorders>
                  <w:shd w:val="clear" w:color="auto" w:fill="auto"/>
                  <w:noWrap/>
                  <w:vAlign w:val="center"/>
                </w:tcPr>
                <w:p w14:paraId="2BDE1BB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1.4049</w:t>
                  </w:r>
                </w:p>
              </w:tc>
            </w:tr>
            <w:tr w14:paraId="16A1975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79C1456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0747F34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694" w:type="pct"/>
                  <w:vMerge w:val="continue"/>
                  <w:tcBorders>
                    <w:tl2br w:val="nil"/>
                    <w:tr2bl w:val="nil"/>
                  </w:tcBorders>
                  <w:shd w:val="clear" w:color="auto" w:fill="auto"/>
                  <w:noWrap/>
                  <w:vAlign w:val="center"/>
                </w:tcPr>
                <w:p w14:paraId="0A2B49F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7419C36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3A744FC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炼钢：钢包烤包</w:t>
                  </w:r>
                </w:p>
              </w:tc>
              <w:tc>
                <w:tcPr>
                  <w:tcW w:w="1159" w:type="pct"/>
                  <w:tcBorders>
                    <w:tl2br w:val="nil"/>
                    <w:tr2bl w:val="nil"/>
                  </w:tcBorders>
                  <w:shd w:val="clear" w:color="auto" w:fill="auto"/>
                  <w:noWrap/>
                  <w:vAlign w:val="center"/>
                </w:tcPr>
                <w:p w14:paraId="130209B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2.1465</w:t>
                  </w:r>
                </w:p>
              </w:tc>
            </w:tr>
            <w:tr w14:paraId="73DB3B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09194B1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0E2F6CA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694" w:type="pct"/>
                  <w:vMerge w:val="continue"/>
                  <w:tcBorders>
                    <w:tl2br w:val="nil"/>
                    <w:tr2bl w:val="nil"/>
                  </w:tcBorders>
                  <w:shd w:val="clear" w:color="auto" w:fill="auto"/>
                  <w:noWrap/>
                  <w:vAlign w:val="center"/>
                </w:tcPr>
                <w:p w14:paraId="35DA207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645B0E1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65A0398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52吨合金电炉</w:t>
                  </w:r>
                </w:p>
              </w:tc>
              <w:tc>
                <w:tcPr>
                  <w:tcW w:w="1159" w:type="pct"/>
                  <w:tcBorders>
                    <w:tl2br w:val="nil"/>
                    <w:tr2bl w:val="nil"/>
                  </w:tcBorders>
                  <w:shd w:val="clear" w:color="auto" w:fill="auto"/>
                  <w:noWrap/>
                  <w:vAlign w:val="center"/>
                </w:tcPr>
                <w:p w14:paraId="5ABF813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0.191</w:t>
                  </w:r>
                </w:p>
              </w:tc>
            </w:tr>
            <w:tr w14:paraId="1E8DD21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154B0F5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785FDB6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694" w:type="pct"/>
                  <w:vMerge w:val="continue"/>
                  <w:tcBorders>
                    <w:tl2br w:val="nil"/>
                    <w:tr2bl w:val="nil"/>
                  </w:tcBorders>
                  <w:shd w:val="clear" w:color="auto" w:fill="auto"/>
                  <w:noWrap/>
                  <w:vAlign w:val="center"/>
                </w:tcPr>
                <w:p w14:paraId="57ADC1B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2A1550A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7076E012">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连铸</w:t>
                  </w:r>
                </w:p>
              </w:tc>
              <w:tc>
                <w:tcPr>
                  <w:tcW w:w="1159" w:type="pct"/>
                  <w:tcBorders>
                    <w:tl2br w:val="nil"/>
                    <w:tr2bl w:val="nil"/>
                  </w:tcBorders>
                  <w:shd w:val="clear" w:color="auto" w:fill="auto"/>
                  <w:noWrap/>
                  <w:vAlign w:val="center"/>
                </w:tcPr>
                <w:p w14:paraId="1217B64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0.7611</w:t>
                  </w:r>
                </w:p>
              </w:tc>
            </w:tr>
            <w:tr w14:paraId="10327F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6D66E8A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6A99430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694" w:type="pct"/>
                  <w:vMerge w:val="continue"/>
                  <w:tcBorders>
                    <w:tl2br w:val="nil"/>
                    <w:tr2bl w:val="nil"/>
                  </w:tcBorders>
                  <w:shd w:val="clear" w:color="auto" w:fill="auto"/>
                  <w:noWrap/>
                  <w:vAlign w:val="center"/>
                </w:tcPr>
                <w:p w14:paraId="45BF34C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04FF48F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4E4E665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轧钢—50加热炉</w:t>
                  </w:r>
                </w:p>
              </w:tc>
              <w:tc>
                <w:tcPr>
                  <w:tcW w:w="1159" w:type="pct"/>
                  <w:tcBorders>
                    <w:tl2br w:val="nil"/>
                    <w:tr2bl w:val="nil"/>
                  </w:tcBorders>
                  <w:shd w:val="clear" w:color="auto" w:fill="auto"/>
                  <w:noWrap/>
                  <w:vAlign w:val="center"/>
                </w:tcPr>
                <w:p w14:paraId="68CC354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1.4195</w:t>
                  </w:r>
                </w:p>
              </w:tc>
            </w:tr>
            <w:tr w14:paraId="6BC0DC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5B1D080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4563F1E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w:t>
                  </w:r>
                </w:p>
              </w:tc>
              <w:tc>
                <w:tcPr>
                  <w:tcW w:w="694" w:type="pct"/>
                  <w:vMerge w:val="continue"/>
                  <w:tcBorders>
                    <w:tl2br w:val="nil"/>
                    <w:tr2bl w:val="nil"/>
                  </w:tcBorders>
                  <w:shd w:val="clear" w:color="auto" w:fill="auto"/>
                  <w:noWrap/>
                  <w:vAlign w:val="center"/>
                </w:tcPr>
                <w:p w14:paraId="6A87CA0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5B7D302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7660395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轧钢—80加热炉</w:t>
                  </w:r>
                </w:p>
              </w:tc>
              <w:tc>
                <w:tcPr>
                  <w:tcW w:w="1159" w:type="pct"/>
                  <w:tcBorders>
                    <w:tl2br w:val="nil"/>
                    <w:tr2bl w:val="nil"/>
                  </w:tcBorders>
                  <w:shd w:val="clear" w:color="auto" w:fill="auto"/>
                  <w:noWrap/>
                  <w:vAlign w:val="center"/>
                </w:tcPr>
                <w:p w14:paraId="587BF43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2.2712</w:t>
                  </w:r>
                </w:p>
              </w:tc>
            </w:tr>
            <w:tr w14:paraId="796FC0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4" w:hRule="atLeast"/>
              </w:trPr>
              <w:tc>
                <w:tcPr>
                  <w:tcW w:w="570" w:type="pct"/>
                  <w:vMerge w:val="continue"/>
                  <w:tcBorders>
                    <w:tl2br w:val="nil"/>
                    <w:tr2bl w:val="nil"/>
                  </w:tcBorders>
                  <w:shd w:val="clear" w:color="auto" w:fill="auto"/>
                  <w:noWrap/>
                  <w:vAlign w:val="center"/>
                </w:tcPr>
                <w:p w14:paraId="77650F8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45F9B52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w:t>
                  </w:r>
                </w:p>
              </w:tc>
              <w:tc>
                <w:tcPr>
                  <w:tcW w:w="694" w:type="pct"/>
                  <w:vMerge w:val="continue"/>
                  <w:tcBorders>
                    <w:tl2br w:val="nil"/>
                    <w:tr2bl w:val="nil"/>
                  </w:tcBorders>
                  <w:shd w:val="clear" w:color="auto" w:fill="auto"/>
                  <w:noWrap/>
                  <w:vAlign w:val="center"/>
                </w:tcPr>
                <w:p w14:paraId="3EFB270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77E16E2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66B88C1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轧钢—140加热炉</w:t>
                  </w:r>
                </w:p>
              </w:tc>
              <w:tc>
                <w:tcPr>
                  <w:tcW w:w="1159" w:type="pct"/>
                  <w:tcBorders>
                    <w:tl2br w:val="nil"/>
                    <w:tr2bl w:val="nil"/>
                  </w:tcBorders>
                  <w:shd w:val="clear" w:color="auto" w:fill="auto"/>
                  <w:noWrap/>
                  <w:vAlign w:val="center"/>
                </w:tcPr>
                <w:p w14:paraId="672035F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3.9745</w:t>
                  </w:r>
                </w:p>
              </w:tc>
            </w:tr>
            <w:tr w14:paraId="20BBBB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34F1EBB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0F6FB03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w:t>
                  </w:r>
                </w:p>
              </w:tc>
              <w:tc>
                <w:tcPr>
                  <w:tcW w:w="694" w:type="pct"/>
                  <w:vMerge w:val="continue"/>
                  <w:tcBorders>
                    <w:tl2br w:val="nil"/>
                    <w:tr2bl w:val="nil"/>
                  </w:tcBorders>
                  <w:shd w:val="clear" w:color="auto" w:fill="auto"/>
                  <w:noWrap/>
                  <w:vAlign w:val="center"/>
                </w:tcPr>
                <w:p w14:paraId="0B0FE8B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17B8380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7F758A6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轧钢—180万吨带钢加热炉1</w:t>
                  </w:r>
                </w:p>
              </w:tc>
              <w:tc>
                <w:tcPr>
                  <w:tcW w:w="1159" w:type="pct"/>
                  <w:tcBorders>
                    <w:tl2br w:val="nil"/>
                    <w:tr2bl w:val="nil"/>
                  </w:tcBorders>
                  <w:shd w:val="clear" w:color="auto" w:fill="auto"/>
                  <w:noWrap/>
                  <w:vAlign w:val="center"/>
                </w:tcPr>
                <w:p w14:paraId="29F3269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2.1246</w:t>
                  </w:r>
                </w:p>
              </w:tc>
            </w:tr>
            <w:tr w14:paraId="455A5D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30283E8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69BDA48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w:t>
                  </w:r>
                </w:p>
              </w:tc>
              <w:tc>
                <w:tcPr>
                  <w:tcW w:w="694" w:type="pct"/>
                  <w:vMerge w:val="continue"/>
                  <w:tcBorders>
                    <w:tl2br w:val="nil"/>
                    <w:tr2bl w:val="nil"/>
                  </w:tcBorders>
                  <w:shd w:val="clear" w:color="auto" w:fill="auto"/>
                  <w:noWrap/>
                  <w:vAlign w:val="center"/>
                </w:tcPr>
                <w:p w14:paraId="7795975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7176378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78C46AC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轧钢—180万吨带钢加热炉2</w:t>
                  </w:r>
                </w:p>
              </w:tc>
              <w:tc>
                <w:tcPr>
                  <w:tcW w:w="1159" w:type="pct"/>
                  <w:tcBorders>
                    <w:tl2br w:val="nil"/>
                    <w:tr2bl w:val="nil"/>
                  </w:tcBorders>
                  <w:shd w:val="clear" w:color="auto" w:fill="auto"/>
                  <w:noWrap/>
                  <w:vAlign w:val="center"/>
                </w:tcPr>
                <w:p w14:paraId="72B7C8F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2.1246</w:t>
                  </w:r>
                </w:p>
              </w:tc>
            </w:tr>
            <w:tr w14:paraId="506CB3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579114A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3514E5A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694" w:type="pct"/>
                  <w:vMerge w:val="continue"/>
                  <w:tcBorders>
                    <w:tl2br w:val="nil"/>
                    <w:tr2bl w:val="nil"/>
                  </w:tcBorders>
                  <w:shd w:val="clear" w:color="auto" w:fill="auto"/>
                  <w:noWrap/>
                  <w:vAlign w:val="center"/>
                </w:tcPr>
                <w:p w14:paraId="55302CB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2B77C50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38F573B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110MW</w:t>
                  </w:r>
                  <w:r>
                    <w:rPr>
                      <w:rFonts w:hint="eastAsia" w:ascii="Times New Roman" w:hAnsi="Times New Roman" w:eastAsia="宋体" w:cs="Times New Roman"/>
                      <w:color w:val="auto"/>
                      <w:sz w:val="18"/>
                      <w:szCs w:val="18"/>
                      <w:highlight w:val="none"/>
                      <w:lang w:val="en-US" w:eastAsia="zh-CN"/>
                    </w:rPr>
                    <w:t>亚临界超高温汽轮发电机组发电</w:t>
                  </w:r>
                </w:p>
              </w:tc>
              <w:tc>
                <w:tcPr>
                  <w:tcW w:w="1159" w:type="pct"/>
                  <w:tcBorders>
                    <w:tl2br w:val="nil"/>
                    <w:tr2bl w:val="nil"/>
                  </w:tcBorders>
                  <w:shd w:val="clear" w:color="auto" w:fill="auto"/>
                  <w:noWrap/>
                  <w:vAlign w:val="center"/>
                </w:tcPr>
                <w:p w14:paraId="2C7D06A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color w:val="auto"/>
                      <w:sz w:val="18"/>
                      <w:szCs w:val="18"/>
                      <w:highlight w:val="none"/>
                      <w:lang w:val="en-US" w:eastAsia="zh-CN"/>
                    </w:rPr>
                    <w:t>12.2919</w:t>
                  </w:r>
                </w:p>
              </w:tc>
            </w:tr>
            <w:tr w14:paraId="092354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126D709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5B6661A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w:t>
                  </w:r>
                </w:p>
              </w:tc>
              <w:tc>
                <w:tcPr>
                  <w:tcW w:w="694" w:type="pct"/>
                  <w:vMerge w:val="continue"/>
                  <w:tcBorders>
                    <w:tl2br w:val="nil"/>
                    <w:tr2bl w:val="nil"/>
                  </w:tcBorders>
                  <w:shd w:val="clear" w:color="auto" w:fill="auto"/>
                  <w:noWrap/>
                  <w:vAlign w:val="center"/>
                </w:tcPr>
                <w:p w14:paraId="58DA0E2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02E422E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0D62C5C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MW</w:t>
                  </w:r>
                  <w:r>
                    <w:rPr>
                      <w:rFonts w:hint="eastAsia" w:ascii="Times New Roman" w:hAnsi="Times New Roman" w:eastAsia="宋体" w:cs="Times New Roman"/>
                      <w:color w:val="auto"/>
                      <w:sz w:val="18"/>
                      <w:szCs w:val="18"/>
                      <w:highlight w:val="none"/>
                      <w:lang w:val="en-US" w:eastAsia="zh-CN"/>
                    </w:rPr>
                    <w:t>亚临界超高温汽轮发电机组发电</w:t>
                  </w:r>
                </w:p>
              </w:tc>
              <w:tc>
                <w:tcPr>
                  <w:tcW w:w="1159" w:type="pct"/>
                  <w:tcBorders>
                    <w:tl2br w:val="nil"/>
                    <w:tr2bl w:val="nil"/>
                  </w:tcBorders>
                  <w:shd w:val="clear" w:color="auto" w:fill="auto"/>
                  <w:noWrap/>
                  <w:vAlign w:val="center"/>
                </w:tcPr>
                <w:p w14:paraId="00E6998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5.89</w:t>
                  </w:r>
                </w:p>
              </w:tc>
            </w:tr>
            <w:tr w14:paraId="1BD34B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583859D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2FF9977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w:t>
                  </w:r>
                </w:p>
              </w:tc>
              <w:tc>
                <w:tcPr>
                  <w:tcW w:w="694" w:type="pct"/>
                  <w:vMerge w:val="continue"/>
                  <w:tcBorders>
                    <w:tl2br w:val="nil"/>
                    <w:tr2bl w:val="nil"/>
                  </w:tcBorders>
                  <w:shd w:val="clear" w:color="auto" w:fill="auto"/>
                  <w:noWrap/>
                  <w:vAlign w:val="center"/>
                </w:tcPr>
                <w:p w14:paraId="5EE0BCA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47F92E6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47E8646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管道损失</w:t>
                  </w:r>
                </w:p>
              </w:tc>
              <w:tc>
                <w:tcPr>
                  <w:tcW w:w="1159" w:type="pct"/>
                  <w:tcBorders>
                    <w:tl2br w:val="nil"/>
                    <w:tr2bl w:val="nil"/>
                  </w:tcBorders>
                  <w:shd w:val="clear" w:color="auto" w:fill="auto"/>
                  <w:noWrap/>
                  <w:vAlign w:val="center"/>
                </w:tcPr>
                <w:p w14:paraId="20921AC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0.3392</w:t>
                  </w:r>
                </w:p>
              </w:tc>
            </w:tr>
            <w:tr w14:paraId="5AD9E9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47505C4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265" w:type="pct"/>
                  <w:gridSpan w:val="2"/>
                  <w:tcBorders>
                    <w:tl2br w:val="nil"/>
                    <w:tr2bl w:val="nil"/>
                  </w:tcBorders>
                  <w:shd w:val="clear" w:color="auto" w:fill="auto"/>
                  <w:noWrap/>
                  <w:vAlign w:val="center"/>
                </w:tcPr>
                <w:p w14:paraId="5115939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479" w:type="pct"/>
                  <w:tcBorders>
                    <w:tl2br w:val="nil"/>
                    <w:tr2bl w:val="nil"/>
                  </w:tcBorders>
                  <w:shd w:val="clear" w:color="auto" w:fill="auto"/>
                  <w:noWrap/>
                  <w:vAlign w:val="center"/>
                </w:tcPr>
                <w:p w14:paraId="281AB4E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55.618</w:t>
                  </w:r>
                </w:p>
              </w:tc>
              <w:tc>
                <w:tcPr>
                  <w:tcW w:w="1524" w:type="pct"/>
                  <w:tcBorders>
                    <w:tl2br w:val="nil"/>
                    <w:tr2bl w:val="nil"/>
                  </w:tcBorders>
                  <w:shd w:val="clear" w:color="auto" w:fill="auto"/>
                  <w:noWrap/>
                  <w:vAlign w:val="center"/>
                </w:tcPr>
                <w:p w14:paraId="4F24819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1159" w:type="pct"/>
                  <w:tcBorders>
                    <w:tl2br w:val="nil"/>
                    <w:tr2bl w:val="nil"/>
                  </w:tcBorders>
                  <w:shd w:val="clear" w:color="auto" w:fill="auto"/>
                  <w:noWrap/>
                  <w:vAlign w:val="center"/>
                </w:tcPr>
                <w:p w14:paraId="403CC63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55.618</w:t>
                  </w:r>
                </w:p>
              </w:tc>
            </w:tr>
            <w:tr w14:paraId="08243B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restart"/>
                  <w:tcBorders>
                    <w:tl2br w:val="nil"/>
                    <w:tr2bl w:val="nil"/>
                  </w:tcBorders>
                  <w:shd w:val="clear" w:color="auto" w:fill="auto"/>
                  <w:noWrap/>
                  <w:vAlign w:val="center"/>
                </w:tcPr>
                <w:p w14:paraId="4C33AC81">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转炉煤气</w:t>
                  </w:r>
                </w:p>
              </w:tc>
              <w:tc>
                <w:tcPr>
                  <w:tcW w:w="570" w:type="pct"/>
                  <w:tcBorders>
                    <w:tl2br w:val="nil"/>
                    <w:tr2bl w:val="nil"/>
                  </w:tcBorders>
                  <w:shd w:val="clear" w:color="auto" w:fill="auto"/>
                  <w:noWrap/>
                  <w:vAlign w:val="center"/>
                </w:tcPr>
                <w:p w14:paraId="764260E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694" w:type="pct"/>
                  <w:vMerge w:val="restart"/>
                  <w:tcBorders>
                    <w:tl2br w:val="nil"/>
                    <w:tr2bl w:val="nil"/>
                  </w:tcBorders>
                  <w:shd w:val="clear" w:color="auto" w:fill="auto"/>
                  <w:noWrap/>
                  <w:vAlign w:val="center"/>
                </w:tcPr>
                <w:p w14:paraId="7A0ACD5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2×100t转炉</w:t>
                  </w:r>
                </w:p>
              </w:tc>
              <w:tc>
                <w:tcPr>
                  <w:tcW w:w="479" w:type="pct"/>
                  <w:vMerge w:val="restart"/>
                  <w:tcBorders>
                    <w:tl2br w:val="nil"/>
                    <w:tr2bl w:val="nil"/>
                  </w:tcBorders>
                  <w:shd w:val="clear" w:color="auto" w:fill="auto"/>
                  <w:noWrap/>
                  <w:vAlign w:val="center"/>
                </w:tcPr>
                <w:p w14:paraId="1BF6AEF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5.7272</w:t>
                  </w:r>
                </w:p>
              </w:tc>
              <w:tc>
                <w:tcPr>
                  <w:tcW w:w="1524" w:type="pct"/>
                  <w:tcBorders>
                    <w:tl2br w:val="nil"/>
                    <w:tr2bl w:val="nil"/>
                  </w:tcBorders>
                  <w:shd w:val="clear" w:color="auto" w:fill="auto"/>
                  <w:noWrap/>
                  <w:vAlign w:val="center"/>
                </w:tcPr>
                <w:p w14:paraId="4625F62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轧钢—180万吨带钢加热炉1</w:t>
                  </w:r>
                </w:p>
              </w:tc>
              <w:tc>
                <w:tcPr>
                  <w:tcW w:w="1159" w:type="pct"/>
                  <w:tcBorders>
                    <w:tl2br w:val="nil"/>
                    <w:tr2bl w:val="nil"/>
                  </w:tcBorders>
                  <w:shd w:val="clear" w:color="auto" w:fill="auto"/>
                  <w:noWrap/>
                  <w:vAlign w:val="center"/>
                </w:tcPr>
                <w:p w14:paraId="366BF4A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0.7082</w:t>
                  </w:r>
                </w:p>
              </w:tc>
            </w:tr>
            <w:tr w14:paraId="0CAF08B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4CEED607">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00B42DB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694" w:type="pct"/>
                  <w:vMerge w:val="continue"/>
                  <w:tcBorders>
                    <w:tl2br w:val="nil"/>
                    <w:tr2bl w:val="nil"/>
                  </w:tcBorders>
                  <w:shd w:val="clear" w:color="auto" w:fill="auto"/>
                  <w:noWrap/>
                  <w:vAlign w:val="center"/>
                </w:tcPr>
                <w:p w14:paraId="6CBA369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7C69714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30AE50C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轧钢—180万吨带钢加热炉2</w:t>
                  </w:r>
                </w:p>
              </w:tc>
              <w:tc>
                <w:tcPr>
                  <w:tcW w:w="1159" w:type="pct"/>
                  <w:tcBorders>
                    <w:tl2br w:val="nil"/>
                    <w:tr2bl w:val="nil"/>
                  </w:tcBorders>
                  <w:shd w:val="clear" w:color="auto" w:fill="auto"/>
                  <w:noWrap/>
                  <w:vAlign w:val="center"/>
                </w:tcPr>
                <w:p w14:paraId="47A5642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0.7082</w:t>
                  </w:r>
                </w:p>
              </w:tc>
            </w:tr>
            <w:tr w14:paraId="2E8841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570" w:type="pct"/>
                  <w:vMerge w:val="continue"/>
                  <w:tcBorders>
                    <w:tl2br w:val="nil"/>
                    <w:tr2bl w:val="nil"/>
                  </w:tcBorders>
                  <w:shd w:val="clear" w:color="auto" w:fill="auto"/>
                  <w:noWrap/>
                  <w:vAlign w:val="center"/>
                </w:tcPr>
                <w:p w14:paraId="79C7DAD3">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32D8FD5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17</w:t>
                  </w:r>
                </w:p>
              </w:tc>
              <w:tc>
                <w:tcPr>
                  <w:tcW w:w="694" w:type="pct"/>
                  <w:vMerge w:val="continue"/>
                  <w:tcBorders>
                    <w:tl2br w:val="nil"/>
                    <w:tr2bl w:val="nil"/>
                  </w:tcBorders>
                  <w:shd w:val="clear" w:color="auto" w:fill="auto"/>
                  <w:noWrap/>
                  <w:vAlign w:val="center"/>
                </w:tcPr>
                <w:p w14:paraId="0544428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48818DE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797C176F">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石灰窑</w:t>
                  </w:r>
                </w:p>
              </w:tc>
              <w:tc>
                <w:tcPr>
                  <w:tcW w:w="1863" w:type="dxa"/>
                  <w:tcBorders>
                    <w:tl2br w:val="nil"/>
                    <w:tr2bl w:val="nil"/>
                  </w:tcBorders>
                  <w:shd w:val="clear" w:color="auto" w:fill="auto"/>
                  <w:noWrap/>
                  <w:vAlign w:val="center"/>
                </w:tcPr>
                <w:p w14:paraId="3CFC0290">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1.325</w:t>
                  </w:r>
                </w:p>
              </w:tc>
            </w:tr>
            <w:tr w14:paraId="5A8D68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shd w:val="clear" w:color="auto" w:fill="auto"/>
                  <w:noWrap/>
                  <w:vAlign w:val="center"/>
                </w:tcPr>
                <w:p w14:paraId="3A1C56EF">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2325EE9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694" w:type="pct"/>
                  <w:vMerge w:val="continue"/>
                  <w:tcBorders>
                    <w:tl2br w:val="nil"/>
                    <w:tr2bl w:val="nil"/>
                  </w:tcBorders>
                  <w:shd w:val="clear" w:color="auto" w:fill="auto"/>
                  <w:noWrap/>
                  <w:vAlign w:val="center"/>
                </w:tcPr>
                <w:p w14:paraId="793A47B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47D2736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6E0C3F4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转炉自用</w:t>
                  </w:r>
                </w:p>
              </w:tc>
              <w:tc>
                <w:tcPr>
                  <w:tcW w:w="1863" w:type="dxa"/>
                  <w:tcBorders>
                    <w:tl2br w:val="nil"/>
                    <w:tr2bl w:val="nil"/>
                  </w:tcBorders>
                  <w:shd w:val="clear" w:color="auto" w:fill="auto"/>
                  <w:noWrap/>
                  <w:vAlign w:val="center"/>
                </w:tcPr>
                <w:p w14:paraId="4105B02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1.2814</w:t>
                  </w:r>
                </w:p>
              </w:tc>
            </w:tr>
            <w:tr w14:paraId="1E3F20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2A976B1F">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70FA939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w:t>
                  </w:r>
                </w:p>
              </w:tc>
              <w:tc>
                <w:tcPr>
                  <w:tcW w:w="694" w:type="pct"/>
                  <w:vMerge w:val="continue"/>
                  <w:tcBorders>
                    <w:tl2br w:val="nil"/>
                    <w:tr2bl w:val="nil"/>
                  </w:tcBorders>
                  <w:shd w:val="clear" w:color="auto" w:fill="auto"/>
                  <w:noWrap/>
                  <w:vAlign w:val="center"/>
                </w:tcPr>
                <w:p w14:paraId="61DB7C4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5E1E361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4151C1A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MW亚临界超高温汽轮发电机组发电</w:t>
                  </w:r>
                </w:p>
              </w:tc>
              <w:tc>
                <w:tcPr>
                  <w:tcW w:w="1863" w:type="dxa"/>
                  <w:tcBorders>
                    <w:tl2br w:val="nil"/>
                    <w:tr2bl w:val="nil"/>
                  </w:tcBorders>
                  <w:shd w:val="clear" w:color="auto" w:fill="auto"/>
                  <w:noWrap/>
                  <w:vAlign w:val="center"/>
                </w:tcPr>
                <w:p w14:paraId="608C222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b w:val="0"/>
                      <w:color w:val="auto"/>
                      <w:kern w:val="2"/>
                      <w:sz w:val="18"/>
                      <w:szCs w:val="18"/>
                      <w:highlight w:val="none"/>
                      <w:lang w:val="en-US" w:eastAsia="zh-CN" w:bidi="ar-SA"/>
                    </w:rPr>
                    <w:t>1.67</w:t>
                  </w:r>
                </w:p>
              </w:tc>
            </w:tr>
            <w:tr w14:paraId="0EBC11E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70" w:type="pct"/>
                  <w:vMerge w:val="continue"/>
                  <w:tcBorders>
                    <w:tl2br w:val="nil"/>
                    <w:tr2bl w:val="nil"/>
                  </w:tcBorders>
                  <w:shd w:val="clear" w:color="auto" w:fill="auto"/>
                  <w:noWrap/>
                  <w:vAlign w:val="center"/>
                </w:tcPr>
                <w:p w14:paraId="7F67EB93">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15534E72">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694" w:type="pct"/>
                  <w:vMerge w:val="continue"/>
                  <w:tcBorders>
                    <w:tl2br w:val="nil"/>
                    <w:tr2bl w:val="nil"/>
                  </w:tcBorders>
                  <w:shd w:val="clear" w:color="auto" w:fill="auto"/>
                  <w:noWrap/>
                  <w:vAlign w:val="center"/>
                </w:tcPr>
                <w:p w14:paraId="694FFF2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479" w:type="pct"/>
                  <w:vMerge w:val="continue"/>
                  <w:tcBorders>
                    <w:tl2br w:val="nil"/>
                    <w:tr2bl w:val="nil"/>
                  </w:tcBorders>
                  <w:shd w:val="clear" w:color="auto" w:fill="auto"/>
                  <w:noWrap/>
                  <w:vAlign w:val="center"/>
                </w:tcPr>
                <w:p w14:paraId="49F45BD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24" w:type="pct"/>
                  <w:tcBorders>
                    <w:tl2br w:val="nil"/>
                    <w:tr2bl w:val="nil"/>
                  </w:tcBorders>
                  <w:shd w:val="clear" w:color="auto" w:fill="auto"/>
                  <w:noWrap/>
                  <w:vAlign w:val="center"/>
                </w:tcPr>
                <w:p w14:paraId="2E949A8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管道损失</w:t>
                  </w:r>
                </w:p>
              </w:tc>
              <w:tc>
                <w:tcPr>
                  <w:tcW w:w="1863" w:type="dxa"/>
                  <w:tcBorders>
                    <w:tl2br w:val="nil"/>
                    <w:tr2bl w:val="nil"/>
                  </w:tcBorders>
                  <w:shd w:val="clear" w:color="auto" w:fill="auto"/>
                  <w:noWrap/>
                  <w:vAlign w:val="center"/>
                </w:tcPr>
                <w:p w14:paraId="60BFD334">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0.0344</w:t>
                  </w:r>
                </w:p>
              </w:tc>
            </w:tr>
            <w:tr w14:paraId="20952CE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70" w:type="pct"/>
                  <w:vMerge w:val="continue"/>
                  <w:tcBorders>
                    <w:tl2br w:val="nil"/>
                    <w:tr2bl w:val="nil"/>
                  </w:tcBorders>
                  <w:shd w:val="clear" w:color="auto" w:fill="auto"/>
                  <w:noWrap/>
                  <w:vAlign w:val="center"/>
                </w:tcPr>
                <w:p w14:paraId="0DEDADB4">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1265" w:type="pct"/>
                  <w:gridSpan w:val="2"/>
                  <w:tcBorders>
                    <w:tl2br w:val="nil"/>
                    <w:tr2bl w:val="nil"/>
                  </w:tcBorders>
                  <w:shd w:val="clear" w:color="auto" w:fill="auto"/>
                  <w:noWrap/>
                  <w:vAlign w:val="center"/>
                </w:tcPr>
                <w:p w14:paraId="50EE9B1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合计</w:t>
                  </w:r>
                </w:p>
              </w:tc>
              <w:tc>
                <w:tcPr>
                  <w:tcW w:w="479" w:type="pct"/>
                  <w:tcBorders>
                    <w:tl2br w:val="nil"/>
                    <w:tr2bl w:val="nil"/>
                  </w:tcBorders>
                  <w:shd w:val="clear" w:color="auto" w:fill="auto"/>
                  <w:noWrap/>
                  <w:vAlign w:val="center"/>
                </w:tcPr>
                <w:p w14:paraId="20AC2ED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5.7272</w:t>
                  </w:r>
                </w:p>
              </w:tc>
              <w:tc>
                <w:tcPr>
                  <w:tcW w:w="1524" w:type="pct"/>
                  <w:tcBorders>
                    <w:tl2br w:val="nil"/>
                    <w:tr2bl w:val="nil"/>
                  </w:tcBorders>
                  <w:shd w:val="clear" w:color="auto" w:fill="auto"/>
                  <w:noWrap/>
                  <w:vAlign w:val="center"/>
                </w:tcPr>
                <w:p w14:paraId="26F1A7D3">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1159" w:type="pct"/>
                  <w:tcBorders>
                    <w:tl2br w:val="nil"/>
                    <w:tr2bl w:val="nil"/>
                  </w:tcBorders>
                  <w:shd w:val="clear" w:color="auto" w:fill="auto"/>
                  <w:noWrap/>
                  <w:vAlign w:val="center"/>
                </w:tcPr>
                <w:p w14:paraId="677A2A8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5.7272</w:t>
                  </w:r>
                </w:p>
              </w:tc>
            </w:tr>
            <w:tr w14:paraId="741C22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570" w:type="pct"/>
                  <w:vMerge w:val="restart"/>
                  <w:tcBorders>
                    <w:tl2br w:val="nil"/>
                    <w:tr2bl w:val="nil"/>
                  </w:tcBorders>
                  <w:shd w:val="clear" w:color="auto" w:fill="auto"/>
                  <w:noWrap/>
                  <w:vAlign w:val="center"/>
                </w:tcPr>
                <w:p w14:paraId="47420457">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焦炉煤气</w:t>
                  </w:r>
                </w:p>
              </w:tc>
              <w:tc>
                <w:tcPr>
                  <w:tcW w:w="570" w:type="pct"/>
                  <w:tcBorders>
                    <w:tl2br w:val="nil"/>
                    <w:tr2bl w:val="nil"/>
                  </w:tcBorders>
                  <w:shd w:val="clear" w:color="auto" w:fill="auto"/>
                  <w:noWrap/>
                  <w:vAlign w:val="center"/>
                </w:tcPr>
                <w:p w14:paraId="7DF4467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694" w:type="pct"/>
                  <w:vMerge w:val="restart"/>
                  <w:tcBorders>
                    <w:tl2br w:val="nil"/>
                    <w:tr2bl w:val="nil"/>
                  </w:tcBorders>
                  <w:shd w:val="clear" w:color="auto" w:fill="auto"/>
                  <w:noWrap/>
                  <w:vAlign w:val="center"/>
                </w:tcPr>
                <w:p w14:paraId="1573821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焦炉</w:t>
                  </w:r>
                </w:p>
              </w:tc>
              <w:tc>
                <w:tcPr>
                  <w:tcW w:w="479" w:type="pct"/>
                  <w:vMerge w:val="restart"/>
                  <w:tcBorders>
                    <w:tl2br w:val="nil"/>
                    <w:tr2bl w:val="nil"/>
                  </w:tcBorders>
                  <w:shd w:val="clear" w:color="auto" w:fill="auto"/>
                  <w:noWrap/>
                  <w:vAlign w:val="center"/>
                </w:tcPr>
                <w:p w14:paraId="612FD05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6.233</w:t>
                  </w:r>
                </w:p>
              </w:tc>
              <w:tc>
                <w:tcPr>
                  <w:tcW w:w="1524" w:type="pct"/>
                  <w:tcBorders>
                    <w:tl2br w:val="nil"/>
                    <w:tr2bl w:val="nil"/>
                  </w:tcBorders>
                  <w:shd w:val="clear" w:color="auto" w:fill="auto"/>
                  <w:noWrap/>
                  <w:vAlign w:val="center"/>
                </w:tcPr>
                <w:p w14:paraId="6A53C00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焦炉自用</w:t>
                  </w:r>
                </w:p>
              </w:tc>
              <w:tc>
                <w:tcPr>
                  <w:tcW w:w="1159" w:type="pct"/>
                  <w:tcBorders>
                    <w:tl2br w:val="nil"/>
                    <w:tr2bl w:val="nil"/>
                  </w:tcBorders>
                  <w:shd w:val="clear" w:color="auto" w:fill="auto"/>
                  <w:noWrap/>
                  <w:vAlign w:val="center"/>
                </w:tcPr>
                <w:p w14:paraId="280839B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1.246</w:t>
                  </w:r>
                </w:p>
              </w:tc>
            </w:tr>
            <w:tr w14:paraId="14EA6BA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70" w:type="pct"/>
                  <w:vMerge w:val="continue"/>
                  <w:tcBorders>
                    <w:tl2br w:val="nil"/>
                    <w:tr2bl w:val="nil"/>
                  </w:tcBorders>
                  <w:shd w:val="clear" w:color="auto" w:fill="auto"/>
                  <w:noWrap/>
                  <w:vAlign w:val="center"/>
                </w:tcPr>
                <w:p w14:paraId="55806C9B">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2AB3AA8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694" w:type="pct"/>
                  <w:vMerge w:val="continue"/>
                  <w:tcBorders>
                    <w:tl2br w:val="nil"/>
                    <w:tr2bl w:val="nil"/>
                  </w:tcBorders>
                  <w:shd w:val="clear" w:color="auto" w:fill="auto"/>
                  <w:noWrap/>
                  <w:vAlign w:val="center"/>
                </w:tcPr>
                <w:p w14:paraId="00D0263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479" w:type="pct"/>
                  <w:vMerge w:val="continue"/>
                  <w:tcBorders>
                    <w:tl2br w:val="nil"/>
                    <w:tr2bl w:val="nil"/>
                  </w:tcBorders>
                  <w:shd w:val="clear" w:color="auto" w:fill="auto"/>
                  <w:noWrap/>
                  <w:vAlign w:val="center"/>
                </w:tcPr>
                <w:p w14:paraId="200FAD2C">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p>
              </w:tc>
              <w:tc>
                <w:tcPr>
                  <w:tcW w:w="1524" w:type="pct"/>
                  <w:tcBorders>
                    <w:tl2br w:val="nil"/>
                    <w:tr2bl w:val="nil"/>
                  </w:tcBorders>
                  <w:shd w:val="clear" w:color="auto" w:fill="auto"/>
                  <w:noWrap/>
                  <w:vAlign w:val="center"/>
                </w:tcPr>
                <w:p w14:paraId="1439FC40">
                  <w:pPr>
                    <w:pStyle w:val="29"/>
                    <w:keepNext w:val="0"/>
                    <w:keepLines w:val="0"/>
                    <w:suppressLineNumbers w:val="0"/>
                    <w:bidi w:val="0"/>
                    <w:spacing w:before="0" w:beforeAutospacing="0" w:after="0" w:afterAutospacing="0"/>
                    <w:ind w:left="0" w:right="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110MW亚临界超高温</w:t>
                  </w:r>
                </w:p>
                <w:p w14:paraId="7F6415C7">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汽轮发电机组发电</w:t>
                  </w:r>
                </w:p>
              </w:tc>
              <w:tc>
                <w:tcPr>
                  <w:tcW w:w="1159" w:type="pct"/>
                  <w:tcBorders>
                    <w:tl2br w:val="nil"/>
                    <w:tr2bl w:val="nil"/>
                  </w:tcBorders>
                  <w:shd w:val="clear" w:color="auto" w:fill="auto"/>
                  <w:noWrap/>
                  <w:vAlign w:val="center"/>
                </w:tcPr>
                <w:p w14:paraId="087AD26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r>
            <w:tr w14:paraId="58B338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70" w:type="pct"/>
                  <w:vMerge w:val="continue"/>
                  <w:tcBorders>
                    <w:tl2br w:val="nil"/>
                    <w:tr2bl w:val="nil"/>
                  </w:tcBorders>
                  <w:shd w:val="clear" w:color="auto" w:fill="auto"/>
                  <w:noWrap/>
                  <w:vAlign w:val="center"/>
                </w:tcPr>
                <w:p w14:paraId="7D2E565B">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2FE6E68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23</w:t>
                  </w:r>
                </w:p>
              </w:tc>
              <w:tc>
                <w:tcPr>
                  <w:tcW w:w="694" w:type="pct"/>
                  <w:vMerge w:val="continue"/>
                  <w:tcBorders>
                    <w:tl2br w:val="nil"/>
                    <w:tr2bl w:val="nil"/>
                  </w:tcBorders>
                  <w:shd w:val="clear" w:color="auto" w:fill="auto"/>
                  <w:noWrap/>
                  <w:vAlign w:val="center"/>
                </w:tcPr>
                <w:p w14:paraId="51E2A91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479" w:type="pct"/>
                  <w:vMerge w:val="continue"/>
                  <w:tcBorders>
                    <w:tl2br w:val="nil"/>
                    <w:tr2bl w:val="nil"/>
                  </w:tcBorders>
                  <w:shd w:val="clear" w:color="auto" w:fill="auto"/>
                  <w:noWrap/>
                  <w:vAlign w:val="center"/>
                </w:tcPr>
                <w:p w14:paraId="75904428">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p>
              </w:tc>
              <w:tc>
                <w:tcPr>
                  <w:tcW w:w="1524" w:type="pct"/>
                  <w:tcBorders>
                    <w:tl2br w:val="nil"/>
                    <w:tr2bl w:val="nil"/>
                  </w:tcBorders>
                  <w:shd w:val="clear" w:color="auto" w:fill="auto"/>
                  <w:noWrap/>
                  <w:vAlign w:val="center"/>
                </w:tcPr>
                <w:p w14:paraId="2A416997">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MW</w:t>
                  </w:r>
                  <w:r>
                    <w:rPr>
                      <w:rFonts w:hint="eastAsia" w:ascii="Times New Roman" w:hAnsi="Times New Roman" w:eastAsia="宋体" w:cs="Times New Roman"/>
                      <w:color w:val="auto"/>
                      <w:sz w:val="18"/>
                      <w:szCs w:val="18"/>
                      <w:highlight w:val="none"/>
                      <w:lang w:val="en-US" w:eastAsia="zh-CN"/>
                    </w:rPr>
                    <w:t>亚临界超高温汽轮发电机组发电</w:t>
                  </w:r>
                </w:p>
              </w:tc>
              <w:tc>
                <w:tcPr>
                  <w:tcW w:w="1159" w:type="pct"/>
                  <w:tcBorders>
                    <w:tl2br w:val="nil"/>
                    <w:tr2bl w:val="nil"/>
                  </w:tcBorders>
                  <w:shd w:val="clear" w:color="auto" w:fill="auto"/>
                  <w:noWrap/>
                  <w:vAlign w:val="center"/>
                </w:tcPr>
                <w:p w14:paraId="50713A7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2.75</w:t>
                  </w:r>
                </w:p>
              </w:tc>
            </w:tr>
            <w:tr w14:paraId="119F19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0" w:hRule="atLeast"/>
              </w:trPr>
              <w:tc>
                <w:tcPr>
                  <w:tcW w:w="570" w:type="pct"/>
                  <w:vMerge w:val="continue"/>
                  <w:tcBorders>
                    <w:tl2br w:val="nil"/>
                    <w:tr2bl w:val="nil"/>
                  </w:tcBorders>
                  <w:shd w:val="clear" w:color="auto" w:fill="auto"/>
                  <w:noWrap/>
                  <w:vAlign w:val="center"/>
                </w:tcPr>
                <w:p w14:paraId="55BF29AA">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570" w:type="pct"/>
                  <w:tcBorders>
                    <w:tl2br w:val="nil"/>
                    <w:tr2bl w:val="nil"/>
                  </w:tcBorders>
                  <w:shd w:val="clear" w:color="auto" w:fill="auto"/>
                  <w:noWrap/>
                  <w:vAlign w:val="center"/>
                </w:tcPr>
                <w:p w14:paraId="5729E0C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24</w:t>
                  </w:r>
                </w:p>
              </w:tc>
              <w:tc>
                <w:tcPr>
                  <w:tcW w:w="694" w:type="pct"/>
                  <w:vMerge w:val="continue"/>
                  <w:tcBorders>
                    <w:tl2br w:val="nil"/>
                    <w:tr2bl w:val="nil"/>
                  </w:tcBorders>
                  <w:shd w:val="clear" w:color="auto" w:fill="auto"/>
                  <w:noWrap/>
                  <w:vAlign w:val="center"/>
                </w:tcPr>
                <w:p w14:paraId="7C36A32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479" w:type="pct"/>
                  <w:vMerge w:val="continue"/>
                  <w:tcBorders>
                    <w:tl2br w:val="nil"/>
                    <w:tr2bl w:val="nil"/>
                  </w:tcBorders>
                  <w:shd w:val="clear" w:color="auto" w:fill="auto"/>
                  <w:noWrap/>
                  <w:vAlign w:val="center"/>
                </w:tcPr>
                <w:p w14:paraId="1B55AD4F">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p>
              </w:tc>
              <w:tc>
                <w:tcPr>
                  <w:tcW w:w="1524" w:type="pct"/>
                  <w:tcBorders>
                    <w:tl2br w:val="nil"/>
                    <w:tr2bl w:val="nil"/>
                  </w:tcBorders>
                  <w:shd w:val="clear" w:color="auto" w:fill="auto"/>
                  <w:noWrap/>
                  <w:vAlign w:val="center"/>
                </w:tcPr>
                <w:p w14:paraId="492027C0">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管道损失</w:t>
                  </w:r>
                </w:p>
              </w:tc>
              <w:tc>
                <w:tcPr>
                  <w:tcW w:w="1159" w:type="pct"/>
                  <w:tcBorders>
                    <w:tl2br w:val="nil"/>
                    <w:tr2bl w:val="nil"/>
                  </w:tcBorders>
                  <w:shd w:val="clear" w:color="auto" w:fill="auto"/>
                  <w:noWrap/>
                  <w:vAlign w:val="center"/>
                </w:tcPr>
                <w:p w14:paraId="5976BE4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0.037</w:t>
                  </w:r>
                </w:p>
              </w:tc>
            </w:tr>
            <w:tr w14:paraId="6141F4A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70" w:type="pct"/>
                  <w:vMerge w:val="continue"/>
                  <w:tcBorders>
                    <w:tl2br w:val="nil"/>
                    <w:tr2bl w:val="nil"/>
                  </w:tcBorders>
                  <w:shd w:val="clear" w:color="auto" w:fill="auto"/>
                  <w:noWrap/>
                  <w:vAlign w:val="center"/>
                </w:tcPr>
                <w:p w14:paraId="78ECBCD4">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1265" w:type="pct"/>
                  <w:gridSpan w:val="2"/>
                  <w:tcBorders>
                    <w:tl2br w:val="nil"/>
                    <w:tr2bl w:val="nil"/>
                  </w:tcBorders>
                  <w:shd w:val="clear" w:color="auto" w:fill="auto"/>
                  <w:noWrap/>
                  <w:vAlign w:val="center"/>
                </w:tcPr>
                <w:p w14:paraId="7F0CE1D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合计</w:t>
                  </w:r>
                </w:p>
              </w:tc>
              <w:tc>
                <w:tcPr>
                  <w:tcW w:w="479" w:type="pct"/>
                  <w:tcBorders>
                    <w:tl2br w:val="nil"/>
                    <w:tr2bl w:val="nil"/>
                  </w:tcBorders>
                  <w:shd w:val="clear" w:color="auto" w:fill="auto"/>
                  <w:noWrap/>
                  <w:vAlign w:val="center"/>
                </w:tcPr>
                <w:p w14:paraId="31B3489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6.233</w:t>
                  </w:r>
                </w:p>
              </w:tc>
              <w:tc>
                <w:tcPr>
                  <w:tcW w:w="1524" w:type="pct"/>
                  <w:tcBorders>
                    <w:tl2br w:val="nil"/>
                    <w:tr2bl w:val="nil"/>
                  </w:tcBorders>
                  <w:shd w:val="clear" w:color="auto" w:fill="auto"/>
                  <w:noWrap/>
                  <w:vAlign w:val="center"/>
                </w:tcPr>
                <w:p w14:paraId="10AB805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合计</w:t>
                  </w:r>
                </w:p>
              </w:tc>
              <w:tc>
                <w:tcPr>
                  <w:tcW w:w="1159" w:type="pct"/>
                  <w:tcBorders>
                    <w:tl2br w:val="nil"/>
                    <w:tr2bl w:val="nil"/>
                  </w:tcBorders>
                  <w:shd w:val="clear" w:color="auto" w:fill="auto"/>
                  <w:noWrap/>
                  <w:vAlign w:val="center"/>
                </w:tcPr>
                <w:p w14:paraId="4DA75FD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6.233</w:t>
                  </w:r>
                </w:p>
              </w:tc>
            </w:tr>
          </w:tbl>
          <w:p w14:paraId="5E7D021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2.6.2硫平衡</w:t>
            </w:r>
          </w:p>
          <w:p w14:paraId="124AE3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本项目根据各煤气用量及煤气中硫含量核算硫平衡，详见下表。</w:t>
            </w:r>
          </w:p>
          <w:p w14:paraId="10651315">
            <w:pPr>
              <w:pStyle w:val="28"/>
              <w:keepNext w:val="0"/>
              <w:keepLines w:val="0"/>
              <w:suppressLineNumbers w:val="0"/>
              <w:bidi w:val="0"/>
              <w:spacing w:before="0" w:beforeAutospacing="0" w:after="0" w:afterAutospacing="0"/>
              <w:ind w:left="0" w:right="0"/>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表2-11 项目硫平衡一览表</w:t>
            </w:r>
          </w:p>
          <w:tbl>
            <w:tblPr>
              <w:tblStyle w:val="18"/>
              <w:tblW w:w="81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11"/>
              <w:gridCol w:w="900"/>
              <w:gridCol w:w="900"/>
              <w:gridCol w:w="900"/>
              <w:gridCol w:w="900"/>
              <w:gridCol w:w="900"/>
              <w:gridCol w:w="900"/>
              <w:gridCol w:w="901"/>
            </w:tblGrid>
            <w:tr w14:paraId="7495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0" w:type="dxa"/>
                  <w:gridSpan w:val="5"/>
                  <w:tcBorders>
                    <w:left w:val="nil"/>
                  </w:tcBorders>
                  <w:vAlign w:val="center"/>
                </w:tcPr>
                <w:p w14:paraId="502FD73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输入</w:t>
                  </w:r>
                </w:p>
              </w:tc>
              <w:tc>
                <w:tcPr>
                  <w:tcW w:w="3601" w:type="dxa"/>
                  <w:gridSpan w:val="4"/>
                  <w:tcBorders>
                    <w:right w:val="nil"/>
                  </w:tcBorders>
                  <w:vAlign w:val="center"/>
                </w:tcPr>
                <w:p w14:paraId="013DB61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输出</w:t>
                  </w:r>
                </w:p>
              </w:tc>
            </w:tr>
            <w:tr w14:paraId="12DA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Borders>
                    <w:left w:val="nil"/>
                  </w:tcBorders>
                  <w:vAlign w:val="center"/>
                </w:tcPr>
                <w:p w14:paraId="56600DE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序号</w:t>
                  </w:r>
                </w:p>
              </w:tc>
              <w:tc>
                <w:tcPr>
                  <w:tcW w:w="1211" w:type="dxa"/>
                  <w:vAlign w:val="center"/>
                </w:tcPr>
                <w:p w14:paraId="20CE95C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物料名称</w:t>
                  </w:r>
                </w:p>
              </w:tc>
              <w:tc>
                <w:tcPr>
                  <w:tcW w:w="900" w:type="dxa"/>
                  <w:vAlign w:val="center"/>
                </w:tcPr>
                <w:p w14:paraId="00E8A58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消耗量（万</w:t>
                  </w:r>
                  <w:r>
                    <w:rPr>
                      <w:rFonts w:hint="default" w:ascii="Times New Roman" w:hAnsi="Times New Roman" w:eastAsia="宋体" w:cs="Times New Roman"/>
                      <w:color w:val="auto"/>
                      <w:sz w:val="18"/>
                      <w:szCs w:val="18"/>
                      <w:highlight w:val="none"/>
                      <w:lang w:val="en-US" w:eastAsia="zh-CN"/>
                    </w:rPr>
                    <w:t>Nm</w:t>
                  </w:r>
                  <w:r>
                    <w:rPr>
                      <w:rFonts w:hint="eastAsia"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/a</w:t>
                  </w:r>
                  <w:r>
                    <w:rPr>
                      <w:rFonts w:hint="eastAsia" w:ascii="Times New Roman" w:hAnsi="Times New Roman" w:eastAsia="宋体" w:cs="Times New Roman"/>
                      <w:color w:val="auto"/>
                      <w:sz w:val="18"/>
                      <w:szCs w:val="18"/>
                      <w:highlight w:val="none"/>
                      <w:lang w:val="en-US" w:eastAsia="zh-CN"/>
                    </w:rPr>
                    <w:t>）</w:t>
                  </w:r>
                </w:p>
              </w:tc>
              <w:tc>
                <w:tcPr>
                  <w:tcW w:w="900" w:type="dxa"/>
                  <w:vAlign w:val="center"/>
                </w:tcPr>
                <w:p w14:paraId="1BCFC43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S含量</w:t>
                  </w:r>
                </w:p>
              </w:tc>
              <w:tc>
                <w:tcPr>
                  <w:tcW w:w="900" w:type="dxa"/>
                  <w:vAlign w:val="center"/>
                </w:tcPr>
                <w:p w14:paraId="396C58C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S（t/a）</w:t>
                  </w:r>
                </w:p>
              </w:tc>
              <w:tc>
                <w:tcPr>
                  <w:tcW w:w="900" w:type="dxa"/>
                  <w:vAlign w:val="center"/>
                </w:tcPr>
                <w:p w14:paraId="333087F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产出名称</w:t>
                  </w:r>
                </w:p>
              </w:tc>
              <w:tc>
                <w:tcPr>
                  <w:tcW w:w="900" w:type="dxa"/>
                  <w:vAlign w:val="center"/>
                </w:tcPr>
                <w:p w14:paraId="5C3B94E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数量（t/a）</w:t>
                  </w:r>
                </w:p>
              </w:tc>
              <w:tc>
                <w:tcPr>
                  <w:tcW w:w="900" w:type="dxa"/>
                  <w:vAlign w:val="center"/>
                </w:tcPr>
                <w:p w14:paraId="781E287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S（%）</w:t>
                  </w:r>
                </w:p>
              </w:tc>
              <w:tc>
                <w:tcPr>
                  <w:tcW w:w="901" w:type="dxa"/>
                  <w:tcBorders>
                    <w:right w:val="nil"/>
                  </w:tcBorders>
                  <w:vAlign w:val="center"/>
                </w:tcPr>
                <w:p w14:paraId="0C9DAD6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S（t/a）</w:t>
                  </w:r>
                </w:p>
              </w:tc>
            </w:tr>
            <w:tr w14:paraId="5AAA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Borders>
                    <w:left w:val="nil"/>
                  </w:tcBorders>
                  <w:vAlign w:val="center"/>
                </w:tcPr>
                <w:p w14:paraId="3815CAB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1</w:t>
                  </w:r>
                </w:p>
              </w:tc>
              <w:tc>
                <w:tcPr>
                  <w:tcW w:w="1211" w:type="dxa"/>
                  <w:vAlign w:val="center"/>
                </w:tcPr>
                <w:p w14:paraId="1DEF480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高炉煤气</w:t>
                  </w:r>
                </w:p>
              </w:tc>
              <w:tc>
                <w:tcPr>
                  <w:tcW w:w="900" w:type="dxa"/>
                  <w:vAlign w:val="center"/>
                </w:tcPr>
                <w:p w14:paraId="1D945BD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48298</w:t>
                  </w:r>
                </w:p>
              </w:tc>
              <w:tc>
                <w:tcPr>
                  <w:tcW w:w="900" w:type="dxa"/>
                  <w:vAlign w:val="center"/>
                </w:tcPr>
                <w:p w14:paraId="041FCD1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192</w:t>
                  </w:r>
                  <w:r>
                    <w:rPr>
                      <w:rFonts w:hint="default" w:ascii="Times New Roman" w:hAnsi="Times New Roman" w:eastAsia="宋体" w:cs="Times New Roman"/>
                      <w:b w:val="0"/>
                      <w:color w:val="auto"/>
                      <w:kern w:val="2"/>
                      <w:sz w:val="18"/>
                      <w:szCs w:val="18"/>
                      <w:highlight w:val="none"/>
                      <w:lang w:val="en-US" w:eastAsia="zh-CN" w:bidi="ar-SA"/>
                    </w:rPr>
                    <w:t>mg/Nm</w:t>
                  </w:r>
                  <w:r>
                    <w:rPr>
                      <w:rFonts w:hint="eastAsia" w:cs="Times New Roman"/>
                      <w:b w:val="0"/>
                      <w:color w:val="auto"/>
                      <w:kern w:val="2"/>
                      <w:sz w:val="18"/>
                      <w:szCs w:val="18"/>
                      <w:highlight w:val="none"/>
                      <w:vertAlign w:val="superscript"/>
                      <w:lang w:val="en-US" w:eastAsia="zh-CN" w:bidi="ar-SA"/>
                    </w:rPr>
                    <w:t>3</w:t>
                  </w:r>
                  <w:r>
                    <w:rPr>
                      <w:rFonts w:hint="eastAsia" w:cs="Times New Roman"/>
                      <w:b w:val="0"/>
                      <w:color w:val="auto"/>
                      <w:kern w:val="2"/>
                      <w:sz w:val="18"/>
                      <w:szCs w:val="18"/>
                      <w:highlight w:val="none"/>
                      <w:vertAlign w:val="baseline"/>
                      <w:lang w:val="en-US" w:eastAsia="zh-CN" w:bidi="ar-SA"/>
                    </w:rPr>
                    <w:t>（H</w:t>
                  </w:r>
                  <w:r>
                    <w:rPr>
                      <w:rFonts w:hint="eastAsia" w:cs="Times New Roman"/>
                      <w:b w:val="0"/>
                      <w:color w:val="auto"/>
                      <w:kern w:val="2"/>
                      <w:sz w:val="18"/>
                      <w:szCs w:val="18"/>
                      <w:highlight w:val="none"/>
                      <w:vertAlign w:val="subscript"/>
                      <w:lang w:val="en-US" w:eastAsia="zh-CN" w:bidi="ar-SA"/>
                    </w:rPr>
                    <w:t>2</w:t>
                  </w:r>
                  <w:r>
                    <w:rPr>
                      <w:rFonts w:hint="eastAsia" w:cs="Times New Roman"/>
                      <w:b w:val="0"/>
                      <w:color w:val="auto"/>
                      <w:kern w:val="2"/>
                      <w:sz w:val="18"/>
                      <w:szCs w:val="18"/>
                      <w:highlight w:val="none"/>
                      <w:vertAlign w:val="baseline"/>
                      <w:lang w:val="en-US" w:eastAsia="zh-CN" w:bidi="ar-SA"/>
                    </w:rPr>
                    <w:t>S）</w:t>
                  </w:r>
                </w:p>
              </w:tc>
              <w:tc>
                <w:tcPr>
                  <w:tcW w:w="900" w:type="dxa"/>
                  <w:vAlign w:val="center"/>
                </w:tcPr>
                <w:p w14:paraId="64BAB16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87.277</w:t>
                  </w:r>
                </w:p>
              </w:tc>
              <w:tc>
                <w:tcPr>
                  <w:tcW w:w="900" w:type="dxa"/>
                  <w:vAlign w:val="center"/>
                </w:tcPr>
                <w:p w14:paraId="34FF18B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外排废气</w:t>
                  </w:r>
                </w:p>
              </w:tc>
              <w:tc>
                <w:tcPr>
                  <w:tcW w:w="900" w:type="dxa"/>
                  <w:vAlign w:val="center"/>
                </w:tcPr>
                <w:p w14:paraId="56A7A23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46B4293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1" w:type="dxa"/>
                  <w:tcBorders>
                    <w:right w:val="nil"/>
                  </w:tcBorders>
                  <w:vAlign w:val="center"/>
                </w:tcPr>
                <w:p w14:paraId="372D265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15.712</w:t>
                  </w:r>
                </w:p>
              </w:tc>
            </w:tr>
            <w:tr w14:paraId="37FD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9" w:type="dxa"/>
                  <w:tcBorders>
                    <w:left w:val="nil"/>
                  </w:tcBorders>
                  <w:vAlign w:val="center"/>
                </w:tcPr>
                <w:p w14:paraId="31CBCFA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2</w:t>
                  </w:r>
                </w:p>
              </w:tc>
              <w:tc>
                <w:tcPr>
                  <w:tcW w:w="1211" w:type="dxa"/>
                  <w:vAlign w:val="center"/>
                </w:tcPr>
                <w:p w14:paraId="69664E7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转炉煤气</w:t>
                  </w:r>
                </w:p>
              </w:tc>
              <w:tc>
                <w:tcPr>
                  <w:tcW w:w="900" w:type="dxa"/>
                  <w:vAlign w:val="center"/>
                </w:tcPr>
                <w:p w14:paraId="5EF2DE0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13694</w:t>
                  </w:r>
                </w:p>
              </w:tc>
              <w:tc>
                <w:tcPr>
                  <w:tcW w:w="900" w:type="dxa"/>
                  <w:vAlign w:val="center"/>
                </w:tcPr>
                <w:p w14:paraId="14700EE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192</w:t>
                  </w:r>
                  <w:r>
                    <w:rPr>
                      <w:rFonts w:hint="default" w:ascii="Times New Roman" w:hAnsi="Times New Roman" w:eastAsia="宋体" w:cs="Times New Roman"/>
                      <w:b w:val="0"/>
                      <w:color w:val="auto"/>
                      <w:kern w:val="2"/>
                      <w:sz w:val="18"/>
                      <w:szCs w:val="18"/>
                      <w:highlight w:val="none"/>
                      <w:lang w:val="en-US" w:eastAsia="zh-CN" w:bidi="ar-SA"/>
                    </w:rPr>
                    <w:t>mg/Nm</w:t>
                  </w:r>
                  <w:r>
                    <w:rPr>
                      <w:rFonts w:hint="eastAsia" w:cs="Times New Roman"/>
                      <w:b w:val="0"/>
                      <w:color w:val="auto"/>
                      <w:kern w:val="2"/>
                      <w:sz w:val="18"/>
                      <w:szCs w:val="18"/>
                      <w:highlight w:val="none"/>
                      <w:vertAlign w:val="superscript"/>
                      <w:lang w:val="en-US" w:eastAsia="zh-CN" w:bidi="ar-SA"/>
                    </w:rPr>
                    <w:t>3</w:t>
                  </w:r>
                  <w:r>
                    <w:rPr>
                      <w:rFonts w:hint="eastAsia" w:cs="Times New Roman"/>
                      <w:b w:val="0"/>
                      <w:color w:val="auto"/>
                      <w:kern w:val="2"/>
                      <w:sz w:val="18"/>
                      <w:szCs w:val="18"/>
                      <w:highlight w:val="none"/>
                      <w:vertAlign w:val="baseline"/>
                      <w:lang w:val="en-US" w:eastAsia="zh-CN" w:bidi="ar-SA"/>
                    </w:rPr>
                    <w:t>（H</w:t>
                  </w:r>
                  <w:r>
                    <w:rPr>
                      <w:rFonts w:hint="eastAsia" w:cs="Times New Roman"/>
                      <w:b w:val="0"/>
                      <w:color w:val="auto"/>
                      <w:kern w:val="2"/>
                      <w:sz w:val="18"/>
                      <w:szCs w:val="18"/>
                      <w:highlight w:val="none"/>
                      <w:vertAlign w:val="subscript"/>
                      <w:lang w:val="en-US" w:eastAsia="zh-CN" w:bidi="ar-SA"/>
                    </w:rPr>
                    <w:t>2</w:t>
                  </w:r>
                  <w:r>
                    <w:rPr>
                      <w:rFonts w:hint="eastAsia" w:cs="Times New Roman"/>
                      <w:b w:val="0"/>
                      <w:color w:val="auto"/>
                      <w:kern w:val="2"/>
                      <w:sz w:val="18"/>
                      <w:szCs w:val="18"/>
                      <w:highlight w:val="none"/>
                      <w:vertAlign w:val="baseline"/>
                      <w:lang w:val="en-US" w:eastAsia="zh-CN" w:bidi="ar-SA"/>
                    </w:rPr>
                    <w:t>S）</w:t>
                  </w:r>
                </w:p>
              </w:tc>
              <w:tc>
                <w:tcPr>
                  <w:tcW w:w="900" w:type="dxa"/>
                  <w:vAlign w:val="center"/>
                </w:tcPr>
                <w:p w14:paraId="4297361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24.746</w:t>
                  </w:r>
                </w:p>
              </w:tc>
              <w:tc>
                <w:tcPr>
                  <w:tcW w:w="900" w:type="dxa"/>
                  <w:vAlign w:val="center"/>
                </w:tcPr>
                <w:p w14:paraId="01305B7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脱硫灰</w:t>
                  </w:r>
                </w:p>
              </w:tc>
              <w:tc>
                <w:tcPr>
                  <w:tcW w:w="900" w:type="dxa"/>
                  <w:vAlign w:val="center"/>
                </w:tcPr>
                <w:p w14:paraId="0F63F44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2E07A0C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1" w:type="dxa"/>
                  <w:tcBorders>
                    <w:right w:val="nil"/>
                  </w:tcBorders>
                  <w:vAlign w:val="center"/>
                </w:tcPr>
                <w:p w14:paraId="1F285A6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186.521</w:t>
                  </w:r>
                </w:p>
              </w:tc>
            </w:tr>
            <w:tr w14:paraId="04D3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Borders>
                    <w:left w:val="nil"/>
                  </w:tcBorders>
                  <w:vAlign w:val="center"/>
                </w:tcPr>
                <w:p w14:paraId="3051C02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3</w:t>
                  </w:r>
                </w:p>
              </w:tc>
              <w:tc>
                <w:tcPr>
                  <w:tcW w:w="1211" w:type="dxa"/>
                  <w:vAlign w:val="center"/>
                </w:tcPr>
                <w:p w14:paraId="01DD5A0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焦炉煤气</w:t>
                  </w:r>
                </w:p>
              </w:tc>
              <w:tc>
                <w:tcPr>
                  <w:tcW w:w="900" w:type="dxa"/>
                  <w:vAlign w:val="center"/>
                </w:tcPr>
                <w:p w14:paraId="21BC28E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22550</w:t>
                  </w:r>
                </w:p>
              </w:tc>
              <w:tc>
                <w:tcPr>
                  <w:tcW w:w="900" w:type="dxa"/>
                  <w:vAlign w:val="center"/>
                </w:tcPr>
                <w:p w14:paraId="217CA28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eastAsia="宋体" w:cs="Times New Roman"/>
                      <w:b w:val="0"/>
                      <w:color w:val="auto"/>
                      <w:kern w:val="2"/>
                      <w:sz w:val="18"/>
                      <w:szCs w:val="18"/>
                      <w:highlight w:val="none"/>
                      <w:lang w:val="en-US" w:eastAsia="zh-CN" w:bidi="ar-SA"/>
                    </w:rPr>
                    <w:t>200mg/Nm</w:t>
                  </w:r>
                  <w:r>
                    <w:rPr>
                      <w:rFonts w:hint="eastAsia" w:cs="Times New Roman"/>
                      <w:b w:val="0"/>
                      <w:color w:val="auto"/>
                      <w:kern w:val="2"/>
                      <w:sz w:val="18"/>
                      <w:szCs w:val="18"/>
                      <w:highlight w:val="none"/>
                      <w:vertAlign w:val="superscript"/>
                      <w:lang w:val="en-US" w:eastAsia="zh-CN" w:bidi="ar-SA"/>
                    </w:rPr>
                    <w:t>3</w:t>
                  </w:r>
                  <w:r>
                    <w:rPr>
                      <w:rFonts w:hint="default" w:ascii="Times New Roman" w:hAnsi="Times New Roman" w:eastAsia="宋体" w:cs="Times New Roman"/>
                      <w:b w:val="0"/>
                      <w:color w:val="auto"/>
                      <w:kern w:val="2"/>
                      <w:sz w:val="18"/>
                      <w:szCs w:val="18"/>
                      <w:highlight w:val="none"/>
                      <w:lang w:val="en-US" w:eastAsia="zh-CN" w:bidi="ar-SA"/>
                    </w:rPr>
                    <w:t>（总硫）</w:t>
                  </w:r>
                </w:p>
              </w:tc>
              <w:tc>
                <w:tcPr>
                  <w:tcW w:w="900" w:type="dxa"/>
                  <w:vAlign w:val="center"/>
                </w:tcPr>
                <w:p w14:paraId="4E2A35D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90.2</w:t>
                  </w:r>
                </w:p>
              </w:tc>
              <w:tc>
                <w:tcPr>
                  <w:tcW w:w="900" w:type="dxa"/>
                  <w:vAlign w:val="center"/>
                </w:tcPr>
                <w:p w14:paraId="2F15352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3FCF426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66914E9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1" w:type="dxa"/>
                  <w:tcBorders>
                    <w:right w:val="nil"/>
                  </w:tcBorders>
                  <w:vAlign w:val="center"/>
                </w:tcPr>
                <w:p w14:paraId="546007D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r>
            <w:tr w14:paraId="018D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Borders>
                    <w:left w:val="nil"/>
                  </w:tcBorders>
                  <w:vAlign w:val="center"/>
                </w:tcPr>
                <w:p w14:paraId="49D0DCB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ascii="Times New Roman" w:hAnsi="Times New Roman" w:eastAsia="宋体" w:cs="Times New Roman"/>
                      <w:b w:val="0"/>
                      <w:color w:val="auto"/>
                      <w:kern w:val="2"/>
                      <w:sz w:val="18"/>
                      <w:szCs w:val="18"/>
                      <w:highlight w:val="none"/>
                      <w:lang w:val="en-US" w:eastAsia="zh-CN" w:bidi="ar-SA"/>
                    </w:rPr>
                    <w:t>4</w:t>
                  </w:r>
                </w:p>
              </w:tc>
              <w:tc>
                <w:tcPr>
                  <w:tcW w:w="1211" w:type="dxa"/>
                  <w:vAlign w:val="center"/>
                </w:tcPr>
                <w:p w14:paraId="05F27C4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合计</w:t>
                  </w:r>
                </w:p>
              </w:tc>
              <w:tc>
                <w:tcPr>
                  <w:tcW w:w="900" w:type="dxa"/>
                  <w:vAlign w:val="center"/>
                </w:tcPr>
                <w:p w14:paraId="61C9560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54C7B3D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3B93FF9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202.223</w:t>
                  </w:r>
                </w:p>
              </w:tc>
              <w:tc>
                <w:tcPr>
                  <w:tcW w:w="900" w:type="dxa"/>
                  <w:vAlign w:val="center"/>
                </w:tcPr>
                <w:p w14:paraId="7C947E7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5AD806B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0" w:type="dxa"/>
                  <w:vAlign w:val="center"/>
                </w:tcPr>
                <w:p w14:paraId="52716F9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p>
              </w:tc>
              <w:tc>
                <w:tcPr>
                  <w:tcW w:w="901" w:type="dxa"/>
                  <w:tcBorders>
                    <w:right w:val="nil"/>
                  </w:tcBorders>
                  <w:vAlign w:val="center"/>
                </w:tcPr>
                <w:p w14:paraId="626A7A0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kern w:val="2"/>
                      <w:sz w:val="18"/>
                      <w:szCs w:val="18"/>
                      <w:highlight w:val="none"/>
                      <w:lang w:val="en-US" w:eastAsia="zh-CN" w:bidi="ar-SA"/>
                    </w:rPr>
                    <w:t>202.233</w:t>
                  </w:r>
                </w:p>
              </w:tc>
            </w:tr>
          </w:tbl>
          <w:p w14:paraId="54D5E71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2.6.3水平衡</w:t>
            </w:r>
          </w:p>
          <w:p w14:paraId="1A803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本项目建成后劳动定员从现有电站调配，不新增工作人员，故无生活用水新增。本项目用水主要</w:t>
            </w:r>
            <w:r>
              <w:rPr>
                <w:rFonts w:hint="eastAsia" w:cs="Times New Roman"/>
                <w:i w:val="0"/>
                <w:iCs w:val="0"/>
                <w:color w:val="000000"/>
                <w:kern w:val="0"/>
                <w:sz w:val="24"/>
                <w:szCs w:val="24"/>
                <w:u w:val="none"/>
                <w:lang w:val="en-US" w:eastAsia="zh-CN" w:bidi="ar"/>
              </w:rPr>
              <w:t>为高炉煤气喷雾降温装置冷却用水、</w:t>
            </w:r>
            <w:r>
              <w:rPr>
                <w:rFonts w:hint="eastAsia" w:ascii="Times New Roman" w:hAnsi="Times New Roman" w:eastAsia="宋体" w:cs="Times New Roman"/>
                <w:i w:val="0"/>
                <w:iCs w:val="0"/>
                <w:color w:val="000000"/>
                <w:kern w:val="0"/>
                <w:sz w:val="24"/>
                <w:szCs w:val="24"/>
                <w:u w:val="none"/>
                <w:lang w:val="en-US" w:eastAsia="zh-CN" w:bidi="ar"/>
              </w:rPr>
              <w:t>锅炉用水</w:t>
            </w:r>
            <w:r>
              <w:rPr>
                <w:rFonts w:hint="eastAsia" w:cs="Times New Roman"/>
                <w:i w:val="0"/>
                <w:iCs w:val="0"/>
                <w:color w:val="000000"/>
                <w:kern w:val="0"/>
                <w:sz w:val="24"/>
                <w:szCs w:val="24"/>
                <w:u w:val="none"/>
                <w:lang w:val="en-US" w:eastAsia="zh-CN" w:bidi="ar"/>
              </w:rPr>
              <w:t>、脱盐水站用水、凝结水精处理间用水以及</w:t>
            </w:r>
            <w:r>
              <w:rPr>
                <w:rFonts w:hint="eastAsia" w:ascii="Times New Roman" w:hAnsi="Times New Roman" w:eastAsia="宋体" w:cs="Times New Roman"/>
                <w:i w:val="0"/>
                <w:iCs w:val="0"/>
                <w:color w:val="000000"/>
                <w:kern w:val="0"/>
                <w:sz w:val="24"/>
                <w:szCs w:val="24"/>
                <w:u w:val="none"/>
                <w:lang w:val="en-US" w:eastAsia="zh-CN" w:bidi="ar"/>
              </w:rPr>
              <w:t>循环冷却池冷却用水等。</w:t>
            </w:r>
          </w:p>
          <w:p w14:paraId="5396CA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（1）高炉煤气喷雾降温装置用排水</w:t>
            </w:r>
          </w:p>
          <w:p w14:paraId="1CF833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高炉煤气喷雾降温装置</w:t>
            </w:r>
            <w:r>
              <w:rPr>
                <w:rFonts w:hint="default" w:ascii="Times New Roman" w:hAnsi="Times New Roman" w:eastAsia="宋体" w:cs="Times New Roman"/>
                <w:color w:val="000000"/>
                <w:kern w:val="0"/>
                <w:sz w:val="24"/>
                <w:szCs w:val="24"/>
                <w:lang w:val="en-US" w:eastAsia="zh-CN" w:bidi="ar"/>
              </w:rPr>
              <w:t>采用的冷却水为新水，由中央水处理站新水给水系统供应，高炉煤气降温装置的用水量为</w:t>
            </w:r>
            <w:r>
              <w:rPr>
                <w:rFonts w:hint="eastAsia" w:ascii="Times New Roman" w:hAnsi="Times New Roman" w:eastAsia="宋体" w:cs="Times New Roman"/>
                <w:color w:val="000000"/>
                <w:kern w:val="0"/>
                <w:sz w:val="24"/>
                <w:szCs w:val="24"/>
                <w:lang w:val="en-US" w:eastAsia="zh-CN" w:bidi="ar"/>
              </w:rPr>
              <w:t>2.1</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Times New Roman" w:hAnsi="Times New Roman" w:eastAsia="宋体" w:cs="Times New Roman"/>
                <w:color w:val="000000"/>
                <w:kern w:val="0"/>
                <w:sz w:val="24"/>
                <w:szCs w:val="24"/>
                <w:lang w:val="en-US" w:eastAsia="zh-CN" w:bidi="ar"/>
              </w:rPr>
              <w:t>50.4</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/d，降温过程中损耗量约为10%，</w:t>
            </w:r>
            <w:r>
              <w:rPr>
                <w:rFonts w:hint="eastAsia" w:cs="Times New Roman"/>
                <w:color w:val="000000"/>
                <w:kern w:val="0"/>
                <w:sz w:val="24"/>
                <w:szCs w:val="24"/>
                <w:lang w:val="en-US" w:eastAsia="zh-CN" w:bidi="ar"/>
              </w:rPr>
              <w:t>则损耗的水量为0.21</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Times New Roman" w:hAnsi="Times New Roman" w:eastAsia="宋体" w:cs="Times New Roman"/>
                <w:color w:val="000000"/>
                <w:kern w:val="0"/>
                <w:sz w:val="24"/>
                <w:szCs w:val="24"/>
                <w:lang w:val="en-US" w:eastAsia="zh-CN" w:bidi="ar"/>
              </w:rPr>
              <w:t>5</w:t>
            </w:r>
            <w:r>
              <w:rPr>
                <w:rFonts w:hint="eastAsia" w:ascii="Times New Roman" w:hAnsi="Times New Roman"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04</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/d，降温</w:t>
            </w:r>
            <w:r>
              <w:rPr>
                <w:rFonts w:hint="eastAsia" w:cs="Times New Roman"/>
                <w:color w:val="000000"/>
                <w:kern w:val="0"/>
                <w:sz w:val="24"/>
                <w:szCs w:val="24"/>
                <w:lang w:val="en-US" w:eastAsia="zh-CN" w:bidi="ar"/>
              </w:rPr>
              <w:t>产生的废水</w:t>
            </w:r>
            <w:r>
              <w:rPr>
                <w:rFonts w:hint="default" w:ascii="Times New Roman" w:hAnsi="Times New Roman" w:eastAsia="宋体" w:cs="Times New Roman"/>
                <w:color w:val="000000"/>
                <w:kern w:val="0"/>
                <w:sz w:val="24"/>
                <w:szCs w:val="24"/>
                <w:lang w:val="en-US" w:eastAsia="zh-CN" w:bidi="ar"/>
              </w:rPr>
              <w:t>为</w:t>
            </w:r>
            <w:r>
              <w:rPr>
                <w:rFonts w:hint="eastAsia" w:ascii="Times New Roman" w:hAnsi="Times New Roman" w:eastAsia="宋体" w:cs="Times New Roman"/>
                <w:color w:val="000000"/>
                <w:kern w:val="0"/>
                <w:sz w:val="24"/>
                <w:szCs w:val="24"/>
                <w:lang w:val="en-US" w:eastAsia="zh-CN" w:bidi="ar"/>
              </w:rPr>
              <w:t>1.89</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Times New Roman" w:hAnsi="Times New Roman" w:eastAsia="宋体" w:cs="Times New Roman"/>
                <w:color w:val="000000"/>
                <w:kern w:val="0"/>
                <w:sz w:val="24"/>
                <w:szCs w:val="24"/>
                <w:lang w:val="en-US" w:eastAsia="zh-CN" w:bidi="ar"/>
              </w:rPr>
              <w:t>45.36</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废水经管道排入全厂水中央处理站处理达标后回用于各用水工序。</w:t>
            </w:r>
          </w:p>
          <w:p w14:paraId="2BFCF1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（2）锅炉用排水</w:t>
            </w:r>
          </w:p>
          <w:p w14:paraId="2A2098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根据建设单位提供资料，</w:t>
            </w:r>
            <w:r>
              <w:rPr>
                <w:rFonts w:hint="eastAsia" w:ascii="Times New Roman" w:hAnsi="Times New Roman" w:eastAsia="宋体" w:cs="Times New Roman"/>
                <w:i w:val="0"/>
                <w:iCs w:val="0"/>
                <w:color w:val="000000"/>
                <w:kern w:val="0"/>
                <w:sz w:val="24"/>
                <w:szCs w:val="24"/>
                <w:u w:val="none"/>
                <w:lang w:val="en-US" w:eastAsia="zh-CN" w:bidi="ar"/>
              </w:rPr>
              <w:t>锅炉满负荷运行耗水量为</w:t>
            </w:r>
            <w:r>
              <w:rPr>
                <w:rFonts w:hint="eastAsia" w:cs="Times New Roman"/>
                <w:i w:val="0"/>
                <w:iCs w:val="0"/>
                <w:color w:val="000000"/>
                <w:kern w:val="0"/>
                <w:sz w:val="24"/>
                <w:szCs w:val="24"/>
                <w:u w:val="none"/>
                <w:lang w:val="en-US" w:eastAsia="zh-CN" w:bidi="ar"/>
              </w:rPr>
              <w:t>260</w:t>
            </w:r>
            <w:r>
              <w:rPr>
                <w:rFonts w:hint="default" w:ascii="Times New Roman" w:hAnsi="Times New Roman" w:eastAsia="宋体" w:cs="Times New Roman"/>
                <w:i w:val="0"/>
                <w:iCs w:val="0"/>
                <w:color w:val="000000"/>
                <w:kern w:val="0"/>
                <w:sz w:val="24"/>
                <w:szCs w:val="24"/>
                <w:u w:val="none"/>
                <w:lang w:val="en-US" w:eastAsia="zh-CN" w:bidi="ar"/>
              </w:rPr>
              <w:t>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/h</w:t>
            </w:r>
            <w:r>
              <w:rPr>
                <w:rFonts w:hint="eastAsia" w:ascii="Times New Roman" w:hAnsi="Times New Roman" w:eastAsia="宋体" w:cs="Times New Roman"/>
                <w:i w:val="0"/>
                <w:iCs w:val="0"/>
                <w:color w:val="000000"/>
                <w:kern w:val="0"/>
                <w:sz w:val="24"/>
                <w:szCs w:val="24"/>
                <w:u w:val="none"/>
                <w:lang w:val="en-US" w:eastAsia="zh-CN" w:bidi="ar"/>
              </w:rPr>
              <w:t>，用水为脱盐水，由本项目建设的除盐水站及凝结水精处理间提供。锅炉定期排水，</w:t>
            </w:r>
            <w:r>
              <w:rPr>
                <w:rFonts w:hint="eastAsia" w:cs="Times New Roman"/>
                <w:i w:val="0"/>
                <w:iCs w:val="0"/>
                <w:color w:val="000000"/>
                <w:kern w:val="0"/>
                <w:sz w:val="24"/>
                <w:szCs w:val="24"/>
                <w:u w:val="none"/>
                <w:lang w:val="en-US" w:eastAsia="zh-CN" w:bidi="ar"/>
              </w:rPr>
              <w:t>排污率按2%计算，则锅炉</w:t>
            </w:r>
            <w:r>
              <w:rPr>
                <w:rFonts w:hint="eastAsia" w:ascii="Times New Roman" w:hAnsi="Times New Roman" w:eastAsia="宋体" w:cs="Times New Roman"/>
                <w:i w:val="0"/>
                <w:iCs w:val="0"/>
                <w:color w:val="000000"/>
                <w:kern w:val="0"/>
                <w:sz w:val="24"/>
                <w:szCs w:val="24"/>
                <w:u w:val="none"/>
                <w:lang w:val="en-US" w:eastAsia="zh-CN" w:bidi="ar"/>
              </w:rPr>
              <w:t>排污水为</w:t>
            </w:r>
            <w:r>
              <w:rPr>
                <w:rFonts w:hint="eastAsia" w:cs="Times New Roman"/>
                <w:i w:val="0"/>
                <w:iCs w:val="0"/>
                <w:color w:val="000000"/>
                <w:kern w:val="0"/>
                <w:sz w:val="24"/>
                <w:szCs w:val="24"/>
                <w:u w:val="none"/>
                <w:lang w:val="en-US" w:eastAsia="zh-CN" w:bidi="ar"/>
              </w:rPr>
              <w:t>5.2</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，124.8</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；凝结水精处理过程中蒸汽损耗率按1.5%计算，则损耗量为3.9</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/h</w:t>
            </w:r>
            <w:r>
              <w:rPr>
                <w:rFonts w:hint="eastAsia" w:ascii="Times New Roman" w:hAnsi="Times New Roman" w:cs="Times New Roman"/>
                <w:i w:val="0"/>
                <w:iCs w:val="0"/>
                <w:color w:val="000000"/>
                <w:kern w:val="0"/>
                <w:sz w:val="24"/>
                <w:szCs w:val="24"/>
                <w:u w:val="none"/>
                <w:lang w:val="en-US" w:eastAsia="zh-CN" w:bidi="ar"/>
              </w:rPr>
              <w:t>，</w:t>
            </w:r>
            <w:r>
              <w:rPr>
                <w:rFonts w:hint="eastAsia" w:cs="Times New Roman"/>
                <w:i w:val="0"/>
                <w:iCs w:val="0"/>
                <w:color w:val="000000"/>
                <w:kern w:val="0"/>
                <w:sz w:val="24"/>
                <w:szCs w:val="24"/>
                <w:u w:val="none"/>
                <w:lang w:val="en-US" w:eastAsia="zh-CN" w:bidi="ar"/>
              </w:rPr>
              <w:t>93.6</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则锅炉补充水量为</w:t>
            </w:r>
            <w:r>
              <w:rPr>
                <w:rFonts w:hint="eastAsia" w:cs="Times New Roman"/>
                <w:i w:val="0"/>
                <w:iCs w:val="0"/>
                <w:color w:val="000000"/>
                <w:kern w:val="0"/>
                <w:sz w:val="24"/>
                <w:szCs w:val="24"/>
                <w:u w:val="none"/>
                <w:lang w:val="en-US" w:eastAsia="zh-CN" w:bidi="ar"/>
              </w:rPr>
              <w:t>9.1</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/h</w:t>
            </w:r>
            <w:r>
              <w:rPr>
                <w:rFonts w:hint="eastAsia" w:ascii="Times New Roman" w:hAnsi="Times New Roman" w:eastAsia="宋体" w:cs="Times New Roman"/>
                <w:i w:val="0"/>
                <w:iCs w:val="0"/>
                <w:color w:val="000000"/>
                <w:kern w:val="0"/>
                <w:sz w:val="24"/>
                <w:szCs w:val="24"/>
                <w:u w:val="none"/>
                <w:lang w:val="en-US" w:eastAsia="zh-CN" w:bidi="ar"/>
              </w:rPr>
              <w:t>，</w:t>
            </w:r>
            <w:r>
              <w:rPr>
                <w:rFonts w:hint="eastAsia" w:cs="Times New Roman"/>
                <w:i w:val="0"/>
                <w:iCs w:val="0"/>
                <w:color w:val="000000"/>
                <w:kern w:val="0"/>
                <w:sz w:val="24"/>
                <w:szCs w:val="24"/>
                <w:u w:val="none"/>
                <w:lang w:val="en-US" w:eastAsia="zh-CN" w:bidi="ar"/>
              </w:rPr>
              <w:t>218.4</w:t>
            </w:r>
            <w:r>
              <w:rPr>
                <w:rFonts w:hint="default" w:ascii="Times New Roman" w:hAnsi="Times New Roman" w:eastAsia="宋体"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，锅炉补充水由脱盐水站提供</w:t>
            </w:r>
            <w:r>
              <w:rPr>
                <w:rFonts w:hint="eastAsia" w:ascii="Times New Roman" w:hAnsi="Times New Roman" w:eastAsia="宋体" w:cs="Times New Roman"/>
                <w:i w:val="0"/>
                <w:iCs w:val="0"/>
                <w:color w:val="000000"/>
                <w:kern w:val="0"/>
                <w:sz w:val="24"/>
                <w:szCs w:val="24"/>
                <w:u w:val="none"/>
                <w:lang w:val="en-US" w:eastAsia="zh-CN" w:bidi="ar"/>
              </w:rPr>
              <w:t>。锅炉排污水经管道排入全厂水中央处理站处理达标后回用于各用水工序。</w:t>
            </w:r>
          </w:p>
          <w:p w14:paraId="3B67C5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（3）脱盐水站用排水</w:t>
            </w:r>
          </w:p>
          <w:p w14:paraId="5E54DB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脱盐水站用水为脱盐水制备用水及设备冲洗用水，锅炉用水中250.9</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由凝结水精处理间提供，脱盐水站提供9.1</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；脱盐水站产水率为70%，则脱盐水站制备用水为13</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，312</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根据设计，浓水产生量按进入水量的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%计，</w:t>
            </w:r>
            <w:r>
              <w:rPr>
                <w:rFonts w:hint="eastAsia" w:cs="Times New Roman"/>
                <w:i w:val="0"/>
                <w:iCs w:val="0"/>
                <w:color w:val="000000"/>
                <w:kern w:val="0"/>
                <w:sz w:val="24"/>
                <w:szCs w:val="24"/>
                <w:u w:val="none"/>
                <w:lang w:val="en-US" w:eastAsia="zh-CN" w:bidi="ar"/>
              </w:rPr>
              <w:t>脱盐水站浓水产生量3.9</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，93.6</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w:t>
            </w:r>
          </w:p>
          <w:p w14:paraId="43625F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本项目反渗透系统设备冲洗采用生产新水，制水设备冲洗用水量约为0.18</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，4.32</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，废水产生量3.89</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，排入全厂水中央处理站处理达标后回用于各用水工序。</w:t>
            </w:r>
          </w:p>
          <w:p w14:paraId="3279E3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（4）凝结水精处理间用排水</w:t>
            </w:r>
          </w:p>
          <w:p w14:paraId="3F331A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凝结水精处理间需要定期冲洗及树脂再生，用水由中央水处理站提供新水，冲洗约</w:t>
            </w:r>
            <w:r>
              <w:rPr>
                <w:rFonts w:hint="default" w:cs="Times New Roman"/>
                <w:i w:val="0"/>
                <w:iCs w:val="0"/>
                <w:color w:val="000000"/>
                <w:kern w:val="0"/>
                <w:sz w:val="24"/>
                <w:szCs w:val="24"/>
                <w:u w:val="none"/>
                <w:lang w:val="en-US" w:eastAsia="zh-CN" w:bidi="ar"/>
              </w:rPr>
              <w:t>1</w:t>
            </w:r>
            <w:r>
              <w:rPr>
                <w:rFonts w:hint="eastAsia" w:cs="Times New Roman"/>
                <w:i w:val="0"/>
                <w:iCs w:val="0"/>
                <w:color w:val="000000"/>
                <w:kern w:val="0"/>
                <w:sz w:val="24"/>
                <w:szCs w:val="24"/>
                <w:u w:val="none"/>
                <w:lang w:val="en-US" w:eastAsia="zh-CN" w:bidi="ar"/>
              </w:rPr>
              <w:t>月</w:t>
            </w:r>
            <w:r>
              <w:rPr>
                <w:rFonts w:hint="default" w:cs="Times New Roman"/>
                <w:i w:val="0"/>
                <w:iCs w:val="0"/>
                <w:color w:val="000000"/>
                <w:kern w:val="0"/>
                <w:sz w:val="24"/>
                <w:szCs w:val="24"/>
                <w:u w:val="none"/>
                <w:lang w:val="en-US" w:eastAsia="zh-CN" w:bidi="ar"/>
              </w:rPr>
              <w:t>1</w:t>
            </w:r>
            <w:r>
              <w:rPr>
                <w:rFonts w:hint="eastAsia" w:cs="Times New Roman"/>
                <w:i w:val="0"/>
                <w:iCs w:val="0"/>
                <w:color w:val="000000"/>
                <w:kern w:val="0"/>
                <w:sz w:val="24"/>
                <w:szCs w:val="24"/>
                <w:u w:val="none"/>
                <w:lang w:val="en-US" w:eastAsia="zh-CN" w:bidi="ar"/>
              </w:rPr>
              <w:t>次，每次</w:t>
            </w:r>
            <w:r>
              <w:rPr>
                <w:rFonts w:hint="default" w:cs="Times New Roman"/>
                <w:i w:val="0"/>
                <w:iCs w:val="0"/>
                <w:color w:val="000000"/>
                <w:kern w:val="0"/>
                <w:sz w:val="24"/>
                <w:szCs w:val="24"/>
                <w:u w:val="none"/>
                <w:lang w:val="en-US" w:eastAsia="zh-CN" w:bidi="ar"/>
              </w:rPr>
              <w:t>1m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w:t>
            </w:r>
            <w:r>
              <w:rPr>
                <w:rFonts w:hint="default" w:cs="Times New Roman"/>
                <w:i w:val="0"/>
                <w:iCs w:val="0"/>
                <w:color w:val="000000"/>
                <w:kern w:val="0"/>
                <w:sz w:val="24"/>
                <w:szCs w:val="24"/>
                <w:u w:val="none"/>
                <w:lang w:val="en-US" w:eastAsia="zh-CN" w:bidi="ar"/>
              </w:rPr>
              <w:t>12m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/a</w:t>
            </w:r>
            <w:r>
              <w:rPr>
                <w:rFonts w:hint="eastAsia" w:cs="Times New Roman"/>
                <w:i w:val="0"/>
                <w:iCs w:val="0"/>
                <w:color w:val="000000"/>
                <w:kern w:val="0"/>
                <w:sz w:val="24"/>
                <w:szCs w:val="24"/>
                <w:u w:val="none"/>
                <w:lang w:val="en-US" w:eastAsia="zh-CN" w:bidi="ar"/>
              </w:rPr>
              <w:t>；约</w:t>
            </w:r>
            <w:r>
              <w:rPr>
                <w:rFonts w:hint="default" w:cs="Times New Roman"/>
                <w:i w:val="0"/>
                <w:iCs w:val="0"/>
                <w:color w:val="000000"/>
                <w:kern w:val="0"/>
                <w:sz w:val="24"/>
                <w:szCs w:val="24"/>
                <w:u w:val="none"/>
                <w:lang w:val="en-US" w:eastAsia="zh-CN" w:bidi="ar"/>
              </w:rPr>
              <w:t>7</w:t>
            </w:r>
            <w:r>
              <w:rPr>
                <w:rFonts w:hint="eastAsia" w:cs="Times New Roman"/>
                <w:i w:val="0"/>
                <w:iCs w:val="0"/>
                <w:color w:val="000000"/>
                <w:kern w:val="0"/>
                <w:sz w:val="24"/>
                <w:szCs w:val="24"/>
                <w:u w:val="none"/>
                <w:lang w:val="en-US" w:eastAsia="zh-CN" w:bidi="ar"/>
              </w:rPr>
              <w:t>天进行一次树脂再生，用水量为</w:t>
            </w:r>
            <w:r>
              <w:rPr>
                <w:rFonts w:hint="default" w:cs="Times New Roman"/>
                <w:i w:val="0"/>
                <w:iCs w:val="0"/>
                <w:color w:val="000000"/>
                <w:kern w:val="0"/>
                <w:sz w:val="24"/>
                <w:szCs w:val="24"/>
                <w:u w:val="none"/>
                <w:lang w:val="en-US" w:eastAsia="zh-CN" w:bidi="ar"/>
              </w:rPr>
              <w:t>5m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w:t>
            </w:r>
            <w:r>
              <w:rPr>
                <w:rFonts w:hint="eastAsia" w:cs="Times New Roman"/>
                <w:i w:val="0"/>
                <w:iCs w:val="0"/>
                <w:color w:val="000000"/>
                <w:kern w:val="0"/>
                <w:sz w:val="24"/>
                <w:szCs w:val="24"/>
                <w:u w:val="none"/>
                <w:lang w:val="en-US" w:eastAsia="zh-CN" w:bidi="ar"/>
              </w:rPr>
              <w:t>次，</w:t>
            </w:r>
            <w:r>
              <w:rPr>
                <w:rFonts w:hint="default" w:cs="Times New Roman"/>
                <w:i w:val="0"/>
                <w:iCs w:val="0"/>
                <w:color w:val="000000"/>
                <w:kern w:val="0"/>
                <w:sz w:val="24"/>
                <w:szCs w:val="24"/>
                <w:u w:val="none"/>
                <w:lang w:val="en-US" w:eastAsia="zh-CN" w:bidi="ar"/>
              </w:rPr>
              <w:t>235.7m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/a</w:t>
            </w:r>
            <w:r>
              <w:rPr>
                <w:rFonts w:hint="eastAsia" w:cs="Times New Roman"/>
                <w:i w:val="0"/>
                <w:iCs w:val="0"/>
                <w:color w:val="000000"/>
                <w:kern w:val="0"/>
                <w:sz w:val="24"/>
                <w:szCs w:val="24"/>
                <w:u w:val="none"/>
                <w:lang w:val="en-US" w:eastAsia="zh-CN" w:bidi="ar"/>
              </w:rPr>
              <w:t>。凝结水精处理间废水产生量为</w:t>
            </w:r>
            <w:r>
              <w:rPr>
                <w:rFonts w:hint="default" w:cs="Times New Roman"/>
                <w:i w:val="0"/>
                <w:iCs w:val="0"/>
                <w:color w:val="000000"/>
                <w:kern w:val="0"/>
                <w:sz w:val="24"/>
                <w:szCs w:val="24"/>
                <w:u w:val="none"/>
                <w:lang w:val="en-US" w:eastAsia="zh-CN" w:bidi="ar"/>
              </w:rPr>
              <w:t>222.9m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/a</w:t>
            </w:r>
            <w:r>
              <w:rPr>
                <w:rFonts w:hint="eastAsia" w:cs="Times New Roman"/>
                <w:i w:val="0"/>
                <w:iCs w:val="0"/>
                <w:color w:val="000000"/>
                <w:kern w:val="0"/>
                <w:sz w:val="24"/>
                <w:szCs w:val="24"/>
                <w:u w:val="none"/>
                <w:lang w:val="en-US" w:eastAsia="zh-CN" w:bidi="ar"/>
              </w:rPr>
              <w:t>，</w:t>
            </w:r>
            <w:r>
              <w:rPr>
                <w:rFonts w:hint="default" w:cs="Times New Roman"/>
                <w:i w:val="0"/>
                <w:iCs w:val="0"/>
                <w:color w:val="000000"/>
                <w:kern w:val="0"/>
                <w:sz w:val="24"/>
                <w:szCs w:val="24"/>
                <w:u w:val="none"/>
                <w:lang w:val="en-US" w:eastAsia="zh-CN" w:bidi="ar"/>
              </w:rPr>
              <w:t>0.68m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，间断产生，废水排入全厂水中央处理站处理达标后回用于各用水工序。</w:t>
            </w:r>
          </w:p>
          <w:p w14:paraId="18B845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（5）循环冷却水系统用排水</w:t>
            </w:r>
          </w:p>
          <w:p w14:paraId="2F7F6D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主要供给汽轮机凝汽器、发电机空冷器、汽轮机冷油器、辅机冷却水等发电机组设备冷却，为间接冷却回水，根据可研设计资料，循环冷却水系统用水总量为11990</w:t>
            </w:r>
            <w:r>
              <w:rPr>
                <w:rFonts w:hint="default" w:cs="Times New Roman"/>
                <w:i w:val="0"/>
                <w:iCs w:val="0"/>
                <w:color w:val="000000"/>
                <w:kern w:val="0"/>
                <w:sz w:val="24"/>
                <w:szCs w:val="24"/>
                <w:u w:val="none"/>
                <w:lang w:val="en-US" w:eastAsia="zh-CN" w:bidi="ar"/>
              </w:rPr>
              <w:t>m</w:t>
            </w:r>
            <w:r>
              <w:rPr>
                <w:rFonts w:hint="default"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，287760m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/d，补充水由中央水站提供的软水。发电能力可达到设计规模的100%，则循环冷却水系统用水为11990m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/h，蒸发损失量约为</w:t>
            </w:r>
            <w:r>
              <w:rPr>
                <w:rFonts w:hint="default" w:cs="Times New Roman"/>
                <w:i w:val="0"/>
                <w:iCs w:val="0"/>
                <w:color w:val="000000"/>
                <w:kern w:val="0"/>
                <w:sz w:val="24"/>
                <w:szCs w:val="24"/>
                <w:u w:val="none"/>
                <w:lang w:val="en-US" w:eastAsia="zh-CN" w:bidi="ar"/>
              </w:rPr>
              <w:t>2%</w:t>
            </w:r>
            <w:r>
              <w:rPr>
                <w:rFonts w:hint="eastAsia" w:cs="Times New Roman"/>
                <w:i w:val="0"/>
                <w:iCs w:val="0"/>
                <w:color w:val="000000"/>
                <w:kern w:val="0"/>
                <w:sz w:val="24"/>
                <w:szCs w:val="24"/>
                <w:u w:val="none"/>
                <w:lang w:val="en-US" w:eastAsia="zh-CN" w:bidi="ar"/>
              </w:rPr>
              <w:t>，即239.8</w:t>
            </w:r>
            <w:r>
              <w:rPr>
                <w:rFonts w:hint="default" w:cs="Times New Roman"/>
                <w:i w:val="0"/>
                <w:iCs w:val="0"/>
                <w:color w:val="000000"/>
                <w:kern w:val="0"/>
                <w:sz w:val="24"/>
                <w:szCs w:val="24"/>
                <w:u w:val="none"/>
                <w:lang w:val="en-US" w:eastAsia="zh-CN" w:bidi="ar"/>
              </w:rPr>
              <w:t>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/h</w:t>
            </w:r>
            <w:r>
              <w:rPr>
                <w:rFonts w:hint="eastAsia" w:cs="Times New Roman"/>
                <w:i w:val="0"/>
                <w:iCs w:val="0"/>
                <w:color w:val="000000"/>
                <w:kern w:val="0"/>
                <w:sz w:val="24"/>
                <w:szCs w:val="24"/>
                <w:u w:val="none"/>
                <w:lang w:val="en-US" w:eastAsia="zh-CN" w:bidi="ar"/>
              </w:rPr>
              <w:t>，5755.2m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/d。循环水中的盐分会不断地浓缩，为了维持系统的正常运行，需要不定时地进行排污，排污量为24m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/h，576m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/d。循环系统补充水量为263.8m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/h，6331.2m</w:t>
            </w:r>
            <w:r>
              <w:rPr>
                <w:rFonts w:hint="eastAsia" w:cs="Times New Roman"/>
                <w:i w:val="0"/>
                <w:iCs w:val="0"/>
                <w:color w:val="000000"/>
                <w:kern w:val="0"/>
                <w:sz w:val="24"/>
                <w:szCs w:val="24"/>
                <w:u w:val="none"/>
                <w:vertAlign w:val="superscript"/>
                <w:lang w:val="en-US" w:eastAsia="zh-CN" w:bidi="ar"/>
              </w:rPr>
              <w:t>3</w:t>
            </w:r>
            <w:r>
              <w:rPr>
                <w:rFonts w:hint="eastAsia" w:cs="Times New Roman"/>
                <w:i w:val="0"/>
                <w:iCs w:val="0"/>
                <w:color w:val="000000"/>
                <w:kern w:val="0"/>
                <w:sz w:val="24"/>
                <w:szCs w:val="24"/>
                <w:u w:val="none"/>
                <w:lang w:val="en-US" w:eastAsia="zh-CN" w:bidi="ar"/>
              </w:rPr>
              <w:t>/d，排污水排入全厂水中央处理站处理达标后回用于各用水工序。</w:t>
            </w:r>
          </w:p>
          <w:p w14:paraId="031B44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（5）旁通过滤器反冲洗水</w:t>
            </w:r>
          </w:p>
          <w:p w14:paraId="501585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旁通过滤器处理水量均按最大考虑，旁通过滤器冲洗用水，用水量</w:t>
            </w:r>
            <w:r>
              <w:rPr>
                <w:rFonts w:hint="default" w:cs="Times New Roman"/>
                <w:i w:val="0"/>
                <w:iCs w:val="0"/>
                <w:color w:val="000000"/>
                <w:kern w:val="0"/>
                <w:sz w:val="24"/>
                <w:szCs w:val="24"/>
                <w:u w:val="none"/>
                <w:lang w:val="en-US" w:eastAsia="zh-CN" w:bidi="ar"/>
              </w:rPr>
              <w:t>192m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，反冲洗废水</w:t>
            </w:r>
            <w:r>
              <w:rPr>
                <w:rFonts w:hint="default" w:cs="Times New Roman"/>
                <w:i w:val="0"/>
                <w:iCs w:val="0"/>
                <w:color w:val="000000"/>
                <w:kern w:val="0"/>
                <w:sz w:val="24"/>
                <w:szCs w:val="24"/>
                <w:u w:val="none"/>
                <w:lang w:val="en-US" w:eastAsia="zh-CN" w:bidi="ar"/>
              </w:rPr>
              <w:t>172.8m</w:t>
            </w:r>
            <w:r>
              <w:rPr>
                <w:rFonts w:hint="eastAsia" w:cs="Times New Roman"/>
                <w:i w:val="0"/>
                <w:iCs w:val="0"/>
                <w:color w:val="000000"/>
                <w:kern w:val="0"/>
                <w:sz w:val="24"/>
                <w:szCs w:val="24"/>
                <w:u w:val="none"/>
                <w:vertAlign w:val="superscript"/>
                <w:lang w:val="en-US" w:eastAsia="zh-CN" w:bidi="ar"/>
              </w:rPr>
              <w:t>3</w:t>
            </w:r>
            <w:r>
              <w:rPr>
                <w:rFonts w:hint="default" w:cs="Times New Roman"/>
                <w:i w:val="0"/>
                <w:iCs w:val="0"/>
                <w:color w:val="000000"/>
                <w:kern w:val="0"/>
                <w:sz w:val="24"/>
                <w:szCs w:val="24"/>
                <w:u w:val="none"/>
                <w:lang w:val="en-US" w:eastAsia="zh-CN" w:bidi="ar"/>
              </w:rPr>
              <w:t>/d</w:t>
            </w:r>
            <w:r>
              <w:rPr>
                <w:rFonts w:hint="eastAsia" w:cs="Times New Roman"/>
                <w:i w:val="0"/>
                <w:iCs w:val="0"/>
                <w:color w:val="000000"/>
                <w:kern w:val="0"/>
                <w:sz w:val="24"/>
                <w:szCs w:val="24"/>
                <w:u w:val="none"/>
                <w:lang w:val="en-US" w:eastAsia="zh-CN" w:bidi="ar"/>
              </w:rPr>
              <w:t>，废水排入全厂水中央处理站处理达标后回用于各用水工序。</w:t>
            </w:r>
          </w:p>
          <w:p w14:paraId="3AE745C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i w:val="0"/>
                <w:iCs w:val="0"/>
                <w:color w:val="000000"/>
                <w:kern w:val="0"/>
                <w:sz w:val="21"/>
                <w:szCs w:val="21"/>
                <w:u w:val="none"/>
                <w:lang w:val="en-US" w:eastAsia="zh-CN" w:bidi="ar"/>
              </w:rPr>
            </w:pPr>
            <w:r>
              <w:rPr>
                <w:rFonts w:hint="eastAsia" w:ascii="黑体" w:hAnsi="黑体" w:eastAsia="黑体" w:cs="黑体"/>
                <w:i w:val="0"/>
                <w:iCs w:val="0"/>
                <w:color w:val="000000"/>
                <w:kern w:val="0"/>
                <w:sz w:val="21"/>
                <w:szCs w:val="21"/>
                <w:u w:val="none"/>
                <w:lang w:val="en-US" w:eastAsia="zh-CN" w:bidi="ar"/>
              </w:rPr>
              <w:t>表2-12  项目用排水情况一览表</w:t>
            </w:r>
          </w:p>
          <w:tbl>
            <w:tblPr>
              <w:tblStyle w:val="17"/>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3"/>
              <w:gridCol w:w="1758"/>
              <w:gridCol w:w="995"/>
              <w:gridCol w:w="935"/>
              <w:gridCol w:w="960"/>
              <w:gridCol w:w="1030"/>
              <w:gridCol w:w="1718"/>
            </w:tblGrid>
            <w:tr w14:paraId="5EA554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vMerge w:val="restart"/>
                  <w:tcBorders>
                    <w:tl2br w:val="nil"/>
                    <w:tr2bl w:val="nil"/>
                  </w:tcBorders>
                  <w:shd w:val="clear" w:color="auto" w:fill="auto"/>
                  <w:vAlign w:val="center"/>
                </w:tcPr>
                <w:p w14:paraId="37255303">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序号</w:t>
                  </w:r>
                </w:p>
              </w:tc>
              <w:tc>
                <w:tcPr>
                  <w:tcW w:w="1094" w:type="pct"/>
                  <w:vMerge w:val="restart"/>
                  <w:tcBorders>
                    <w:tl2br w:val="nil"/>
                    <w:tr2bl w:val="nil"/>
                  </w:tcBorders>
                  <w:shd w:val="clear" w:color="auto" w:fill="auto"/>
                  <w:vAlign w:val="center"/>
                </w:tcPr>
                <w:p w14:paraId="2CEE1633">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用水环节</w:t>
                  </w:r>
                </w:p>
              </w:tc>
              <w:tc>
                <w:tcPr>
                  <w:tcW w:w="2441" w:type="pct"/>
                  <w:gridSpan w:val="4"/>
                  <w:tcBorders>
                    <w:tl2br w:val="nil"/>
                    <w:tr2bl w:val="nil"/>
                  </w:tcBorders>
                  <w:shd w:val="clear" w:color="auto" w:fill="auto"/>
                  <w:vAlign w:val="center"/>
                </w:tcPr>
                <w:p w14:paraId="0E8884B2">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用水量</w:t>
                  </w:r>
                </w:p>
              </w:tc>
              <w:tc>
                <w:tcPr>
                  <w:tcW w:w="1069" w:type="pct"/>
                  <w:tcBorders>
                    <w:tl2br w:val="nil"/>
                    <w:tr2bl w:val="nil"/>
                  </w:tcBorders>
                  <w:shd w:val="clear" w:color="auto" w:fill="auto"/>
                  <w:vAlign w:val="center"/>
                </w:tcPr>
                <w:p w14:paraId="4BE0901E">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排水量</w:t>
                  </w:r>
                </w:p>
              </w:tc>
            </w:tr>
            <w:tr w14:paraId="3CEC5C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vMerge w:val="continue"/>
                  <w:tcBorders>
                    <w:tl2br w:val="nil"/>
                    <w:tr2bl w:val="nil"/>
                  </w:tcBorders>
                  <w:shd w:val="clear" w:color="auto" w:fill="auto"/>
                  <w:vAlign w:val="center"/>
                </w:tcPr>
                <w:p w14:paraId="0F2711B7">
                  <w:pPr>
                    <w:jc w:val="center"/>
                    <w:rPr>
                      <w:rFonts w:hint="default" w:ascii="Times New Roman" w:hAnsi="Times New Roman" w:cs="Times New Roman"/>
                      <w:color w:val="auto"/>
                      <w:sz w:val="18"/>
                      <w:szCs w:val="18"/>
                      <w:highlight w:val="none"/>
                    </w:rPr>
                  </w:pPr>
                </w:p>
              </w:tc>
              <w:tc>
                <w:tcPr>
                  <w:tcW w:w="1094" w:type="pct"/>
                  <w:vMerge w:val="continue"/>
                  <w:tcBorders>
                    <w:tl2br w:val="nil"/>
                    <w:tr2bl w:val="nil"/>
                  </w:tcBorders>
                  <w:shd w:val="clear" w:color="auto" w:fill="auto"/>
                  <w:vAlign w:val="center"/>
                </w:tcPr>
                <w:p w14:paraId="581D010F">
                  <w:pPr>
                    <w:jc w:val="center"/>
                    <w:rPr>
                      <w:rFonts w:hint="default" w:ascii="Times New Roman" w:hAnsi="Times New Roman" w:cs="Times New Roman"/>
                      <w:color w:val="auto"/>
                      <w:sz w:val="18"/>
                      <w:szCs w:val="18"/>
                      <w:highlight w:val="none"/>
                    </w:rPr>
                  </w:pPr>
                </w:p>
              </w:tc>
              <w:tc>
                <w:tcPr>
                  <w:tcW w:w="619" w:type="pct"/>
                  <w:tcBorders>
                    <w:tl2br w:val="nil"/>
                    <w:tr2bl w:val="nil"/>
                  </w:tcBorders>
                  <w:shd w:val="clear" w:color="auto" w:fill="auto"/>
                  <w:vAlign w:val="center"/>
                </w:tcPr>
                <w:p w14:paraId="5DE52246">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总用水量（m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582" w:type="pct"/>
                  <w:tcBorders>
                    <w:tl2br w:val="nil"/>
                    <w:tr2bl w:val="nil"/>
                  </w:tcBorders>
                  <w:shd w:val="clear" w:color="auto" w:fill="auto"/>
                  <w:vAlign w:val="center"/>
                </w:tcPr>
                <w:p w14:paraId="19C7E1F4">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循环水量（m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597" w:type="pct"/>
                  <w:tcBorders>
                    <w:tl2br w:val="nil"/>
                    <w:tr2bl w:val="nil"/>
                  </w:tcBorders>
                  <w:shd w:val="clear" w:color="auto" w:fill="auto"/>
                  <w:vAlign w:val="center"/>
                </w:tcPr>
                <w:p w14:paraId="6EA35403">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新鲜水补充量（m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641" w:type="pct"/>
                  <w:tcBorders>
                    <w:tl2br w:val="nil"/>
                    <w:tr2bl w:val="nil"/>
                  </w:tcBorders>
                  <w:shd w:val="clear" w:color="auto" w:fill="auto"/>
                  <w:vAlign w:val="center"/>
                </w:tcPr>
                <w:p w14:paraId="14EDF8F3">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纯水补充量（m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1069" w:type="pct"/>
                  <w:tcBorders>
                    <w:tl2br w:val="nil"/>
                    <w:tr2bl w:val="nil"/>
                  </w:tcBorders>
                  <w:shd w:val="clear" w:color="auto" w:fill="auto"/>
                  <w:vAlign w:val="center"/>
                </w:tcPr>
                <w:p w14:paraId="24D9F407">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废水量（m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r>
            <w:tr w14:paraId="672229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44013714">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w:t>
                  </w:r>
                </w:p>
              </w:tc>
              <w:tc>
                <w:tcPr>
                  <w:tcW w:w="1094" w:type="pct"/>
                  <w:tcBorders>
                    <w:tl2br w:val="nil"/>
                    <w:tr2bl w:val="nil"/>
                  </w:tcBorders>
                  <w:shd w:val="clear" w:color="auto" w:fill="auto"/>
                  <w:vAlign w:val="center"/>
                </w:tcPr>
                <w:p w14:paraId="651750AC">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煤气降温水</w:t>
                  </w:r>
                </w:p>
              </w:tc>
              <w:tc>
                <w:tcPr>
                  <w:tcW w:w="619" w:type="pct"/>
                  <w:tcBorders>
                    <w:tl2br w:val="nil"/>
                    <w:tr2bl w:val="nil"/>
                  </w:tcBorders>
                  <w:shd w:val="clear" w:color="auto" w:fill="auto"/>
                  <w:vAlign w:val="center"/>
                </w:tcPr>
                <w:p w14:paraId="14BEEB5A">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50.4</w:t>
                  </w:r>
                </w:p>
              </w:tc>
              <w:tc>
                <w:tcPr>
                  <w:tcW w:w="582" w:type="pct"/>
                  <w:tcBorders>
                    <w:tl2br w:val="nil"/>
                    <w:tr2bl w:val="nil"/>
                  </w:tcBorders>
                  <w:shd w:val="clear" w:color="auto" w:fill="auto"/>
                  <w:vAlign w:val="center"/>
                </w:tcPr>
                <w:p w14:paraId="694F5A00">
                  <w:pPr>
                    <w:widowControl/>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2C0E0C4B">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50.4</w:t>
                  </w:r>
                </w:p>
              </w:tc>
              <w:tc>
                <w:tcPr>
                  <w:tcW w:w="641" w:type="pct"/>
                  <w:tcBorders>
                    <w:tl2br w:val="nil"/>
                    <w:tr2bl w:val="nil"/>
                  </w:tcBorders>
                  <w:shd w:val="clear" w:color="auto" w:fill="auto"/>
                  <w:vAlign w:val="center"/>
                </w:tcPr>
                <w:p w14:paraId="4B675E2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w:t>
                  </w:r>
                </w:p>
              </w:tc>
              <w:tc>
                <w:tcPr>
                  <w:tcW w:w="1069" w:type="pct"/>
                  <w:tcBorders>
                    <w:tl2br w:val="nil"/>
                    <w:tr2bl w:val="nil"/>
                  </w:tcBorders>
                  <w:shd w:val="clear" w:color="auto" w:fill="auto"/>
                  <w:vAlign w:val="center"/>
                </w:tcPr>
                <w:p w14:paraId="039E4DC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45.36</w:t>
                  </w:r>
                </w:p>
              </w:tc>
            </w:tr>
            <w:tr w14:paraId="2D61C6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2CB6D503">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094" w:type="pct"/>
                  <w:tcBorders>
                    <w:tl2br w:val="nil"/>
                    <w:tr2bl w:val="nil"/>
                  </w:tcBorders>
                  <w:shd w:val="clear" w:color="auto" w:fill="auto"/>
                  <w:vAlign w:val="center"/>
                </w:tcPr>
                <w:p w14:paraId="08C3A1BE">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kern w:val="0"/>
                      <w:sz w:val="18"/>
                      <w:szCs w:val="18"/>
                      <w:highlight w:val="none"/>
                      <w:lang w:val="en-US" w:eastAsia="zh-CN" w:bidi="ar"/>
                    </w:rPr>
                    <w:t>锅炉</w:t>
                  </w:r>
                </w:p>
              </w:tc>
              <w:tc>
                <w:tcPr>
                  <w:tcW w:w="619" w:type="pct"/>
                  <w:tcBorders>
                    <w:tl2br w:val="nil"/>
                    <w:tr2bl w:val="nil"/>
                  </w:tcBorders>
                  <w:shd w:val="clear" w:color="auto" w:fill="auto"/>
                  <w:vAlign w:val="center"/>
                </w:tcPr>
                <w:p w14:paraId="4D741450">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kern w:val="0"/>
                      <w:sz w:val="18"/>
                      <w:szCs w:val="18"/>
                      <w:highlight w:val="none"/>
                      <w:lang w:val="en-US" w:eastAsia="zh-CN" w:bidi="ar"/>
                    </w:rPr>
                    <w:t>6240</w:t>
                  </w:r>
                </w:p>
              </w:tc>
              <w:tc>
                <w:tcPr>
                  <w:tcW w:w="582" w:type="pct"/>
                  <w:tcBorders>
                    <w:tl2br w:val="nil"/>
                    <w:tr2bl w:val="nil"/>
                  </w:tcBorders>
                  <w:shd w:val="clear" w:color="auto" w:fill="auto"/>
                  <w:vAlign w:val="center"/>
                </w:tcPr>
                <w:p w14:paraId="1C5F45B2">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6021.6</w:t>
                  </w:r>
                </w:p>
              </w:tc>
              <w:tc>
                <w:tcPr>
                  <w:tcW w:w="597" w:type="pct"/>
                  <w:tcBorders>
                    <w:tl2br w:val="nil"/>
                    <w:tr2bl w:val="nil"/>
                  </w:tcBorders>
                  <w:shd w:val="clear" w:color="auto" w:fill="auto"/>
                  <w:vAlign w:val="center"/>
                </w:tcPr>
                <w:p w14:paraId="147A5E3B">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w:t>
                  </w:r>
                </w:p>
              </w:tc>
              <w:tc>
                <w:tcPr>
                  <w:tcW w:w="641" w:type="pct"/>
                  <w:tcBorders>
                    <w:tl2br w:val="nil"/>
                    <w:tr2bl w:val="nil"/>
                  </w:tcBorders>
                  <w:shd w:val="clear" w:color="auto" w:fill="auto"/>
                  <w:vAlign w:val="center"/>
                </w:tcPr>
                <w:p w14:paraId="17989669">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0"/>
                      <w:sz w:val="18"/>
                      <w:szCs w:val="18"/>
                      <w:highlight w:val="none"/>
                      <w:lang w:val="en-US" w:eastAsia="zh-CN" w:bidi="ar"/>
                    </w:rPr>
                    <w:t>218.4</w:t>
                  </w:r>
                </w:p>
              </w:tc>
              <w:tc>
                <w:tcPr>
                  <w:tcW w:w="1069" w:type="pct"/>
                  <w:tcBorders>
                    <w:tl2br w:val="nil"/>
                    <w:tr2bl w:val="nil"/>
                  </w:tcBorders>
                  <w:shd w:val="clear" w:color="auto" w:fill="auto"/>
                  <w:vAlign w:val="center"/>
                </w:tcPr>
                <w:p w14:paraId="7ED74082">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124.8</w:t>
                  </w:r>
                </w:p>
              </w:tc>
            </w:tr>
            <w:tr w14:paraId="222CB9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00709087">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1094" w:type="pct"/>
                  <w:tcBorders>
                    <w:tl2br w:val="nil"/>
                    <w:tr2bl w:val="nil"/>
                  </w:tcBorders>
                  <w:shd w:val="clear" w:color="auto" w:fill="auto"/>
                  <w:vAlign w:val="center"/>
                </w:tcPr>
                <w:p w14:paraId="02F2ACBC">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脱盐水制备用水</w:t>
                  </w:r>
                </w:p>
              </w:tc>
              <w:tc>
                <w:tcPr>
                  <w:tcW w:w="619" w:type="pct"/>
                  <w:tcBorders>
                    <w:tl2br w:val="nil"/>
                    <w:tr2bl w:val="nil"/>
                  </w:tcBorders>
                  <w:shd w:val="clear" w:color="auto" w:fill="auto"/>
                  <w:vAlign w:val="center"/>
                </w:tcPr>
                <w:p w14:paraId="1FBB28D1">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ascii="Times New Roman" w:hAnsi="Times New Roman" w:cs="Times New Roman"/>
                      <w:color w:val="auto"/>
                      <w:kern w:val="0"/>
                      <w:sz w:val="18"/>
                      <w:szCs w:val="18"/>
                      <w:highlight w:val="none"/>
                      <w:lang w:val="en-US" w:eastAsia="zh-CN" w:bidi="ar"/>
                    </w:rPr>
                    <w:t>312</w:t>
                  </w:r>
                </w:p>
              </w:tc>
              <w:tc>
                <w:tcPr>
                  <w:tcW w:w="582" w:type="pct"/>
                  <w:tcBorders>
                    <w:tl2br w:val="nil"/>
                    <w:tr2bl w:val="nil"/>
                  </w:tcBorders>
                  <w:shd w:val="clear" w:color="auto" w:fill="auto"/>
                  <w:vAlign w:val="center"/>
                </w:tcPr>
                <w:p w14:paraId="345644E0">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w:t>
                  </w:r>
                </w:p>
              </w:tc>
              <w:tc>
                <w:tcPr>
                  <w:tcW w:w="597" w:type="pct"/>
                  <w:tcBorders>
                    <w:tl2br w:val="nil"/>
                    <w:tr2bl w:val="nil"/>
                  </w:tcBorders>
                  <w:shd w:val="clear" w:color="auto" w:fill="auto"/>
                  <w:vAlign w:val="center"/>
                </w:tcPr>
                <w:p w14:paraId="61FA6215">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312</w:t>
                  </w:r>
                </w:p>
              </w:tc>
              <w:tc>
                <w:tcPr>
                  <w:tcW w:w="641" w:type="pct"/>
                  <w:tcBorders>
                    <w:tl2br w:val="nil"/>
                    <w:tr2bl w:val="nil"/>
                  </w:tcBorders>
                  <w:shd w:val="clear" w:color="auto" w:fill="auto"/>
                  <w:vAlign w:val="center"/>
                </w:tcPr>
                <w:p w14:paraId="5B723C6A">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kern w:val="0"/>
                      <w:sz w:val="18"/>
                      <w:szCs w:val="18"/>
                      <w:highlight w:val="none"/>
                      <w:lang w:val="en-US" w:eastAsia="zh-CN" w:bidi="ar"/>
                    </w:rPr>
                    <w:t>0</w:t>
                  </w:r>
                </w:p>
              </w:tc>
              <w:tc>
                <w:tcPr>
                  <w:tcW w:w="1069" w:type="pct"/>
                  <w:tcBorders>
                    <w:tl2br w:val="nil"/>
                    <w:tr2bl w:val="nil"/>
                  </w:tcBorders>
                  <w:shd w:val="clear" w:color="auto" w:fill="auto"/>
                  <w:vAlign w:val="center"/>
                </w:tcPr>
                <w:p w14:paraId="5A5970BE">
                  <w:pPr>
                    <w:widowControl/>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93.6</w:t>
                  </w:r>
                </w:p>
              </w:tc>
            </w:tr>
            <w:tr w14:paraId="29C2395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3C18DFCB">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1094" w:type="pct"/>
                  <w:tcBorders>
                    <w:tl2br w:val="nil"/>
                    <w:tr2bl w:val="nil"/>
                  </w:tcBorders>
                  <w:shd w:val="clear" w:color="auto" w:fill="auto"/>
                  <w:vAlign w:val="center"/>
                </w:tcPr>
                <w:p w14:paraId="7F3C03C3">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脱盐水站冲洗用水</w:t>
                  </w:r>
                </w:p>
              </w:tc>
              <w:tc>
                <w:tcPr>
                  <w:tcW w:w="619" w:type="pct"/>
                  <w:tcBorders>
                    <w:tl2br w:val="nil"/>
                    <w:tr2bl w:val="nil"/>
                  </w:tcBorders>
                  <w:shd w:val="clear" w:color="auto" w:fill="auto"/>
                  <w:vAlign w:val="center"/>
                </w:tcPr>
                <w:p w14:paraId="46EE2ECF">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4.32</w:t>
                  </w:r>
                </w:p>
              </w:tc>
              <w:tc>
                <w:tcPr>
                  <w:tcW w:w="582" w:type="pct"/>
                  <w:tcBorders>
                    <w:tl2br w:val="nil"/>
                    <w:tr2bl w:val="nil"/>
                  </w:tcBorders>
                  <w:shd w:val="clear" w:color="auto" w:fill="auto"/>
                  <w:vAlign w:val="center"/>
                </w:tcPr>
                <w:p w14:paraId="44373BF0">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5DC4AD73">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4.32</w:t>
                  </w:r>
                </w:p>
              </w:tc>
              <w:tc>
                <w:tcPr>
                  <w:tcW w:w="641" w:type="pct"/>
                  <w:tcBorders>
                    <w:tl2br w:val="nil"/>
                    <w:tr2bl w:val="nil"/>
                  </w:tcBorders>
                  <w:shd w:val="clear" w:color="auto" w:fill="auto"/>
                  <w:vAlign w:val="center"/>
                </w:tcPr>
                <w:p w14:paraId="1EB2E65A">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w:t>
                  </w:r>
                </w:p>
              </w:tc>
              <w:tc>
                <w:tcPr>
                  <w:tcW w:w="1069" w:type="pct"/>
                  <w:tcBorders>
                    <w:tl2br w:val="nil"/>
                    <w:tr2bl w:val="nil"/>
                  </w:tcBorders>
                  <w:shd w:val="clear" w:color="auto" w:fill="auto"/>
                  <w:vAlign w:val="center"/>
                </w:tcPr>
                <w:p w14:paraId="21EB327D">
                  <w:pPr>
                    <w:widowControl/>
                    <w:jc w:val="center"/>
                    <w:textAlignment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3.89</w:t>
                  </w:r>
                </w:p>
              </w:tc>
            </w:tr>
            <w:tr w14:paraId="208EEB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74E2257B">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1094" w:type="pct"/>
                  <w:tcBorders>
                    <w:tl2br w:val="nil"/>
                    <w:tr2bl w:val="nil"/>
                  </w:tcBorders>
                  <w:shd w:val="clear" w:color="auto" w:fill="auto"/>
                  <w:vAlign w:val="center"/>
                </w:tcPr>
                <w:p w14:paraId="126441F8">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凝结水精处理间冲洗用水</w:t>
                  </w:r>
                </w:p>
              </w:tc>
              <w:tc>
                <w:tcPr>
                  <w:tcW w:w="619" w:type="pct"/>
                  <w:tcBorders>
                    <w:tl2br w:val="nil"/>
                    <w:tr2bl w:val="nil"/>
                  </w:tcBorders>
                  <w:shd w:val="clear" w:color="auto" w:fill="auto"/>
                  <w:vAlign w:val="center"/>
                </w:tcPr>
                <w:p w14:paraId="3109C40D">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0.75</w:t>
                  </w:r>
                </w:p>
              </w:tc>
              <w:tc>
                <w:tcPr>
                  <w:tcW w:w="582" w:type="pct"/>
                  <w:tcBorders>
                    <w:tl2br w:val="nil"/>
                    <w:tr2bl w:val="nil"/>
                  </w:tcBorders>
                  <w:shd w:val="clear" w:color="auto" w:fill="auto"/>
                  <w:vAlign w:val="center"/>
                </w:tcPr>
                <w:p w14:paraId="720BECF2">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6E9EA4C3">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0.75</w:t>
                  </w:r>
                </w:p>
              </w:tc>
              <w:tc>
                <w:tcPr>
                  <w:tcW w:w="641" w:type="pct"/>
                  <w:tcBorders>
                    <w:tl2br w:val="nil"/>
                    <w:tr2bl w:val="nil"/>
                  </w:tcBorders>
                  <w:shd w:val="clear" w:color="auto" w:fill="auto"/>
                  <w:vAlign w:val="center"/>
                </w:tcPr>
                <w:p w14:paraId="40CD3E0A">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69" w:type="pct"/>
                  <w:tcBorders>
                    <w:tl2br w:val="nil"/>
                    <w:tr2bl w:val="nil"/>
                  </w:tcBorders>
                  <w:shd w:val="clear" w:color="auto" w:fill="auto"/>
                  <w:vAlign w:val="center"/>
                </w:tcPr>
                <w:p w14:paraId="1B0A8010">
                  <w:pPr>
                    <w:widowControl/>
                    <w:jc w:val="center"/>
                    <w:textAlignment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0.68</w:t>
                  </w:r>
                </w:p>
              </w:tc>
            </w:tr>
            <w:tr w14:paraId="7D3AB22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4F4F97AE">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1094" w:type="pct"/>
                  <w:tcBorders>
                    <w:tl2br w:val="nil"/>
                    <w:tr2bl w:val="nil"/>
                  </w:tcBorders>
                  <w:shd w:val="clear" w:color="auto" w:fill="auto"/>
                  <w:vAlign w:val="center"/>
                </w:tcPr>
                <w:p w14:paraId="1EC95BA1">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煤气发电机组循环冷却系统补充水</w:t>
                  </w:r>
                </w:p>
              </w:tc>
              <w:tc>
                <w:tcPr>
                  <w:tcW w:w="619" w:type="pct"/>
                  <w:tcBorders>
                    <w:tl2br w:val="nil"/>
                    <w:tr2bl w:val="nil"/>
                  </w:tcBorders>
                  <w:shd w:val="clear" w:color="auto" w:fill="auto"/>
                  <w:vAlign w:val="center"/>
                </w:tcPr>
                <w:p w14:paraId="7AB9A3B2">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287760</w:t>
                  </w:r>
                </w:p>
              </w:tc>
              <w:tc>
                <w:tcPr>
                  <w:tcW w:w="582" w:type="pct"/>
                  <w:tcBorders>
                    <w:tl2br w:val="nil"/>
                    <w:tr2bl w:val="nil"/>
                  </w:tcBorders>
                  <w:shd w:val="clear" w:color="auto" w:fill="auto"/>
                  <w:vAlign w:val="center"/>
                </w:tcPr>
                <w:p w14:paraId="37005C46">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281428.8</w:t>
                  </w:r>
                </w:p>
              </w:tc>
              <w:tc>
                <w:tcPr>
                  <w:tcW w:w="597" w:type="pct"/>
                  <w:tcBorders>
                    <w:tl2br w:val="nil"/>
                    <w:tr2bl w:val="nil"/>
                  </w:tcBorders>
                  <w:shd w:val="clear" w:color="auto" w:fill="auto"/>
                  <w:vAlign w:val="center"/>
                </w:tcPr>
                <w:p w14:paraId="52BA9E8D">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641" w:type="pct"/>
                  <w:tcBorders>
                    <w:tl2br w:val="nil"/>
                    <w:tr2bl w:val="nil"/>
                  </w:tcBorders>
                  <w:shd w:val="clear" w:color="auto" w:fill="auto"/>
                  <w:vAlign w:val="center"/>
                </w:tcPr>
                <w:p w14:paraId="5C7E395F">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6331.2</w:t>
                  </w:r>
                </w:p>
              </w:tc>
              <w:tc>
                <w:tcPr>
                  <w:tcW w:w="1069" w:type="pct"/>
                  <w:tcBorders>
                    <w:tl2br w:val="nil"/>
                    <w:tr2bl w:val="nil"/>
                  </w:tcBorders>
                  <w:shd w:val="clear" w:color="auto" w:fill="auto"/>
                  <w:vAlign w:val="center"/>
                </w:tcPr>
                <w:p w14:paraId="5A005656">
                  <w:pPr>
                    <w:widowControl/>
                    <w:jc w:val="center"/>
                    <w:textAlignment w:val="center"/>
                    <w:rPr>
                      <w:rFonts w:hint="default" w:ascii="Times New Roman" w:hAnsi="Times New Roman" w:cs="Times New Roman"/>
                      <w:color w:val="auto"/>
                      <w:sz w:val="18"/>
                      <w:szCs w:val="18"/>
                      <w:highlight w:val="none"/>
                      <w:lang w:val="en-US"/>
                    </w:rPr>
                  </w:pPr>
                  <w:r>
                    <w:rPr>
                      <w:rFonts w:hint="eastAsia" w:cs="Times New Roman"/>
                      <w:color w:val="auto"/>
                      <w:sz w:val="18"/>
                      <w:szCs w:val="18"/>
                      <w:highlight w:val="none"/>
                      <w:lang w:val="en-US" w:eastAsia="zh-CN"/>
                    </w:rPr>
                    <w:t>576</w:t>
                  </w:r>
                </w:p>
              </w:tc>
            </w:tr>
            <w:tr w14:paraId="0949EA0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29523CF1">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1094" w:type="pct"/>
                  <w:tcBorders>
                    <w:tl2br w:val="nil"/>
                    <w:tr2bl w:val="nil"/>
                  </w:tcBorders>
                  <w:shd w:val="clear" w:color="auto" w:fill="auto"/>
                  <w:vAlign w:val="center"/>
                </w:tcPr>
                <w:p w14:paraId="7305CFA4">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sz w:val="18"/>
                      <w:szCs w:val="18"/>
                      <w:vertAlign w:val="baseline"/>
                      <w:lang w:val="en-US" w:eastAsia="zh-CN"/>
                    </w:rPr>
                    <w:t>煤气发电机组旁过滤反冲洗用水</w:t>
                  </w:r>
                </w:p>
              </w:tc>
              <w:tc>
                <w:tcPr>
                  <w:tcW w:w="619" w:type="pct"/>
                  <w:tcBorders>
                    <w:tl2br w:val="nil"/>
                    <w:tr2bl w:val="nil"/>
                  </w:tcBorders>
                  <w:shd w:val="clear" w:color="auto" w:fill="auto"/>
                  <w:vAlign w:val="center"/>
                </w:tcPr>
                <w:p w14:paraId="526FB587">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192</w:t>
                  </w:r>
                </w:p>
              </w:tc>
              <w:tc>
                <w:tcPr>
                  <w:tcW w:w="582" w:type="pct"/>
                  <w:tcBorders>
                    <w:tl2br w:val="nil"/>
                    <w:tr2bl w:val="nil"/>
                  </w:tcBorders>
                  <w:shd w:val="clear" w:color="auto" w:fill="auto"/>
                  <w:vAlign w:val="center"/>
                </w:tcPr>
                <w:p w14:paraId="6BCBB312">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00037E9B">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192</w:t>
                  </w:r>
                </w:p>
              </w:tc>
              <w:tc>
                <w:tcPr>
                  <w:tcW w:w="641" w:type="pct"/>
                  <w:tcBorders>
                    <w:tl2br w:val="nil"/>
                    <w:tr2bl w:val="nil"/>
                  </w:tcBorders>
                  <w:shd w:val="clear" w:color="auto" w:fill="auto"/>
                  <w:vAlign w:val="center"/>
                </w:tcPr>
                <w:p w14:paraId="2FA312C0">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69" w:type="pct"/>
                  <w:tcBorders>
                    <w:tl2br w:val="nil"/>
                    <w:tr2bl w:val="nil"/>
                  </w:tcBorders>
                  <w:shd w:val="clear" w:color="auto" w:fill="auto"/>
                  <w:vAlign w:val="center"/>
                </w:tcPr>
                <w:p w14:paraId="44EAED33">
                  <w:pPr>
                    <w:widowControl/>
                    <w:jc w:val="center"/>
                    <w:textAlignment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172.8</w:t>
                  </w:r>
                </w:p>
              </w:tc>
            </w:tr>
            <w:tr w14:paraId="288617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0B6B7ED8">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8</w:t>
                  </w:r>
                </w:p>
              </w:tc>
              <w:tc>
                <w:tcPr>
                  <w:tcW w:w="1094" w:type="pct"/>
                  <w:tcBorders>
                    <w:tl2br w:val="nil"/>
                    <w:tr2bl w:val="nil"/>
                  </w:tcBorders>
                  <w:shd w:val="clear" w:color="auto" w:fill="auto"/>
                  <w:vAlign w:val="center"/>
                </w:tcPr>
                <w:p w14:paraId="2D5979C2">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合计</w:t>
                  </w:r>
                </w:p>
              </w:tc>
              <w:tc>
                <w:tcPr>
                  <w:tcW w:w="619" w:type="pct"/>
                  <w:tcBorders>
                    <w:tl2br w:val="nil"/>
                    <w:tr2bl w:val="nil"/>
                  </w:tcBorders>
                  <w:shd w:val="clear" w:color="auto" w:fill="auto"/>
                  <w:vAlign w:val="center"/>
                </w:tcPr>
                <w:p w14:paraId="6B9F04EA">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294559.47</w:t>
                  </w:r>
                </w:p>
              </w:tc>
              <w:tc>
                <w:tcPr>
                  <w:tcW w:w="582" w:type="pct"/>
                  <w:tcBorders>
                    <w:tl2br w:val="nil"/>
                    <w:tr2bl w:val="nil"/>
                  </w:tcBorders>
                  <w:shd w:val="clear" w:color="auto" w:fill="auto"/>
                  <w:vAlign w:val="center"/>
                </w:tcPr>
                <w:p w14:paraId="6337C2AC">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287450.4</w:t>
                  </w:r>
                </w:p>
              </w:tc>
              <w:tc>
                <w:tcPr>
                  <w:tcW w:w="597" w:type="pct"/>
                  <w:tcBorders>
                    <w:tl2br w:val="nil"/>
                    <w:tr2bl w:val="nil"/>
                  </w:tcBorders>
                  <w:shd w:val="clear" w:color="auto" w:fill="auto"/>
                  <w:vAlign w:val="center"/>
                </w:tcPr>
                <w:p w14:paraId="6D2663BD">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559.47</w:t>
                  </w:r>
                </w:p>
              </w:tc>
              <w:tc>
                <w:tcPr>
                  <w:tcW w:w="641" w:type="pct"/>
                  <w:tcBorders>
                    <w:tl2br w:val="nil"/>
                    <w:tr2bl w:val="nil"/>
                  </w:tcBorders>
                  <w:shd w:val="clear" w:color="auto" w:fill="auto"/>
                  <w:vAlign w:val="center"/>
                </w:tcPr>
                <w:p w14:paraId="5EDC4706">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6549.6</w:t>
                  </w:r>
                </w:p>
              </w:tc>
              <w:tc>
                <w:tcPr>
                  <w:tcW w:w="1069" w:type="pct"/>
                  <w:tcBorders>
                    <w:tl2br w:val="nil"/>
                    <w:tr2bl w:val="nil"/>
                  </w:tcBorders>
                  <w:shd w:val="clear" w:color="auto" w:fill="auto"/>
                  <w:vAlign w:val="center"/>
                </w:tcPr>
                <w:p w14:paraId="04D26C39">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1017.13</w:t>
                  </w:r>
                </w:p>
              </w:tc>
            </w:tr>
          </w:tbl>
          <w:p w14:paraId="517CC7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项目水平衡图详见下图：</w:t>
            </w:r>
          </w:p>
          <w:p w14:paraId="2FA8C00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color w:val="000000"/>
                <w:kern w:val="0"/>
                <w:sz w:val="24"/>
                <w:szCs w:val="24"/>
                <w:lang w:val="en-US" w:eastAsia="zh-CN" w:bidi="ar"/>
              </w:rPr>
            </w:pPr>
            <w:r>
              <w:rPr>
                <w:rFonts w:hint="eastAsia"/>
                <w:color w:val="auto"/>
                <w:highlight w:val="none"/>
                <w:lang w:val="en-US" w:eastAsia="zh-CN"/>
              </w:rPr>
              <w:object>
                <v:shape id="_x0000_i1025" o:spt="75" type="#_x0000_t75" style="height:342.4pt;width:399.3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7C775CD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000000"/>
                <w:kern w:val="0"/>
                <w:sz w:val="24"/>
                <w:szCs w:val="24"/>
                <w:lang w:val="en-US" w:eastAsia="zh-CN" w:bidi="ar"/>
              </w:rPr>
            </w:pPr>
            <w:r>
              <w:rPr>
                <w:rFonts w:hint="eastAsia" w:ascii="黑体" w:hAnsi="黑体" w:eastAsia="黑体" w:cs="黑体"/>
                <w:b w:val="0"/>
                <w:bCs w:val="0"/>
                <w:color w:val="000000"/>
                <w:kern w:val="0"/>
                <w:sz w:val="24"/>
                <w:szCs w:val="24"/>
                <w:lang w:val="en-US" w:eastAsia="zh-CN" w:bidi="ar"/>
              </w:rPr>
              <w:t>图2-1  水量平衡图  单位m</w:t>
            </w:r>
            <w:r>
              <w:rPr>
                <w:rFonts w:hint="eastAsia" w:ascii="黑体" w:hAnsi="黑体" w:eastAsia="黑体" w:cs="黑体"/>
                <w:b w:val="0"/>
                <w:bCs w:val="0"/>
                <w:color w:val="000000"/>
                <w:kern w:val="0"/>
                <w:sz w:val="24"/>
                <w:szCs w:val="24"/>
                <w:vertAlign w:val="superscript"/>
                <w:lang w:val="en-US" w:eastAsia="zh-CN" w:bidi="ar"/>
              </w:rPr>
              <w:t>3</w:t>
            </w:r>
            <w:r>
              <w:rPr>
                <w:rFonts w:hint="eastAsia" w:ascii="黑体" w:hAnsi="黑体" w:eastAsia="黑体" w:cs="黑体"/>
                <w:b w:val="0"/>
                <w:bCs w:val="0"/>
                <w:color w:val="000000"/>
                <w:kern w:val="0"/>
                <w:sz w:val="24"/>
                <w:szCs w:val="24"/>
                <w:lang w:val="en-US" w:eastAsia="zh-CN" w:bidi="ar"/>
              </w:rPr>
              <w:t>/d</w:t>
            </w:r>
          </w:p>
          <w:p w14:paraId="45A109A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lang w:val="en-US" w:eastAsia="zh-CN"/>
              </w:rPr>
            </w:pPr>
            <w:r>
              <w:rPr>
                <w:rFonts w:hint="eastAsia" w:ascii="Times New Roman" w:hAnsi="Times New Roman" w:eastAsia="宋体" w:cs="Times New Roman"/>
                <w:b/>
                <w:bCs/>
                <w:color w:val="000000"/>
                <w:kern w:val="0"/>
                <w:sz w:val="24"/>
                <w:szCs w:val="24"/>
                <w:lang w:val="en-US" w:eastAsia="zh-CN" w:bidi="ar"/>
              </w:rPr>
              <w:t>2.7</w:t>
            </w:r>
            <w:r>
              <w:rPr>
                <w:rFonts w:hint="eastAsia" w:ascii="Times New Roman" w:hAnsi="Times New Roman" w:cs="Times New Roman"/>
                <w:b/>
                <w:bCs/>
                <w:color w:val="000000"/>
                <w:kern w:val="0"/>
                <w:sz w:val="24"/>
                <w:szCs w:val="24"/>
                <w:lang w:val="en-US" w:eastAsia="zh-CN" w:bidi="ar"/>
              </w:rPr>
              <w:t>劳动定员和工作制度</w:t>
            </w:r>
          </w:p>
          <w:p w14:paraId="541BD4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劳动定员：技术人员5人，机组运行人员36人，合计41人，均为厂内调配，全厂不新增人员。</w:t>
            </w:r>
          </w:p>
          <w:p w14:paraId="345BDC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工作制度：三班三倒，每班8小时，年工作330天。</w:t>
            </w:r>
          </w:p>
          <w:p w14:paraId="65DE6AA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i w:val="0"/>
                <w:iCs w:val="0"/>
                <w:color w:val="000000"/>
                <w:kern w:val="0"/>
                <w:sz w:val="24"/>
                <w:szCs w:val="24"/>
                <w:u w:val="none"/>
                <w:lang w:val="en-US" w:eastAsia="zh-CN" w:bidi="ar"/>
              </w:rPr>
            </w:pPr>
            <w:r>
              <w:rPr>
                <w:rFonts w:hint="eastAsia" w:ascii="Times New Roman" w:hAnsi="Times New Roman" w:eastAsia="宋体" w:cs="Times New Roman"/>
                <w:b/>
                <w:bCs/>
                <w:color w:val="000000"/>
                <w:kern w:val="0"/>
                <w:sz w:val="24"/>
                <w:szCs w:val="24"/>
                <w:lang w:val="en-US" w:eastAsia="zh-CN" w:bidi="ar"/>
              </w:rPr>
              <w:t>2.8</w:t>
            </w:r>
            <w:r>
              <w:rPr>
                <w:rFonts w:hint="eastAsia" w:ascii="Times New Roman" w:hAnsi="Times New Roman" w:cs="Times New Roman"/>
                <w:b/>
                <w:bCs/>
                <w:color w:val="000000"/>
                <w:kern w:val="0"/>
                <w:sz w:val="24"/>
                <w:szCs w:val="24"/>
                <w:lang w:val="en-US" w:eastAsia="zh-CN" w:bidi="ar"/>
              </w:rPr>
              <w:t>厂区平面布置</w:t>
            </w:r>
          </w:p>
          <w:p w14:paraId="53AE62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i w:val="0"/>
                <w:iCs w:val="0"/>
                <w:color w:val="000000"/>
                <w:kern w:val="0"/>
                <w:sz w:val="24"/>
                <w:szCs w:val="24"/>
                <w:u w:val="none"/>
                <w:lang w:val="en-US" w:eastAsia="zh-CN" w:bidi="ar"/>
              </w:rPr>
            </w:pPr>
            <w:r>
              <w:rPr>
                <w:color w:val="auto"/>
                <w:sz w:val="24"/>
                <w:lang w:bidi="ar"/>
              </w:rPr>
              <w:t>主厂房区布置在</w:t>
            </w:r>
            <w:r>
              <w:rPr>
                <w:rFonts w:hint="eastAsia"/>
                <w:color w:val="auto"/>
                <w:sz w:val="24"/>
                <w:lang w:bidi="ar"/>
              </w:rPr>
              <w:t>建设</w:t>
            </w:r>
            <w:r>
              <w:rPr>
                <w:color w:val="auto"/>
                <w:sz w:val="24"/>
                <w:lang w:bidi="ar"/>
              </w:rPr>
              <w:t>场地</w:t>
            </w:r>
            <w:r>
              <w:rPr>
                <w:rFonts w:hint="eastAsia"/>
                <w:color w:val="auto"/>
                <w:sz w:val="24"/>
                <w:lang w:bidi="ar"/>
              </w:rPr>
              <w:t>南</w:t>
            </w:r>
            <w:r>
              <w:rPr>
                <w:color w:val="auto"/>
                <w:sz w:val="24"/>
                <w:lang w:bidi="ar"/>
              </w:rPr>
              <w:t>部</w:t>
            </w:r>
            <w:r>
              <w:rPr>
                <w:rFonts w:hint="eastAsia"/>
                <w:color w:val="auto"/>
                <w:sz w:val="24"/>
                <w:lang w:eastAsia="zh-CN" w:bidi="ar"/>
              </w:rPr>
              <w:t>，</w:t>
            </w:r>
            <w:r>
              <w:rPr>
                <w:color w:val="auto"/>
                <w:sz w:val="24"/>
                <w:lang w:bidi="ar"/>
              </w:rPr>
              <w:t>由</w:t>
            </w:r>
            <w:r>
              <w:rPr>
                <w:rFonts w:hint="eastAsia"/>
                <w:color w:val="auto"/>
                <w:sz w:val="24"/>
                <w:lang w:bidi="ar"/>
              </w:rPr>
              <w:t>东</w:t>
            </w:r>
            <w:r>
              <w:rPr>
                <w:color w:val="auto"/>
                <w:sz w:val="24"/>
                <w:lang w:bidi="ar"/>
              </w:rPr>
              <w:t>向</w:t>
            </w:r>
            <w:r>
              <w:rPr>
                <w:rFonts w:hint="eastAsia"/>
                <w:color w:val="auto"/>
                <w:sz w:val="24"/>
                <w:lang w:bidi="ar"/>
              </w:rPr>
              <w:t>西</w:t>
            </w:r>
            <w:r>
              <w:rPr>
                <w:color w:val="auto"/>
                <w:sz w:val="24"/>
                <w:lang w:bidi="ar"/>
              </w:rPr>
              <w:t>依次布置汽机跨、除氧跨、锅炉跨</w:t>
            </w:r>
            <w:r>
              <w:rPr>
                <w:rFonts w:hint="eastAsia"/>
                <w:color w:val="auto"/>
                <w:sz w:val="24"/>
                <w:lang w:bidi="ar"/>
              </w:rPr>
              <w:t>、</w:t>
            </w:r>
            <w:r>
              <w:rPr>
                <w:color w:val="auto"/>
                <w:sz w:val="24"/>
                <w:lang w:bidi="ar"/>
              </w:rPr>
              <w:t>煤加</w:t>
            </w:r>
            <w:r>
              <w:rPr>
                <w:rFonts w:hint="eastAsia"/>
                <w:color w:val="auto"/>
                <w:sz w:val="24"/>
                <w:lang w:bidi="ar"/>
              </w:rPr>
              <w:t>及脱硫反应器</w:t>
            </w:r>
            <w:r>
              <w:rPr>
                <w:color w:val="auto"/>
                <w:sz w:val="24"/>
                <w:lang w:bidi="ar"/>
              </w:rPr>
              <w:t>，锅炉辅助间布置在锅炉跨</w:t>
            </w:r>
            <w:r>
              <w:rPr>
                <w:rFonts w:hint="eastAsia"/>
                <w:color w:val="auto"/>
                <w:sz w:val="24"/>
                <w:lang w:bidi="ar"/>
              </w:rPr>
              <w:t>的北</w:t>
            </w:r>
            <w:r>
              <w:rPr>
                <w:color w:val="auto"/>
                <w:sz w:val="24"/>
                <w:lang w:bidi="ar"/>
              </w:rPr>
              <w:t>侧</w:t>
            </w:r>
            <w:r>
              <w:rPr>
                <w:rFonts w:hint="eastAsia"/>
                <w:color w:val="auto"/>
                <w:sz w:val="24"/>
                <w:lang w:bidi="ar"/>
              </w:rPr>
              <w:t>，除尘器、引风机、烟囱、主变及35kV配电室、灰库及包装间、钙粉设备间布置在</w:t>
            </w:r>
            <w:r>
              <w:rPr>
                <w:color w:val="auto"/>
                <w:sz w:val="24"/>
                <w:lang w:bidi="ar"/>
              </w:rPr>
              <w:t>汽机跨</w:t>
            </w:r>
            <w:r>
              <w:rPr>
                <w:rFonts w:hint="eastAsia"/>
                <w:color w:val="auto"/>
                <w:sz w:val="24"/>
                <w:lang w:bidi="ar"/>
              </w:rPr>
              <w:t>、除氧跨的南</w:t>
            </w:r>
            <w:r>
              <w:rPr>
                <w:color w:val="auto"/>
                <w:sz w:val="24"/>
                <w:lang w:bidi="ar"/>
              </w:rPr>
              <w:t>侧。</w:t>
            </w:r>
            <w:r>
              <w:rPr>
                <w:rFonts w:hint="eastAsia"/>
                <w:color w:val="auto"/>
                <w:sz w:val="24"/>
                <w:lang w:bidi="ar"/>
              </w:rPr>
              <w:t>水处理区布置建设场地北部，区域内化水车间及室外水箱在北，新建冷却塔、利旧泵房在南。</w:t>
            </w:r>
          </w:p>
          <w:p w14:paraId="68ECF1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本项目总平面布</w:t>
            </w:r>
            <w:r>
              <w:rPr>
                <w:rFonts w:hint="eastAsia" w:cs="Times New Roman"/>
                <w:i w:val="0"/>
                <w:iCs w:val="0"/>
                <w:color w:val="auto"/>
                <w:kern w:val="0"/>
                <w:sz w:val="24"/>
                <w:szCs w:val="24"/>
                <w:u w:val="none"/>
                <w:lang w:val="en-US" w:eastAsia="zh-CN" w:bidi="ar"/>
              </w:rPr>
              <w:t>置图详见</w:t>
            </w:r>
            <w:r>
              <w:rPr>
                <w:rFonts w:hint="eastAsia" w:cs="Times New Roman"/>
                <w:i w:val="0"/>
                <w:iCs w:val="0"/>
                <w:color w:val="auto"/>
                <w:kern w:val="0"/>
                <w:sz w:val="24"/>
                <w:szCs w:val="24"/>
                <w:highlight w:val="none"/>
                <w:u w:val="none"/>
                <w:lang w:val="en-US" w:eastAsia="zh-CN" w:bidi="ar"/>
              </w:rPr>
              <w:t>附图3</w:t>
            </w:r>
            <w:r>
              <w:rPr>
                <w:rFonts w:hint="eastAsia" w:cs="Times New Roman"/>
                <w:i w:val="0"/>
                <w:iCs w:val="0"/>
                <w:color w:val="auto"/>
                <w:kern w:val="0"/>
                <w:sz w:val="24"/>
                <w:szCs w:val="24"/>
                <w:u w:val="none"/>
                <w:lang w:val="en-US" w:eastAsia="zh-CN" w:bidi="ar"/>
              </w:rPr>
              <w:t>。</w:t>
            </w:r>
          </w:p>
          <w:p w14:paraId="7327306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i w:val="0"/>
                <w:iCs w:val="0"/>
                <w:color w:val="000000"/>
                <w:kern w:val="0"/>
                <w:sz w:val="24"/>
                <w:szCs w:val="24"/>
                <w:u w:val="none"/>
                <w:lang w:val="en-US" w:eastAsia="zh-CN" w:bidi="ar"/>
              </w:rPr>
            </w:pPr>
            <w:r>
              <w:rPr>
                <w:rFonts w:hint="eastAsia" w:ascii="Times New Roman" w:hAnsi="Times New Roman" w:eastAsia="宋体" w:cs="Times New Roman"/>
                <w:b/>
                <w:bCs/>
                <w:color w:val="000000"/>
                <w:kern w:val="0"/>
                <w:sz w:val="24"/>
                <w:szCs w:val="24"/>
                <w:lang w:val="en-US" w:eastAsia="zh-CN" w:bidi="ar"/>
              </w:rPr>
              <w:t>2.9环保投资</w:t>
            </w:r>
          </w:p>
          <w:p w14:paraId="1D5563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i w:val="0"/>
                <w:iCs w:val="0"/>
                <w:color w:val="000000"/>
                <w:kern w:val="0"/>
                <w:sz w:val="24"/>
                <w:szCs w:val="24"/>
                <w:u w:val="none"/>
                <w:lang w:val="en-US" w:eastAsia="zh-CN" w:bidi="ar"/>
              </w:rPr>
              <w:t>本项目总投资</w:t>
            </w:r>
            <w:r>
              <w:rPr>
                <w:rFonts w:hint="default" w:ascii="Times New Roman" w:hAnsi="Times New Roman" w:eastAsia="宋体" w:cs="Times New Roman"/>
                <w:color w:val="auto"/>
                <w:sz w:val="24"/>
                <w:szCs w:val="24"/>
                <w:highlight w:val="none"/>
                <w:lang w:val="en-US" w:eastAsia="zh-CN"/>
              </w:rPr>
              <w:t>30237.8</w:t>
            </w:r>
            <w:r>
              <w:rPr>
                <w:rFonts w:hint="eastAsia" w:ascii="Times New Roman" w:hAnsi="Times New Roman" w:eastAsia="宋体" w:cs="Times New Roman"/>
                <w:color w:val="auto"/>
                <w:sz w:val="24"/>
                <w:szCs w:val="24"/>
                <w:highlight w:val="none"/>
                <w:lang w:val="en-US" w:eastAsia="zh-CN"/>
              </w:rPr>
              <w:t>万元，其中环保投资</w:t>
            </w:r>
            <w:r>
              <w:rPr>
                <w:rFonts w:hint="eastAsia" w:cs="Times New Roman"/>
                <w:color w:val="auto"/>
                <w:sz w:val="24"/>
                <w:szCs w:val="24"/>
                <w:highlight w:val="none"/>
                <w:lang w:val="en-US" w:eastAsia="zh-CN"/>
              </w:rPr>
              <w:t>1011.9</w:t>
            </w:r>
            <w:r>
              <w:rPr>
                <w:rFonts w:hint="eastAsia" w:ascii="Times New Roman" w:hAnsi="Times New Roman" w:eastAsia="宋体" w:cs="Times New Roman"/>
                <w:color w:val="auto"/>
                <w:sz w:val="24"/>
                <w:szCs w:val="24"/>
                <w:highlight w:val="none"/>
                <w:lang w:val="en-US" w:eastAsia="zh-CN"/>
              </w:rPr>
              <w:t>万元，占总投资比例</w:t>
            </w:r>
            <w:r>
              <w:rPr>
                <w:rFonts w:hint="eastAsia" w:cs="Times New Roman"/>
                <w:color w:val="auto"/>
                <w:sz w:val="24"/>
                <w:szCs w:val="24"/>
                <w:highlight w:val="none"/>
                <w:lang w:val="en-US" w:eastAsia="zh-CN"/>
              </w:rPr>
              <w:t>3.35</w:t>
            </w:r>
            <w:r>
              <w:rPr>
                <w:rFonts w:hint="eastAsia" w:ascii="Times New Roman" w:hAnsi="Times New Roman" w:eastAsia="宋体" w:cs="Times New Roman"/>
                <w:color w:val="auto"/>
                <w:sz w:val="24"/>
                <w:szCs w:val="24"/>
                <w:highlight w:val="none"/>
                <w:lang w:val="en-US" w:eastAsia="zh-CN"/>
              </w:rPr>
              <w:t>%，具体详见下表：</w:t>
            </w:r>
          </w:p>
          <w:p w14:paraId="690A704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表2-13环保投资估算一览表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916"/>
              <w:gridCol w:w="1318"/>
              <w:gridCol w:w="2358"/>
              <w:gridCol w:w="1884"/>
              <w:gridCol w:w="1047"/>
            </w:tblGrid>
            <w:tr w14:paraId="01C274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7" w:type="pct"/>
                  <w:gridSpan w:val="2"/>
                  <w:tcBorders>
                    <w:tl2br w:val="nil"/>
                    <w:tr2bl w:val="nil"/>
                  </w:tcBorders>
                  <w:noWrap w:val="0"/>
                  <w:vAlign w:val="center"/>
                </w:tcPr>
                <w:p w14:paraId="474BE25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p>
              </w:tc>
              <w:tc>
                <w:tcPr>
                  <w:tcW w:w="2288" w:type="pct"/>
                  <w:gridSpan w:val="2"/>
                  <w:tcBorders>
                    <w:tl2br w:val="nil"/>
                    <w:tr2bl w:val="nil"/>
                  </w:tcBorders>
                  <w:noWrap w:val="0"/>
                  <w:vAlign w:val="center"/>
                </w:tcPr>
                <w:p w14:paraId="6486DA6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环保</w:t>
                  </w:r>
                  <w:r>
                    <w:rPr>
                      <w:rFonts w:hint="default" w:ascii="Times New Roman" w:hAnsi="Times New Roman" w:eastAsia="宋体" w:cs="Times New Roman"/>
                      <w:color w:val="auto"/>
                      <w:sz w:val="18"/>
                      <w:szCs w:val="18"/>
                      <w:highlight w:val="none"/>
                      <w:lang w:val="en-US" w:eastAsia="zh-CN"/>
                    </w:rPr>
                    <w:t>设施</w:t>
                  </w:r>
                </w:p>
              </w:tc>
              <w:tc>
                <w:tcPr>
                  <w:tcW w:w="1172" w:type="pct"/>
                  <w:tcBorders>
                    <w:tl2br w:val="nil"/>
                    <w:tr2bl w:val="nil"/>
                  </w:tcBorders>
                  <w:noWrap w:val="0"/>
                  <w:vAlign w:val="center"/>
                </w:tcPr>
                <w:p w14:paraId="0266F63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数量/规模</w:t>
                  </w:r>
                </w:p>
              </w:tc>
              <w:tc>
                <w:tcPr>
                  <w:tcW w:w="651" w:type="pct"/>
                  <w:tcBorders>
                    <w:tl2br w:val="nil"/>
                    <w:tr2bl w:val="nil"/>
                  </w:tcBorders>
                  <w:noWrap w:val="0"/>
                  <w:vAlign w:val="center"/>
                </w:tcPr>
                <w:p w14:paraId="4F5F0F6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w:t>
                  </w:r>
                </w:p>
                <w:p w14:paraId="402BF49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（万元）</w:t>
                  </w:r>
                </w:p>
              </w:tc>
            </w:tr>
            <w:tr w14:paraId="083686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16" w:type="pct"/>
                  <w:vMerge w:val="restart"/>
                  <w:tcBorders>
                    <w:tl2br w:val="nil"/>
                    <w:tr2bl w:val="nil"/>
                  </w:tcBorders>
                  <w:noWrap w:val="0"/>
                  <w:vAlign w:val="center"/>
                </w:tcPr>
                <w:p w14:paraId="04423DE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570" w:type="pct"/>
                  <w:tcBorders>
                    <w:tl2br w:val="nil"/>
                    <w:tr2bl w:val="nil"/>
                  </w:tcBorders>
                  <w:noWrap w:val="0"/>
                  <w:vAlign w:val="center"/>
                </w:tcPr>
                <w:p w14:paraId="6BD8401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施工期</w:t>
                  </w:r>
                </w:p>
              </w:tc>
              <w:tc>
                <w:tcPr>
                  <w:tcW w:w="820" w:type="pct"/>
                  <w:tcBorders>
                    <w:tl2br w:val="nil"/>
                    <w:tr2bl w:val="nil"/>
                  </w:tcBorders>
                  <w:noWrap w:val="0"/>
                  <w:vAlign w:val="center"/>
                </w:tcPr>
                <w:p w14:paraId="6BD3B15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施工粉尘</w:t>
                  </w:r>
                </w:p>
              </w:tc>
              <w:tc>
                <w:tcPr>
                  <w:tcW w:w="1467" w:type="pct"/>
                  <w:tcBorders>
                    <w:tl2br w:val="nil"/>
                    <w:tr2bl w:val="nil"/>
                  </w:tcBorders>
                  <w:noWrap w:val="0"/>
                  <w:vAlign w:val="center"/>
                </w:tcPr>
                <w:p w14:paraId="3EEC5C1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洒水降尘</w:t>
                  </w:r>
                </w:p>
              </w:tc>
              <w:tc>
                <w:tcPr>
                  <w:tcW w:w="1172" w:type="pct"/>
                  <w:tcBorders>
                    <w:tl2br w:val="nil"/>
                    <w:tr2bl w:val="nil"/>
                  </w:tcBorders>
                  <w:noWrap w:val="0"/>
                  <w:vAlign w:val="center"/>
                </w:tcPr>
                <w:p w14:paraId="36283AD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51" w:type="pct"/>
                  <w:tcBorders>
                    <w:tl2br w:val="nil"/>
                    <w:tr2bl w:val="nil"/>
                  </w:tcBorders>
                  <w:noWrap w:val="0"/>
                  <w:vAlign w:val="center"/>
                </w:tcPr>
                <w:p w14:paraId="51B4E75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0.5</w:t>
                  </w:r>
                </w:p>
              </w:tc>
            </w:tr>
            <w:tr w14:paraId="477B5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16" w:type="pct"/>
                  <w:vMerge w:val="continue"/>
                  <w:tcBorders>
                    <w:tl2br w:val="nil"/>
                    <w:tr2bl w:val="nil"/>
                  </w:tcBorders>
                  <w:noWrap w:val="0"/>
                  <w:vAlign w:val="center"/>
                </w:tcPr>
                <w:p w14:paraId="6D892E0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570" w:type="pct"/>
                  <w:vMerge w:val="restart"/>
                  <w:tcBorders>
                    <w:tl2br w:val="nil"/>
                    <w:tr2bl w:val="nil"/>
                  </w:tcBorders>
                  <w:noWrap w:val="0"/>
                  <w:vAlign w:val="center"/>
                </w:tcPr>
                <w:p w14:paraId="674A2D3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运营期</w:t>
                  </w:r>
                </w:p>
              </w:tc>
              <w:tc>
                <w:tcPr>
                  <w:tcW w:w="820" w:type="pct"/>
                  <w:vMerge w:val="restart"/>
                  <w:tcBorders>
                    <w:tl2br w:val="nil"/>
                    <w:tr2bl w:val="nil"/>
                  </w:tcBorders>
                  <w:noWrap w:val="0"/>
                  <w:vAlign w:val="center"/>
                </w:tcPr>
                <w:p w14:paraId="48FF50E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锅炉烟气</w:t>
                  </w:r>
                </w:p>
              </w:tc>
              <w:tc>
                <w:tcPr>
                  <w:tcW w:w="1467" w:type="pct"/>
                  <w:tcBorders>
                    <w:tl2br w:val="nil"/>
                    <w:tr2bl w:val="nil"/>
                  </w:tcBorders>
                  <w:noWrap w:val="0"/>
                  <w:vAlign w:val="center"/>
                </w:tcPr>
                <w:p w14:paraId="66B5D8F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低氮燃烧器</w:t>
                  </w:r>
                </w:p>
              </w:tc>
              <w:tc>
                <w:tcPr>
                  <w:tcW w:w="1172" w:type="pct"/>
                  <w:vMerge w:val="restart"/>
                  <w:tcBorders>
                    <w:tl2br w:val="nil"/>
                    <w:tr2bl w:val="nil"/>
                  </w:tcBorders>
                  <w:noWrap w:val="0"/>
                  <w:vAlign w:val="center"/>
                </w:tcPr>
                <w:p w14:paraId="42BE041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r>
                    <w:rPr>
                      <w:rFonts w:hint="default" w:ascii="Times New Roman" w:hAnsi="Times New Roman" w:eastAsia="宋体" w:cs="Times New Roman"/>
                      <w:color w:val="auto"/>
                      <w:sz w:val="18"/>
                      <w:szCs w:val="18"/>
                      <w:highlight w:val="none"/>
                      <w:lang w:val="en-US" w:eastAsia="zh-CN"/>
                    </w:rPr>
                    <w:t>套</w:t>
                  </w:r>
                </w:p>
              </w:tc>
              <w:tc>
                <w:tcPr>
                  <w:tcW w:w="651" w:type="pct"/>
                  <w:tcBorders>
                    <w:tl2br w:val="nil"/>
                    <w:tr2bl w:val="nil"/>
                  </w:tcBorders>
                  <w:noWrap w:val="0"/>
                  <w:vAlign w:val="center"/>
                </w:tcPr>
                <w:p w14:paraId="4832E74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r>
            <w:tr w14:paraId="3DB2E7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16" w:type="pct"/>
                  <w:vMerge w:val="continue"/>
                  <w:tcBorders>
                    <w:tl2br w:val="nil"/>
                    <w:tr2bl w:val="nil"/>
                  </w:tcBorders>
                  <w:noWrap w:val="0"/>
                  <w:vAlign w:val="center"/>
                </w:tcPr>
                <w:p w14:paraId="7F55431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570" w:type="pct"/>
                  <w:vMerge w:val="continue"/>
                  <w:tcBorders>
                    <w:tl2br w:val="nil"/>
                    <w:tr2bl w:val="nil"/>
                  </w:tcBorders>
                  <w:noWrap w:val="0"/>
                  <w:vAlign w:val="center"/>
                </w:tcPr>
                <w:p w14:paraId="39063A8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20" w:type="pct"/>
                  <w:vMerge w:val="continue"/>
                  <w:tcBorders>
                    <w:tl2br w:val="nil"/>
                    <w:tr2bl w:val="nil"/>
                  </w:tcBorders>
                  <w:noWrap w:val="0"/>
                  <w:vAlign w:val="center"/>
                </w:tcPr>
                <w:p w14:paraId="16C48C5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467" w:type="pct"/>
                  <w:tcBorders>
                    <w:tl2br w:val="nil"/>
                    <w:tr2bl w:val="nil"/>
                  </w:tcBorders>
                  <w:noWrap w:val="0"/>
                  <w:vAlign w:val="center"/>
                </w:tcPr>
                <w:p w14:paraId="1EA4EB4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脱硝系统（SCR）</w:t>
                  </w:r>
                </w:p>
              </w:tc>
              <w:tc>
                <w:tcPr>
                  <w:tcW w:w="1172" w:type="pct"/>
                  <w:vMerge w:val="continue"/>
                  <w:tcBorders>
                    <w:tl2br w:val="nil"/>
                    <w:tr2bl w:val="nil"/>
                  </w:tcBorders>
                  <w:noWrap w:val="0"/>
                  <w:vAlign w:val="center"/>
                </w:tcPr>
                <w:p w14:paraId="6BF1B3A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p>
              </w:tc>
              <w:tc>
                <w:tcPr>
                  <w:tcW w:w="651" w:type="pct"/>
                  <w:tcBorders>
                    <w:tl2br w:val="nil"/>
                    <w:tr2bl w:val="nil"/>
                  </w:tcBorders>
                  <w:noWrap w:val="0"/>
                  <w:vAlign w:val="center"/>
                </w:tcPr>
                <w:p w14:paraId="5652ADC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400</w:t>
                  </w:r>
                </w:p>
              </w:tc>
            </w:tr>
            <w:tr w14:paraId="49675C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16" w:type="pct"/>
                  <w:vMerge w:val="continue"/>
                  <w:tcBorders>
                    <w:tl2br w:val="nil"/>
                    <w:tr2bl w:val="nil"/>
                  </w:tcBorders>
                  <w:noWrap w:val="0"/>
                  <w:vAlign w:val="center"/>
                </w:tcPr>
                <w:p w14:paraId="4A82517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570" w:type="pct"/>
                  <w:vMerge w:val="continue"/>
                  <w:tcBorders>
                    <w:tl2br w:val="nil"/>
                    <w:tr2bl w:val="nil"/>
                  </w:tcBorders>
                  <w:noWrap w:val="0"/>
                  <w:vAlign w:val="center"/>
                </w:tcPr>
                <w:p w14:paraId="4F7B2EE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20" w:type="pct"/>
                  <w:vMerge w:val="continue"/>
                  <w:tcBorders>
                    <w:tl2br w:val="nil"/>
                    <w:tr2bl w:val="nil"/>
                  </w:tcBorders>
                  <w:noWrap w:val="0"/>
                  <w:vAlign w:val="center"/>
                </w:tcPr>
                <w:p w14:paraId="6A96FB0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467" w:type="pct"/>
                  <w:tcBorders>
                    <w:tl2br w:val="nil"/>
                    <w:tr2bl w:val="nil"/>
                  </w:tcBorders>
                  <w:noWrap w:val="0"/>
                  <w:vAlign w:val="center"/>
                </w:tcPr>
                <w:p w14:paraId="445C98E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脱硫系统</w:t>
                  </w:r>
                </w:p>
              </w:tc>
              <w:tc>
                <w:tcPr>
                  <w:tcW w:w="1172" w:type="pct"/>
                  <w:vMerge w:val="continue"/>
                  <w:tcBorders>
                    <w:tl2br w:val="nil"/>
                    <w:tr2bl w:val="nil"/>
                  </w:tcBorders>
                  <w:noWrap w:val="0"/>
                  <w:vAlign w:val="center"/>
                </w:tcPr>
                <w:p w14:paraId="241F0EEA">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p>
              </w:tc>
              <w:tc>
                <w:tcPr>
                  <w:tcW w:w="651" w:type="pct"/>
                  <w:tcBorders>
                    <w:tl2br w:val="nil"/>
                    <w:tr2bl w:val="nil"/>
                  </w:tcBorders>
                  <w:noWrap w:val="0"/>
                  <w:vAlign w:val="center"/>
                </w:tcPr>
                <w:p w14:paraId="6D5D2C8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r>
            <w:tr w14:paraId="0C4F8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16" w:type="pct"/>
                  <w:vMerge w:val="continue"/>
                  <w:tcBorders>
                    <w:tl2br w:val="nil"/>
                    <w:tr2bl w:val="nil"/>
                  </w:tcBorders>
                  <w:noWrap w:val="0"/>
                  <w:vAlign w:val="center"/>
                </w:tcPr>
                <w:p w14:paraId="5288159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570" w:type="pct"/>
                  <w:vMerge w:val="continue"/>
                  <w:tcBorders>
                    <w:tl2br w:val="nil"/>
                    <w:tr2bl w:val="nil"/>
                  </w:tcBorders>
                  <w:noWrap w:val="0"/>
                  <w:vAlign w:val="center"/>
                </w:tcPr>
                <w:p w14:paraId="4708A90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20" w:type="pct"/>
                  <w:vMerge w:val="continue"/>
                  <w:tcBorders>
                    <w:tl2br w:val="nil"/>
                    <w:tr2bl w:val="nil"/>
                  </w:tcBorders>
                  <w:noWrap w:val="0"/>
                  <w:vAlign w:val="center"/>
                </w:tcPr>
                <w:p w14:paraId="1D1F3A3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467" w:type="pct"/>
                  <w:tcBorders>
                    <w:tl2br w:val="nil"/>
                    <w:tr2bl w:val="nil"/>
                  </w:tcBorders>
                  <w:noWrap w:val="0"/>
                  <w:vAlign w:val="center"/>
                </w:tcPr>
                <w:p w14:paraId="45A81FB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布袋除尘器</w:t>
                  </w:r>
                </w:p>
              </w:tc>
              <w:tc>
                <w:tcPr>
                  <w:tcW w:w="1172" w:type="pct"/>
                  <w:vMerge w:val="continue"/>
                  <w:tcBorders>
                    <w:tl2br w:val="nil"/>
                    <w:tr2bl w:val="nil"/>
                  </w:tcBorders>
                  <w:noWrap w:val="0"/>
                  <w:vAlign w:val="center"/>
                </w:tcPr>
                <w:p w14:paraId="6682044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p>
              </w:tc>
              <w:tc>
                <w:tcPr>
                  <w:tcW w:w="651" w:type="pct"/>
                  <w:tcBorders>
                    <w:tl2br w:val="nil"/>
                    <w:tr2bl w:val="nil"/>
                  </w:tcBorders>
                  <w:noWrap w:val="0"/>
                  <w:vAlign w:val="center"/>
                </w:tcPr>
                <w:p w14:paraId="7EA8A99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r>
            <w:tr w14:paraId="7E4C27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16" w:type="pct"/>
                  <w:vMerge w:val="continue"/>
                  <w:tcBorders>
                    <w:tl2br w:val="nil"/>
                    <w:tr2bl w:val="nil"/>
                  </w:tcBorders>
                  <w:noWrap w:val="0"/>
                  <w:vAlign w:val="center"/>
                </w:tcPr>
                <w:p w14:paraId="075C4D5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p>
              </w:tc>
              <w:tc>
                <w:tcPr>
                  <w:tcW w:w="570" w:type="pct"/>
                  <w:vMerge w:val="continue"/>
                  <w:tcBorders>
                    <w:tl2br w:val="nil"/>
                    <w:tr2bl w:val="nil"/>
                  </w:tcBorders>
                  <w:noWrap w:val="0"/>
                  <w:vAlign w:val="center"/>
                </w:tcPr>
                <w:p w14:paraId="76CE69D8">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20" w:type="pct"/>
                  <w:vMerge w:val="continue"/>
                  <w:tcBorders>
                    <w:tl2br w:val="nil"/>
                    <w:tr2bl w:val="nil"/>
                  </w:tcBorders>
                  <w:noWrap w:val="0"/>
                  <w:vAlign w:val="center"/>
                </w:tcPr>
                <w:p w14:paraId="6909FC6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467" w:type="pct"/>
                  <w:tcBorders>
                    <w:tl2br w:val="nil"/>
                    <w:tr2bl w:val="nil"/>
                  </w:tcBorders>
                  <w:noWrap w:val="0"/>
                  <w:vAlign w:val="center"/>
                </w:tcPr>
                <w:p w14:paraId="75AB62A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烟囱</w:t>
                  </w:r>
                </w:p>
              </w:tc>
              <w:tc>
                <w:tcPr>
                  <w:tcW w:w="1172" w:type="pct"/>
                  <w:vMerge w:val="continue"/>
                  <w:tcBorders>
                    <w:tl2br w:val="nil"/>
                    <w:tr2bl w:val="nil"/>
                  </w:tcBorders>
                  <w:noWrap w:val="0"/>
                  <w:vAlign w:val="center"/>
                </w:tcPr>
                <w:p w14:paraId="336D017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p>
              </w:tc>
              <w:tc>
                <w:tcPr>
                  <w:tcW w:w="651" w:type="pct"/>
                  <w:tcBorders>
                    <w:tl2br w:val="nil"/>
                    <w:tr2bl w:val="nil"/>
                  </w:tcBorders>
                  <w:noWrap w:val="0"/>
                  <w:vAlign w:val="center"/>
                </w:tcPr>
                <w:p w14:paraId="46ECEB3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r>
            <w:tr w14:paraId="553D9E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16" w:type="pct"/>
                  <w:vMerge w:val="continue"/>
                  <w:tcBorders>
                    <w:tl2br w:val="nil"/>
                    <w:tr2bl w:val="nil"/>
                  </w:tcBorders>
                  <w:noWrap w:val="0"/>
                  <w:vAlign w:val="center"/>
                </w:tcPr>
                <w:p w14:paraId="292E4DDE">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p>
              </w:tc>
              <w:tc>
                <w:tcPr>
                  <w:tcW w:w="570" w:type="pct"/>
                  <w:vMerge w:val="continue"/>
                  <w:tcBorders>
                    <w:tl2br w:val="nil"/>
                    <w:tr2bl w:val="nil"/>
                  </w:tcBorders>
                  <w:noWrap w:val="0"/>
                  <w:vAlign w:val="center"/>
                </w:tcPr>
                <w:p w14:paraId="4A703D0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20" w:type="pct"/>
                  <w:vMerge w:val="continue"/>
                  <w:tcBorders>
                    <w:tl2br w:val="nil"/>
                    <w:tr2bl w:val="nil"/>
                  </w:tcBorders>
                  <w:noWrap w:val="0"/>
                  <w:vAlign w:val="center"/>
                </w:tcPr>
                <w:p w14:paraId="2E47F06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467" w:type="pct"/>
                  <w:tcBorders>
                    <w:tl2br w:val="nil"/>
                    <w:tr2bl w:val="nil"/>
                  </w:tcBorders>
                  <w:noWrap w:val="0"/>
                  <w:vAlign w:val="center"/>
                </w:tcPr>
                <w:p w14:paraId="61553AD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烟气自动连续监测系统</w:t>
                  </w:r>
                </w:p>
              </w:tc>
              <w:tc>
                <w:tcPr>
                  <w:tcW w:w="1172" w:type="pct"/>
                  <w:tcBorders>
                    <w:tl2br w:val="nil"/>
                    <w:tr2bl w:val="nil"/>
                  </w:tcBorders>
                  <w:noWrap w:val="0"/>
                  <w:vAlign w:val="center"/>
                </w:tcPr>
                <w:p w14:paraId="32FDDFD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1个</w:t>
                  </w:r>
                </w:p>
              </w:tc>
              <w:tc>
                <w:tcPr>
                  <w:tcW w:w="651" w:type="pct"/>
                  <w:tcBorders>
                    <w:tl2br w:val="nil"/>
                    <w:tr2bl w:val="nil"/>
                  </w:tcBorders>
                  <w:noWrap w:val="0"/>
                  <w:vAlign w:val="center"/>
                </w:tcPr>
                <w:p w14:paraId="61514FF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r>
            <w:tr w14:paraId="07DB4B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6" w:type="pct"/>
                  <w:vMerge w:val="restart"/>
                  <w:tcBorders>
                    <w:tl2br w:val="nil"/>
                    <w:tr2bl w:val="nil"/>
                  </w:tcBorders>
                  <w:noWrap w:val="0"/>
                  <w:vAlign w:val="center"/>
                </w:tcPr>
                <w:p w14:paraId="12A0687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570" w:type="pct"/>
                  <w:tcBorders>
                    <w:tl2br w:val="nil"/>
                    <w:tr2bl w:val="nil"/>
                  </w:tcBorders>
                  <w:noWrap w:val="0"/>
                  <w:vAlign w:val="center"/>
                </w:tcPr>
                <w:p w14:paraId="384C65F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施工期</w:t>
                  </w:r>
                </w:p>
              </w:tc>
              <w:tc>
                <w:tcPr>
                  <w:tcW w:w="2288" w:type="pct"/>
                  <w:gridSpan w:val="2"/>
                  <w:tcBorders>
                    <w:tl2br w:val="nil"/>
                    <w:tr2bl w:val="nil"/>
                  </w:tcBorders>
                  <w:noWrap w:val="0"/>
                  <w:vAlign w:val="center"/>
                </w:tcPr>
                <w:p w14:paraId="10701EF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沉淀池</w:t>
                  </w:r>
                </w:p>
              </w:tc>
              <w:tc>
                <w:tcPr>
                  <w:tcW w:w="1172" w:type="pct"/>
                  <w:tcBorders>
                    <w:tl2br w:val="nil"/>
                    <w:tr2bl w:val="nil"/>
                  </w:tcBorders>
                  <w:noWrap w:val="0"/>
                  <w:vAlign w:val="center"/>
                </w:tcPr>
                <w:p w14:paraId="53B6CA0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1个，容积为2m</w:t>
                  </w:r>
                  <w:r>
                    <w:rPr>
                      <w:rFonts w:hint="default" w:ascii="Times New Roman" w:hAnsi="Times New Roman" w:eastAsia="宋体" w:cs="Times New Roman"/>
                      <w:color w:val="auto"/>
                      <w:sz w:val="18"/>
                      <w:szCs w:val="18"/>
                      <w:highlight w:val="none"/>
                      <w:vertAlign w:val="superscript"/>
                      <w:lang w:val="en-US" w:eastAsia="zh-CN"/>
                    </w:rPr>
                    <w:t>3</w:t>
                  </w:r>
                </w:p>
              </w:tc>
              <w:tc>
                <w:tcPr>
                  <w:tcW w:w="651" w:type="pct"/>
                  <w:tcBorders>
                    <w:tl2br w:val="nil"/>
                    <w:tr2bl w:val="nil"/>
                  </w:tcBorders>
                  <w:noWrap w:val="0"/>
                  <w:vAlign w:val="center"/>
                </w:tcPr>
                <w:p w14:paraId="3A94734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w:t>
                  </w:r>
                </w:p>
              </w:tc>
            </w:tr>
            <w:tr w14:paraId="7CBCC1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vMerge w:val="continue"/>
                  <w:tcBorders>
                    <w:tl2br w:val="nil"/>
                    <w:tr2bl w:val="nil"/>
                  </w:tcBorders>
                  <w:noWrap w:val="0"/>
                  <w:vAlign w:val="center"/>
                </w:tcPr>
                <w:p w14:paraId="309AB42D">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570" w:type="pct"/>
                  <w:vMerge w:val="restart"/>
                  <w:tcBorders>
                    <w:tl2br w:val="nil"/>
                    <w:tr2bl w:val="nil"/>
                  </w:tcBorders>
                  <w:noWrap w:val="0"/>
                  <w:vAlign w:val="center"/>
                </w:tcPr>
                <w:p w14:paraId="61FA156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运营期</w:t>
                  </w:r>
                </w:p>
              </w:tc>
              <w:tc>
                <w:tcPr>
                  <w:tcW w:w="2288" w:type="pct"/>
                  <w:gridSpan w:val="2"/>
                  <w:tcBorders>
                    <w:tl2br w:val="nil"/>
                    <w:tr2bl w:val="nil"/>
                  </w:tcBorders>
                  <w:noWrap w:val="0"/>
                  <w:vAlign w:val="center"/>
                </w:tcPr>
                <w:p w14:paraId="369C1A1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冷却塔</w:t>
                  </w:r>
                </w:p>
              </w:tc>
              <w:tc>
                <w:tcPr>
                  <w:tcW w:w="1172" w:type="pct"/>
                  <w:tcBorders>
                    <w:tl2br w:val="nil"/>
                    <w:tr2bl w:val="nil"/>
                  </w:tcBorders>
                  <w:noWrap w:val="0"/>
                  <w:vAlign w:val="center"/>
                </w:tcPr>
                <w:p w14:paraId="1BDD71B6">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个</w:t>
                  </w:r>
                </w:p>
              </w:tc>
              <w:tc>
                <w:tcPr>
                  <w:tcW w:w="651" w:type="pct"/>
                  <w:tcBorders>
                    <w:tl2br w:val="nil"/>
                    <w:tr2bl w:val="nil"/>
                  </w:tcBorders>
                  <w:noWrap w:val="0"/>
                  <w:vAlign w:val="center"/>
                </w:tcPr>
                <w:p w14:paraId="687A096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80</w:t>
                  </w:r>
                </w:p>
              </w:tc>
            </w:tr>
            <w:tr w14:paraId="7FE66F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vMerge w:val="continue"/>
                  <w:tcBorders>
                    <w:tl2br w:val="nil"/>
                    <w:tr2bl w:val="nil"/>
                  </w:tcBorders>
                  <w:noWrap w:val="0"/>
                  <w:vAlign w:val="center"/>
                </w:tcPr>
                <w:p w14:paraId="67BF1D2B">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570" w:type="pct"/>
                  <w:vMerge w:val="continue"/>
                  <w:tcBorders>
                    <w:tl2br w:val="nil"/>
                    <w:tr2bl w:val="nil"/>
                  </w:tcBorders>
                  <w:noWrap w:val="0"/>
                  <w:vAlign w:val="center"/>
                </w:tcPr>
                <w:p w14:paraId="2DD1C76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2288" w:type="pct"/>
                  <w:gridSpan w:val="2"/>
                  <w:tcBorders>
                    <w:tl2br w:val="nil"/>
                    <w:tr2bl w:val="nil"/>
                  </w:tcBorders>
                  <w:noWrap w:val="0"/>
                  <w:vAlign w:val="center"/>
                </w:tcPr>
                <w:p w14:paraId="6369D774">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冷却水循环水池</w:t>
                  </w:r>
                </w:p>
              </w:tc>
              <w:tc>
                <w:tcPr>
                  <w:tcW w:w="1172" w:type="pct"/>
                  <w:tcBorders>
                    <w:tl2br w:val="nil"/>
                    <w:tr2bl w:val="nil"/>
                  </w:tcBorders>
                  <w:noWrap w:val="0"/>
                  <w:vAlign w:val="center"/>
                </w:tcPr>
                <w:p w14:paraId="1414EF45">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2个</w:t>
                  </w:r>
                </w:p>
              </w:tc>
              <w:tc>
                <w:tcPr>
                  <w:tcW w:w="651" w:type="pct"/>
                  <w:tcBorders>
                    <w:tl2br w:val="nil"/>
                    <w:tr2bl w:val="nil"/>
                  </w:tcBorders>
                  <w:noWrap w:val="0"/>
                  <w:vAlign w:val="center"/>
                </w:tcPr>
                <w:p w14:paraId="12F6918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r>
            <w:tr w14:paraId="367034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87" w:type="pct"/>
                  <w:gridSpan w:val="2"/>
                  <w:tcBorders>
                    <w:tl2br w:val="nil"/>
                    <w:tr2bl w:val="nil"/>
                  </w:tcBorders>
                  <w:noWrap w:val="0"/>
                  <w:vAlign w:val="center"/>
                </w:tcPr>
                <w:p w14:paraId="2C9A512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雨水</w:t>
                  </w:r>
                </w:p>
              </w:tc>
              <w:tc>
                <w:tcPr>
                  <w:tcW w:w="2288" w:type="pct"/>
                  <w:gridSpan w:val="2"/>
                  <w:tcBorders>
                    <w:tl2br w:val="nil"/>
                    <w:tr2bl w:val="nil"/>
                  </w:tcBorders>
                  <w:noWrap w:val="0"/>
                  <w:vAlign w:val="center"/>
                </w:tcPr>
                <w:p w14:paraId="67CFEF0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屋面及地面雨水沟</w:t>
                  </w:r>
                </w:p>
              </w:tc>
              <w:tc>
                <w:tcPr>
                  <w:tcW w:w="1172" w:type="pct"/>
                  <w:tcBorders>
                    <w:tl2br w:val="nil"/>
                    <w:tr2bl w:val="nil"/>
                  </w:tcBorders>
                  <w:noWrap w:val="0"/>
                  <w:vAlign w:val="center"/>
                </w:tcPr>
                <w:p w14:paraId="3557A45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651" w:type="pct"/>
                  <w:tcBorders>
                    <w:tl2br w:val="nil"/>
                    <w:tr2bl w:val="nil"/>
                  </w:tcBorders>
                  <w:noWrap w:val="0"/>
                  <w:vAlign w:val="center"/>
                </w:tcPr>
                <w:p w14:paraId="47BB91A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w:t>
                  </w:r>
                </w:p>
              </w:tc>
            </w:tr>
            <w:tr w14:paraId="22465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887" w:type="pct"/>
                  <w:gridSpan w:val="2"/>
                  <w:tcBorders>
                    <w:tl2br w:val="nil"/>
                    <w:tr2bl w:val="nil"/>
                  </w:tcBorders>
                  <w:noWrap w:val="0"/>
                  <w:vAlign w:val="center"/>
                </w:tcPr>
                <w:p w14:paraId="5A9925D9">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w:t>
                  </w:r>
                </w:p>
              </w:tc>
              <w:tc>
                <w:tcPr>
                  <w:tcW w:w="2288" w:type="pct"/>
                  <w:gridSpan w:val="2"/>
                  <w:tcBorders>
                    <w:tl2br w:val="nil"/>
                    <w:tr2bl w:val="nil"/>
                  </w:tcBorders>
                  <w:noWrap w:val="0"/>
                  <w:vAlign w:val="center"/>
                </w:tcPr>
                <w:p w14:paraId="32B3E5D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消声器、减震垫</w:t>
                  </w:r>
                  <w:r>
                    <w:rPr>
                      <w:rFonts w:hint="default" w:ascii="Times New Roman" w:hAnsi="Times New Roman" w:eastAsia="宋体" w:cs="Times New Roman"/>
                      <w:color w:val="auto"/>
                      <w:sz w:val="18"/>
                      <w:szCs w:val="18"/>
                      <w:highlight w:val="none"/>
                      <w:lang w:val="en-US" w:eastAsia="zh-CN"/>
                    </w:rPr>
                    <w:t>等</w:t>
                  </w:r>
                </w:p>
              </w:tc>
              <w:tc>
                <w:tcPr>
                  <w:tcW w:w="1172" w:type="pct"/>
                  <w:tcBorders>
                    <w:tl2br w:val="nil"/>
                    <w:tr2bl w:val="nil"/>
                  </w:tcBorders>
                  <w:noWrap w:val="0"/>
                  <w:vAlign w:val="center"/>
                </w:tcPr>
                <w:p w14:paraId="6DECC1F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若干</w:t>
                  </w:r>
                </w:p>
              </w:tc>
              <w:tc>
                <w:tcPr>
                  <w:tcW w:w="651" w:type="pct"/>
                  <w:tcBorders>
                    <w:tl2br w:val="nil"/>
                    <w:tr2bl w:val="nil"/>
                  </w:tcBorders>
                  <w:noWrap w:val="0"/>
                  <w:vAlign w:val="center"/>
                </w:tcPr>
                <w:p w14:paraId="040EE7D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45</w:t>
                  </w:r>
                </w:p>
              </w:tc>
            </w:tr>
            <w:tr w14:paraId="62C461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87" w:type="pct"/>
                  <w:gridSpan w:val="2"/>
                  <w:tcBorders>
                    <w:tl2br w:val="nil"/>
                    <w:tr2bl w:val="nil"/>
                  </w:tcBorders>
                  <w:noWrap w:val="0"/>
                  <w:vAlign w:val="center"/>
                </w:tcPr>
                <w:p w14:paraId="472A86C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2288" w:type="pct"/>
                  <w:gridSpan w:val="2"/>
                  <w:tcBorders>
                    <w:tl2br w:val="nil"/>
                    <w:tr2bl w:val="nil"/>
                  </w:tcBorders>
                  <w:noWrap w:val="0"/>
                  <w:vAlign w:val="center"/>
                </w:tcPr>
                <w:p w14:paraId="14F971E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垃圾箱</w:t>
                  </w:r>
                </w:p>
              </w:tc>
              <w:tc>
                <w:tcPr>
                  <w:tcW w:w="1172" w:type="pct"/>
                  <w:tcBorders>
                    <w:tl2br w:val="nil"/>
                    <w:tr2bl w:val="nil"/>
                  </w:tcBorders>
                  <w:noWrap w:val="0"/>
                  <w:vAlign w:val="center"/>
                </w:tcPr>
                <w:p w14:paraId="5E56BA21">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若干</w:t>
                  </w:r>
                </w:p>
              </w:tc>
              <w:tc>
                <w:tcPr>
                  <w:tcW w:w="651" w:type="pct"/>
                  <w:tcBorders>
                    <w:tl2br w:val="nil"/>
                    <w:tr2bl w:val="nil"/>
                  </w:tcBorders>
                  <w:noWrap w:val="0"/>
                  <w:vAlign w:val="center"/>
                </w:tcPr>
                <w:p w14:paraId="4D76B20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w:t>
                  </w:r>
                </w:p>
              </w:tc>
            </w:tr>
            <w:tr w14:paraId="40374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87" w:type="pct"/>
                  <w:gridSpan w:val="2"/>
                  <w:tcBorders>
                    <w:tl2br w:val="nil"/>
                    <w:tr2bl w:val="nil"/>
                  </w:tcBorders>
                  <w:noWrap w:val="0"/>
                  <w:vAlign w:val="center"/>
                </w:tcPr>
                <w:p w14:paraId="431D7737">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防渗</w:t>
                  </w:r>
                </w:p>
              </w:tc>
              <w:tc>
                <w:tcPr>
                  <w:tcW w:w="2288" w:type="pct"/>
                  <w:gridSpan w:val="2"/>
                  <w:tcBorders>
                    <w:tl2br w:val="nil"/>
                    <w:tr2bl w:val="nil"/>
                  </w:tcBorders>
                  <w:noWrap w:val="0"/>
                  <w:vAlign w:val="center"/>
                </w:tcPr>
                <w:p w14:paraId="0E716C1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按照分区防渗原则进行防渗处理</w:t>
                  </w:r>
                </w:p>
              </w:tc>
              <w:tc>
                <w:tcPr>
                  <w:tcW w:w="1172" w:type="pct"/>
                  <w:tcBorders>
                    <w:tl2br w:val="nil"/>
                    <w:tr2bl w:val="nil"/>
                  </w:tcBorders>
                  <w:noWrap w:val="0"/>
                  <w:vAlign w:val="center"/>
                </w:tcPr>
                <w:p w14:paraId="5EE470A3">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51" w:type="pct"/>
                  <w:tcBorders>
                    <w:tl2br w:val="nil"/>
                    <w:tr2bl w:val="nil"/>
                  </w:tcBorders>
                  <w:noWrap w:val="0"/>
                  <w:vAlign w:val="center"/>
                </w:tcPr>
                <w:p w14:paraId="6319D3A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w:t>
                  </w:r>
                </w:p>
              </w:tc>
            </w:tr>
            <w:tr w14:paraId="4FABFC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87" w:type="pct"/>
                  <w:gridSpan w:val="2"/>
                  <w:tcBorders>
                    <w:tl2br w:val="nil"/>
                    <w:tr2bl w:val="nil"/>
                  </w:tcBorders>
                  <w:noWrap w:val="0"/>
                  <w:vAlign w:val="center"/>
                </w:tcPr>
                <w:p w14:paraId="5ABAB4B0">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标识牌</w:t>
                  </w:r>
                </w:p>
              </w:tc>
              <w:tc>
                <w:tcPr>
                  <w:tcW w:w="2288" w:type="pct"/>
                  <w:gridSpan w:val="2"/>
                  <w:tcBorders>
                    <w:tl2br w:val="nil"/>
                    <w:tr2bl w:val="nil"/>
                  </w:tcBorders>
                  <w:noWrap w:val="0"/>
                  <w:vAlign w:val="center"/>
                </w:tcPr>
                <w:p w14:paraId="6E2AF28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废气排放口标识牌</w:t>
                  </w:r>
                </w:p>
              </w:tc>
              <w:tc>
                <w:tcPr>
                  <w:tcW w:w="1172" w:type="pct"/>
                  <w:tcBorders>
                    <w:tl2br w:val="nil"/>
                    <w:tr2bl w:val="nil"/>
                  </w:tcBorders>
                  <w:noWrap w:val="0"/>
                  <w:vAlign w:val="center"/>
                </w:tcPr>
                <w:p w14:paraId="42FEDFAC">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51" w:type="pct"/>
                  <w:tcBorders>
                    <w:tl2br w:val="nil"/>
                    <w:tr2bl w:val="nil"/>
                  </w:tcBorders>
                  <w:noWrap w:val="0"/>
                  <w:vAlign w:val="center"/>
                </w:tcPr>
                <w:p w14:paraId="38BEB85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w:t>
                  </w:r>
                </w:p>
              </w:tc>
            </w:tr>
            <w:tr w14:paraId="59066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5" w:type="pct"/>
                  <w:gridSpan w:val="4"/>
                  <w:tcBorders>
                    <w:tl2br w:val="nil"/>
                    <w:tr2bl w:val="nil"/>
                  </w:tcBorders>
                  <w:noWrap w:val="0"/>
                  <w:vAlign w:val="center"/>
                </w:tcPr>
                <w:p w14:paraId="42C4181F">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1172" w:type="pct"/>
                  <w:tcBorders>
                    <w:tl2br w:val="nil"/>
                    <w:tr2bl w:val="nil"/>
                  </w:tcBorders>
                  <w:noWrap w:val="0"/>
                  <w:vAlign w:val="center"/>
                </w:tcPr>
                <w:p w14:paraId="37D63B92">
                  <w:pPr>
                    <w:pStyle w:val="29"/>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651" w:type="pct"/>
                  <w:tcBorders>
                    <w:tl2br w:val="nil"/>
                    <w:tr2bl w:val="nil"/>
                  </w:tcBorders>
                  <w:noWrap w:val="0"/>
                  <w:vAlign w:val="center"/>
                </w:tcPr>
                <w:p w14:paraId="4DDED22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1011.9</w:t>
                  </w:r>
                </w:p>
              </w:tc>
            </w:tr>
          </w:tbl>
          <w:p w14:paraId="7AC071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i w:val="0"/>
                <w:iCs w:val="0"/>
                <w:color w:val="000000"/>
                <w:kern w:val="0"/>
                <w:sz w:val="24"/>
                <w:szCs w:val="24"/>
                <w:u w:val="none"/>
                <w:lang w:val="en-US" w:eastAsia="zh-CN" w:bidi="ar"/>
              </w:rPr>
            </w:pPr>
          </w:p>
        </w:tc>
      </w:tr>
      <w:tr w14:paraId="422A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atLeast"/>
        </w:trPr>
        <w:tc>
          <w:tcPr>
            <w:tcW w:w="457" w:type="dxa"/>
            <w:vAlign w:val="center"/>
          </w:tcPr>
          <w:p w14:paraId="1ABB2DF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工艺流程和产污环节</w:t>
            </w:r>
          </w:p>
        </w:tc>
        <w:tc>
          <w:tcPr>
            <w:tcW w:w="8250" w:type="dxa"/>
          </w:tcPr>
          <w:p w14:paraId="6FEB22E7">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1、施工期工艺流程及产污环节</w:t>
            </w:r>
          </w:p>
          <w:p w14:paraId="319DDF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利用</w:t>
            </w:r>
            <w:r>
              <w:rPr>
                <w:rFonts w:hint="eastAsia" w:ascii="Times New Roman" w:hAnsi="Times New Roman" w:cs="Times New Roman"/>
                <w:color w:val="auto"/>
                <w:sz w:val="24"/>
                <w:szCs w:val="24"/>
                <w:lang w:val="en-US" w:eastAsia="zh-CN"/>
              </w:rPr>
              <w:t>云南玉溪仙福钢铁（集团）有限公司</w:t>
            </w:r>
            <w:r>
              <w:rPr>
                <w:rFonts w:hint="default" w:ascii="Times New Roman" w:hAnsi="Times New Roman" w:eastAsia="宋体" w:cs="Times New Roman"/>
                <w:color w:val="auto"/>
                <w:sz w:val="24"/>
                <w:szCs w:val="24"/>
              </w:rPr>
              <w:t>厂区内</w:t>
            </w:r>
            <w:r>
              <w:rPr>
                <w:rFonts w:hint="eastAsia" w:cs="Times New Roman"/>
                <w:color w:val="auto"/>
                <w:sz w:val="24"/>
                <w:szCs w:val="24"/>
                <w:lang w:val="en-US" w:eastAsia="zh-CN"/>
              </w:rPr>
              <w:t>空地建设</w:t>
            </w:r>
            <w:r>
              <w:rPr>
                <w:rFonts w:hint="default" w:ascii="Times New Roman" w:hAnsi="Times New Roman" w:eastAsia="宋体" w:cs="Times New Roman"/>
                <w:color w:val="auto"/>
                <w:sz w:val="24"/>
                <w:szCs w:val="24"/>
              </w:rPr>
              <w:t>，不新增占地。</w:t>
            </w:r>
            <w:r>
              <w:rPr>
                <w:rFonts w:hint="eastAsia" w:ascii="Times New Roman" w:hAnsi="Times New Roman" w:eastAsia="宋体" w:cs="Times New Roman"/>
                <w:color w:val="auto"/>
                <w:sz w:val="24"/>
                <w:szCs w:val="24"/>
                <w:lang w:val="en-US" w:eastAsia="zh-CN"/>
              </w:rPr>
              <w:t>由于厂区已完成地面清理及三通一平，因此，</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后期主要进行厂区建设、</w:t>
            </w:r>
            <w:r>
              <w:rPr>
                <w:rFonts w:hint="default" w:ascii="Times New Roman" w:hAnsi="Times New Roman" w:eastAsia="宋体" w:cs="Times New Roman"/>
                <w:color w:val="auto"/>
                <w:sz w:val="24"/>
                <w:szCs w:val="24"/>
              </w:rPr>
              <w:t>设备安装</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给排水、供电设施的建设。</w:t>
            </w:r>
          </w:p>
          <w:p w14:paraId="3A541A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b w:val="0"/>
                <w:bCs w:val="0"/>
                <w:color w:val="auto"/>
                <w:sz w:val="24"/>
              </w:rPr>
            </w:pPr>
            <w:r>
              <w:rPr>
                <w:rFonts w:hint="default" w:ascii="Times New Roman" w:hAnsi="Times New Roman" w:eastAsia="黑体" w:cs="Times New Roman"/>
                <w:b w:val="0"/>
                <w:bCs w:val="0"/>
                <w:color w:val="auto"/>
                <w:sz w:val="24"/>
              </w:rPr>
              <w:object>
                <v:shape id="_x0000_i1026" o:spt="75" type="#_x0000_t75" style="height:105.55pt;width:353.5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2544D8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黑体" w:cs="Times New Roman"/>
                <w:b w:val="0"/>
                <w:bCs w:val="0"/>
                <w:color w:val="auto"/>
                <w:sz w:val="24"/>
              </w:rPr>
            </w:pPr>
            <w:r>
              <w:rPr>
                <w:rFonts w:hint="default" w:ascii="Times New Roman" w:hAnsi="Times New Roman" w:eastAsia="黑体" w:cs="Times New Roman"/>
                <w:b w:val="0"/>
                <w:bCs w:val="0"/>
                <w:color w:val="auto"/>
                <w:sz w:val="24"/>
              </w:rPr>
              <w:t>图2-</w:t>
            </w:r>
            <w:r>
              <w:rPr>
                <w:rFonts w:hint="eastAsia" w:eastAsia="黑体" w:cs="Times New Roman"/>
                <w:b w:val="0"/>
                <w:bCs w:val="0"/>
                <w:color w:val="auto"/>
                <w:sz w:val="24"/>
                <w:lang w:val="en-US" w:eastAsia="zh-CN"/>
              </w:rPr>
              <w:t>2</w:t>
            </w:r>
            <w:r>
              <w:rPr>
                <w:rFonts w:hint="default" w:ascii="Times New Roman" w:hAnsi="Times New Roman" w:eastAsia="黑体" w:cs="Times New Roman"/>
                <w:b w:val="0"/>
                <w:bCs w:val="0"/>
                <w:color w:val="auto"/>
                <w:sz w:val="24"/>
              </w:rPr>
              <w:t xml:space="preserve">  施工期工艺流程及产污节点图</w:t>
            </w:r>
          </w:p>
          <w:p w14:paraId="3530A5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施工期流程简述：</w:t>
            </w:r>
          </w:p>
          <w:p w14:paraId="21EFF5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（1）厂区建设：项目三通一平</w:t>
            </w:r>
            <w:r>
              <w:rPr>
                <w:rFonts w:hint="eastAsia" w:ascii="Times New Roman" w:hAnsi="Times New Roman" w:eastAsia="宋体" w:cs="Times New Roman"/>
                <w:color w:val="auto"/>
                <w:sz w:val="24"/>
                <w:szCs w:val="24"/>
                <w:lang w:val="en-US" w:eastAsia="zh-CN"/>
              </w:rPr>
              <w:t>工作已完成</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rPr>
              <w:t>将进行生产区厂房及其附属设施等的建设。</w:t>
            </w:r>
          </w:p>
          <w:p w14:paraId="0ACCD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）设备安装：项目生产区基本厂房建设完成后，对所需要的设备进行采购、安装及调试。</w:t>
            </w:r>
          </w:p>
          <w:p w14:paraId="410E1A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水电设施完善：设备安装完成后，对厂区内水电设施进行进一步建设、完善。</w:t>
            </w:r>
          </w:p>
          <w:p w14:paraId="12E56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b/>
                <w:color w:val="auto"/>
                <w:sz w:val="24"/>
              </w:rPr>
            </w:pPr>
            <w:r>
              <w:rPr>
                <w:rFonts w:hint="default" w:ascii="Times New Roman" w:hAnsi="Times New Roman" w:eastAsia="宋体" w:cs="Times New Roman"/>
                <w:color w:val="auto"/>
                <w:sz w:val="24"/>
                <w:szCs w:val="24"/>
              </w:rPr>
              <w:t>项目施工期产生的污染物主要为施工工地扬尘、施工车辆尾气、施工设备冲洗废水、施工人员生活污水、各种废弃建筑材料、施工人员生活垃圾、各类机械设备和物料运输的交通噪声；施工期产生的环境问题将随着施工期的结束而消失。</w:t>
            </w:r>
          </w:p>
          <w:p w14:paraId="79445F2F">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2、运营期工艺流程</w:t>
            </w:r>
            <w:r>
              <w:rPr>
                <w:rFonts w:hint="eastAsia" w:ascii="Times New Roman" w:hAnsi="Times New Roman" w:cs="Times New Roman"/>
                <w:b/>
                <w:bCs/>
                <w:color w:val="auto"/>
                <w:sz w:val="24"/>
                <w:szCs w:val="24"/>
                <w:lang w:val="en-US" w:eastAsia="zh-CN"/>
              </w:rPr>
              <w:t>及产污节点</w:t>
            </w:r>
          </w:p>
          <w:p w14:paraId="177C47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通过厂区的高炉、转炉、焦炉煤气管网将煤气送至电厂红线外</w:t>
            </w:r>
            <w:r>
              <w:rPr>
                <w:rFonts w:hint="default" w:ascii="Times New Roman" w:hAnsi="Times New Roman" w:eastAsia="宋体" w:cs="Times New Roman"/>
                <w:color w:val="auto"/>
                <w:sz w:val="24"/>
                <w:szCs w:val="24"/>
                <w:lang w:val="en-US" w:eastAsia="zh-CN"/>
              </w:rPr>
              <w:t>1m</w:t>
            </w:r>
            <w:r>
              <w:rPr>
                <w:rFonts w:hint="eastAsia" w:ascii="Times New Roman" w:hAnsi="Times New Roman" w:eastAsia="宋体" w:cs="Times New Roman"/>
                <w:color w:val="auto"/>
                <w:sz w:val="24"/>
                <w:szCs w:val="24"/>
                <w:lang w:val="en-US" w:eastAsia="zh-CN"/>
              </w:rPr>
              <w:t>，由煤气管道经过煤气换热器预热以后送至锅炉煤气燃烧器，下层高炉燃烧器上均设有点火装置。煤气和热风分别送进燃烧器喷入炉膛，在烧嘴口混合燃烧，通过燃烧器混合送入煤气锅炉燃烧采用两级点火方式，高能点火器点着液化石油气点火枪，再通过点火枪点燃主燃烧器。锅炉煤气燃烧产生的热将除氧除盐的水加热成</w:t>
            </w:r>
            <w:r>
              <w:rPr>
                <w:rFonts w:hint="default" w:ascii="Times New Roman" w:hAnsi="Times New Roman" w:eastAsia="宋体" w:cs="Times New Roman"/>
                <w:color w:val="auto"/>
                <w:sz w:val="24"/>
                <w:szCs w:val="24"/>
                <w:lang w:val="en-US" w:eastAsia="zh-CN"/>
              </w:rPr>
              <w:t>17.5MPa.g</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571</w:t>
            </w:r>
            <w:r>
              <w:rPr>
                <w:rFonts w:hint="eastAsia" w:ascii="Times New Roman" w:hAnsi="Times New Roman" w:eastAsia="宋体" w:cs="Times New Roman"/>
                <w:color w:val="auto"/>
                <w:sz w:val="24"/>
                <w:szCs w:val="24"/>
                <w:lang w:val="en-US" w:eastAsia="zh-CN"/>
              </w:rPr>
              <w:t>º</w:t>
            </w:r>
            <w:r>
              <w:rPr>
                <w:rFonts w:hint="default"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en-US" w:eastAsia="zh-CN"/>
              </w:rPr>
              <w:t>的蒸汽，经主蒸汽母管送至汽轮机做功，汽轮机带动发电机进行发电，发电送入厂区电网。从汽轮机排出的蒸汽经凝汽器冷凝为凝结水，由设置的两台煤气锅炉凝结水泵（一用一备）加压→低压加热器→除氧器→锅炉给水泵→高压加热器→最后进入锅炉循环使用。</w:t>
            </w:r>
          </w:p>
          <w:p w14:paraId="4C02E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锅炉烟气经引风机抽吸，经过煤气加热器换热降温后的锅炉烟气</w:t>
            </w:r>
            <w:r>
              <w:rPr>
                <w:rFonts w:hint="eastAsia" w:cs="Times New Roman"/>
                <w:color w:val="auto"/>
                <w:sz w:val="24"/>
                <w:szCs w:val="24"/>
                <w:lang w:val="en-US" w:eastAsia="zh-CN"/>
              </w:rPr>
              <w:t>先进行脱硝处理，然后</w:t>
            </w:r>
            <w:r>
              <w:rPr>
                <w:rFonts w:hint="eastAsia" w:ascii="Times New Roman" w:hAnsi="Times New Roman" w:eastAsia="宋体" w:cs="Times New Roman"/>
                <w:color w:val="auto"/>
                <w:sz w:val="24"/>
                <w:szCs w:val="24"/>
                <w:lang w:val="en-US" w:eastAsia="zh-CN"/>
              </w:rPr>
              <w:t>经烟道送至脱硫塔（钙基干法脱硫工艺）及</w:t>
            </w:r>
            <w:r>
              <w:rPr>
                <w:rFonts w:hint="eastAsia" w:cs="Times New Roman"/>
                <w:color w:val="auto"/>
                <w:sz w:val="24"/>
                <w:szCs w:val="24"/>
                <w:lang w:val="en-US" w:eastAsia="zh-CN"/>
              </w:rPr>
              <w:t>布袋</w:t>
            </w:r>
            <w:r>
              <w:rPr>
                <w:rFonts w:hint="eastAsia" w:ascii="Times New Roman" w:hAnsi="Times New Roman" w:eastAsia="宋体" w:cs="Times New Roman"/>
                <w:color w:val="auto"/>
                <w:sz w:val="24"/>
                <w:szCs w:val="24"/>
                <w:lang w:val="en-US" w:eastAsia="zh-CN"/>
              </w:rPr>
              <w:t>除尘器除尘一体化设施净化后，处理达标的烟气经排气筒排放，锅炉废气排放口装设烟气自动连续监测系统，并与生态环境部门监测中心联网，监测指标为：烟尘、</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NOx</w:t>
            </w:r>
            <w:r>
              <w:rPr>
                <w:rFonts w:hint="eastAsia" w:ascii="Times New Roman" w:hAnsi="Times New Roman" w:eastAsia="宋体" w:cs="Times New Roman"/>
                <w:color w:val="auto"/>
                <w:sz w:val="24"/>
                <w:szCs w:val="24"/>
                <w:lang w:val="en-US" w:eastAsia="zh-CN"/>
              </w:rPr>
              <w:t>、氧含量、烟温、流量等。</w:t>
            </w:r>
          </w:p>
          <w:p w14:paraId="12650B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汽轮机凝汽器、发电机空冷器、汽轮机冷油器、变频器冷却水等冷却水仅温度升高，未受其他污染。利用余压，经各发电机组对应的机械通风冷却塔冷却后进入其下方的集水池，自流至循环水独立的吸水管，再由循环水泵组加压分别送至各汽机及其配套辅机用户循环使用。其中，脱盐水制备系统提供满足锅炉给水要求的二级除盐水。为了满足锅炉给水水质标准，同时考虑避免频繁清洗锅炉。处理流程为：自厂区中央水处理站提供的一级反渗透水进入原水箱，由清水泵将水送至过滤器处理，出水经</w:t>
            </w:r>
            <w:r>
              <w:rPr>
                <w:rFonts w:hint="eastAsia" w:cs="Times New Roman"/>
                <w:color w:val="auto"/>
                <w:sz w:val="24"/>
                <w:szCs w:val="24"/>
                <w:lang w:val="en-US" w:eastAsia="zh-CN"/>
              </w:rPr>
              <w:t>仙福公司现有</w:t>
            </w:r>
            <w:r>
              <w:rPr>
                <w:rFonts w:hint="eastAsia" w:ascii="Times New Roman" w:hAnsi="Times New Roman" w:eastAsia="宋体" w:cs="Times New Roman"/>
                <w:color w:val="auto"/>
                <w:sz w:val="24"/>
                <w:szCs w:val="24"/>
                <w:lang w:val="en-US" w:eastAsia="zh-CN"/>
              </w:rPr>
              <w:t>脱盐水站（工艺为一级反渗透</w:t>
            </w:r>
            <w:r>
              <w:rPr>
                <w:rFonts w:hint="default" w:ascii="Times New Roman" w:hAnsi="Times New Roman" w:eastAsia="宋体" w:cs="Times New Roman"/>
                <w:color w:val="auto"/>
                <w:sz w:val="24"/>
                <w:szCs w:val="24"/>
                <w:lang w:val="en-US" w:eastAsia="zh-CN"/>
              </w:rPr>
              <w:t>+EDI</w:t>
            </w:r>
            <w:r>
              <w:rPr>
                <w:rFonts w:hint="eastAsia" w:ascii="Times New Roman" w:hAnsi="Times New Roman" w:eastAsia="宋体" w:cs="Times New Roman"/>
                <w:color w:val="auto"/>
                <w:sz w:val="24"/>
                <w:szCs w:val="24"/>
                <w:lang w:val="en-US" w:eastAsia="zh-CN"/>
              </w:rPr>
              <w:t>的水处理系统）处理后用泵将水送至除氧器除氧后供给锅炉。</w:t>
            </w:r>
          </w:p>
          <w:p w14:paraId="27E2D0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生产工艺流程及产污环节见下图。</w:t>
            </w:r>
          </w:p>
          <w:p w14:paraId="343346C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Times New Roman"/>
                <w:b/>
                <w:bCs/>
                <w:i w:val="0"/>
                <w:iCs w:val="0"/>
                <w:color w:val="000000"/>
                <w:kern w:val="0"/>
                <w:sz w:val="24"/>
                <w:szCs w:val="24"/>
                <w:u w:val="none"/>
                <w:lang w:val="en-US" w:eastAsia="zh-CN" w:bidi="ar"/>
              </w:rPr>
            </w:pPr>
            <w:r>
              <w:rPr>
                <w:rFonts w:hint="eastAsia"/>
                <w:color w:val="auto"/>
                <w:highlight w:val="none"/>
                <w:lang w:val="en-US" w:eastAsia="zh-CN"/>
              </w:rPr>
              <w:object>
                <v:shape id="_x0000_i1027" o:spt="75" type="#_x0000_t75" style="height:248.9pt;width:399.8pt;" o:ole="t" filled="f" o:preferrelative="t" stroked="t" coordsize="21600,21600">
                  <v:path/>
                  <v:fill on="f" focussize="0,0"/>
                  <v:stroke color="#000000" joinstyle="miter"/>
                  <v:imagedata r:id="rId13" o:title=""/>
                  <o:lock v:ext="edit" aspectratio="f"/>
                  <w10:wrap type="none"/>
                  <w10:anchorlock/>
                </v:shape>
                <o:OLEObject Type="Embed" ProgID="Visio.Drawing.11" ShapeID="_x0000_i1027" DrawAspect="Content" ObjectID="_1468075727" r:id="rId12">
                  <o:LockedField>false</o:LockedField>
                </o:OLEObject>
              </w:object>
            </w:r>
            <w:r>
              <w:rPr>
                <w:rFonts w:hint="eastAsia" w:ascii="Times New Roman" w:hAnsi="Times New Roman" w:eastAsia="黑体" w:cs="Times New Roman"/>
                <w:b w:val="0"/>
                <w:bCs w:val="0"/>
                <w:color w:val="auto"/>
                <w:sz w:val="24"/>
                <w:lang w:val="en-US" w:eastAsia="zh-CN"/>
              </w:rPr>
              <w:t>图2-3  项目工艺流程及产污节点图</w:t>
            </w:r>
          </w:p>
          <w:p w14:paraId="082A59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（1）除盐水站工艺流程简述：</w:t>
            </w:r>
          </w:p>
          <w:p w14:paraId="4904C7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一级反渗透水（原水）→原水箱→二级反渗透提升泵→二级反渗透保安过滤器→二级反渗透高压泵→二级反渗透机组→二级反渗透产水箱→EDI提升泵→EDI装置→除盐水箱→除盐水泵→锅炉。</w:t>
            </w:r>
          </w:p>
          <w:p w14:paraId="064700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①反渗透</w:t>
            </w:r>
          </w:p>
          <w:p w14:paraId="360910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反渗透装置是利用反渗透原理，用足够的压力使溶液中的溶剂（一般是水）通过反渗透膜（或称半透膜）而分离出来。反渗透法能适应各类含盐量的原水，尤其是在高含盐量的水处理工程中，加上大于自然渗透压的压力，使渗透向相反方向进行，把源水中的水分子压到膜的另一边，变成洁净的水，从而达到除去水中盐分的目的，反渗透设备在除盐的同时，也将大部分细菌、胶体及大分子量的有机物去除。反渗透设备每天冲洗，定期更换反渗透膜，产水率为70%。</w:t>
            </w:r>
          </w:p>
          <w:p w14:paraId="46BB7F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"https://baike.so.com/doc/2162439-2288184.html"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电去离子</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（EDI）系统</w:t>
            </w:r>
          </w:p>
          <w:p w14:paraId="5557E5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主要是在直流电场的作用下，通过隔板的水中电介质离子发生定向移动，利用交换膜对离子的选择透过作用来对水质进行提纯的一种科学的水处理技术。电渗析器的一对电极之间，通常由阴膜，阳膜和隔板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甲、乙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多组交替排列，构成浓室和淡室（即</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"https://baike.so.com/doc/5634677-5847302.html"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阳离子</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可透过阳膜，阴离子可透过阴膜）。</w:t>
            </w:r>
          </w:p>
          <w:p w14:paraId="566659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淡室水中阳离子向负极迁移透过阳膜，被浓室中的阴膜截留；水中阴离子向正极方向迁移阴膜，被浓室中的阳</w:t>
            </w:r>
            <w:r>
              <w:rPr>
                <w:rFonts w:hint="default" w:ascii="Times New Roman" w:hAnsi="Times New Roman" w:eastAsia="宋体" w:cs="Times New Roman"/>
                <w:color w:val="auto"/>
                <w:sz w:val="24"/>
                <w:szCs w:val="24"/>
                <w:highlight w:val="none"/>
              </w:rPr>
              <w:t>膜截留，这样通过淡室的水中离子数逐渐减少，成为淡水，而浓室的水中，由于浓室的阴阳离子不断涌进，电介质离子浓度不断升高，而成为浓水，从而达到淡化、提纯、浓缩或精制的目的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此系统</w:t>
            </w:r>
            <w:r>
              <w:rPr>
                <w:rFonts w:hint="default" w:ascii="Times New Roman" w:hAnsi="Times New Roman" w:eastAsia="宋体" w:cs="Times New Roman"/>
                <w:color w:val="auto"/>
                <w:sz w:val="24"/>
                <w:szCs w:val="24"/>
                <w:highlight w:val="none"/>
              </w:rPr>
              <w:t>无需酸碱再生</w:t>
            </w:r>
            <w:r>
              <w:rPr>
                <w:rFonts w:hint="default" w:ascii="Times New Roman" w:hAnsi="Times New Roman" w:eastAsia="宋体" w:cs="Times New Roman"/>
                <w:color w:val="auto"/>
                <w:sz w:val="24"/>
                <w:szCs w:val="24"/>
                <w:highlight w:val="none"/>
                <w:lang w:eastAsia="zh-CN"/>
              </w:rPr>
              <w:t>。</w:t>
            </w:r>
          </w:p>
          <w:p w14:paraId="328423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③保安过滤器</w:t>
            </w:r>
          </w:p>
          <w:p w14:paraId="4FE553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保安过滤器，属于精滤设备，过滤器为不锈钢外壳，内装填过滤精度为5μm的聚丙烯熔喷滤芯，在压力的作用下，使原液通过滤芯，滤渣留在管壁上，滤液透过滤芯流出，从而达到过滤的目的。主要用在多介质预处理过滤之后，反渗透、超滤等膜过滤设备之前，用来滤除经多介质过滤后的微量悬浮颗粒、胶体、微生物等（例如微小的石英</w:t>
            </w:r>
            <w:r>
              <w:rPr>
                <w:rFonts w:hint="eastAsia" w:cs="Times New Roman"/>
                <w:color w:val="auto"/>
                <w:sz w:val="24"/>
                <w:szCs w:val="24"/>
                <w:highlight w:val="none"/>
                <w:lang w:val="en-US" w:eastAsia="zh-CN"/>
              </w:rPr>
              <w:t>砂</w:t>
            </w:r>
            <w:r>
              <w:rPr>
                <w:rFonts w:hint="default" w:ascii="Times New Roman" w:hAnsi="Times New Roman" w:eastAsia="宋体" w:cs="Times New Roman"/>
                <w:color w:val="auto"/>
                <w:sz w:val="24"/>
                <w:szCs w:val="24"/>
                <w:highlight w:val="none"/>
                <w:lang w:val="en-US" w:eastAsia="zh-CN"/>
              </w:rPr>
              <w:t>颗粒等），以确保水质过滤精度及保护膜过滤元件不受大颗粒物质的损坏。保安过滤器不需要冲洗，定期更换滤芯。</w:t>
            </w:r>
          </w:p>
          <w:p w14:paraId="436DDB68">
            <w:pPr>
              <w:keepNext w:val="0"/>
              <w:keepLines w:val="0"/>
              <w:pageBreakBefore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凝结水精处理系统</w:t>
            </w:r>
          </w:p>
          <w:p w14:paraId="7CFE6D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本系统全部凝结水进行精处理，设置一套全流量凝结水精处理装置，工艺流程：凝结水泵出水→体外再生高速混床→树脂捕捉器→轴封加热器。凝结水精处理系统混床运行、再生、投运等采用DCS程序控制。</w:t>
            </w:r>
          </w:p>
          <w:p w14:paraId="11B2A7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①高速</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"https://baike.so.com/doc/5895378-6108268.html"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混床</w:t>
            </w:r>
            <w:r>
              <w:rPr>
                <w:rFonts w:hint="default" w:ascii="Times New Roman" w:hAnsi="Times New Roman" w:eastAsia="宋体" w:cs="Times New Roman"/>
                <w:color w:val="auto"/>
                <w:sz w:val="24"/>
                <w:szCs w:val="24"/>
                <w:highlight w:val="none"/>
                <w:lang w:val="en-US" w:eastAsia="zh-CN"/>
              </w:rPr>
              <w:fldChar w:fldCharType="end"/>
            </w:r>
          </w:p>
          <w:p w14:paraId="0E1E30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从混床上部进入床体，透过树脂后从下部出水装置流出。由于水帽在设备内均匀分布，使得水能均匀地流经树脂层，使每一部分的树脂都得到充分的利用，可以使制水量达到最大的限度；光滑的弧形不锈钢多孔板可减少对树脂的附着力，使树脂输送非常彻底。</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"https://baike.so.com/doc/5895378-6108268.html"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混床</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失效后，树脂从底部输出，输送完毕后，再生系统的阳塔备用树脂从混床上部输入，进入下一运行周期。混床投运时需经再</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"https://baike.so.com/doc/6211777-6425049.html"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循环泵</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循环</w:t>
            </w:r>
            <w:r>
              <w:rPr>
                <w:rFonts w:hint="eastAsia" w:cs="Times New Roman"/>
                <w:color w:val="auto"/>
                <w:sz w:val="24"/>
                <w:szCs w:val="24"/>
                <w:highlight w:val="none"/>
                <w:lang w:val="en-US" w:eastAsia="zh-CN"/>
              </w:rPr>
              <w:t>冲洗</w:t>
            </w:r>
            <w:r>
              <w:rPr>
                <w:rFonts w:hint="default" w:ascii="Times New Roman" w:hAnsi="Times New Roman" w:eastAsia="宋体" w:cs="Times New Roman"/>
                <w:color w:val="auto"/>
                <w:sz w:val="24"/>
                <w:szCs w:val="24"/>
                <w:highlight w:val="none"/>
                <w:lang w:val="en-US" w:eastAsia="zh-CN"/>
              </w:rPr>
              <w:t>，出水合格后方可投入运行。混床内装有强酸</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"https://baike.so.com/doc/1014547-1072914.html"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阳树脂</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和强碱</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"https://baike.so.com/doc/1014561-1072919.html"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阴树脂</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的混合树脂。凝结水中的阳离子与阳树脂反应而被除去，阴离子与阴树脂反应而被除去。</w:t>
            </w:r>
          </w:p>
          <w:p w14:paraId="2D77EE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树脂捕捉器</w:t>
            </w:r>
          </w:p>
          <w:p w14:paraId="0CC7BA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捕捉器内部滤元为篮筐式结构，滤元绕丝间隙为0.2mm，带少量树脂的水透过滤元流出，树脂被滤元截留。设备设计成带圆周骨架的易拆卸结构，在检修时不需</w:t>
            </w:r>
            <w:r>
              <w:rPr>
                <w:rFonts w:hint="default" w:ascii="Times New Roman" w:hAnsi="Times New Roman" w:eastAsia="宋体" w:cs="Times New Roman"/>
                <w:color w:val="auto"/>
                <w:sz w:val="24"/>
                <w:szCs w:val="24"/>
                <w:highlight w:val="none"/>
                <w:lang w:val="en-US" w:eastAsia="zh-CN"/>
              </w:rPr>
              <w:t>管道解体的情况下打开罐体检查并可以取出过滤元件，清除堵塞污赃物，方便了运行与维修。捕捉器进出口压差超过设定值时，需要反冲洗。当</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"https://baike.so.com/doc/5895378-6108268.html"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混床</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出水装置有碎树脂漏出或发生漏树脂事故，</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"https://baike.so.com/doc/311712-330057.html" \t "https://baike.so.com/doc/_blank"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树脂捕捉器</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可以截留树脂，以防树脂漏入热力系统中，影响锅炉炉水水质。</w:t>
            </w:r>
          </w:p>
          <w:p w14:paraId="5115259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i w:val="0"/>
                <w:iCs w:val="0"/>
                <w:color w:val="000000"/>
                <w:kern w:val="0"/>
                <w:sz w:val="24"/>
                <w:szCs w:val="24"/>
                <w:u w:val="none"/>
                <w:lang w:val="en-US" w:eastAsia="zh-CN" w:bidi="ar"/>
              </w:rPr>
            </w:pPr>
            <w:r>
              <w:rPr>
                <w:rFonts w:hint="eastAsia" w:cs="Times New Roman"/>
                <w:b/>
                <w:bCs/>
                <w:i w:val="0"/>
                <w:iCs w:val="0"/>
                <w:color w:val="000000"/>
                <w:kern w:val="0"/>
                <w:sz w:val="24"/>
                <w:szCs w:val="24"/>
                <w:u w:val="none"/>
                <w:lang w:val="en-US" w:eastAsia="zh-CN" w:bidi="ar"/>
              </w:rPr>
              <w:t>（3）SCR脱硝工艺</w:t>
            </w:r>
          </w:p>
          <w:p w14:paraId="13FBAB47">
            <w:pPr>
              <w:numPr>
                <w:ilvl w:val="0"/>
                <w:numId w:val="0"/>
              </w:numPr>
              <w:snapToGrid w:val="0"/>
              <w:spacing w:line="360" w:lineRule="auto"/>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本项目采用</w:t>
            </w:r>
            <w:r>
              <w:rPr>
                <w:rFonts w:hint="default" w:ascii="Times New Roman" w:hAnsi="Times New Roman" w:eastAsia="宋体" w:cs="Times New Roman"/>
                <w:kern w:val="0"/>
                <w:sz w:val="24"/>
                <w:szCs w:val="24"/>
                <w:lang w:val="en-US" w:eastAsia="zh-CN"/>
              </w:rPr>
              <w:t>SCR</w:t>
            </w:r>
            <w:r>
              <w:rPr>
                <w:rFonts w:hint="eastAsia" w:ascii="Times New Roman" w:hAnsi="Times New Roman" w:eastAsia="宋体" w:cs="Times New Roman"/>
                <w:kern w:val="0"/>
                <w:sz w:val="24"/>
                <w:szCs w:val="24"/>
                <w:lang w:val="en-US" w:eastAsia="zh-CN"/>
              </w:rPr>
              <w:t>脱硝工艺，</w:t>
            </w:r>
            <w:r>
              <w:rPr>
                <w:sz w:val="24"/>
                <w:szCs w:val="24"/>
              </w:rPr>
              <w:t>SCR技术是在金属催化剂作用下，在320℃~400℃的温度范围内</w:t>
            </w:r>
            <w:r>
              <w:rPr>
                <w:rFonts w:hint="eastAsia"/>
                <w:sz w:val="24"/>
                <w:szCs w:val="24"/>
                <w:lang w:eastAsia="zh-CN"/>
              </w:rPr>
              <w:t>，</w:t>
            </w:r>
            <w:r>
              <w:rPr>
                <w:sz w:val="24"/>
                <w:szCs w:val="24"/>
              </w:rPr>
              <w:t>以NH</w:t>
            </w:r>
            <w:r>
              <w:rPr>
                <w:sz w:val="24"/>
                <w:szCs w:val="24"/>
                <w:vertAlign w:val="subscript"/>
              </w:rPr>
              <w:t>3</w:t>
            </w:r>
            <w:r>
              <w:rPr>
                <w:sz w:val="24"/>
                <w:szCs w:val="24"/>
              </w:rPr>
              <w:t>作为还原剂，将NO</w:t>
            </w:r>
            <w:r>
              <w:rPr>
                <w:rFonts w:hint="eastAsia"/>
                <w:sz w:val="24"/>
                <w:szCs w:val="24"/>
                <w:vertAlign w:val="baseline"/>
                <w:lang w:val="en-US" w:eastAsia="zh-CN"/>
              </w:rPr>
              <w:t>x</w:t>
            </w:r>
            <w:r>
              <w:rPr>
                <w:sz w:val="24"/>
                <w:szCs w:val="24"/>
              </w:rPr>
              <w:t>还原成N</w:t>
            </w:r>
            <w:r>
              <w:rPr>
                <w:sz w:val="24"/>
                <w:szCs w:val="24"/>
                <w:vertAlign w:val="subscript"/>
              </w:rPr>
              <w:t>2</w:t>
            </w:r>
            <w:r>
              <w:rPr>
                <w:sz w:val="24"/>
                <w:szCs w:val="24"/>
              </w:rPr>
              <w:t>和H</w:t>
            </w:r>
            <w:r>
              <w:rPr>
                <w:sz w:val="24"/>
                <w:szCs w:val="24"/>
                <w:vertAlign w:val="subscript"/>
              </w:rPr>
              <w:t>2</w:t>
            </w:r>
            <w:r>
              <w:rPr>
                <w:sz w:val="24"/>
                <w:szCs w:val="24"/>
              </w:rPr>
              <w:t>O。</w:t>
            </w:r>
            <w:r>
              <w:rPr>
                <w:rFonts w:hint="eastAsia" w:ascii="Times New Roman" w:hAnsi="Times New Roman" w:eastAsia="宋体" w:cs="Times New Roman"/>
                <w:kern w:val="0"/>
                <w:sz w:val="24"/>
                <w:szCs w:val="24"/>
                <w:lang w:val="en-US" w:eastAsia="zh-CN"/>
              </w:rPr>
              <w:t>其主要反应方程为：</w:t>
            </w:r>
          </w:p>
          <w:p w14:paraId="24045593">
            <w:pPr>
              <w:adjustRightInd w:val="0"/>
              <w:snapToGrid w:val="0"/>
              <w:spacing w:line="360" w:lineRule="auto"/>
              <w:jc w:val="center"/>
              <w:rPr>
                <w:sz w:val="24"/>
                <w:szCs w:val="24"/>
              </w:rPr>
            </w:pPr>
            <w:r>
              <w:rPr>
                <w:position w:val="-12"/>
                <w:sz w:val="24"/>
                <w:szCs w:val="24"/>
              </w:rPr>
              <w:drawing>
                <wp:inline distT="0" distB="0" distL="114300" distR="114300">
                  <wp:extent cx="2514600" cy="256540"/>
                  <wp:effectExtent l="0" t="0" r="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2514600" cy="256540"/>
                          </a:xfrm>
                          <a:prstGeom prst="rect">
                            <a:avLst/>
                          </a:prstGeom>
                          <a:noFill/>
                          <a:ln>
                            <a:noFill/>
                          </a:ln>
                        </pic:spPr>
                      </pic:pic>
                    </a:graphicData>
                  </a:graphic>
                </wp:inline>
              </w:drawing>
            </w:r>
          </w:p>
          <w:p w14:paraId="368264F9">
            <w:pPr>
              <w:adjustRightInd w:val="0"/>
              <w:snapToGrid w:val="0"/>
              <w:spacing w:line="360" w:lineRule="auto"/>
              <w:jc w:val="center"/>
              <w:rPr>
                <w:sz w:val="24"/>
                <w:szCs w:val="24"/>
              </w:rPr>
            </w:pPr>
            <w:r>
              <w:rPr>
                <w:position w:val="-12"/>
                <w:sz w:val="24"/>
                <w:szCs w:val="24"/>
              </w:rPr>
              <w:drawing>
                <wp:inline distT="0" distB="0" distL="114300" distR="114300">
                  <wp:extent cx="2313940" cy="256540"/>
                  <wp:effectExtent l="0" t="0" r="10160" b="1079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stretch>
                            <a:fillRect/>
                          </a:stretch>
                        </pic:blipFill>
                        <pic:spPr>
                          <a:xfrm>
                            <a:off x="0" y="0"/>
                            <a:ext cx="2313940" cy="256540"/>
                          </a:xfrm>
                          <a:prstGeom prst="rect">
                            <a:avLst/>
                          </a:prstGeom>
                          <a:noFill/>
                          <a:ln>
                            <a:noFill/>
                          </a:ln>
                        </pic:spPr>
                      </pic:pic>
                    </a:graphicData>
                  </a:graphic>
                </wp:inline>
              </w:drawing>
            </w:r>
          </w:p>
          <w:p w14:paraId="1D4B09C8">
            <w:pPr>
              <w:adjustRightInd w:val="0"/>
              <w:snapToGrid w:val="0"/>
              <w:spacing w:line="360" w:lineRule="auto"/>
              <w:jc w:val="center"/>
              <w:rPr>
                <w:rFonts w:ascii="Times New Roman" w:eastAsia="宋体"/>
                <w:sz w:val="24"/>
                <w:szCs w:val="24"/>
              </w:rPr>
            </w:pPr>
            <w:r>
              <w:rPr>
                <w:position w:val="-12"/>
                <w:sz w:val="24"/>
                <w:szCs w:val="24"/>
              </w:rPr>
              <w:drawing>
                <wp:inline distT="0" distB="0" distL="114300" distR="114300">
                  <wp:extent cx="2542540" cy="256540"/>
                  <wp:effectExtent l="0" t="0" r="10160" b="1079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6"/>
                          <a:stretch>
                            <a:fillRect/>
                          </a:stretch>
                        </pic:blipFill>
                        <pic:spPr>
                          <a:xfrm>
                            <a:off x="0" y="0"/>
                            <a:ext cx="2542540" cy="256540"/>
                          </a:xfrm>
                          <a:prstGeom prst="rect">
                            <a:avLst/>
                          </a:prstGeom>
                          <a:noFill/>
                          <a:ln>
                            <a:noFill/>
                          </a:ln>
                        </pic:spPr>
                      </pic:pic>
                    </a:graphicData>
                  </a:graphic>
                </wp:inline>
              </w:drawing>
            </w:r>
          </w:p>
          <w:p w14:paraId="51BF3B12">
            <w:pPr>
              <w:numPr>
                <w:ilvl w:val="0"/>
                <w:numId w:val="0"/>
              </w:numPr>
              <w:snapToGrid w:val="0"/>
              <w:spacing w:line="360" w:lineRule="auto"/>
              <w:ind w:left="0" w:leftChars="0" w:right="0" w:rightChars="0" w:firstLine="0" w:firstLineChars="0"/>
              <w:jc w:val="center"/>
              <w:rPr>
                <w:rFonts w:ascii="Times New Roman" w:eastAsia="宋体"/>
                <w:sz w:val="24"/>
                <w:szCs w:val="24"/>
              </w:rPr>
            </w:pPr>
            <w:r>
              <w:rPr>
                <w:rFonts w:ascii="Times New Roman" w:eastAsia="宋体"/>
                <w:sz w:val="24"/>
                <w:szCs w:val="24"/>
              </w:rPr>
              <w:drawing>
                <wp:inline distT="0" distB="0" distL="114300" distR="114300">
                  <wp:extent cx="4318000" cy="2486660"/>
                  <wp:effectExtent l="0" t="0" r="6350" b="889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7"/>
                          <a:srcRect b="5334"/>
                          <a:stretch>
                            <a:fillRect/>
                          </a:stretch>
                        </pic:blipFill>
                        <pic:spPr>
                          <a:xfrm>
                            <a:off x="0" y="0"/>
                            <a:ext cx="4318000" cy="2486660"/>
                          </a:xfrm>
                          <a:prstGeom prst="rect">
                            <a:avLst/>
                          </a:prstGeom>
                          <a:noFill/>
                          <a:ln>
                            <a:noFill/>
                          </a:ln>
                        </pic:spPr>
                      </pic:pic>
                    </a:graphicData>
                  </a:graphic>
                </wp:inline>
              </w:drawing>
            </w:r>
          </w:p>
          <w:p w14:paraId="15C1B241">
            <w:pPr>
              <w:numPr>
                <w:ilvl w:val="0"/>
                <w:numId w:val="0"/>
              </w:numPr>
              <w:snapToGrid w:val="0"/>
              <w:spacing w:line="360" w:lineRule="auto"/>
              <w:ind w:left="0" w:leftChars="0" w:right="0" w:rightChars="0" w:firstLine="0" w:firstLineChars="0"/>
              <w:jc w:val="center"/>
              <w:rPr>
                <w:rFonts w:hint="eastAsia" w:ascii="黑体" w:hAnsi="黑体" w:eastAsia="黑体" w:cs="黑体"/>
                <w:b w:val="0"/>
                <w:bCs w:val="0"/>
                <w:sz w:val="24"/>
                <w:szCs w:val="24"/>
              </w:rPr>
            </w:pPr>
            <w:r>
              <w:rPr>
                <w:rFonts w:hint="eastAsia" w:ascii="黑体" w:hAnsi="黑体" w:eastAsia="黑体" w:cs="黑体"/>
                <w:b w:val="0"/>
                <w:bCs w:val="0"/>
                <w:kern w:val="0"/>
                <w:sz w:val="24"/>
                <w:szCs w:val="24"/>
                <w:lang w:val="en-US" w:eastAsia="zh-CN"/>
              </w:rPr>
              <w:t>图2-5 SCR工作原理图</w:t>
            </w:r>
          </w:p>
          <w:p w14:paraId="5F5AFB10">
            <w:pPr>
              <w:numPr>
                <w:ilvl w:val="0"/>
                <w:numId w:val="0"/>
              </w:numPr>
              <w:snapToGrid w:val="0"/>
              <w:spacing w:line="360" w:lineRule="auto"/>
              <w:ind w:firstLine="480" w:firstLineChars="200"/>
              <w:rPr>
                <w:rFonts w:hint="default" w:ascii="Times New Roman" w:hAnsi="Times New Roman" w:cs="Times New Roman"/>
                <w:bCs/>
                <w:color w:val="auto"/>
                <w:kern w:val="0"/>
                <w:sz w:val="24"/>
                <w:szCs w:val="24"/>
                <w:highlight w:val="none"/>
              </w:rPr>
            </w:pPr>
            <w:r>
              <w:rPr>
                <w:rFonts w:hint="eastAsia" w:ascii="Times New Roman" w:hAnsi="Times New Roman" w:eastAsia="宋体" w:cs="Times New Roman"/>
                <w:kern w:val="0"/>
                <w:sz w:val="24"/>
                <w:szCs w:val="24"/>
                <w:lang w:val="en-US" w:eastAsia="zh-CN"/>
              </w:rPr>
              <w:t>本项目</w:t>
            </w:r>
            <w:r>
              <w:rPr>
                <w:kern w:val="0"/>
                <w:sz w:val="24"/>
                <w:szCs w:val="24"/>
              </w:rPr>
              <w:t>选用20%浓度氨水为脱硝还原剂</w:t>
            </w:r>
            <w:r>
              <w:rPr>
                <w:rFonts w:hint="eastAsia" w:ascii="Times New Roman" w:hAnsi="Times New Roman" w:eastAsia="宋体" w:cs="Times New Roman"/>
                <w:kern w:val="0"/>
                <w:sz w:val="24"/>
                <w:szCs w:val="24"/>
                <w:lang w:val="en-US" w:eastAsia="zh-CN"/>
              </w:rPr>
              <w:t>，</w:t>
            </w:r>
            <w:r>
              <w:rPr>
                <w:rFonts w:hint="default" w:ascii="Times New Roman" w:hAnsi="Times New Roman" w:cs="Times New Roman"/>
                <w:color w:val="auto"/>
                <w:kern w:val="0"/>
                <w:sz w:val="24"/>
                <w:szCs w:val="24"/>
                <w:highlight w:val="none"/>
              </w:rPr>
              <w:t>脱硝系统基本设计参数和主要技术性能参数如下表所示。</w:t>
            </w:r>
          </w:p>
          <w:p w14:paraId="481A060A">
            <w:pPr>
              <w:adjustRightInd w:val="0"/>
              <w:snapToGrid w:val="0"/>
              <w:spacing w:line="360" w:lineRule="auto"/>
              <w:jc w:val="center"/>
              <w:textAlignment w:val="baseline"/>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表</w:t>
            </w:r>
            <w:r>
              <w:rPr>
                <w:rFonts w:hint="eastAsia" w:ascii="黑体" w:hAnsi="黑体" w:eastAsia="黑体" w:cs="黑体"/>
                <w:color w:val="auto"/>
                <w:sz w:val="21"/>
                <w:szCs w:val="21"/>
                <w:highlight w:val="none"/>
                <w:lang w:val="en-US" w:eastAsia="zh-CN"/>
              </w:rPr>
              <w:t>2-14</w:t>
            </w:r>
            <w:r>
              <w:rPr>
                <w:rFonts w:hint="eastAsia" w:ascii="黑体" w:hAnsi="黑体" w:eastAsia="黑体" w:cs="黑体"/>
                <w:color w:val="auto"/>
                <w:sz w:val="21"/>
                <w:szCs w:val="21"/>
                <w:highlight w:val="none"/>
              </w:rPr>
              <w:t xml:space="preserve"> 脱硝系统基本设计参数表</w:t>
            </w:r>
          </w:p>
          <w:tbl>
            <w:tblPr>
              <w:tblStyle w:val="17"/>
              <w:tblW w:w="497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31"/>
              <w:gridCol w:w="4754"/>
              <w:gridCol w:w="1070"/>
              <w:gridCol w:w="1134"/>
            </w:tblGrid>
            <w:tr w14:paraId="4E207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45" w:type="pct"/>
                  <w:tcBorders>
                    <w:tl2br w:val="nil"/>
                    <w:tr2bl w:val="nil"/>
                  </w:tcBorders>
                  <w:noWrap w:val="0"/>
                  <w:vAlign w:val="center"/>
                </w:tcPr>
                <w:p w14:paraId="5322EF89">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2974" w:type="pct"/>
                  <w:tcBorders>
                    <w:tl2br w:val="nil"/>
                    <w:tr2bl w:val="nil"/>
                  </w:tcBorders>
                  <w:noWrap w:val="0"/>
                  <w:vAlign w:val="center"/>
                </w:tcPr>
                <w:p w14:paraId="5BE7AA74">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669" w:type="pct"/>
                  <w:tcBorders>
                    <w:tl2br w:val="nil"/>
                    <w:tr2bl w:val="nil"/>
                  </w:tcBorders>
                  <w:noWrap w:val="0"/>
                  <w:vAlign w:val="center"/>
                </w:tcPr>
                <w:p w14:paraId="0DA63F7E">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710" w:type="pct"/>
                  <w:tcBorders>
                    <w:tl2br w:val="nil"/>
                    <w:tr2bl w:val="nil"/>
                  </w:tcBorders>
                  <w:noWrap w:val="0"/>
                  <w:vAlign w:val="center"/>
                </w:tcPr>
                <w:p w14:paraId="62217EF2">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设计工况</w:t>
                  </w:r>
                </w:p>
              </w:tc>
            </w:tr>
            <w:tr w14:paraId="4AD9F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45" w:type="pct"/>
                  <w:tcBorders>
                    <w:tl2br w:val="nil"/>
                    <w:tr2bl w:val="nil"/>
                  </w:tcBorders>
                  <w:noWrap w:val="0"/>
                  <w:vAlign w:val="center"/>
                </w:tcPr>
                <w:p w14:paraId="59589D18">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974" w:type="pct"/>
                  <w:tcBorders>
                    <w:tl2br w:val="nil"/>
                    <w:tr2bl w:val="nil"/>
                  </w:tcBorders>
                  <w:noWrap w:val="0"/>
                  <w:vAlign w:val="center"/>
                </w:tcPr>
                <w:p w14:paraId="1C036522">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设计烟气量（标湿）</w:t>
                  </w:r>
                </w:p>
              </w:tc>
              <w:tc>
                <w:tcPr>
                  <w:tcW w:w="669" w:type="pct"/>
                  <w:tcBorders>
                    <w:tl2br w:val="nil"/>
                    <w:tr2bl w:val="nil"/>
                  </w:tcBorders>
                  <w:noWrap w:val="0"/>
                  <w:vAlign w:val="center"/>
                </w:tcPr>
                <w:p w14:paraId="21E23C5C">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Nm³/h</w:t>
                  </w:r>
                </w:p>
              </w:tc>
              <w:tc>
                <w:tcPr>
                  <w:tcW w:w="710" w:type="pct"/>
                  <w:tcBorders>
                    <w:tl2br w:val="nil"/>
                    <w:tr2bl w:val="nil"/>
                  </w:tcBorders>
                  <w:noWrap w:val="0"/>
                  <w:vAlign w:val="center"/>
                </w:tcPr>
                <w:p w14:paraId="7CF0F3E5">
                  <w:pPr>
                    <w:pStyle w:val="14"/>
                    <w:snapToGrid w:val="0"/>
                    <w:spacing w:line="240" w:lineRule="auto"/>
                    <w:ind w:firstLine="0"/>
                    <w:rPr>
                      <w:rFonts w:hint="default" w:ascii="Times New Roman" w:hAnsi="Times New Roman" w:eastAsia="宋体" w:cs="Times New Roman"/>
                      <w:sz w:val="18"/>
                      <w:szCs w:val="18"/>
                    </w:rPr>
                  </w:pPr>
                  <w:r>
                    <w:rPr>
                      <w:rFonts w:hint="eastAsia" w:ascii="Times New Roman" w:eastAsia="宋体" w:cs="Times New Roman"/>
                      <w:sz w:val="18"/>
                      <w:szCs w:val="18"/>
                      <w:lang w:val="en-US" w:eastAsia="zh-CN"/>
                    </w:rPr>
                    <w:t>32</w:t>
                  </w:r>
                  <w:r>
                    <w:rPr>
                      <w:rFonts w:hint="default"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rPr>
                    <w:t>000</w:t>
                  </w:r>
                </w:p>
              </w:tc>
            </w:tr>
            <w:tr w14:paraId="240E0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45" w:type="pct"/>
                  <w:tcBorders>
                    <w:tl2br w:val="nil"/>
                    <w:tr2bl w:val="nil"/>
                  </w:tcBorders>
                  <w:noWrap w:val="0"/>
                  <w:vAlign w:val="center"/>
                </w:tcPr>
                <w:p w14:paraId="7A77BFB9">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2974" w:type="pct"/>
                  <w:tcBorders>
                    <w:tl2br w:val="nil"/>
                    <w:tr2bl w:val="nil"/>
                  </w:tcBorders>
                  <w:noWrap w:val="0"/>
                  <w:vAlign w:val="center"/>
                </w:tcPr>
                <w:p w14:paraId="5D566BF3">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烟气温度</w:t>
                  </w:r>
                </w:p>
              </w:tc>
              <w:tc>
                <w:tcPr>
                  <w:tcW w:w="669" w:type="pct"/>
                  <w:tcBorders>
                    <w:tl2br w:val="nil"/>
                    <w:tr2bl w:val="nil"/>
                  </w:tcBorders>
                  <w:noWrap w:val="0"/>
                  <w:vAlign w:val="center"/>
                </w:tcPr>
                <w:p w14:paraId="66BD9D1B">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10" w:type="pct"/>
                  <w:tcBorders>
                    <w:tl2br w:val="nil"/>
                    <w:tr2bl w:val="nil"/>
                  </w:tcBorders>
                  <w:noWrap w:val="0"/>
                  <w:vAlign w:val="center"/>
                </w:tcPr>
                <w:p w14:paraId="14C8EE29">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320~400</w:t>
                  </w:r>
                </w:p>
              </w:tc>
            </w:tr>
            <w:tr w14:paraId="3D5A1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tblHeader/>
                <w:jc w:val="center"/>
              </w:trPr>
              <w:tc>
                <w:tcPr>
                  <w:tcW w:w="645" w:type="pct"/>
                  <w:tcBorders>
                    <w:tl2br w:val="nil"/>
                    <w:tr2bl w:val="nil"/>
                  </w:tcBorders>
                  <w:noWrap w:val="0"/>
                  <w:vAlign w:val="center"/>
                </w:tcPr>
                <w:p w14:paraId="5E5515A5">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2974" w:type="pct"/>
                  <w:tcBorders>
                    <w:tl2br w:val="nil"/>
                    <w:tr2bl w:val="nil"/>
                  </w:tcBorders>
                  <w:noWrap w:val="0"/>
                  <w:vAlign w:val="center"/>
                </w:tcPr>
                <w:p w14:paraId="68168FE6">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SCR脱硝入口NOx浓度（标干，3%O</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，以NO</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计）</w:t>
                  </w:r>
                </w:p>
              </w:tc>
              <w:tc>
                <w:tcPr>
                  <w:tcW w:w="669" w:type="pct"/>
                  <w:tcBorders>
                    <w:tl2br w:val="nil"/>
                    <w:tr2bl w:val="nil"/>
                  </w:tcBorders>
                  <w:noWrap w:val="0"/>
                  <w:vAlign w:val="center"/>
                </w:tcPr>
                <w:p w14:paraId="45F0C742">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mg/Nm</w:t>
                  </w:r>
                  <w:r>
                    <w:rPr>
                      <w:rFonts w:hint="default" w:ascii="Times New Roman" w:hAnsi="Times New Roman" w:eastAsia="宋体" w:cs="Times New Roman"/>
                      <w:sz w:val="18"/>
                      <w:szCs w:val="18"/>
                      <w:vertAlign w:val="superscript"/>
                    </w:rPr>
                    <w:t>3</w:t>
                  </w:r>
                </w:p>
              </w:tc>
              <w:tc>
                <w:tcPr>
                  <w:tcW w:w="710" w:type="pct"/>
                  <w:tcBorders>
                    <w:tl2br w:val="nil"/>
                    <w:tr2bl w:val="nil"/>
                  </w:tcBorders>
                  <w:noWrap w:val="0"/>
                  <w:vAlign w:val="center"/>
                </w:tcPr>
                <w:p w14:paraId="795829E3">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r>
                    <w:rPr>
                      <w:rFonts w:hint="default"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rPr>
                    <w:t>0</w:t>
                  </w:r>
                </w:p>
              </w:tc>
            </w:tr>
            <w:tr w14:paraId="34175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45" w:type="pct"/>
                  <w:tcBorders>
                    <w:tl2br w:val="nil"/>
                    <w:tr2bl w:val="nil"/>
                  </w:tcBorders>
                  <w:noWrap w:val="0"/>
                  <w:vAlign w:val="center"/>
                </w:tcPr>
                <w:p w14:paraId="3D6AE6E7">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2974" w:type="pct"/>
                  <w:tcBorders>
                    <w:tl2br w:val="nil"/>
                    <w:tr2bl w:val="nil"/>
                  </w:tcBorders>
                  <w:noWrap w:val="0"/>
                  <w:vAlign w:val="center"/>
                </w:tcPr>
                <w:p w14:paraId="2E7314DB">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SCR脱硝入口烟尘浓度（标干，3%O</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w:t>
                  </w:r>
                </w:p>
              </w:tc>
              <w:tc>
                <w:tcPr>
                  <w:tcW w:w="669" w:type="pct"/>
                  <w:tcBorders>
                    <w:tl2br w:val="nil"/>
                    <w:tr2bl w:val="nil"/>
                  </w:tcBorders>
                  <w:noWrap w:val="0"/>
                  <w:vAlign w:val="center"/>
                </w:tcPr>
                <w:p w14:paraId="0437502E">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mg/Nm</w:t>
                  </w:r>
                  <w:r>
                    <w:rPr>
                      <w:rFonts w:hint="default" w:ascii="Times New Roman" w:hAnsi="Times New Roman" w:eastAsia="宋体" w:cs="Times New Roman"/>
                      <w:sz w:val="18"/>
                      <w:szCs w:val="18"/>
                      <w:vertAlign w:val="superscript"/>
                    </w:rPr>
                    <w:t>3</w:t>
                  </w:r>
                </w:p>
              </w:tc>
              <w:tc>
                <w:tcPr>
                  <w:tcW w:w="710" w:type="pct"/>
                  <w:tcBorders>
                    <w:tl2br w:val="nil"/>
                    <w:tr2bl w:val="nil"/>
                  </w:tcBorders>
                  <w:noWrap w:val="0"/>
                  <w:vAlign w:val="center"/>
                </w:tcPr>
                <w:p w14:paraId="4B804E6B">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r>
            <w:tr w14:paraId="67EA7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45" w:type="pct"/>
                  <w:tcBorders>
                    <w:tl2br w:val="nil"/>
                    <w:tr2bl w:val="nil"/>
                  </w:tcBorders>
                  <w:noWrap w:val="0"/>
                  <w:vAlign w:val="center"/>
                </w:tcPr>
                <w:p w14:paraId="466E6F01">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2974" w:type="pct"/>
                  <w:tcBorders>
                    <w:tl2br w:val="nil"/>
                    <w:tr2bl w:val="nil"/>
                  </w:tcBorders>
                  <w:noWrap w:val="0"/>
                  <w:vAlign w:val="center"/>
                </w:tcPr>
                <w:p w14:paraId="00D1B8EF">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烟气含氧量</w:t>
                  </w:r>
                </w:p>
              </w:tc>
              <w:tc>
                <w:tcPr>
                  <w:tcW w:w="669" w:type="pct"/>
                  <w:tcBorders>
                    <w:tl2br w:val="nil"/>
                    <w:tr2bl w:val="nil"/>
                  </w:tcBorders>
                  <w:noWrap w:val="0"/>
                  <w:vAlign w:val="center"/>
                </w:tcPr>
                <w:p w14:paraId="405EA2F6">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10" w:type="pct"/>
                  <w:tcBorders>
                    <w:tl2br w:val="nil"/>
                    <w:tr2bl w:val="nil"/>
                  </w:tcBorders>
                  <w:noWrap w:val="0"/>
                  <w:vAlign w:val="center"/>
                </w:tcPr>
                <w:p w14:paraId="4FCFF01B">
                  <w:pPr>
                    <w:pStyle w:val="14"/>
                    <w:snapToGrid w:val="0"/>
                    <w:spacing w:line="240" w:lineRule="auto"/>
                    <w:ind w:firstLine="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2.</w:t>
                  </w:r>
                  <w:r>
                    <w:rPr>
                      <w:rFonts w:hint="default" w:ascii="Times New Roman" w:hAnsi="Times New Roman" w:eastAsia="宋体" w:cs="Times New Roman"/>
                      <w:sz w:val="18"/>
                      <w:szCs w:val="18"/>
                      <w:lang w:val="en-US" w:eastAsia="zh-CN"/>
                    </w:rPr>
                    <w:t>04</w:t>
                  </w:r>
                </w:p>
              </w:tc>
            </w:tr>
          </w:tbl>
          <w:p w14:paraId="000C2169">
            <w:pPr>
              <w:adjustRightInd w:val="0"/>
              <w:snapToGrid w:val="0"/>
              <w:spacing w:line="360" w:lineRule="auto"/>
              <w:jc w:val="center"/>
              <w:textAlignment w:val="baseline"/>
              <w:rPr>
                <w:rFonts w:hint="default" w:ascii="黑体" w:hAnsi="黑体" w:eastAsia="黑体" w:cs="黑体"/>
                <w:color w:val="auto"/>
                <w:sz w:val="21"/>
                <w:szCs w:val="21"/>
                <w:highlight w:val="none"/>
              </w:rPr>
            </w:pPr>
            <w:r>
              <w:rPr>
                <w:rFonts w:hint="default" w:ascii="黑体" w:hAnsi="黑体" w:eastAsia="黑体" w:cs="黑体"/>
                <w:color w:val="auto"/>
                <w:sz w:val="21"/>
                <w:szCs w:val="21"/>
                <w:highlight w:val="none"/>
              </w:rPr>
              <w:t>表</w:t>
            </w:r>
            <w:r>
              <w:rPr>
                <w:rFonts w:hint="eastAsia" w:ascii="黑体" w:hAnsi="黑体" w:eastAsia="黑体" w:cs="黑体"/>
                <w:color w:val="auto"/>
                <w:sz w:val="21"/>
                <w:szCs w:val="21"/>
                <w:highlight w:val="none"/>
                <w:lang w:val="en-US" w:eastAsia="zh-CN"/>
              </w:rPr>
              <w:t>2-15</w:t>
            </w:r>
            <w:r>
              <w:rPr>
                <w:rFonts w:hint="default" w:ascii="黑体" w:hAnsi="黑体" w:eastAsia="黑体" w:cs="黑体"/>
                <w:color w:val="auto"/>
                <w:sz w:val="21"/>
                <w:szCs w:val="21"/>
                <w:highlight w:val="none"/>
              </w:rPr>
              <w:t xml:space="preserve"> 脱硝系统主要技术性能参数表</w:t>
            </w:r>
          </w:p>
          <w:tbl>
            <w:tblPr>
              <w:tblStyle w:val="17"/>
              <w:tblW w:w="811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3"/>
              <w:gridCol w:w="4790"/>
              <w:gridCol w:w="1091"/>
              <w:gridCol w:w="1459"/>
            </w:tblGrid>
            <w:tr w14:paraId="1171DC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73" w:type="dxa"/>
                  <w:tcBorders>
                    <w:tl2br w:val="nil"/>
                    <w:tr2bl w:val="nil"/>
                  </w:tcBorders>
                  <w:noWrap w:val="0"/>
                  <w:vAlign w:val="center"/>
                </w:tcPr>
                <w:p w14:paraId="3A9DCB6A">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4790" w:type="dxa"/>
                  <w:tcBorders>
                    <w:tl2br w:val="nil"/>
                    <w:tr2bl w:val="nil"/>
                  </w:tcBorders>
                  <w:noWrap w:val="0"/>
                  <w:vAlign w:val="center"/>
                </w:tcPr>
                <w:p w14:paraId="650836A7">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091" w:type="dxa"/>
                  <w:tcBorders>
                    <w:tl2br w:val="nil"/>
                    <w:tr2bl w:val="nil"/>
                  </w:tcBorders>
                  <w:noWrap w:val="0"/>
                  <w:vAlign w:val="center"/>
                </w:tcPr>
                <w:p w14:paraId="18AAAC84">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1459" w:type="dxa"/>
                  <w:tcBorders>
                    <w:tl2br w:val="nil"/>
                    <w:tr2bl w:val="nil"/>
                  </w:tcBorders>
                  <w:noWrap w:val="0"/>
                  <w:vAlign w:val="center"/>
                </w:tcPr>
                <w:p w14:paraId="4849EAFB">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数值</w:t>
                  </w:r>
                </w:p>
              </w:tc>
            </w:tr>
            <w:tr w14:paraId="39B77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73" w:type="dxa"/>
                  <w:tcBorders>
                    <w:tl2br w:val="nil"/>
                    <w:tr2bl w:val="nil"/>
                  </w:tcBorders>
                  <w:noWrap w:val="0"/>
                  <w:vAlign w:val="center"/>
                </w:tcPr>
                <w:p w14:paraId="29BD155C">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4790" w:type="dxa"/>
                  <w:tcBorders>
                    <w:tl2br w:val="nil"/>
                    <w:tr2bl w:val="nil"/>
                  </w:tcBorders>
                  <w:noWrap w:val="0"/>
                  <w:vAlign w:val="center"/>
                </w:tcPr>
                <w:p w14:paraId="27939234">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SCR脱硝出口NOx浓度（标干，3%O</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，以NO</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计）</w:t>
                  </w:r>
                </w:p>
              </w:tc>
              <w:tc>
                <w:tcPr>
                  <w:tcW w:w="1091" w:type="dxa"/>
                  <w:tcBorders>
                    <w:tl2br w:val="nil"/>
                    <w:tr2bl w:val="nil"/>
                  </w:tcBorders>
                  <w:noWrap w:val="0"/>
                  <w:vAlign w:val="center"/>
                </w:tcPr>
                <w:p w14:paraId="5E540C18">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mg/Nm</w:t>
                  </w:r>
                  <w:r>
                    <w:rPr>
                      <w:rFonts w:hint="default" w:ascii="Times New Roman" w:hAnsi="Times New Roman" w:eastAsia="宋体" w:cs="Times New Roman"/>
                      <w:sz w:val="18"/>
                      <w:szCs w:val="18"/>
                      <w:vertAlign w:val="superscript"/>
                    </w:rPr>
                    <w:t>3</w:t>
                  </w:r>
                </w:p>
              </w:tc>
              <w:tc>
                <w:tcPr>
                  <w:tcW w:w="1459" w:type="dxa"/>
                  <w:tcBorders>
                    <w:tl2br w:val="nil"/>
                    <w:tr2bl w:val="nil"/>
                  </w:tcBorders>
                  <w:noWrap w:val="0"/>
                  <w:vAlign w:val="center"/>
                </w:tcPr>
                <w:p w14:paraId="7C842D8C">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r>
            <w:tr w14:paraId="3C9993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73" w:type="dxa"/>
                  <w:tcBorders>
                    <w:tl2br w:val="nil"/>
                    <w:tr2bl w:val="nil"/>
                  </w:tcBorders>
                  <w:noWrap w:val="0"/>
                  <w:vAlign w:val="center"/>
                </w:tcPr>
                <w:p w14:paraId="6EBBB279">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4790" w:type="dxa"/>
                  <w:tcBorders>
                    <w:tl2br w:val="nil"/>
                    <w:tr2bl w:val="nil"/>
                  </w:tcBorders>
                  <w:noWrap w:val="0"/>
                  <w:vAlign w:val="center"/>
                </w:tcPr>
                <w:p w14:paraId="0BEA61ED">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氨逃逸量</w:t>
                  </w:r>
                </w:p>
              </w:tc>
              <w:tc>
                <w:tcPr>
                  <w:tcW w:w="1091" w:type="dxa"/>
                  <w:tcBorders>
                    <w:tl2br w:val="nil"/>
                    <w:tr2bl w:val="nil"/>
                  </w:tcBorders>
                  <w:noWrap w:val="0"/>
                  <w:vAlign w:val="center"/>
                </w:tcPr>
                <w:p w14:paraId="7173ED0D">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ppm</w:t>
                  </w:r>
                </w:p>
              </w:tc>
              <w:tc>
                <w:tcPr>
                  <w:tcW w:w="1459" w:type="dxa"/>
                  <w:tcBorders>
                    <w:tl2br w:val="nil"/>
                    <w:tr2bl w:val="nil"/>
                  </w:tcBorders>
                  <w:noWrap w:val="0"/>
                  <w:vAlign w:val="center"/>
                </w:tcPr>
                <w:p w14:paraId="68085321">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r>
            <w:tr w14:paraId="7CB36F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73" w:type="dxa"/>
                  <w:tcBorders>
                    <w:tl2br w:val="nil"/>
                    <w:tr2bl w:val="nil"/>
                  </w:tcBorders>
                  <w:noWrap w:val="0"/>
                  <w:vAlign w:val="center"/>
                </w:tcPr>
                <w:p w14:paraId="0BB4E80F">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4790" w:type="dxa"/>
                  <w:tcBorders>
                    <w:tl2br w:val="nil"/>
                    <w:tr2bl w:val="nil"/>
                  </w:tcBorders>
                  <w:noWrap w:val="0"/>
                  <w:vAlign w:val="center"/>
                </w:tcPr>
                <w:p w14:paraId="143A8875">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/SO</w:t>
                  </w:r>
                  <w:r>
                    <w:rPr>
                      <w:rFonts w:hint="default" w:ascii="Times New Roman" w:hAnsi="Times New Roman" w:eastAsia="宋体" w:cs="Times New Roman"/>
                      <w:sz w:val="18"/>
                      <w:szCs w:val="18"/>
                      <w:vertAlign w:val="subscript"/>
                    </w:rPr>
                    <w:t>3</w:t>
                  </w:r>
                  <w:r>
                    <w:rPr>
                      <w:rFonts w:hint="default" w:ascii="Times New Roman" w:hAnsi="Times New Roman" w:eastAsia="宋体" w:cs="Times New Roman"/>
                      <w:sz w:val="18"/>
                      <w:szCs w:val="18"/>
                    </w:rPr>
                    <w:t>转化率</w:t>
                  </w:r>
                </w:p>
              </w:tc>
              <w:tc>
                <w:tcPr>
                  <w:tcW w:w="1091" w:type="dxa"/>
                  <w:tcBorders>
                    <w:tl2br w:val="nil"/>
                    <w:tr2bl w:val="nil"/>
                  </w:tcBorders>
                  <w:noWrap w:val="0"/>
                  <w:vAlign w:val="center"/>
                </w:tcPr>
                <w:p w14:paraId="392A2D92">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459" w:type="dxa"/>
                  <w:tcBorders>
                    <w:tl2br w:val="nil"/>
                    <w:tr2bl w:val="nil"/>
                  </w:tcBorders>
                  <w:noWrap w:val="0"/>
                  <w:vAlign w:val="center"/>
                </w:tcPr>
                <w:p w14:paraId="3220709D">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r>
            <w:tr w14:paraId="5501B6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73" w:type="dxa"/>
                  <w:tcBorders>
                    <w:tl2br w:val="nil"/>
                    <w:tr2bl w:val="nil"/>
                  </w:tcBorders>
                  <w:noWrap w:val="0"/>
                  <w:vAlign w:val="center"/>
                </w:tcPr>
                <w:p w14:paraId="7C75BE24">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4790" w:type="dxa"/>
                  <w:tcBorders>
                    <w:tl2br w:val="nil"/>
                    <w:tr2bl w:val="nil"/>
                  </w:tcBorders>
                  <w:noWrap w:val="0"/>
                  <w:vAlign w:val="center"/>
                </w:tcPr>
                <w:p w14:paraId="17C4A4D8">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装置可用率</w:t>
                  </w:r>
                </w:p>
              </w:tc>
              <w:tc>
                <w:tcPr>
                  <w:tcW w:w="1091" w:type="dxa"/>
                  <w:tcBorders>
                    <w:tl2br w:val="nil"/>
                    <w:tr2bl w:val="nil"/>
                  </w:tcBorders>
                  <w:noWrap w:val="0"/>
                  <w:vAlign w:val="center"/>
                </w:tcPr>
                <w:p w14:paraId="382420D6">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459" w:type="dxa"/>
                  <w:tcBorders>
                    <w:tl2br w:val="nil"/>
                    <w:tr2bl w:val="nil"/>
                  </w:tcBorders>
                  <w:noWrap w:val="0"/>
                  <w:vAlign w:val="center"/>
                </w:tcPr>
                <w:p w14:paraId="54B34DBF">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98</w:t>
                  </w:r>
                </w:p>
              </w:tc>
            </w:tr>
            <w:tr w14:paraId="70918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773" w:type="dxa"/>
                  <w:tcBorders>
                    <w:tl2br w:val="nil"/>
                    <w:tr2bl w:val="nil"/>
                  </w:tcBorders>
                  <w:noWrap w:val="0"/>
                  <w:vAlign w:val="center"/>
                </w:tcPr>
                <w:p w14:paraId="3350F634">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790" w:type="dxa"/>
                  <w:tcBorders>
                    <w:tl2br w:val="nil"/>
                    <w:tr2bl w:val="nil"/>
                  </w:tcBorders>
                  <w:noWrap w:val="0"/>
                  <w:vAlign w:val="center"/>
                </w:tcPr>
                <w:p w14:paraId="7FD6CF9D">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催化剂正常运行温度</w:t>
                  </w:r>
                </w:p>
              </w:tc>
              <w:tc>
                <w:tcPr>
                  <w:tcW w:w="1091" w:type="dxa"/>
                  <w:tcBorders>
                    <w:tl2br w:val="nil"/>
                    <w:tr2bl w:val="nil"/>
                  </w:tcBorders>
                  <w:noWrap w:val="0"/>
                  <w:vAlign w:val="center"/>
                </w:tcPr>
                <w:p w14:paraId="5032ABC1">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459" w:type="dxa"/>
                  <w:tcBorders>
                    <w:tl2br w:val="nil"/>
                    <w:tr2bl w:val="nil"/>
                  </w:tcBorders>
                  <w:noWrap w:val="0"/>
                  <w:vAlign w:val="center"/>
                </w:tcPr>
                <w:p w14:paraId="46A7EB76">
                  <w:pPr>
                    <w:pStyle w:val="14"/>
                    <w:snapToGrid w:val="0"/>
                    <w:spacing w:line="240" w:lineRule="auto"/>
                    <w:ind w:firstLine="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320~400</w:t>
                  </w:r>
                </w:p>
              </w:tc>
            </w:tr>
          </w:tbl>
          <w:p w14:paraId="0141C27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烟气脱硫</w:t>
            </w:r>
          </w:p>
          <w:p w14:paraId="585EDD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本项目采用</w:t>
            </w:r>
            <w:r>
              <w:rPr>
                <w:rFonts w:hint="eastAsia" w:ascii="Times New Roman" w:hAnsi="Times New Roman" w:eastAsia="宋体" w:cs="Times New Roman"/>
                <w:color w:val="auto"/>
                <w:sz w:val="24"/>
                <w:szCs w:val="24"/>
                <w:highlight w:val="none"/>
                <w:lang w:val="en-US" w:eastAsia="zh-CN"/>
              </w:rPr>
              <w:t>钙基干法</w:t>
            </w:r>
            <w:r>
              <w:rPr>
                <w:rFonts w:hint="default" w:ascii="Times New Roman" w:hAnsi="Times New Roman" w:eastAsia="宋体" w:cs="Times New Roman"/>
                <w:color w:val="auto"/>
                <w:sz w:val="24"/>
                <w:szCs w:val="24"/>
                <w:highlight w:val="none"/>
                <w:lang w:val="en-US" w:eastAsia="zh-CN"/>
              </w:rPr>
              <w:t>脱硫工艺。</w:t>
            </w:r>
          </w:p>
          <w:p w14:paraId="61107BAD">
            <w:pPr>
              <w:spacing w:line="360" w:lineRule="auto"/>
              <w:ind w:firstLine="480" w:firstLineChars="200"/>
              <w:rPr>
                <w:rFonts w:hint="eastAsia"/>
                <w:kern w:val="0"/>
                <w:sz w:val="24"/>
                <w:szCs w:val="24"/>
              </w:rPr>
            </w:pPr>
            <w:r>
              <w:rPr>
                <w:rFonts w:hint="eastAsia"/>
                <w:kern w:val="0"/>
                <w:sz w:val="24"/>
                <w:szCs w:val="24"/>
              </w:rPr>
              <w:t>钙基脱硫工艺主要</w:t>
            </w:r>
            <w:r>
              <w:rPr>
                <w:kern w:val="0"/>
                <w:sz w:val="24"/>
                <w:szCs w:val="24"/>
              </w:rPr>
              <w:t>吸收剂</w:t>
            </w:r>
            <w:r>
              <w:rPr>
                <w:rFonts w:hint="eastAsia"/>
                <w:kern w:val="0"/>
                <w:sz w:val="24"/>
                <w:szCs w:val="24"/>
              </w:rPr>
              <w:t>储存</w:t>
            </w:r>
            <w:r>
              <w:rPr>
                <w:kern w:val="0"/>
                <w:sz w:val="24"/>
                <w:szCs w:val="24"/>
              </w:rPr>
              <w:t>系统、</w:t>
            </w:r>
            <w:r>
              <w:rPr>
                <w:rFonts w:hint="eastAsia"/>
                <w:kern w:val="0"/>
                <w:sz w:val="24"/>
                <w:szCs w:val="24"/>
              </w:rPr>
              <w:t>喷射输送系统、</w:t>
            </w:r>
            <w:r>
              <w:rPr>
                <w:kern w:val="0"/>
                <w:sz w:val="24"/>
                <w:szCs w:val="24"/>
              </w:rPr>
              <w:t>反应器系统、布袋除尘系统、脱硫灰处理系统及仪表用气系统等组成</w:t>
            </w:r>
            <w:r>
              <w:rPr>
                <w:rFonts w:hint="default" w:ascii="Times New Roman" w:hAnsi="Times New Roman" w:eastAsia="宋体" w:cs="Times New Roman"/>
                <w:color w:val="auto"/>
                <w:sz w:val="24"/>
                <w:szCs w:val="24"/>
                <w:highlight w:val="none"/>
                <w:lang w:val="en-US" w:eastAsia="zh-CN"/>
              </w:rPr>
              <w:t>，</w:t>
            </w:r>
            <w:r>
              <w:rPr>
                <w:rFonts w:hint="eastAsia"/>
                <w:kern w:val="0"/>
                <w:sz w:val="24"/>
                <w:szCs w:val="24"/>
              </w:rPr>
              <w:t>钙基喷射干法脱硫技术是将高活性氢氧化钙脱硫剂喷射入烟气中与烟气中SO</w:t>
            </w:r>
            <w:r>
              <w:rPr>
                <w:rFonts w:hint="eastAsia"/>
                <w:kern w:val="0"/>
                <w:sz w:val="24"/>
                <w:szCs w:val="24"/>
                <w:vertAlign w:val="subscript"/>
              </w:rPr>
              <w:t>2</w:t>
            </w:r>
            <w:r>
              <w:rPr>
                <w:rFonts w:hint="eastAsia"/>
                <w:kern w:val="0"/>
                <w:sz w:val="24"/>
                <w:szCs w:val="24"/>
              </w:rPr>
              <w:t>发生化学反应，将烟气中的SO</w:t>
            </w:r>
            <w:r>
              <w:rPr>
                <w:rFonts w:hint="eastAsia"/>
                <w:kern w:val="0"/>
                <w:sz w:val="24"/>
                <w:szCs w:val="24"/>
                <w:vertAlign w:val="subscript"/>
              </w:rPr>
              <w:t>2</w:t>
            </w:r>
            <w:r>
              <w:rPr>
                <w:rFonts w:hint="eastAsia"/>
                <w:kern w:val="0"/>
                <w:sz w:val="24"/>
                <w:szCs w:val="24"/>
              </w:rPr>
              <w:t>吸收净化。</w:t>
            </w:r>
          </w:p>
          <w:p w14:paraId="53717CA0">
            <w:pPr>
              <w:spacing w:line="360" w:lineRule="auto"/>
              <w:ind w:firstLine="480" w:firstLineChars="200"/>
              <w:rPr>
                <w:kern w:val="0"/>
                <w:sz w:val="24"/>
                <w:szCs w:val="24"/>
              </w:rPr>
            </w:pPr>
            <w:r>
              <w:rPr>
                <w:rFonts w:hint="eastAsia"/>
                <w:kern w:val="0"/>
                <w:sz w:val="24"/>
                <w:szCs w:val="24"/>
              </w:rPr>
              <w:t>下图为典型钙基脱硫工艺流程：</w:t>
            </w:r>
          </w:p>
          <w:p w14:paraId="33411664">
            <w:pPr>
              <w:pStyle w:val="30"/>
              <w:ind w:firstLine="480"/>
              <w:jc w:val="center"/>
              <w:rPr>
                <w:kern w:val="0"/>
                <w:sz w:val="24"/>
                <w:szCs w:val="24"/>
              </w:rPr>
            </w:pPr>
            <w:r>
              <w:rPr>
                <w:kern w:val="0"/>
                <w:sz w:val="24"/>
                <w:szCs w:val="24"/>
              </w:rPr>
              <w:drawing>
                <wp:inline distT="0" distB="0" distL="114300" distR="114300">
                  <wp:extent cx="4108450" cy="1927225"/>
                  <wp:effectExtent l="0" t="0" r="6350"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108450" cy="1927225"/>
                          </a:xfrm>
                          <a:prstGeom prst="rect">
                            <a:avLst/>
                          </a:prstGeom>
                          <a:noFill/>
                          <a:ln>
                            <a:noFill/>
                          </a:ln>
                        </pic:spPr>
                      </pic:pic>
                    </a:graphicData>
                  </a:graphic>
                </wp:inline>
              </w:drawing>
            </w:r>
          </w:p>
          <w:p w14:paraId="05778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b/>
                <w:bCs/>
                <w:kern w:val="0"/>
                <w:sz w:val="24"/>
                <w:szCs w:val="24"/>
              </w:rPr>
            </w:pPr>
            <w:r>
              <w:rPr>
                <w:rFonts w:hint="eastAsia" w:ascii="黑体" w:hAnsi="黑体" w:eastAsia="黑体" w:cs="黑体"/>
                <w:b w:val="0"/>
                <w:bCs w:val="0"/>
                <w:color w:val="auto"/>
                <w:sz w:val="24"/>
                <w:lang w:val="en-US" w:eastAsia="zh-CN"/>
              </w:rPr>
              <w:t>图2-4 钙基干法脱硫典型流程图</w:t>
            </w:r>
          </w:p>
          <w:p w14:paraId="660E8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钙基干法脱硫灰主要由碳酸钙、亚硫酸钙、硫酸钙、氢氧化钙等组成。脱硫灰作为原材料或建筑材料的应用受到其成分的影响。</w:t>
            </w:r>
          </w:p>
          <w:p w14:paraId="65067B6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除尘系统</w:t>
            </w:r>
          </w:p>
          <w:p w14:paraId="4D9F2666">
            <w:pPr>
              <w:adjustRightInd w:val="0"/>
              <w:spacing w:line="360" w:lineRule="auto"/>
              <w:ind w:firstLine="480" w:firstLineChars="200"/>
              <w:textAlignment w:val="baseline"/>
              <w:rPr>
                <w:rFonts w:hint="default" w:ascii="Times New Roman" w:hAnsi="Times New Roman" w:eastAsia="宋体" w:cs="Times New Roman"/>
                <w:kern w:val="0"/>
                <w:sz w:val="24"/>
                <w:szCs w:val="24"/>
              </w:rPr>
            </w:pPr>
            <w:r>
              <w:rPr>
                <w:kern w:val="0"/>
                <w:sz w:val="24"/>
                <w:szCs w:val="24"/>
                <w:highlight w:val="none"/>
              </w:rPr>
              <w:t>本工程锅炉为燃气锅炉，锅炉出口烟气设置脱硫系统，采用</w:t>
            </w:r>
            <w:r>
              <w:rPr>
                <w:rFonts w:hint="eastAsia"/>
                <w:kern w:val="0"/>
                <w:sz w:val="24"/>
                <w:szCs w:val="24"/>
                <w:highlight w:val="none"/>
                <w:lang w:val="en-US" w:eastAsia="zh-CN"/>
              </w:rPr>
              <w:t>钙</w:t>
            </w:r>
            <w:r>
              <w:rPr>
                <w:rFonts w:hint="eastAsia"/>
                <w:kern w:val="0"/>
                <w:sz w:val="24"/>
                <w:szCs w:val="24"/>
                <w:highlight w:val="none"/>
              </w:rPr>
              <w:t>基</w:t>
            </w:r>
            <w:r>
              <w:rPr>
                <w:kern w:val="0"/>
                <w:sz w:val="24"/>
                <w:szCs w:val="24"/>
                <w:highlight w:val="none"/>
              </w:rPr>
              <w:t>干法脱硫工艺，</w:t>
            </w:r>
            <w:r>
              <w:rPr>
                <w:rFonts w:hint="eastAsia"/>
                <w:sz w:val="24"/>
                <w:szCs w:val="24"/>
                <w:highlight w:val="none"/>
              </w:rPr>
              <w:t>高活性氢氧化钙粉</w:t>
            </w:r>
            <w:r>
              <w:rPr>
                <w:kern w:val="0"/>
                <w:sz w:val="24"/>
                <w:szCs w:val="24"/>
                <w:highlight w:val="none"/>
              </w:rPr>
              <w:t>用作烟气脱硫的吸附剂，通过化学吸附去除烟气中的SO</w:t>
            </w:r>
            <w:r>
              <w:rPr>
                <w:kern w:val="0"/>
                <w:sz w:val="24"/>
                <w:szCs w:val="24"/>
                <w:highlight w:val="none"/>
                <w:vertAlign w:val="subscript"/>
              </w:rPr>
              <w:t>2</w:t>
            </w:r>
            <w:r>
              <w:rPr>
                <w:rFonts w:hint="eastAsia"/>
                <w:kern w:val="0"/>
                <w:sz w:val="24"/>
                <w:szCs w:val="24"/>
                <w:highlight w:val="none"/>
              </w:rPr>
              <w:t>。钙基干法脱硫后的烟气中粉尘的成分主要为CaSO</w:t>
            </w:r>
            <w:r>
              <w:rPr>
                <w:rFonts w:hint="eastAsia"/>
                <w:kern w:val="0"/>
                <w:sz w:val="24"/>
                <w:szCs w:val="24"/>
                <w:highlight w:val="none"/>
                <w:vertAlign w:val="subscript"/>
              </w:rPr>
              <w:t>3</w:t>
            </w:r>
            <w:r>
              <w:rPr>
                <w:rFonts w:hint="eastAsia"/>
                <w:kern w:val="0"/>
                <w:sz w:val="24"/>
                <w:szCs w:val="24"/>
                <w:highlight w:val="none"/>
              </w:rPr>
              <w:t>、CaSO</w:t>
            </w:r>
            <w:r>
              <w:rPr>
                <w:rFonts w:hint="eastAsia"/>
                <w:kern w:val="0"/>
                <w:sz w:val="24"/>
                <w:szCs w:val="24"/>
                <w:highlight w:val="none"/>
                <w:vertAlign w:val="subscript"/>
              </w:rPr>
              <w:t>4</w:t>
            </w:r>
            <w:r>
              <w:rPr>
                <w:rFonts w:hint="eastAsia"/>
                <w:kern w:val="0"/>
                <w:sz w:val="24"/>
                <w:szCs w:val="24"/>
                <w:highlight w:val="none"/>
              </w:rPr>
              <w:t>、CaCO</w:t>
            </w:r>
            <w:r>
              <w:rPr>
                <w:rFonts w:hint="eastAsia"/>
                <w:kern w:val="0"/>
                <w:sz w:val="24"/>
                <w:szCs w:val="24"/>
                <w:highlight w:val="none"/>
                <w:vertAlign w:val="subscript"/>
              </w:rPr>
              <w:t>3</w:t>
            </w:r>
            <w:r>
              <w:rPr>
                <w:kern w:val="0"/>
                <w:sz w:val="24"/>
                <w:szCs w:val="24"/>
                <w:highlight w:val="none"/>
              </w:rPr>
              <w:t>及煤气中少量的粉尘</w:t>
            </w:r>
            <w:r>
              <w:rPr>
                <w:rFonts w:hint="eastAsia"/>
                <w:kern w:val="0"/>
                <w:sz w:val="24"/>
                <w:szCs w:val="24"/>
                <w:highlight w:val="none"/>
                <w:lang w:eastAsia="zh-CN"/>
              </w:rPr>
              <w:t>。</w:t>
            </w:r>
            <w:r>
              <w:rPr>
                <w:kern w:val="0"/>
                <w:sz w:val="24"/>
                <w:szCs w:val="24"/>
                <w:highlight w:val="none"/>
              </w:rPr>
              <w:t>布袋除尘器配套有相应的气力输灰系统、灰库及控制系统。</w:t>
            </w:r>
          </w:p>
          <w:p w14:paraId="1240297E">
            <w:pPr>
              <w:adjustRightInd w:val="0"/>
              <w:spacing w:line="360" w:lineRule="auto"/>
              <w:ind w:firstLine="480" w:firstLineChars="200"/>
              <w:textAlignment w:val="baseline"/>
              <w:rPr>
                <w:rFonts w:ascii="Times New Roman" w:hAnsi="Times New Roman" w:eastAsia="宋体" w:cs="Times New Roman"/>
                <w:kern w:val="0"/>
                <w:sz w:val="24"/>
                <w:szCs w:val="24"/>
                <w:highlight w:val="none"/>
              </w:rPr>
            </w:pPr>
            <w:r>
              <w:rPr>
                <w:rFonts w:ascii="Times New Roman" w:hAnsi="Times New Roman" w:eastAsia="宋体" w:cs="Times New Roman"/>
                <w:kern w:val="0"/>
                <w:sz w:val="24"/>
                <w:szCs w:val="24"/>
                <w:highlight w:val="none"/>
              </w:rPr>
              <w:t>本工程除灰系统采用正压气力输灰系统，将除尘器灰斗收集的脱硫灰输送至灰库。本工程共设气力输送系统1套和灰库系统1套。</w:t>
            </w:r>
          </w:p>
          <w:p w14:paraId="6ABF7A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rPr>
            </w:pPr>
            <w:r>
              <w:rPr>
                <w:rFonts w:ascii="Times New Roman" w:hAnsi="Times New Roman" w:eastAsia="宋体" w:cs="Times New Roman"/>
                <w:kern w:val="0"/>
                <w:sz w:val="24"/>
                <w:szCs w:val="24"/>
              </w:rPr>
              <w:t>除灰系统设计范围包括从除尘器灰斗出口开始至灰库排灰设备出口为止的所有工艺设备、管道、耐磨弯头等。</w:t>
            </w:r>
          </w:p>
          <w:p w14:paraId="0B2424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除灰系统主要工艺流程及运行方式如下：</w:t>
            </w:r>
          </w:p>
          <w:p w14:paraId="7D478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rPr>
            </w:pPr>
            <w:r>
              <w:rPr>
                <w:rFonts w:hint="default" w:ascii="Times New Roman" w:hAnsi="Times New Roman" w:eastAsia="宋体" w:cs="Times New Roman"/>
                <w:kern w:val="0"/>
                <w:sz w:val="24"/>
                <w:szCs w:val="24"/>
              </w:rPr>
              <w:t>除尘器下灰斗→手动插板阀→气动进料阀→</w:t>
            </w:r>
            <w:r>
              <w:rPr>
                <w:rFonts w:ascii="Times New Roman" w:hAnsi="Times New Roman" w:eastAsia="宋体" w:cs="Times New Roman"/>
                <w:kern w:val="0"/>
                <w:sz w:val="24"/>
                <w:szCs w:val="24"/>
              </w:rPr>
              <w:t>仓泵→输送管道→灰库→</w:t>
            </w:r>
            <w:r>
              <w:rPr>
                <w:rFonts w:hint="default" w:ascii="Times New Roman" w:hAnsi="Times New Roman" w:eastAsia="宋体" w:cs="Times New Roman"/>
                <w:kern w:val="0"/>
                <w:sz w:val="24"/>
                <w:szCs w:val="24"/>
                <w:highlight w:val="none"/>
                <w:lang w:val="en-US" w:eastAsia="zh-CN"/>
              </w:rPr>
              <w:t>负压罐车吸灰卸料器</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装车外运</w:t>
            </w:r>
            <w:r>
              <w:rPr>
                <w:rFonts w:ascii="Times New Roman" w:hAnsi="Times New Roman" w:eastAsia="宋体" w:cs="Times New Roman"/>
                <w:kern w:val="0"/>
                <w:sz w:val="24"/>
                <w:szCs w:val="24"/>
              </w:rPr>
              <w:t>。</w:t>
            </w:r>
          </w:p>
          <w:p w14:paraId="43CA110A">
            <w:pPr>
              <w:numPr>
                <w:ilvl w:val="0"/>
                <w:numId w:val="0"/>
              </w:numPr>
              <w:snapToGrid w:val="0"/>
              <w:spacing w:line="360" w:lineRule="auto"/>
              <w:ind w:firstLine="480" w:firstLineChars="200"/>
              <w:rPr>
                <w:rFonts w:hint="eastAsia" w:ascii="Times New Roman" w:hAnsi="Times New Roman" w:eastAsia="宋体" w:cs="Times New Roman"/>
                <w:kern w:val="0"/>
                <w:sz w:val="24"/>
                <w:szCs w:val="24"/>
              </w:rPr>
            </w:pPr>
            <w:r>
              <w:rPr>
                <w:rFonts w:hint="eastAsia" w:ascii="Times New Roman" w:hAnsi="Times New Roman" w:cs="Times New Roman"/>
                <w:bCs/>
                <w:color w:val="auto"/>
                <w:sz w:val="24"/>
                <w:szCs w:val="24"/>
                <w:highlight w:val="none"/>
                <w:lang w:val="en-US" w:eastAsia="zh-CN"/>
              </w:rPr>
              <w:t>气力输送系统：</w:t>
            </w:r>
            <w:r>
              <w:rPr>
                <w:rFonts w:hint="eastAsia" w:ascii="Times New Roman" w:hAnsi="Times New Roman" w:eastAsia="宋体" w:cs="Times New Roman"/>
                <w:kern w:val="0"/>
                <w:sz w:val="24"/>
                <w:szCs w:val="24"/>
              </w:rPr>
              <w:t>除尘器下设置一套气力输送系统，</w:t>
            </w:r>
            <w:r>
              <w:rPr>
                <w:rFonts w:ascii="Times New Roman" w:hAnsi="Times New Roman" w:eastAsia="宋体" w:cs="Times New Roman"/>
                <w:kern w:val="0"/>
                <w:sz w:val="24"/>
                <w:szCs w:val="24"/>
              </w:rPr>
              <w:t>系统出力按锅炉额定负荷下所燃用设计燃料排灰量的150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设计</w:t>
            </w:r>
            <w:r>
              <w:rPr>
                <w:rFonts w:hint="eastAsia" w:ascii="Times New Roman" w:hAnsi="Times New Roman" w:eastAsia="宋体" w:cs="Times New Roman"/>
                <w:kern w:val="0"/>
                <w:sz w:val="24"/>
                <w:szCs w:val="24"/>
              </w:rPr>
              <w:t>，每个灰斗下设置独立仓泵，不同灰斗的仓泵轮换输灰，输送方式为正压浓相输送。输灰系统的控制具备远程和就地两种方式，正常运行方式为系统控制自动输灰。</w:t>
            </w:r>
          </w:p>
          <w:p w14:paraId="493C2E89">
            <w:pPr>
              <w:numPr>
                <w:ilvl w:val="0"/>
                <w:numId w:val="0"/>
              </w:numPr>
              <w:snapToGrid w:val="0"/>
              <w:spacing w:line="360" w:lineRule="auto"/>
              <w:ind w:firstLine="480" w:firstLineChars="200"/>
              <w:rPr>
                <w:rFonts w:hint="default" w:cs="Times New Roman"/>
                <w:b/>
                <w:bCs/>
                <w:i w:val="0"/>
                <w:iCs w:val="0"/>
                <w:color w:val="000000"/>
                <w:kern w:val="0"/>
                <w:sz w:val="24"/>
                <w:szCs w:val="24"/>
                <w:u w:val="none"/>
                <w:lang w:val="en-US" w:eastAsia="zh-CN" w:bidi="ar"/>
              </w:rPr>
            </w:pPr>
            <w:r>
              <w:rPr>
                <w:rFonts w:hint="eastAsia" w:ascii="Times New Roman" w:hAnsi="Times New Roman" w:cs="Times New Roman"/>
                <w:bCs/>
                <w:color w:val="auto"/>
                <w:sz w:val="24"/>
                <w:szCs w:val="24"/>
                <w:highlight w:val="none"/>
                <w:lang w:val="en-US" w:eastAsia="zh-CN"/>
              </w:rPr>
              <w:t>灰库系统：</w:t>
            </w:r>
            <w:r>
              <w:rPr>
                <w:rFonts w:hint="eastAsia" w:ascii="Times New Roman" w:hAnsi="Times New Roman" w:eastAsia="宋体" w:cs="Times New Roman"/>
                <w:kern w:val="0"/>
                <w:sz w:val="24"/>
                <w:szCs w:val="24"/>
              </w:rPr>
              <w:t>本工程建设1座钢制灰库，灰库几何容积为</w:t>
            </w:r>
            <w:r>
              <w:rPr>
                <w:rFonts w:hint="eastAsia" w:ascii="Times New Roman" w:hAnsi="Times New Roman" w:eastAsia="宋体" w:cs="Times New Roman"/>
                <w:kern w:val="0"/>
                <w:sz w:val="24"/>
                <w:szCs w:val="24"/>
                <w:lang w:val="en-US" w:eastAsia="zh-CN"/>
              </w:rPr>
              <w:t>135</w:t>
            </w:r>
            <w:r>
              <w:rPr>
                <w:rFonts w:hint="eastAsia" w:ascii="Times New Roman" w:hAnsi="Times New Roman" w:eastAsia="宋体" w:cs="Times New Roman"/>
                <w:kern w:val="0"/>
                <w:sz w:val="24"/>
                <w:szCs w:val="24"/>
              </w:rPr>
              <w:t>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；灰库出口设置有手动插板阀、电动插板阀、</w:t>
            </w:r>
            <w:r>
              <w:rPr>
                <w:rFonts w:hint="eastAsia" w:ascii="Times New Roman" w:hAnsi="Times New Roman" w:eastAsia="宋体" w:cs="Times New Roman"/>
                <w:kern w:val="0"/>
                <w:sz w:val="24"/>
                <w:szCs w:val="24"/>
                <w:highlight w:val="none"/>
                <w:lang w:val="en-US" w:eastAsia="zh-CN"/>
              </w:rPr>
              <w:t>星型给料机</w:t>
            </w:r>
            <w:r>
              <w:rPr>
                <w:rFonts w:hint="eastAsia" w:ascii="Times New Roman" w:hAnsi="Times New Roman" w:eastAsia="宋体" w:cs="Times New Roman"/>
                <w:kern w:val="0"/>
                <w:sz w:val="24"/>
                <w:szCs w:val="24"/>
              </w:rPr>
              <w:t>和</w:t>
            </w:r>
            <w:r>
              <w:rPr>
                <w:rFonts w:hint="eastAsia" w:ascii="Times New Roman" w:hAnsi="Times New Roman" w:eastAsia="宋体" w:cs="Times New Roman"/>
                <w:kern w:val="0"/>
                <w:sz w:val="24"/>
                <w:szCs w:val="24"/>
                <w:highlight w:val="none"/>
                <w:lang w:val="en-US" w:eastAsia="zh-CN"/>
              </w:rPr>
              <w:t>负压罐车吸灰卸料器</w:t>
            </w:r>
            <w:r>
              <w:rPr>
                <w:rFonts w:hint="eastAsia" w:ascii="Times New Roman" w:hAnsi="Times New Roman" w:eastAsia="宋体" w:cs="Times New Roman"/>
                <w:kern w:val="0"/>
                <w:sz w:val="24"/>
                <w:szCs w:val="24"/>
              </w:rPr>
              <w:t>，可以方便控制灰库卸料，灰库脱硫灰采用</w:t>
            </w:r>
            <w:r>
              <w:rPr>
                <w:rFonts w:hint="eastAsia" w:ascii="Times New Roman" w:hAnsi="Times New Roman" w:eastAsia="宋体" w:cs="Times New Roman"/>
                <w:kern w:val="0"/>
                <w:sz w:val="24"/>
                <w:szCs w:val="24"/>
                <w:highlight w:val="none"/>
                <w:lang w:val="en-US" w:eastAsia="zh-CN"/>
              </w:rPr>
              <w:t>负压吸排罐车</w:t>
            </w:r>
            <w:r>
              <w:rPr>
                <w:rFonts w:hint="eastAsia" w:ascii="Times New Roman" w:hAnsi="Times New Roman" w:eastAsia="宋体" w:cs="Times New Roman"/>
                <w:kern w:val="0"/>
                <w:sz w:val="24"/>
                <w:szCs w:val="24"/>
              </w:rPr>
              <w:t>外运，脱硫灰吨袋在堆存、转运过程中需叉车配合操作；脱硫灰处理由业主负责；同时为使灰库正常运行，灰库配备仓顶除尘器、真空压力释放阀、高低料位计等。</w:t>
            </w:r>
          </w:p>
        </w:tc>
      </w:tr>
      <w:tr w14:paraId="6AFC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atLeast"/>
        </w:trPr>
        <w:tc>
          <w:tcPr>
            <w:tcW w:w="457" w:type="dxa"/>
            <w:vAlign w:val="center"/>
          </w:tcPr>
          <w:p w14:paraId="0186926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与项目有关的原有环境污染问题</w:t>
            </w:r>
          </w:p>
        </w:tc>
        <w:tc>
          <w:tcPr>
            <w:tcW w:w="8250" w:type="dxa"/>
          </w:tcPr>
          <w:p w14:paraId="57439ED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i w:val="0"/>
                <w:iCs w:val="0"/>
                <w:color w:val="000000"/>
                <w:kern w:val="0"/>
                <w:sz w:val="24"/>
                <w:szCs w:val="24"/>
                <w:u w:val="none"/>
                <w:lang w:val="en-US" w:eastAsia="zh-CN" w:bidi="ar"/>
              </w:rPr>
            </w:pPr>
            <w:r>
              <w:rPr>
                <w:rFonts w:hint="eastAsia" w:ascii="Times New Roman" w:hAnsi="Times New Roman" w:cs="Times New Roman"/>
                <w:b/>
                <w:bCs/>
                <w:i w:val="0"/>
                <w:iCs w:val="0"/>
                <w:color w:val="000000"/>
                <w:kern w:val="0"/>
                <w:sz w:val="24"/>
                <w:szCs w:val="24"/>
                <w:u w:val="none"/>
                <w:lang w:val="en-US" w:eastAsia="zh-CN" w:bidi="ar"/>
              </w:rPr>
              <w:t>1、厂区项目情况介绍</w:t>
            </w:r>
          </w:p>
          <w:p w14:paraId="251182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根据现场踏勘和建设单位提供资料，目前，云南玉溪仙福钢铁（集团）有限公司已建成2座</w:t>
            </w:r>
            <w:r>
              <w:rPr>
                <w:rFonts w:hint="default" w:ascii="Times New Roman" w:hAnsi="Times New Roman" w:eastAsia="宋体" w:cs="Times New Roman"/>
                <w:color w:val="auto"/>
                <w:sz w:val="24"/>
                <w:szCs w:val="24"/>
                <w:highlight w:val="none"/>
              </w:rPr>
              <w:t>1350m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高</w:t>
            </w:r>
            <w:r>
              <w:rPr>
                <w:rFonts w:hint="default" w:ascii="Times New Roman" w:hAnsi="Times New Roman" w:eastAsia="宋体" w:cs="Times New Roman"/>
                <w:color w:val="000000"/>
                <w:kern w:val="0"/>
                <w:sz w:val="24"/>
                <w:szCs w:val="24"/>
                <w:lang w:val="en-US" w:eastAsia="zh-CN" w:bidi="ar"/>
              </w:rPr>
              <w:t>炉</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烧结、转炉炼钢、</w:t>
            </w:r>
            <w:r>
              <w:rPr>
                <w:rFonts w:hint="eastAsia" w:cs="Times New Roman"/>
                <w:color w:val="000000"/>
                <w:kern w:val="0"/>
                <w:sz w:val="24"/>
                <w:szCs w:val="24"/>
                <w:lang w:val="en-US" w:eastAsia="zh-CN" w:bidi="ar"/>
              </w:rPr>
              <w:t>电炉炼钢、</w:t>
            </w:r>
            <w:r>
              <w:rPr>
                <w:rFonts w:hint="default" w:ascii="Times New Roman" w:hAnsi="Times New Roman" w:eastAsia="宋体" w:cs="Times New Roman"/>
                <w:color w:val="000000"/>
                <w:kern w:val="0"/>
                <w:sz w:val="24"/>
                <w:szCs w:val="24"/>
                <w:lang w:val="en-US" w:eastAsia="zh-CN" w:bidi="ar"/>
              </w:rPr>
              <w:t>轧钢</w:t>
            </w:r>
            <w:r>
              <w:rPr>
                <w:rFonts w:hint="eastAsia" w:cs="Times New Roman"/>
                <w:color w:val="000000"/>
                <w:kern w:val="0"/>
                <w:sz w:val="24"/>
                <w:szCs w:val="24"/>
                <w:lang w:val="en-US" w:eastAsia="zh-CN" w:bidi="ar"/>
              </w:rPr>
              <w:t>，石灰窑生产线，</w:t>
            </w:r>
            <w:r>
              <w:rPr>
                <w:rFonts w:hint="eastAsia" w:ascii="Times New Roman" w:hAnsi="Times New Roman" w:eastAsia="宋体" w:cs="Times New Roman"/>
                <w:color w:val="auto"/>
                <w:kern w:val="2"/>
                <w:sz w:val="24"/>
                <w:szCs w:val="24"/>
                <w:highlight w:val="none"/>
                <w:lang w:val="en-US" w:eastAsia="zh-CN" w:bidi="ar-SA"/>
              </w:rPr>
              <w:t>12MW</w:t>
            </w:r>
            <w:r>
              <w:rPr>
                <w:rFonts w:hint="eastAsia" w:ascii="Times New Roman" w:hAnsi="Times New Roman" w:eastAsia="宋体" w:cs="Times New Roman"/>
                <w:color w:val="auto"/>
                <w:sz w:val="24"/>
                <w:highlight w:val="none"/>
                <w:lang w:val="en-US" w:eastAsia="zh-CN"/>
              </w:rPr>
              <w:t>中温中压煤气发电机组</w:t>
            </w:r>
            <w:r>
              <w:rPr>
                <w:rFonts w:hint="eastAsia" w:cs="Times New Roman"/>
                <w:color w:val="auto"/>
                <w:sz w:val="24"/>
                <w:highlight w:val="none"/>
                <w:lang w:val="en-US" w:eastAsia="zh-CN"/>
              </w:rPr>
              <w:t>，20MW</w:t>
            </w:r>
            <w:r>
              <w:rPr>
                <w:rFonts w:hint="eastAsia" w:ascii="Times New Roman" w:hAnsi="Times New Roman" w:eastAsia="宋体" w:cs="Times New Roman"/>
                <w:color w:val="auto"/>
                <w:sz w:val="24"/>
                <w:highlight w:val="none"/>
                <w:lang w:val="en-US" w:eastAsia="zh-CN"/>
              </w:rPr>
              <w:t>中温中压煤气</w:t>
            </w:r>
            <w:r>
              <w:rPr>
                <w:rFonts w:hint="eastAsia" w:cs="Times New Roman"/>
                <w:color w:val="auto"/>
                <w:sz w:val="24"/>
                <w:highlight w:val="none"/>
                <w:lang w:val="en-US" w:eastAsia="zh-CN"/>
              </w:rPr>
              <w:t>+烧结余热</w:t>
            </w:r>
            <w:r>
              <w:rPr>
                <w:rFonts w:hint="eastAsia" w:ascii="Times New Roman" w:hAnsi="Times New Roman" w:eastAsia="宋体" w:cs="Times New Roman"/>
                <w:color w:val="auto"/>
                <w:sz w:val="24"/>
                <w:highlight w:val="none"/>
                <w:lang w:val="en-US" w:eastAsia="zh-CN"/>
              </w:rPr>
              <w:t>发电机组</w:t>
            </w:r>
            <w:r>
              <w:rPr>
                <w:rFonts w:hint="eastAsia" w:cs="Times New Roman"/>
                <w:color w:val="auto"/>
                <w:sz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25MW</w:t>
            </w:r>
            <w:r>
              <w:rPr>
                <w:rFonts w:hint="eastAsia" w:ascii="Times New Roman" w:hAnsi="Times New Roman" w:eastAsia="宋体" w:cs="Times New Roman"/>
                <w:color w:val="auto"/>
                <w:sz w:val="24"/>
                <w:highlight w:val="none"/>
                <w:lang w:val="en-US" w:eastAsia="zh-CN"/>
              </w:rPr>
              <w:t>中温中压煤气发电机组</w:t>
            </w:r>
            <w:r>
              <w:rPr>
                <w:rFonts w:hint="eastAsia" w:cs="Times New Roman"/>
                <w:color w:val="auto"/>
                <w:sz w:val="24"/>
                <w:highlight w:val="none"/>
                <w:lang w:val="en-US" w:eastAsia="zh-CN"/>
              </w:rPr>
              <w:t>，100MW超高温亚临界煤气发电机组，现阶段正在建设焦化项目。</w:t>
            </w:r>
          </w:p>
          <w:p w14:paraId="6E2911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本项目为能源综合利用升级改造项目，即新建1套</w:t>
            </w:r>
            <w:r>
              <w:rPr>
                <w:rFonts w:hint="eastAsia" w:ascii="Times New Roman" w:hAnsi="Times New Roman" w:eastAsia="宋体" w:cs="Times New Roman"/>
                <w:color w:val="000000"/>
                <w:kern w:val="0"/>
                <w:sz w:val="24"/>
                <w:szCs w:val="24"/>
                <w:lang w:val="en-US" w:eastAsia="zh-CN" w:bidi="ar"/>
              </w:rPr>
              <w:t>80</w:t>
            </w:r>
            <w:r>
              <w:rPr>
                <w:rFonts w:hint="default" w:ascii="Times New Roman" w:hAnsi="Times New Roman" w:eastAsia="宋体" w:cs="Times New Roman"/>
                <w:color w:val="000000"/>
                <w:kern w:val="0"/>
                <w:sz w:val="24"/>
                <w:szCs w:val="24"/>
                <w:lang w:val="en-US" w:eastAsia="zh-CN" w:bidi="ar"/>
              </w:rPr>
              <w:t>MW超高温亚临界煤气锅炉煤气发电机组</w:t>
            </w:r>
            <w:r>
              <w:rPr>
                <w:rFonts w:hint="default" w:ascii="Times New Roman" w:hAnsi="Times New Roman" w:eastAsia="宋体" w:cs="Times New Roman"/>
                <w:color w:val="auto"/>
                <w:kern w:val="0"/>
                <w:sz w:val="24"/>
                <w:szCs w:val="24"/>
                <w:lang w:val="en-US" w:eastAsia="zh-CN" w:bidi="ar"/>
              </w:rPr>
              <w:t>，利用厂内富余高炉煤气、转炉</w:t>
            </w:r>
            <w:r>
              <w:rPr>
                <w:rFonts w:hint="eastAsia" w:cs="Times New Roman"/>
                <w:color w:val="auto"/>
                <w:kern w:val="0"/>
                <w:sz w:val="24"/>
                <w:szCs w:val="24"/>
                <w:lang w:val="en-US" w:eastAsia="zh-CN" w:bidi="ar"/>
              </w:rPr>
              <w:t>以及</w:t>
            </w:r>
            <w:r>
              <w:rPr>
                <w:rFonts w:hint="default" w:ascii="Times New Roman" w:hAnsi="Times New Roman" w:eastAsia="宋体" w:cs="Times New Roman"/>
                <w:color w:val="auto"/>
                <w:kern w:val="0"/>
                <w:sz w:val="24"/>
                <w:szCs w:val="24"/>
                <w:lang w:val="en-US" w:eastAsia="zh-CN" w:bidi="ar"/>
              </w:rPr>
              <w:t>焦炉煤气进行发电</w:t>
            </w:r>
            <w:r>
              <w:rPr>
                <w:rFonts w:hint="eastAsia" w:cs="Times New Roman"/>
                <w:color w:val="auto"/>
                <w:kern w:val="0"/>
                <w:sz w:val="24"/>
                <w:szCs w:val="24"/>
                <w:lang w:val="en-US" w:eastAsia="zh-CN" w:bidi="ar"/>
              </w:rPr>
              <w:t>。</w:t>
            </w:r>
          </w:p>
          <w:p w14:paraId="01A6AC1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color w:val="auto"/>
                <w:kern w:val="2"/>
                <w:sz w:val="24"/>
                <w:szCs w:val="21"/>
                <w:highlight w:val="none"/>
                <w:lang w:val="en-US" w:eastAsia="zh-CN" w:bidi="ar-SA"/>
              </w:rPr>
              <w:t>随着新建配套100万吨/年焦化项目，须对钢焦联产后的煤气进行重新平衡。根据富余煤气量估算，仅一台1</w:t>
            </w:r>
            <w:r>
              <w:rPr>
                <w:rFonts w:hint="eastAsia" w:ascii="Times New Roman" w:hAnsi="Times New Roman" w:cs="Times New Roman"/>
                <w:color w:val="auto"/>
                <w:kern w:val="2"/>
                <w:sz w:val="24"/>
                <w:szCs w:val="21"/>
                <w:highlight w:val="none"/>
                <w:lang w:val="en-US" w:eastAsia="zh-CN" w:bidi="ar-SA"/>
              </w:rPr>
              <w:t>0</w:t>
            </w:r>
            <w:r>
              <w:rPr>
                <w:rFonts w:hint="eastAsia" w:ascii="Times New Roman" w:hAnsi="Times New Roman" w:eastAsia="宋体" w:cs="Times New Roman"/>
                <w:color w:val="auto"/>
                <w:kern w:val="2"/>
                <w:sz w:val="24"/>
                <w:szCs w:val="21"/>
                <w:highlight w:val="none"/>
                <w:lang w:val="en-US" w:eastAsia="zh-CN" w:bidi="ar-SA"/>
              </w:rPr>
              <w:t>0MW超高温亚临界煤气发电站不足以完全消纳钢厂内的富余煤气。本项目建成后考虑将25MW中温中压发电机组仅作备用机组，停用12MW中温中压发电机组、20MW煤气+烧结余热发电机组。</w:t>
            </w:r>
          </w:p>
          <w:p w14:paraId="05CEAEE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lang w:val="en-US" w:eastAsia="zh-CN" w:bidi="ar-SA"/>
              </w:rPr>
            </w:pPr>
            <w:r>
              <w:rPr>
                <w:rFonts w:hint="eastAsia" w:ascii="Times New Roman" w:hAnsi="Times New Roman" w:cs="Times New Roman"/>
                <w:color w:val="auto"/>
                <w:kern w:val="2"/>
                <w:sz w:val="24"/>
                <w:szCs w:val="21"/>
                <w:highlight w:val="none"/>
                <w:lang w:val="en-US" w:eastAsia="zh-CN" w:bidi="ar-SA"/>
              </w:rPr>
              <w:t>项目环保手续办理情况详见下表：</w:t>
            </w:r>
          </w:p>
          <w:p w14:paraId="4FEB8761">
            <w:pPr>
              <w:pStyle w:val="28"/>
              <w:keepNext w:val="0"/>
              <w:keepLines w:val="0"/>
              <w:suppressLineNumbers w:val="0"/>
              <w:bidi w:val="0"/>
              <w:spacing w:before="0" w:beforeAutospacing="0" w:after="0" w:afterAutospacing="0"/>
              <w:ind w:left="0" w:right="0"/>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表2-16  相关工程手续办理情况一览表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806"/>
              <w:gridCol w:w="5709"/>
            </w:tblGrid>
            <w:tr w14:paraId="3F0FA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tcBorders>
                    <w:tl2br w:val="nil"/>
                    <w:tr2bl w:val="nil"/>
                  </w:tcBorders>
                  <w:vAlign w:val="center"/>
                </w:tcPr>
                <w:p w14:paraId="3F86996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1124" w:type="pct"/>
                  <w:tcBorders>
                    <w:tl2br w:val="nil"/>
                    <w:tr2bl w:val="nil"/>
                  </w:tcBorders>
                  <w:vAlign w:val="center"/>
                </w:tcPr>
                <w:p w14:paraId="18872D8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工程名称</w:t>
                  </w:r>
                </w:p>
              </w:tc>
              <w:tc>
                <w:tcPr>
                  <w:tcW w:w="3554" w:type="pct"/>
                  <w:tcBorders>
                    <w:tl2br w:val="nil"/>
                    <w:tr2bl w:val="nil"/>
                  </w:tcBorders>
                  <w:vAlign w:val="center"/>
                </w:tcPr>
                <w:p w14:paraId="71A98D4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相关手续</w:t>
                  </w:r>
                </w:p>
              </w:tc>
            </w:tr>
            <w:tr w14:paraId="58041E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l2br w:val="nil"/>
                    <w:tr2bl w:val="nil"/>
                  </w:tcBorders>
                  <w:vAlign w:val="center"/>
                </w:tcPr>
                <w:p w14:paraId="66B41EF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124" w:type="pct"/>
                  <w:vMerge w:val="restart"/>
                  <w:tcBorders>
                    <w:tl2br w:val="nil"/>
                    <w:tr2bl w:val="nil"/>
                  </w:tcBorders>
                  <w:vAlign w:val="center"/>
                </w:tcPr>
                <w:p w14:paraId="0B96382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1350m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高炉</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2座</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烧结、转炉炼钢、轧钢</w:t>
                  </w:r>
                </w:p>
              </w:tc>
              <w:tc>
                <w:tcPr>
                  <w:tcW w:w="3554" w:type="pct"/>
                  <w:tcBorders>
                    <w:tl2br w:val="nil"/>
                    <w:tr2bl w:val="nil"/>
                  </w:tcBorders>
                  <w:vAlign w:val="center"/>
                </w:tcPr>
                <w:p w14:paraId="597BF7F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2019年云南玉溪仙福钢铁（集团）有限公司委托重庆浩力环境影响评价有限公司编制了《云南玉溪仙福钢铁（集团）有限公司产能置换技术升级改造项目环境影响报告书》；</w:t>
                  </w:r>
                </w:p>
              </w:tc>
            </w:tr>
            <w:tr w14:paraId="549609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542A1CF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2CED7B8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2217AA0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2020年取得《云南省生态环境厅关于云南玉溪仙福钢铁（集团）有限公司产能置换技术升级改造项目环境影响报告书》的批复，云环审[2020]1-2号；</w:t>
                  </w:r>
                </w:p>
              </w:tc>
            </w:tr>
            <w:tr w14:paraId="654516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171BA72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0FCAAA1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7B1BC4E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2022年5月取得《云南玉溪仙福钢铁（集团）有限公司产能置换技术升级改造项目（一期工程）竣工环境保护验收报告》的验收意见，其中一期工程包含1座1350m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高炉、1座360m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烧结机、1座100t转炉、140万t/a高速棒材生产线1条、20000Nm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/h空分装置1套、9.5</w:t>
                  </w:r>
                  <w:r>
                    <w:rPr>
                      <w:rFonts w:hint="eastAsia" w:cs="Times New Roman"/>
                      <w:color w:val="auto"/>
                      <w:sz w:val="18"/>
                      <w:szCs w:val="18"/>
                      <w:lang w:val="en-US" w:eastAsia="zh-CN"/>
                    </w:rPr>
                    <w:t>万</w:t>
                  </w:r>
                  <w:r>
                    <w:rPr>
                      <w:rFonts w:hint="default" w:ascii="Times New Roman" w:hAnsi="Times New Roman" w:eastAsia="宋体" w:cs="Times New Roman"/>
                      <w:color w:val="auto"/>
                      <w:sz w:val="18"/>
                      <w:szCs w:val="18"/>
                      <w:lang w:val="en-US" w:eastAsia="zh-CN"/>
                    </w:rPr>
                    <w:t>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转炉煤气柜及相关的辅助设施，并已经拆除原有450m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高炉、580m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高炉、3座35t转炉以及90m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烧结机。</w:t>
                  </w:r>
                </w:p>
              </w:tc>
            </w:tr>
            <w:tr w14:paraId="2744C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l2br w:val="nil"/>
                    <w:tr2bl w:val="nil"/>
                  </w:tcBorders>
                  <w:vAlign w:val="center"/>
                </w:tcPr>
                <w:p w14:paraId="33E764F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124" w:type="pct"/>
                  <w:vMerge w:val="restart"/>
                  <w:tcBorders>
                    <w:tl2br w:val="nil"/>
                    <w:tr2bl w:val="nil"/>
                  </w:tcBorders>
                  <w:vAlign w:val="center"/>
                </w:tcPr>
                <w:p w14:paraId="706957D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12MW发电</w:t>
                  </w:r>
                  <w:r>
                    <w:rPr>
                      <w:rFonts w:hint="default" w:ascii="Times New Roman" w:hAnsi="Times New Roman" w:eastAsia="宋体" w:cs="Times New Roman"/>
                      <w:color w:val="auto"/>
                      <w:sz w:val="18"/>
                      <w:szCs w:val="18"/>
                      <w:highlight w:val="none"/>
                      <w:lang w:val="en-US" w:eastAsia="zh-CN"/>
                    </w:rPr>
                    <w:t>机组</w:t>
                  </w:r>
                </w:p>
              </w:tc>
              <w:tc>
                <w:tcPr>
                  <w:tcW w:w="3554" w:type="pct"/>
                  <w:tcBorders>
                    <w:tl2br w:val="nil"/>
                    <w:tr2bl w:val="nil"/>
                  </w:tcBorders>
                  <w:vAlign w:val="center"/>
                </w:tcPr>
                <w:p w14:paraId="0C42793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2008年云南玉溪仙福钢铁（集团）有限公司委托中国环境科学研究院编制了《高炉煤气余热电站和低品位矿石利用备料场技术改造项目环境影响报告表》；</w:t>
                  </w:r>
                </w:p>
              </w:tc>
            </w:tr>
            <w:tr w14:paraId="25179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468D937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46D0D06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678FD64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2009年取得《高炉煤气余热电站和低品位矿石利用备料场技术改造项目环境影响报告表》的批复，玉环许准[2009]18号；</w:t>
                  </w:r>
                </w:p>
              </w:tc>
            </w:tr>
            <w:tr w14:paraId="6963D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2817E05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091A12B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77710DE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2010年取得《高炉煤气余热电站和低品位矿石利用备料场技术改造项目竣工环境保护验收监测表》，</w:t>
                  </w:r>
                  <w:r>
                    <w:rPr>
                      <w:rFonts w:hint="default" w:ascii="Times New Roman" w:hAnsi="Times New Roman" w:eastAsia="宋体" w:cs="Times New Roman"/>
                      <w:color w:val="auto"/>
                      <w:sz w:val="18"/>
                      <w:szCs w:val="18"/>
                      <w:highlight w:val="none"/>
                    </w:rPr>
                    <w:t>玉环监字（验）[2010]020号</w:t>
                  </w:r>
                  <w:r>
                    <w:rPr>
                      <w:rFonts w:hint="default" w:ascii="Times New Roman" w:hAnsi="Times New Roman" w:eastAsia="宋体" w:cs="Times New Roman"/>
                      <w:color w:val="auto"/>
                      <w:sz w:val="18"/>
                      <w:szCs w:val="18"/>
                      <w:highlight w:val="none"/>
                      <w:lang w:eastAsia="zh-CN"/>
                    </w:rPr>
                    <w:t>。</w:t>
                  </w:r>
                </w:p>
              </w:tc>
            </w:tr>
            <w:tr w14:paraId="62A36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l2br w:val="nil"/>
                    <w:tr2bl w:val="nil"/>
                  </w:tcBorders>
                  <w:vAlign w:val="center"/>
                </w:tcPr>
                <w:p w14:paraId="25128FA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1124" w:type="pct"/>
                  <w:vMerge w:val="restart"/>
                  <w:tcBorders>
                    <w:tl2br w:val="nil"/>
                    <w:tr2bl w:val="nil"/>
                  </w:tcBorders>
                  <w:vAlign w:val="center"/>
                </w:tcPr>
                <w:p w14:paraId="76668F1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25MW发电</w:t>
                  </w:r>
                  <w:r>
                    <w:rPr>
                      <w:rFonts w:hint="default" w:ascii="Times New Roman" w:hAnsi="Times New Roman" w:eastAsia="宋体" w:cs="Times New Roman"/>
                      <w:color w:val="auto"/>
                      <w:sz w:val="18"/>
                      <w:szCs w:val="18"/>
                      <w:highlight w:val="none"/>
                      <w:lang w:val="en-US" w:eastAsia="zh-CN"/>
                    </w:rPr>
                    <w:t>机组</w:t>
                  </w:r>
                </w:p>
              </w:tc>
              <w:tc>
                <w:tcPr>
                  <w:tcW w:w="3554" w:type="pct"/>
                  <w:tcBorders>
                    <w:tl2br w:val="nil"/>
                    <w:tr2bl w:val="nil"/>
                  </w:tcBorders>
                  <w:vAlign w:val="center"/>
                </w:tcPr>
                <w:p w14:paraId="7003375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2011年12月，玉溪仙福钢铁（集团）有限公司委托昆明理工大学编制了《</w:t>
                  </w:r>
                  <w:r>
                    <w:rPr>
                      <w:rFonts w:hint="default" w:ascii="Times New Roman" w:hAnsi="Times New Roman" w:eastAsia="宋体" w:cs="Times New Roman"/>
                      <w:color w:val="auto"/>
                      <w:sz w:val="18"/>
                      <w:szCs w:val="18"/>
                      <w:highlight w:val="none"/>
                    </w:rPr>
                    <w:t>25MW高炉剩余煤气余热发电站工程</w:t>
                  </w:r>
                  <w:r>
                    <w:rPr>
                      <w:rFonts w:hint="default" w:ascii="Times New Roman" w:hAnsi="Times New Roman" w:eastAsia="宋体" w:cs="Times New Roman"/>
                      <w:color w:val="auto"/>
                      <w:sz w:val="18"/>
                      <w:szCs w:val="18"/>
                      <w:highlight w:val="none"/>
                      <w:lang w:val="en-US" w:eastAsia="zh-CN"/>
                    </w:rPr>
                    <w:t>环境影响报告表》。</w:t>
                  </w:r>
                </w:p>
              </w:tc>
            </w:tr>
            <w:tr w14:paraId="209E11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08CC7D9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32F009C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0D33A9A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2012年2月26日，新平县环保局审批了《25MW高炉剩余煤气余热发电站工程建设项目环境影响报告表》（新环审[2012]9号）。</w:t>
                  </w:r>
                </w:p>
              </w:tc>
            </w:tr>
            <w:tr w14:paraId="3397A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21" w:type="pct"/>
                  <w:vMerge w:val="continue"/>
                  <w:tcBorders>
                    <w:tl2br w:val="nil"/>
                    <w:tr2bl w:val="nil"/>
                  </w:tcBorders>
                  <w:vAlign w:val="center"/>
                </w:tcPr>
                <w:p w14:paraId="5252B1F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37353A0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0654597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2014年取得《25MW高炉剩余煤气余热发电站工程建设项目竣工环境保护验收监测表》[新环监字（验）〔2014〕2号]。</w:t>
                  </w:r>
                </w:p>
              </w:tc>
            </w:tr>
            <w:tr w14:paraId="36C008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l2br w:val="nil"/>
                    <w:tr2bl w:val="nil"/>
                  </w:tcBorders>
                  <w:vAlign w:val="center"/>
                </w:tcPr>
                <w:p w14:paraId="1C0F738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1124" w:type="pct"/>
                  <w:vMerge w:val="restart"/>
                  <w:tcBorders>
                    <w:tl2br w:val="nil"/>
                    <w:tr2bl w:val="nil"/>
                  </w:tcBorders>
                  <w:vAlign w:val="center"/>
                </w:tcPr>
                <w:p w14:paraId="045C611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20MW发电</w:t>
                  </w:r>
                  <w:r>
                    <w:rPr>
                      <w:rFonts w:hint="default" w:ascii="Times New Roman" w:hAnsi="Times New Roman" w:eastAsia="宋体" w:cs="Times New Roman"/>
                      <w:color w:val="auto"/>
                      <w:sz w:val="18"/>
                      <w:szCs w:val="18"/>
                      <w:highlight w:val="none"/>
                      <w:lang w:val="en-US" w:eastAsia="zh-CN"/>
                    </w:rPr>
                    <w:t>机组</w:t>
                  </w:r>
                </w:p>
              </w:tc>
              <w:tc>
                <w:tcPr>
                  <w:tcW w:w="3554" w:type="pct"/>
                  <w:tcBorders>
                    <w:tl2br w:val="nil"/>
                    <w:tr2bl w:val="nil"/>
                  </w:tcBorders>
                  <w:vAlign w:val="center"/>
                </w:tcPr>
                <w:p w14:paraId="527592F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2017年4月</w:t>
                  </w:r>
                  <w:r>
                    <w:rPr>
                      <w:rFonts w:hint="default" w:ascii="Times New Roman" w:hAnsi="Times New Roman" w:eastAsia="宋体" w:cs="Times New Roman"/>
                      <w:color w:val="auto"/>
                      <w:sz w:val="18"/>
                      <w:szCs w:val="18"/>
                      <w:highlight w:val="none"/>
                      <w:lang w:val="en-US" w:eastAsia="zh-CN"/>
                    </w:rPr>
                    <w:t>云南玉溪仙福钢铁（集团）有限公司</w:t>
                  </w:r>
                  <w:r>
                    <w:rPr>
                      <w:rFonts w:hint="default" w:ascii="Times New Roman" w:hAnsi="Times New Roman" w:eastAsia="宋体" w:cs="Times New Roman"/>
                      <w:color w:val="auto"/>
                      <w:sz w:val="18"/>
                      <w:szCs w:val="18"/>
                      <w:highlight w:val="none"/>
                    </w:rPr>
                    <w:t>委托煤炭科学技术研究院有限公司编制完成了《20MW烧结余热回收发电站工程环境影响报告表》</w:t>
                  </w:r>
                  <w:r>
                    <w:rPr>
                      <w:rFonts w:hint="default" w:ascii="Times New Roman" w:hAnsi="Times New Roman" w:eastAsia="宋体" w:cs="Times New Roman"/>
                      <w:color w:val="auto"/>
                      <w:sz w:val="18"/>
                      <w:szCs w:val="18"/>
                      <w:highlight w:val="none"/>
                      <w:lang w:eastAsia="zh-CN"/>
                    </w:rPr>
                    <w:t>。</w:t>
                  </w:r>
                </w:p>
              </w:tc>
            </w:tr>
            <w:tr w14:paraId="7DC419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5D770FB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7F2F49E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1CCE49E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2017年5月12日取得新平彝族傣族自治县环境保护局下发的：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新平县环境保护局关于20MW烧结余热回收发电站工程环境影响报告表的批复</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新环审[2017]7号</w:t>
                  </w:r>
                  <w:r>
                    <w:rPr>
                      <w:rFonts w:hint="default" w:ascii="Times New Roman" w:hAnsi="Times New Roman" w:eastAsia="宋体" w:cs="Times New Roman"/>
                      <w:color w:val="auto"/>
                      <w:sz w:val="18"/>
                      <w:szCs w:val="18"/>
                      <w:highlight w:val="none"/>
                      <w:lang w:eastAsia="zh-CN"/>
                    </w:rPr>
                    <w:t>。</w:t>
                  </w:r>
                </w:p>
              </w:tc>
            </w:tr>
            <w:tr w14:paraId="3C8DC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60D5B49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3F98062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6FED068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2019年4月，建设单位委托云南寄傲环境科技有限公司编制完成了《20MW烧结余热回收发电站工程建设项目竣工环境保护验收监测报告表》</w:t>
                  </w:r>
                  <w:r>
                    <w:rPr>
                      <w:rFonts w:hint="default" w:ascii="Times New Roman" w:hAnsi="Times New Roman" w:eastAsia="宋体" w:cs="Times New Roman"/>
                      <w:color w:val="auto"/>
                      <w:sz w:val="18"/>
                      <w:szCs w:val="18"/>
                      <w:highlight w:val="none"/>
                      <w:lang w:eastAsia="zh-CN"/>
                    </w:rPr>
                    <w:t>。</w:t>
                  </w:r>
                </w:p>
              </w:tc>
            </w:tr>
            <w:tr w14:paraId="271309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l2br w:val="nil"/>
                    <w:tr2bl w:val="nil"/>
                  </w:tcBorders>
                  <w:vAlign w:val="center"/>
                </w:tcPr>
                <w:p w14:paraId="2D82AED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1124" w:type="pct"/>
                  <w:vMerge w:val="restart"/>
                  <w:tcBorders>
                    <w:tl2br w:val="nil"/>
                    <w:tr2bl w:val="nil"/>
                  </w:tcBorders>
                  <w:vAlign w:val="center"/>
                </w:tcPr>
                <w:p w14:paraId="4AEC41B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110MW发电机组</w:t>
                  </w:r>
                </w:p>
              </w:tc>
              <w:tc>
                <w:tcPr>
                  <w:tcW w:w="3554" w:type="pct"/>
                  <w:tcBorders>
                    <w:tl2br w:val="nil"/>
                    <w:tr2bl w:val="nil"/>
                  </w:tcBorders>
                  <w:vAlign w:val="center"/>
                </w:tcPr>
                <w:p w14:paraId="7371F8E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2022年9月1日云南玉溪仙福钢铁（集团）有限公司委托云南寄傲环境科技有限公司编制《云南玉溪仙福钢铁（集团）有限公司能源综合利用升级改造项目环境影响报告表》，建设完成后项目发生重大变更，2024年8月又委托云南寄傲环境科技有限公司编制完成了《云南玉溪仙福钢铁（集团）有限公司能源综合利用升级改造项目（重大变更）》。</w:t>
                  </w:r>
                </w:p>
              </w:tc>
            </w:tr>
            <w:tr w14:paraId="79972C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21B9030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233F5AD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62A37D9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2024年8月20日取得了玉溪市生态环境局新平分局关于云南玉溪仙福钢铁（集团）有限公司能源综合利用升级改造项目（重大变更）环境影响报告表的批复，玉环新局审</w:t>
                  </w: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24</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13</w:t>
                  </w:r>
                  <w:r>
                    <w:rPr>
                      <w:rFonts w:hint="default" w:ascii="Times New Roman" w:hAnsi="Times New Roman" w:eastAsia="宋体" w:cs="Times New Roman"/>
                      <w:color w:val="auto"/>
                      <w:sz w:val="18"/>
                      <w:szCs w:val="18"/>
                      <w:highlight w:val="none"/>
                    </w:rPr>
                    <w:t>号</w:t>
                  </w:r>
                  <w:r>
                    <w:rPr>
                      <w:rFonts w:hint="default" w:ascii="Times New Roman" w:hAnsi="Times New Roman" w:eastAsia="宋体" w:cs="Times New Roman"/>
                      <w:color w:val="auto"/>
                      <w:sz w:val="18"/>
                      <w:szCs w:val="18"/>
                      <w:highlight w:val="none"/>
                      <w:lang w:eastAsia="zh-CN"/>
                    </w:rPr>
                    <w:t>。</w:t>
                  </w:r>
                </w:p>
              </w:tc>
            </w:tr>
            <w:tr w14:paraId="34CC0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7141F47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297FE71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181DEAA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2025年3月，建设单位委托云南浩辰环保科技有限公司编制完成了《云南玉溪仙福钢铁（集团）有限公司能源综合利用升级改造项目（重大变更）竣工环境保护验收监测报告表》。</w:t>
                  </w:r>
                </w:p>
              </w:tc>
            </w:tr>
            <w:tr w14:paraId="416DFE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l2br w:val="nil"/>
                    <w:tr2bl w:val="nil"/>
                  </w:tcBorders>
                  <w:vAlign w:val="center"/>
                </w:tcPr>
                <w:p w14:paraId="6589175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w:t>
                  </w:r>
                </w:p>
              </w:tc>
              <w:tc>
                <w:tcPr>
                  <w:tcW w:w="1124" w:type="pct"/>
                  <w:vMerge w:val="restart"/>
                  <w:tcBorders>
                    <w:tl2br w:val="nil"/>
                    <w:tr2bl w:val="nil"/>
                  </w:tcBorders>
                  <w:vAlign w:val="center"/>
                </w:tcPr>
                <w:p w14:paraId="18622CF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焦化工程</w:t>
                  </w:r>
                </w:p>
              </w:tc>
              <w:tc>
                <w:tcPr>
                  <w:tcW w:w="3554" w:type="pct"/>
                  <w:tcBorders>
                    <w:tl2br w:val="nil"/>
                    <w:tr2bl w:val="nil"/>
                  </w:tcBorders>
                  <w:vAlign w:val="center"/>
                </w:tcPr>
                <w:p w14:paraId="51A2C9D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2024年6月建设单位委托云南博曦环境影响评价有限公司编制的《云南玉溪仙福钢铁（集团）有限公司配套</w:t>
                  </w:r>
                  <w:r>
                    <w:rPr>
                      <w:rFonts w:hint="default" w:ascii="Times New Roman" w:hAnsi="Times New Roman" w:eastAsia="宋体" w:cs="Times New Roman"/>
                      <w:color w:val="auto"/>
                      <w:sz w:val="18"/>
                      <w:szCs w:val="18"/>
                      <w:highlight w:val="none"/>
                      <w:lang w:val="en-US" w:eastAsia="zh-CN"/>
                    </w:rPr>
                    <w:t>100</w:t>
                  </w:r>
                  <w:r>
                    <w:rPr>
                      <w:rFonts w:hint="eastAsia" w:ascii="Times New Roman" w:hAnsi="Times New Roman" w:eastAsia="宋体" w:cs="Times New Roman"/>
                      <w:color w:val="auto"/>
                      <w:sz w:val="18"/>
                      <w:szCs w:val="18"/>
                      <w:highlight w:val="none"/>
                      <w:lang w:val="en-US" w:eastAsia="zh-CN"/>
                    </w:rPr>
                    <w:t>万吨</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年焦化建设项目环境影响报告书》。</w:t>
                  </w:r>
                </w:p>
              </w:tc>
            </w:tr>
            <w:tr w14:paraId="4ADB8B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tcBorders>
                    <w:tl2br w:val="nil"/>
                    <w:tr2bl w:val="nil"/>
                  </w:tcBorders>
                  <w:vAlign w:val="center"/>
                </w:tcPr>
                <w:p w14:paraId="567D3A8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1124" w:type="pct"/>
                  <w:vMerge w:val="continue"/>
                  <w:tcBorders>
                    <w:tl2br w:val="nil"/>
                    <w:tr2bl w:val="nil"/>
                  </w:tcBorders>
                  <w:vAlign w:val="center"/>
                </w:tcPr>
                <w:p w14:paraId="1EB557E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eastAsia" w:ascii="Times New Roman" w:hAnsi="Times New Roman" w:eastAsia="宋体" w:cs="Times New Roman"/>
                      <w:color w:val="auto"/>
                      <w:sz w:val="18"/>
                      <w:szCs w:val="18"/>
                      <w:highlight w:val="none"/>
                      <w:lang w:val="en-US" w:eastAsia="zh-CN"/>
                    </w:rPr>
                  </w:pPr>
                </w:p>
              </w:tc>
              <w:tc>
                <w:tcPr>
                  <w:tcW w:w="3554" w:type="pct"/>
                  <w:tcBorders>
                    <w:tl2br w:val="nil"/>
                    <w:tr2bl w:val="nil"/>
                  </w:tcBorders>
                  <w:vAlign w:val="center"/>
                </w:tcPr>
                <w:p w14:paraId="35866E4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2024年8月12日，取得了云南省生态环境厅关于云南玉溪仙福钢铁（集团）有限公司配套100万吨/年焦化建设项目环境影响报告书的批复（云环审〔2024〕1-5号），项目现阶段正在建设中。</w:t>
                  </w:r>
                </w:p>
              </w:tc>
            </w:tr>
          </w:tbl>
          <w:p w14:paraId="28F6F2D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2、相关工程的现状</w:t>
            </w:r>
          </w:p>
          <w:p w14:paraId="0032CE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default" w:ascii="Times New Roman" w:hAnsi="Times New Roman" w:eastAsia="宋体" w:cs="Times New Roman"/>
                <w:b w:val="0"/>
                <w:bCs w:val="0"/>
                <w:i w:val="0"/>
                <w:iCs w:val="0"/>
                <w:color w:val="000000"/>
                <w:kern w:val="0"/>
                <w:sz w:val="24"/>
                <w:szCs w:val="24"/>
                <w:u w:val="none"/>
                <w:lang w:val="en-US" w:eastAsia="zh-CN" w:bidi="ar"/>
              </w:rPr>
              <w:t>相关工程根据各项目环评报告、验收报告及现场调查情况汇总如下表所示。</w:t>
            </w:r>
          </w:p>
          <w:p w14:paraId="29F40681">
            <w:pPr>
              <w:pStyle w:val="28"/>
              <w:keepNext w:val="0"/>
              <w:keepLines w:val="0"/>
              <w:suppressLineNumbers w:val="0"/>
              <w:bidi w:val="0"/>
              <w:spacing w:before="0" w:beforeAutospacing="0" w:after="0" w:afterAutospacing="0"/>
              <w:ind w:left="0" w:right="0"/>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表2-17  相关工程现状一览表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207"/>
              <w:gridCol w:w="4313"/>
              <w:gridCol w:w="1938"/>
            </w:tblGrid>
            <w:tr w14:paraId="6A3831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767B843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751" w:type="pct"/>
                  <w:tcBorders>
                    <w:tl2br w:val="nil"/>
                    <w:tr2bl w:val="nil"/>
                  </w:tcBorders>
                  <w:vAlign w:val="center"/>
                </w:tcPr>
                <w:p w14:paraId="476EFF2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工程名称</w:t>
                  </w:r>
                </w:p>
              </w:tc>
              <w:tc>
                <w:tcPr>
                  <w:tcW w:w="2685" w:type="pct"/>
                  <w:tcBorders>
                    <w:tl2br w:val="nil"/>
                    <w:tr2bl w:val="nil"/>
                  </w:tcBorders>
                  <w:vAlign w:val="center"/>
                </w:tcPr>
                <w:p w14:paraId="6BA5F9E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工程内容</w:t>
                  </w:r>
                </w:p>
              </w:tc>
              <w:tc>
                <w:tcPr>
                  <w:tcW w:w="1206" w:type="pct"/>
                  <w:tcBorders>
                    <w:tl2br w:val="nil"/>
                    <w:tr2bl w:val="nil"/>
                  </w:tcBorders>
                  <w:vAlign w:val="center"/>
                </w:tcPr>
                <w:p w14:paraId="0EC60B0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现状</w:t>
                  </w:r>
                </w:p>
              </w:tc>
            </w:tr>
            <w:tr w14:paraId="107E84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57B939D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751" w:type="pct"/>
                  <w:tcBorders>
                    <w:tl2br w:val="nil"/>
                    <w:tr2bl w:val="nil"/>
                  </w:tcBorders>
                  <w:vAlign w:val="center"/>
                </w:tcPr>
                <w:p w14:paraId="1B1BCED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12MW发电</w:t>
                  </w:r>
                  <w:r>
                    <w:rPr>
                      <w:rFonts w:hint="default" w:ascii="Times New Roman" w:hAnsi="Times New Roman" w:eastAsia="宋体" w:cs="Times New Roman"/>
                      <w:color w:val="auto"/>
                      <w:sz w:val="18"/>
                      <w:szCs w:val="18"/>
                      <w:highlight w:val="none"/>
                      <w:lang w:val="en-US" w:eastAsia="zh-CN"/>
                    </w:rPr>
                    <w:t>机组</w:t>
                  </w:r>
                </w:p>
              </w:tc>
              <w:tc>
                <w:tcPr>
                  <w:tcW w:w="2685" w:type="pct"/>
                  <w:tcBorders>
                    <w:tl2br w:val="nil"/>
                    <w:tr2bl w:val="nil"/>
                  </w:tcBorders>
                  <w:vAlign w:val="center"/>
                </w:tcPr>
                <w:p w14:paraId="3090476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配套</w:t>
                  </w:r>
                  <w:r>
                    <w:rPr>
                      <w:rFonts w:hint="default" w:ascii="Times New Roman" w:hAnsi="Times New Roman" w:eastAsia="宋体" w:cs="Times New Roman"/>
                      <w:color w:val="auto"/>
                      <w:sz w:val="18"/>
                      <w:szCs w:val="18"/>
                      <w:highlight w:val="none"/>
                    </w:rPr>
                    <w:t>75t/h煤气锅炉</w:t>
                  </w:r>
                  <w:r>
                    <w:rPr>
                      <w:rFonts w:hint="default" w:ascii="Times New Roman" w:hAnsi="Times New Roman" w:eastAsia="宋体" w:cs="Times New Roman"/>
                      <w:color w:val="auto"/>
                      <w:sz w:val="18"/>
                      <w:szCs w:val="18"/>
                      <w:highlight w:val="none"/>
                      <w:lang w:val="en-US" w:eastAsia="zh-CN"/>
                    </w:rPr>
                    <w:t>1套，</w:t>
                  </w:r>
                  <w:r>
                    <w:rPr>
                      <w:rFonts w:hint="default" w:ascii="Times New Roman" w:hAnsi="Times New Roman" w:eastAsia="宋体" w:cs="Times New Roman"/>
                      <w:color w:val="auto"/>
                      <w:sz w:val="18"/>
                      <w:szCs w:val="18"/>
                      <w:highlight w:val="none"/>
                    </w:rPr>
                    <w:t>配套建设电站锅炉除盐水站、循环泵站、玻璃钢冷却塔循环冷却水系统等相关配套设备设施</w:t>
                  </w:r>
                  <w:r>
                    <w:rPr>
                      <w:rFonts w:hint="default" w:ascii="Times New Roman" w:hAnsi="Times New Roman" w:eastAsia="宋体" w:cs="Times New Roman"/>
                      <w:color w:val="auto"/>
                      <w:sz w:val="18"/>
                      <w:szCs w:val="18"/>
                      <w:highlight w:val="none"/>
                      <w:lang w:val="en-US" w:eastAsia="zh-CN"/>
                    </w:rPr>
                    <w:t>。</w:t>
                  </w:r>
                </w:p>
              </w:tc>
              <w:tc>
                <w:tcPr>
                  <w:tcW w:w="1206" w:type="pct"/>
                  <w:tcBorders>
                    <w:tl2br w:val="nil"/>
                    <w:tr2bl w:val="nil"/>
                  </w:tcBorders>
                  <w:vAlign w:val="center"/>
                </w:tcPr>
                <w:p w14:paraId="4E64898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年发电量7200万k</w:t>
                  </w:r>
                  <w:r>
                    <w:rPr>
                      <w:rFonts w:hint="eastAsia" w:cs="Times New Roman"/>
                      <w:color w:val="auto"/>
                      <w:sz w:val="18"/>
                      <w:szCs w:val="18"/>
                      <w:highlight w:val="none"/>
                      <w:lang w:val="en-US" w:eastAsia="zh-CN"/>
                    </w:rPr>
                    <w:t>W</w:t>
                  </w:r>
                  <w:r>
                    <w:rPr>
                      <w:rFonts w:hint="default" w:ascii="Times New Roman" w:hAnsi="Times New Roman" w:eastAsia="宋体" w:cs="Times New Roman"/>
                      <w:color w:val="auto"/>
                      <w:sz w:val="18"/>
                      <w:szCs w:val="18"/>
                      <w:highlight w:val="none"/>
                    </w:rPr>
                    <w:t>·h。</w:t>
                  </w:r>
                </w:p>
              </w:tc>
            </w:tr>
            <w:tr w14:paraId="40E097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159B012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751" w:type="pct"/>
                  <w:tcBorders>
                    <w:tl2br w:val="nil"/>
                    <w:tr2bl w:val="nil"/>
                  </w:tcBorders>
                  <w:vAlign w:val="center"/>
                </w:tcPr>
                <w:p w14:paraId="60FD174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25MW发电</w:t>
                  </w:r>
                  <w:r>
                    <w:rPr>
                      <w:rFonts w:hint="default" w:ascii="Times New Roman" w:hAnsi="Times New Roman" w:eastAsia="宋体" w:cs="Times New Roman"/>
                      <w:color w:val="auto"/>
                      <w:sz w:val="18"/>
                      <w:szCs w:val="18"/>
                      <w:highlight w:val="none"/>
                      <w:lang w:val="en-US" w:eastAsia="zh-CN"/>
                    </w:rPr>
                    <w:t>机组</w:t>
                  </w:r>
                </w:p>
              </w:tc>
              <w:tc>
                <w:tcPr>
                  <w:tcW w:w="2685" w:type="pct"/>
                  <w:tcBorders>
                    <w:tl2br w:val="nil"/>
                    <w:tr2bl w:val="nil"/>
                  </w:tcBorders>
                  <w:vAlign w:val="center"/>
                </w:tcPr>
                <w:p w14:paraId="5D0CAAF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配套130t/h煤气锅炉</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25MW纯凝汽式汽轮发电机组</w:t>
                  </w:r>
                  <w:r>
                    <w:rPr>
                      <w:rFonts w:hint="default" w:ascii="Times New Roman" w:hAnsi="Times New Roman" w:eastAsia="宋体" w:cs="Times New Roman"/>
                      <w:color w:val="auto"/>
                      <w:sz w:val="18"/>
                      <w:szCs w:val="18"/>
                      <w:highlight w:val="none"/>
                      <w:lang w:val="en-US" w:eastAsia="zh-CN"/>
                    </w:rPr>
                    <w:t>及</w:t>
                  </w:r>
                  <w:r>
                    <w:rPr>
                      <w:rFonts w:hint="default" w:ascii="Times New Roman" w:hAnsi="Times New Roman" w:eastAsia="宋体" w:cs="Times New Roman"/>
                      <w:color w:val="auto"/>
                      <w:sz w:val="18"/>
                      <w:szCs w:val="18"/>
                      <w:highlight w:val="none"/>
                    </w:rPr>
                    <w:t>20t/h</w:t>
                  </w:r>
                  <w:r>
                    <w:rPr>
                      <w:rFonts w:hint="default" w:ascii="Times New Roman" w:hAnsi="Times New Roman" w:eastAsia="宋体" w:cs="Times New Roman"/>
                      <w:color w:val="auto"/>
                      <w:sz w:val="18"/>
                      <w:szCs w:val="18"/>
                      <w:highlight w:val="none"/>
                      <w:lang w:val="en-US" w:eastAsia="zh-CN"/>
                    </w:rPr>
                    <w:t>锅炉补给水系统（</w:t>
                  </w:r>
                  <w:r>
                    <w:rPr>
                      <w:rFonts w:hint="default" w:ascii="Times New Roman" w:hAnsi="Times New Roman" w:eastAsia="宋体" w:cs="Times New Roman"/>
                      <w:color w:val="auto"/>
                      <w:sz w:val="18"/>
                      <w:szCs w:val="18"/>
                      <w:highlight w:val="none"/>
                    </w:rPr>
                    <w:t>四座逆流机械通风冷却塔</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每座冷却塔冷却水量2000m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烟风系统、循环冷却水处理系统等</w:t>
                  </w:r>
                </w:p>
              </w:tc>
              <w:tc>
                <w:tcPr>
                  <w:tcW w:w="1206" w:type="pct"/>
                  <w:tcBorders>
                    <w:tl2br w:val="nil"/>
                    <w:tr2bl w:val="nil"/>
                  </w:tcBorders>
                  <w:vAlign w:val="center"/>
                </w:tcPr>
                <w:p w14:paraId="275F9ED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w:t>
                  </w:r>
                  <w:r>
                    <w:rPr>
                      <w:rFonts w:hint="default" w:ascii="Times New Roman" w:hAnsi="Times New Roman" w:eastAsia="宋体" w:cs="Times New Roman"/>
                      <w:color w:val="auto"/>
                      <w:sz w:val="18"/>
                      <w:szCs w:val="18"/>
                      <w:highlight w:val="none"/>
                    </w:rPr>
                    <w:t>发电</w:t>
                  </w:r>
                  <w:r>
                    <w:rPr>
                      <w:rFonts w:hint="default" w:ascii="Times New Roman" w:hAnsi="Times New Roman" w:eastAsia="宋体" w:cs="Times New Roman"/>
                      <w:color w:val="auto"/>
                      <w:sz w:val="18"/>
                      <w:szCs w:val="18"/>
                      <w:highlight w:val="none"/>
                      <w:lang w:val="en-US" w:eastAsia="zh-CN"/>
                    </w:rPr>
                    <w:t>量</w:t>
                  </w:r>
                  <w:r>
                    <w:rPr>
                      <w:rFonts w:hint="default" w:ascii="Times New Roman" w:hAnsi="Times New Roman" w:eastAsia="宋体" w:cs="Times New Roman"/>
                      <w:color w:val="auto"/>
                      <w:sz w:val="18"/>
                      <w:szCs w:val="18"/>
                      <w:highlight w:val="none"/>
                    </w:rPr>
                    <w:t>14618万kW·h</w:t>
                  </w:r>
                </w:p>
              </w:tc>
            </w:tr>
            <w:tr w14:paraId="61113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64A7770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751" w:type="pct"/>
                  <w:tcBorders>
                    <w:tl2br w:val="nil"/>
                    <w:tr2bl w:val="nil"/>
                  </w:tcBorders>
                  <w:vAlign w:val="center"/>
                </w:tcPr>
                <w:p w14:paraId="7553A4C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20MW发电</w:t>
                  </w:r>
                  <w:r>
                    <w:rPr>
                      <w:rFonts w:hint="default" w:ascii="Times New Roman" w:hAnsi="Times New Roman" w:eastAsia="宋体" w:cs="Times New Roman"/>
                      <w:color w:val="auto"/>
                      <w:sz w:val="18"/>
                      <w:szCs w:val="18"/>
                      <w:highlight w:val="none"/>
                      <w:lang w:val="en-US" w:eastAsia="zh-CN"/>
                    </w:rPr>
                    <w:t>机组</w:t>
                  </w:r>
                </w:p>
              </w:tc>
              <w:tc>
                <w:tcPr>
                  <w:tcW w:w="2685" w:type="pct"/>
                  <w:tcBorders>
                    <w:tl2br w:val="nil"/>
                    <w:tr2bl w:val="nil"/>
                  </w:tcBorders>
                  <w:vAlign w:val="center"/>
                </w:tcPr>
                <w:p w14:paraId="5501DA0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配套50t/h煤气锅炉、29.5t/h余热锅炉</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以及1×20MW补汽凝式汽轮发电机组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化学除盐水站（</w:t>
                  </w:r>
                  <w:r>
                    <w:rPr>
                      <w:rFonts w:hint="default" w:ascii="Times New Roman" w:hAnsi="Times New Roman" w:eastAsia="宋体" w:cs="Times New Roman"/>
                      <w:color w:val="auto"/>
                      <w:sz w:val="18"/>
                      <w:szCs w:val="18"/>
                      <w:highlight w:val="none"/>
                    </w:rPr>
                    <w:t>处理能力160t/h</w:t>
                  </w:r>
                  <w:r>
                    <w:rPr>
                      <w:rFonts w:hint="default" w:ascii="Times New Roman" w:hAnsi="Times New Roman" w:eastAsia="宋体" w:cs="Times New Roman"/>
                      <w:color w:val="auto"/>
                      <w:sz w:val="18"/>
                      <w:szCs w:val="18"/>
                      <w:highlight w:val="none"/>
                      <w:lang w:val="en-US" w:eastAsia="zh-CN"/>
                    </w:rPr>
                    <w:t>）、软水站（</w:t>
                  </w:r>
                  <w:r>
                    <w:rPr>
                      <w:rFonts w:hint="default" w:ascii="Times New Roman" w:hAnsi="Times New Roman" w:eastAsia="宋体" w:cs="Times New Roman"/>
                      <w:color w:val="auto"/>
                      <w:sz w:val="18"/>
                      <w:szCs w:val="18"/>
                      <w:highlight w:val="none"/>
                    </w:rPr>
                    <w:t>处理能力75t/h</w:t>
                  </w:r>
                  <w:r>
                    <w:rPr>
                      <w:rFonts w:hint="default" w:ascii="Times New Roman" w:hAnsi="Times New Roman" w:eastAsia="宋体" w:cs="Times New Roman"/>
                      <w:color w:val="auto"/>
                      <w:sz w:val="18"/>
                      <w:szCs w:val="18"/>
                      <w:highlight w:val="none"/>
                      <w:lang w:val="en-US" w:eastAsia="zh-CN"/>
                    </w:rPr>
                    <w:t>）、除氧系统（</w:t>
                  </w:r>
                  <w:r>
                    <w:rPr>
                      <w:rFonts w:hint="default" w:ascii="Times New Roman" w:hAnsi="Times New Roman" w:eastAsia="宋体" w:cs="Times New Roman"/>
                      <w:color w:val="auto"/>
                      <w:sz w:val="18"/>
                      <w:szCs w:val="18"/>
                      <w:highlight w:val="none"/>
                    </w:rPr>
                    <w:t>除氧器出力50t/h</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锅炉排污系统</w:t>
                  </w:r>
                  <w:r>
                    <w:rPr>
                      <w:rFonts w:hint="default" w:ascii="Times New Roman" w:hAnsi="Times New Roman" w:eastAsia="宋体" w:cs="Times New Roman"/>
                      <w:color w:val="auto"/>
                      <w:sz w:val="18"/>
                      <w:szCs w:val="18"/>
                      <w:highlight w:val="none"/>
                      <w:lang w:val="en-US" w:eastAsia="zh-CN"/>
                    </w:rPr>
                    <w:t>及加药系统等</w:t>
                  </w:r>
                </w:p>
              </w:tc>
              <w:tc>
                <w:tcPr>
                  <w:tcW w:w="1206" w:type="pct"/>
                  <w:tcBorders>
                    <w:tl2br w:val="nil"/>
                    <w:tr2bl w:val="nil"/>
                  </w:tcBorders>
                  <w:vAlign w:val="center"/>
                </w:tcPr>
                <w:p w14:paraId="6A9C65F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w:t>
                  </w:r>
                  <w:r>
                    <w:rPr>
                      <w:rFonts w:hint="default" w:ascii="Times New Roman" w:hAnsi="Times New Roman" w:eastAsia="宋体" w:cs="Times New Roman"/>
                      <w:color w:val="auto"/>
                      <w:sz w:val="18"/>
                      <w:szCs w:val="18"/>
                      <w:highlight w:val="none"/>
                    </w:rPr>
                    <w:t>发电量1.4亿</w:t>
                  </w:r>
                  <w:r>
                    <w:rPr>
                      <w:rFonts w:hint="eastAsia" w:cs="Times New Roman"/>
                      <w:color w:val="auto"/>
                      <w:sz w:val="18"/>
                      <w:szCs w:val="18"/>
                      <w:highlight w:val="none"/>
                      <w:lang w:val="en-US" w:eastAsia="zh-CN"/>
                    </w:rPr>
                    <w:t>k</w:t>
                  </w:r>
                  <w:r>
                    <w:rPr>
                      <w:rFonts w:hint="default" w:ascii="Times New Roman" w:hAnsi="Times New Roman" w:eastAsia="宋体" w:cs="Times New Roman"/>
                      <w:color w:val="auto"/>
                      <w:sz w:val="18"/>
                      <w:szCs w:val="18"/>
                      <w:highlight w:val="none"/>
                    </w:rPr>
                    <w:t>W·h</w:t>
                  </w:r>
                </w:p>
              </w:tc>
            </w:tr>
          </w:tbl>
          <w:p w14:paraId="0291AB8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3、污染物治理措施及达标情况</w:t>
            </w:r>
          </w:p>
          <w:p w14:paraId="34AA2D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i w:val="0"/>
                <w:iCs w:val="0"/>
                <w:color w:val="000000"/>
                <w:kern w:val="0"/>
                <w:sz w:val="24"/>
                <w:szCs w:val="24"/>
                <w:u w:val="none"/>
                <w:lang w:val="en-US" w:eastAsia="zh-CN" w:bidi="ar"/>
              </w:rPr>
            </w:pPr>
            <w:r>
              <w:rPr>
                <w:rFonts w:hint="eastAsia" w:ascii="Times New Roman" w:hAnsi="Times New Roman" w:eastAsia="宋体" w:cs="Times New Roman"/>
                <w:b w:val="0"/>
                <w:bCs w:val="0"/>
                <w:i w:val="0"/>
                <w:iCs w:val="0"/>
                <w:color w:val="000000"/>
                <w:kern w:val="0"/>
                <w:sz w:val="24"/>
                <w:szCs w:val="24"/>
                <w:u w:val="none"/>
                <w:lang w:val="en-US" w:eastAsia="zh-CN" w:bidi="ar"/>
              </w:rPr>
              <w:t>经现场调查，各相关工程污染物治理措施如下表所示。</w:t>
            </w:r>
          </w:p>
          <w:p w14:paraId="28473CDF">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i w:val="0"/>
                <w:iCs w:val="0"/>
                <w:color w:val="000000"/>
                <w:kern w:val="0"/>
                <w:sz w:val="24"/>
                <w:szCs w:val="24"/>
                <w:u w:val="none"/>
                <w:lang w:val="en-US" w:eastAsia="zh-CN" w:bidi="ar"/>
              </w:rPr>
            </w:pPr>
            <w:r>
              <w:rPr>
                <w:rFonts w:hint="eastAsia" w:ascii="黑体" w:hAnsi="黑体" w:eastAsia="黑体" w:cs="黑体"/>
                <w:b w:val="0"/>
                <w:bCs/>
                <w:color w:val="auto"/>
                <w:highlight w:val="none"/>
                <w:lang w:val="en-US" w:eastAsia="zh-CN"/>
              </w:rPr>
              <w:t>表2-18  污染措施一览表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118"/>
              <w:gridCol w:w="1019"/>
              <w:gridCol w:w="5457"/>
            </w:tblGrid>
            <w:tr w14:paraId="5882C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5C57425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695" w:type="pct"/>
                  <w:tcBorders>
                    <w:tl2br w:val="nil"/>
                    <w:tr2bl w:val="nil"/>
                  </w:tcBorders>
                  <w:vAlign w:val="center"/>
                </w:tcPr>
                <w:p w14:paraId="14E8D58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工程名称</w:t>
                  </w:r>
                </w:p>
              </w:tc>
              <w:tc>
                <w:tcPr>
                  <w:tcW w:w="634" w:type="pct"/>
                  <w:tcBorders>
                    <w:tl2br w:val="nil"/>
                    <w:tr2bl w:val="nil"/>
                  </w:tcBorders>
                  <w:vAlign w:val="center"/>
                </w:tcPr>
                <w:p w14:paraId="1F28220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污染物类型</w:t>
                  </w:r>
                </w:p>
              </w:tc>
              <w:tc>
                <w:tcPr>
                  <w:tcW w:w="3397" w:type="pct"/>
                  <w:tcBorders>
                    <w:tl2br w:val="nil"/>
                    <w:tr2bl w:val="nil"/>
                  </w:tcBorders>
                  <w:vAlign w:val="center"/>
                </w:tcPr>
                <w:p w14:paraId="33AC727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措施</w:t>
                  </w:r>
                </w:p>
              </w:tc>
            </w:tr>
            <w:tr w14:paraId="4C1843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19FF3EE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95" w:type="pct"/>
                  <w:tcBorders>
                    <w:tl2br w:val="nil"/>
                    <w:tr2bl w:val="nil"/>
                  </w:tcBorders>
                  <w:vAlign w:val="center"/>
                </w:tcPr>
                <w:p w14:paraId="2A95AB1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新1号</w:t>
                  </w:r>
                  <w:r>
                    <w:rPr>
                      <w:rFonts w:hint="default" w:ascii="Times New Roman" w:hAnsi="Times New Roman" w:eastAsia="宋体" w:cs="Times New Roman"/>
                      <w:color w:val="auto"/>
                      <w:sz w:val="18"/>
                      <w:szCs w:val="18"/>
                      <w:highlight w:val="none"/>
                    </w:rPr>
                    <w:t>高炉</w:t>
                  </w:r>
                </w:p>
              </w:tc>
              <w:tc>
                <w:tcPr>
                  <w:tcW w:w="634" w:type="pct"/>
                  <w:tcBorders>
                    <w:tl2br w:val="nil"/>
                    <w:tr2bl w:val="nil"/>
                  </w:tcBorders>
                  <w:vAlign w:val="center"/>
                </w:tcPr>
                <w:p w14:paraId="1F72829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高炉煤气</w:t>
                  </w:r>
                </w:p>
              </w:tc>
              <w:tc>
                <w:tcPr>
                  <w:tcW w:w="3397" w:type="pct"/>
                  <w:tcBorders>
                    <w:tl2br w:val="nil"/>
                    <w:tr2bl w:val="nil"/>
                  </w:tcBorders>
                  <w:vAlign w:val="center"/>
                </w:tcPr>
                <w:p w14:paraId="3115082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高炉煤气经过重力除尘、旋风除尘、布袋处理后进入煤气总管网，</w:t>
                  </w:r>
                  <w:r>
                    <w:rPr>
                      <w:rFonts w:hint="default" w:ascii="Times New Roman" w:hAnsi="Times New Roman" w:eastAsia="宋体" w:cs="Times New Roman"/>
                      <w:color w:val="auto"/>
                      <w:sz w:val="18"/>
                      <w:szCs w:val="18"/>
                      <w:highlight w:val="none"/>
                      <w:lang w:val="en-US" w:eastAsia="zh-CN"/>
                    </w:rPr>
                    <w:t>再</w:t>
                  </w:r>
                  <w:r>
                    <w:rPr>
                      <w:rFonts w:hint="default" w:ascii="Times New Roman" w:hAnsi="Times New Roman" w:eastAsia="宋体" w:cs="Times New Roman"/>
                      <w:color w:val="auto"/>
                      <w:sz w:val="18"/>
                      <w:szCs w:val="18"/>
                      <w:highlight w:val="none"/>
                    </w:rPr>
                    <w:t>送至各个用气点</w:t>
                  </w:r>
                  <w:r>
                    <w:rPr>
                      <w:rFonts w:hint="default" w:ascii="Times New Roman" w:hAnsi="Times New Roman" w:eastAsia="宋体" w:cs="Times New Roman"/>
                      <w:color w:val="auto"/>
                      <w:sz w:val="18"/>
                      <w:szCs w:val="18"/>
                      <w:highlight w:val="none"/>
                      <w:lang w:eastAsia="zh-CN"/>
                    </w:rPr>
                    <w:t>。</w:t>
                  </w:r>
                </w:p>
              </w:tc>
            </w:tr>
            <w:tr w14:paraId="2BB3F2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492AAF7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695" w:type="pct"/>
                  <w:tcBorders>
                    <w:tl2br w:val="nil"/>
                    <w:tr2bl w:val="nil"/>
                  </w:tcBorders>
                  <w:vAlign w:val="center"/>
                </w:tcPr>
                <w:p w14:paraId="69738C2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新2号</w:t>
                  </w:r>
                  <w:r>
                    <w:rPr>
                      <w:rFonts w:hint="default" w:ascii="Times New Roman" w:hAnsi="Times New Roman" w:eastAsia="宋体" w:cs="Times New Roman"/>
                      <w:color w:val="auto"/>
                      <w:sz w:val="18"/>
                      <w:szCs w:val="18"/>
                      <w:highlight w:val="none"/>
                    </w:rPr>
                    <w:t>高炉</w:t>
                  </w:r>
                </w:p>
              </w:tc>
              <w:tc>
                <w:tcPr>
                  <w:tcW w:w="634" w:type="pct"/>
                  <w:tcBorders>
                    <w:tl2br w:val="nil"/>
                    <w:tr2bl w:val="nil"/>
                  </w:tcBorders>
                  <w:vAlign w:val="center"/>
                </w:tcPr>
                <w:p w14:paraId="2593F4F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高炉煤气</w:t>
                  </w:r>
                </w:p>
              </w:tc>
              <w:tc>
                <w:tcPr>
                  <w:tcW w:w="3397" w:type="pct"/>
                  <w:tcBorders>
                    <w:tl2br w:val="nil"/>
                    <w:tr2bl w:val="nil"/>
                  </w:tcBorders>
                  <w:vAlign w:val="center"/>
                </w:tcPr>
                <w:p w14:paraId="55776D6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高炉煤气经过重力除尘、旋风除尘、布袋处理后进入煤气总管网</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再</w:t>
                  </w:r>
                  <w:r>
                    <w:rPr>
                      <w:rFonts w:hint="default" w:ascii="Times New Roman" w:hAnsi="Times New Roman" w:eastAsia="宋体" w:cs="Times New Roman"/>
                      <w:color w:val="auto"/>
                      <w:sz w:val="18"/>
                      <w:szCs w:val="18"/>
                      <w:highlight w:val="none"/>
                    </w:rPr>
                    <w:t>送至各个用气点</w:t>
                  </w:r>
                  <w:r>
                    <w:rPr>
                      <w:rFonts w:hint="default" w:ascii="Times New Roman" w:hAnsi="Times New Roman" w:eastAsia="宋体" w:cs="Times New Roman"/>
                      <w:color w:val="auto"/>
                      <w:sz w:val="18"/>
                      <w:szCs w:val="18"/>
                      <w:highlight w:val="none"/>
                      <w:lang w:eastAsia="zh-CN"/>
                    </w:rPr>
                    <w:t>。</w:t>
                  </w:r>
                </w:p>
              </w:tc>
            </w:tr>
            <w:tr w14:paraId="251E5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43C76AD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w:t>
                  </w:r>
                </w:p>
              </w:tc>
              <w:tc>
                <w:tcPr>
                  <w:tcW w:w="695" w:type="pct"/>
                  <w:tcBorders>
                    <w:tl2br w:val="nil"/>
                    <w:tr2bl w:val="nil"/>
                  </w:tcBorders>
                  <w:vAlign w:val="center"/>
                </w:tcPr>
                <w:p w14:paraId="79D3718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2×100转炉</w:t>
                  </w:r>
                </w:p>
              </w:tc>
              <w:tc>
                <w:tcPr>
                  <w:tcW w:w="634" w:type="pct"/>
                  <w:tcBorders>
                    <w:tl2br w:val="nil"/>
                    <w:tr2bl w:val="nil"/>
                  </w:tcBorders>
                  <w:vAlign w:val="center"/>
                </w:tcPr>
                <w:p w14:paraId="51361BE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转炉煤气</w:t>
                  </w:r>
                </w:p>
              </w:tc>
              <w:tc>
                <w:tcPr>
                  <w:tcW w:w="3397" w:type="pct"/>
                  <w:tcBorders>
                    <w:tl2br w:val="nil"/>
                    <w:tr2bl w:val="nil"/>
                  </w:tcBorders>
                  <w:vAlign w:val="center"/>
                </w:tcPr>
                <w:p w14:paraId="472A887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Style w:val="31"/>
                      <w:rFonts w:hint="default" w:ascii="Times New Roman" w:hAnsi="Times New Roman" w:eastAsia="宋体" w:cs="Times New Roman"/>
                      <w:b w:val="0"/>
                      <w:sz w:val="18"/>
                      <w:szCs w:val="18"/>
                    </w:rPr>
                    <w:t>设置2个集气罩</w:t>
                  </w:r>
                  <w:r>
                    <w:rPr>
                      <w:rStyle w:val="31"/>
                      <w:rFonts w:hint="default" w:ascii="Times New Roman" w:hAnsi="Times New Roman" w:eastAsia="宋体" w:cs="Times New Roman"/>
                      <w:b w:val="0"/>
                      <w:sz w:val="18"/>
                      <w:szCs w:val="18"/>
                      <w:lang w:eastAsia="zh-CN"/>
                    </w:rPr>
                    <w:t>、</w:t>
                  </w:r>
                  <w:r>
                    <w:rPr>
                      <w:rStyle w:val="31"/>
                      <w:rFonts w:hint="default" w:ascii="Times New Roman" w:hAnsi="Times New Roman" w:eastAsia="宋体" w:cs="Times New Roman"/>
                      <w:b w:val="0"/>
                      <w:sz w:val="18"/>
                      <w:szCs w:val="18"/>
                    </w:rPr>
                    <w:t>2套干法除尘（LT干法静电除尘技术）处理</w:t>
                  </w:r>
                  <w:r>
                    <w:rPr>
                      <w:rStyle w:val="31"/>
                      <w:rFonts w:hint="default" w:ascii="Times New Roman" w:hAnsi="Times New Roman" w:eastAsia="宋体" w:cs="Times New Roman"/>
                      <w:b w:val="0"/>
                      <w:sz w:val="18"/>
                      <w:szCs w:val="18"/>
                      <w:lang w:val="en-US" w:eastAsia="zh-CN"/>
                    </w:rPr>
                    <w:t>转炉</w:t>
                  </w:r>
                  <w:r>
                    <w:rPr>
                      <w:rStyle w:val="31"/>
                      <w:rFonts w:hint="default" w:ascii="Times New Roman" w:hAnsi="Times New Roman" w:eastAsia="宋体" w:cs="Times New Roman"/>
                      <w:b w:val="0"/>
                      <w:sz w:val="18"/>
                      <w:szCs w:val="18"/>
                    </w:rPr>
                    <w:t>一次烟气，集气效率95%，除尘效率≥99.9%</w:t>
                  </w:r>
                  <w:r>
                    <w:rPr>
                      <w:rStyle w:val="31"/>
                      <w:rFonts w:hint="default" w:ascii="Times New Roman" w:hAnsi="Times New Roman" w:eastAsia="宋体" w:cs="Times New Roman"/>
                      <w:b w:val="0"/>
                      <w:sz w:val="18"/>
                      <w:szCs w:val="18"/>
                      <w:lang w:eastAsia="zh-CN"/>
                    </w:rPr>
                    <w:t>。</w:t>
                  </w:r>
                </w:p>
              </w:tc>
            </w:tr>
            <w:tr w14:paraId="28BCB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restart"/>
                  <w:tcBorders>
                    <w:tl2br w:val="nil"/>
                    <w:tr2bl w:val="nil"/>
                  </w:tcBorders>
                  <w:vAlign w:val="center"/>
                </w:tcPr>
                <w:p w14:paraId="43AA3C3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695" w:type="pct"/>
                  <w:vMerge w:val="restart"/>
                  <w:tcBorders>
                    <w:tl2br w:val="nil"/>
                    <w:tr2bl w:val="nil"/>
                  </w:tcBorders>
                  <w:vAlign w:val="center"/>
                </w:tcPr>
                <w:p w14:paraId="6F712A6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12MW发电</w:t>
                  </w:r>
                  <w:r>
                    <w:rPr>
                      <w:rFonts w:hint="default" w:ascii="Times New Roman" w:hAnsi="Times New Roman" w:eastAsia="宋体" w:cs="Times New Roman"/>
                      <w:color w:val="auto"/>
                      <w:sz w:val="18"/>
                      <w:szCs w:val="18"/>
                      <w:highlight w:val="none"/>
                      <w:lang w:val="en-US" w:eastAsia="zh-CN"/>
                    </w:rPr>
                    <w:t>机组</w:t>
                  </w:r>
                </w:p>
              </w:tc>
              <w:tc>
                <w:tcPr>
                  <w:tcW w:w="634" w:type="pct"/>
                  <w:tcBorders>
                    <w:tl2br w:val="nil"/>
                    <w:tr2bl w:val="nil"/>
                  </w:tcBorders>
                  <w:vAlign w:val="center"/>
                </w:tcPr>
                <w:p w14:paraId="5337781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3397" w:type="pct"/>
                  <w:tcBorders>
                    <w:tl2br w:val="nil"/>
                    <w:tr2bl w:val="nil"/>
                  </w:tcBorders>
                  <w:vAlign w:val="center"/>
                </w:tcPr>
                <w:p w14:paraId="347D2A5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安装低氮燃烧器，</w:t>
                  </w:r>
                  <w:r>
                    <w:rPr>
                      <w:rFonts w:hint="default" w:ascii="Times New Roman" w:hAnsi="Times New Roman" w:eastAsia="宋体" w:cs="Times New Roman"/>
                      <w:color w:val="auto"/>
                      <w:sz w:val="18"/>
                      <w:szCs w:val="18"/>
                      <w:highlight w:val="none"/>
                    </w:rPr>
                    <w:t>燃烧后的废气主要污染物为烟尘、</w:t>
                  </w:r>
                  <w:r>
                    <w:rPr>
                      <w:rFonts w:hint="default" w:ascii="Times New Roman" w:hAnsi="Times New Roman" w:eastAsia="宋体" w:cs="Times New Roman"/>
                      <w:color w:val="auto"/>
                      <w:sz w:val="18"/>
                      <w:szCs w:val="18"/>
                      <w:highlight w:val="none"/>
                      <w:lang w:val="en-US" w:eastAsia="zh-CN"/>
                    </w:rPr>
                    <w:t>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r>
                    <w:rPr>
                      <w:rFonts w:hint="default" w:ascii="Times New Roman" w:hAnsi="Times New Roman" w:eastAsia="宋体" w:cs="Times New Roman"/>
                      <w:color w:val="auto"/>
                      <w:sz w:val="18"/>
                      <w:szCs w:val="18"/>
                      <w:highlight w:val="none"/>
                    </w:rPr>
                    <w:t>，经60m高</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烟囱内径4.0m的烟囱高空排放。</w:t>
                  </w:r>
                </w:p>
              </w:tc>
            </w:tr>
            <w:tr w14:paraId="4D661B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Merge w:val="continue"/>
                  <w:tcBorders>
                    <w:tl2br w:val="nil"/>
                    <w:tr2bl w:val="nil"/>
                  </w:tcBorders>
                  <w:vAlign w:val="center"/>
                </w:tcPr>
                <w:p w14:paraId="3A20F8A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445EEE1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23EC85D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3397" w:type="pct"/>
                  <w:tcBorders>
                    <w:tl2br w:val="nil"/>
                    <w:tr2bl w:val="nil"/>
                  </w:tcBorders>
                  <w:vAlign w:val="center"/>
                </w:tcPr>
                <w:p w14:paraId="3345170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锅炉蒸汽冷凝后循环回用，设备冷却水经2套NH-2000型冷却塔冷却后循环使用。除盐水站、软水站树脂再生</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锅炉排污水废水排入一个8m×4m×3.5m的收集池，用作道路降尘洒水或炼铁冲渣水，不外排。</w:t>
                  </w:r>
                </w:p>
                <w:p w14:paraId="26F780B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生活污水全部进入现有厂区生活污水处理站处理，处理后的中水作绿化用水或高炉冲渣水，不外排。</w:t>
                  </w:r>
                </w:p>
              </w:tc>
            </w:tr>
            <w:tr w14:paraId="640E4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tcBorders>
                    <w:tl2br w:val="nil"/>
                    <w:tr2bl w:val="nil"/>
                  </w:tcBorders>
                  <w:vAlign w:val="center"/>
                </w:tcPr>
                <w:p w14:paraId="5CEB317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708903F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2046431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w:t>
                  </w:r>
                </w:p>
              </w:tc>
              <w:tc>
                <w:tcPr>
                  <w:tcW w:w="3397" w:type="pct"/>
                  <w:tcBorders>
                    <w:tl2br w:val="nil"/>
                    <w:tr2bl w:val="nil"/>
                  </w:tcBorders>
                  <w:vAlign w:val="center"/>
                </w:tcPr>
                <w:p w14:paraId="497EB61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主要采取锅炉排汽口加消声器，风机加隔声罩，以及通过车间厂房墙壁等措施隔声降噪。</w:t>
                  </w:r>
                </w:p>
              </w:tc>
            </w:tr>
            <w:tr w14:paraId="79086B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tcBorders>
                    <w:tl2br w:val="nil"/>
                    <w:tr2bl w:val="nil"/>
                  </w:tcBorders>
                  <w:vAlign w:val="center"/>
                </w:tcPr>
                <w:p w14:paraId="4DD3DED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kern w:val="2"/>
                      <w:sz w:val="18"/>
                      <w:szCs w:val="18"/>
                      <w:highlight w:val="none"/>
                      <w:lang w:val="en-US" w:eastAsia="zh-CN" w:bidi="ar-SA"/>
                    </w:rPr>
                  </w:pPr>
                </w:p>
              </w:tc>
              <w:tc>
                <w:tcPr>
                  <w:tcW w:w="695" w:type="pct"/>
                  <w:vMerge w:val="continue"/>
                  <w:tcBorders>
                    <w:tl2br w:val="nil"/>
                    <w:tr2bl w:val="nil"/>
                  </w:tcBorders>
                  <w:vAlign w:val="center"/>
                </w:tcPr>
                <w:p w14:paraId="7B79EEA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2BB0C21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3397" w:type="pct"/>
                  <w:tcBorders>
                    <w:tl2br w:val="nil"/>
                    <w:tr2bl w:val="nil"/>
                  </w:tcBorders>
                  <w:vAlign w:val="center"/>
                </w:tcPr>
                <w:p w14:paraId="2FEAE9A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废润滑油</w:t>
                  </w:r>
                  <w:r>
                    <w:rPr>
                      <w:rFonts w:hint="default" w:ascii="Times New Roman" w:hAnsi="Times New Roman" w:eastAsia="宋体" w:cs="Times New Roman"/>
                      <w:color w:val="auto"/>
                      <w:sz w:val="18"/>
                      <w:szCs w:val="18"/>
                      <w:highlight w:val="none"/>
                    </w:rPr>
                    <w:t>用专门的储油桶收集后送烧结车间</w:t>
                  </w:r>
                  <w:r>
                    <w:rPr>
                      <w:rFonts w:hint="eastAsia" w:cs="Times New Roman"/>
                      <w:color w:val="auto"/>
                      <w:sz w:val="18"/>
                      <w:szCs w:val="18"/>
                      <w:highlight w:val="none"/>
                      <w:lang w:val="en-US" w:eastAsia="zh-CN"/>
                    </w:rPr>
                    <w:t>危险废物贮存库暂存</w:t>
                  </w:r>
                  <w:r>
                    <w:rPr>
                      <w:rFonts w:hint="default" w:ascii="Times New Roman" w:hAnsi="Times New Roman" w:eastAsia="宋体" w:cs="Times New Roman"/>
                      <w:color w:val="auto"/>
                      <w:sz w:val="18"/>
                      <w:szCs w:val="18"/>
                      <w:highlight w:val="none"/>
                    </w:rPr>
                    <w:t>，用作烧结链板机润滑</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生活</w:t>
                  </w:r>
                  <w:r>
                    <w:rPr>
                      <w:rFonts w:hint="default" w:ascii="Times New Roman" w:hAnsi="Times New Roman" w:eastAsia="宋体" w:cs="Times New Roman"/>
                      <w:color w:val="auto"/>
                      <w:sz w:val="18"/>
                      <w:szCs w:val="18"/>
                      <w:highlight w:val="none"/>
                    </w:rPr>
                    <w:t>垃圾统一收集后处理。</w:t>
                  </w:r>
                </w:p>
              </w:tc>
            </w:tr>
            <w:tr w14:paraId="6E191C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restart"/>
                  <w:tcBorders>
                    <w:tl2br w:val="nil"/>
                    <w:tr2bl w:val="nil"/>
                  </w:tcBorders>
                  <w:vAlign w:val="center"/>
                </w:tcPr>
                <w:p w14:paraId="179FC95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695" w:type="pct"/>
                  <w:vMerge w:val="restart"/>
                  <w:tcBorders>
                    <w:tl2br w:val="nil"/>
                    <w:tr2bl w:val="nil"/>
                  </w:tcBorders>
                  <w:vAlign w:val="center"/>
                </w:tcPr>
                <w:p w14:paraId="0F5DDE4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25MW发电</w:t>
                  </w:r>
                  <w:r>
                    <w:rPr>
                      <w:rFonts w:hint="default" w:ascii="Times New Roman" w:hAnsi="Times New Roman" w:eastAsia="宋体" w:cs="Times New Roman"/>
                      <w:color w:val="auto"/>
                      <w:sz w:val="18"/>
                      <w:szCs w:val="18"/>
                      <w:highlight w:val="none"/>
                      <w:lang w:val="en-US" w:eastAsia="zh-CN"/>
                    </w:rPr>
                    <w:t>机组</w:t>
                  </w:r>
                </w:p>
              </w:tc>
              <w:tc>
                <w:tcPr>
                  <w:tcW w:w="634" w:type="pct"/>
                  <w:tcBorders>
                    <w:tl2br w:val="nil"/>
                    <w:tr2bl w:val="nil"/>
                  </w:tcBorders>
                  <w:vAlign w:val="center"/>
                </w:tcPr>
                <w:p w14:paraId="2EA52F3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3397" w:type="pct"/>
                  <w:tcBorders>
                    <w:tl2br w:val="nil"/>
                    <w:tr2bl w:val="nil"/>
                  </w:tcBorders>
                  <w:vAlign w:val="center"/>
                </w:tcPr>
                <w:p w14:paraId="2791892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w:t>
                  </w:r>
                  <w:r>
                    <w:rPr>
                      <w:rFonts w:hint="default" w:ascii="Times New Roman" w:hAnsi="Times New Roman" w:eastAsia="宋体" w:cs="Times New Roman"/>
                      <w:color w:val="auto"/>
                      <w:sz w:val="18"/>
                      <w:szCs w:val="18"/>
                      <w:highlight w:val="none"/>
                    </w:rPr>
                    <w:t>采用低NO</w:t>
                  </w:r>
                  <w:r>
                    <w:rPr>
                      <w:rFonts w:hint="default" w:ascii="Times New Roman" w:hAnsi="Times New Roman" w:eastAsia="宋体" w:cs="Times New Roman"/>
                      <w:color w:val="auto"/>
                      <w:sz w:val="18"/>
                      <w:szCs w:val="18"/>
                      <w:highlight w:val="none"/>
                      <w:vertAlign w:val="subscript"/>
                    </w:rPr>
                    <w:t>X</w:t>
                  </w:r>
                  <w:r>
                    <w:rPr>
                      <w:rFonts w:hint="default" w:ascii="Times New Roman" w:hAnsi="Times New Roman" w:eastAsia="宋体" w:cs="Times New Roman"/>
                      <w:color w:val="auto"/>
                      <w:sz w:val="18"/>
                      <w:szCs w:val="18"/>
                      <w:highlight w:val="none"/>
                    </w:rPr>
                    <w:t>燃烧技术</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锅炉烟气通过省煤器、空气预热器换热后，由引风机抽出，送入高度为60m、出口直径</w:t>
                  </w:r>
                  <w:r>
                    <w:rPr>
                      <w:rFonts w:hint="default" w:ascii="Times New Roman" w:hAnsi="Times New Roman" w:eastAsia="宋体" w:cs="Times New Roman"/>
                      <w:color w:val="auto"/>
                      <w:sz w:val="18"/>
                      <w:szCs w:val="18"/>
                      <w:highlight w:val="none"/>
                      <w:lang w:val="en-US" w:eastAsia="zh-CN"/>
                    </w:rPr>
                    <w:t>4.5</w:t>
                  </w:r>
                  <w:r>
                    <w:rPr>
                      <w:rFonts w:hint="default" w:ascii="Times New Roman" w:hAnsi="Times New Roman" w:eastAsia="宋体" w:cs="Times New Roman"/>
                      <w:color w:val="auto"/>
                      <w:sz w:val="18"/>
                      <w:szCs w:val="18"/>
                      <w:highlight w:val="none"/>
                    </w:rPr>
                    <w:t>m的钢筋混凝土烟囱排入大气</w:t>
                  </w:r>
                  <w:r>
                    <w:rPr>
                      <w:rFonts w:hint="default" w:ascii="Times New Roman" w:hAnsi="Times New Roman" w:eastAsia="宋体" w:cs="Times New Roman"/>
                      <w:color w:val="auto"/>
                      <w:sz w:val="18"/>
                      <w:szCs w:val="18"/>
                      <w:highlight w:val="none"/>
                      <w:lang w:eastAsia="zh-CN"/>
                    </w:rPr>
                    <w:t>。</w:t>
                  </w:r>
                </w:p>
              </w:tc>
            </w:tr>
            <w:tr w14:paraId="6AAEAE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tcBorders>
                    <w:tl2br w:val="nil"/>
                    <w:tr2bl w:val="nil"/>
                  </w:tcBorders>
                  <w:vAlign w:val="center"/>
                </w:tcPr>
                <w:p w14:paraId="7008697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1886A21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68B040B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3397" w:type="pct"/>
                  <w:tcBorders>
                    <w:tl2br w:val="nil"/>
                    <w:tr2bl w:val="nil"/>
                  </w:tcBorders>
                  <w:vAlign w:val="center"/>
                </w:tcPr>
                <w:p w14:paraId="6169DE5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废水主要有循环冷却水、化学水处理间排污水和锅炉排污水。设备冷却水经冷却后循环使用；化学水处理排污水和锅炉排污水经中和处理后进入一个50m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的集水池，用作</w:t>
                  </w:r>
                  <w:r>
                    <w:rPr>
                      <w:rFonts w:hint="default" w:ascii="Times New Roman" w:hAnsi="Times New Roman" w:eastAsia="宋体" w:cs="Times New Roman"/>
                      <w:color w:val="auto"/>
                      <w:sz w:val="18"/>
                      <w:szCs w:val="18"/>
                      <w:highlight w:val="none"/>
                      <w:lang w:val="en-US" w:eastAsia="zh-CN"/>
                    </w:rPr>
                    <w:t>高炉冲渣</w:t>
                  </w:r>
                  <w:r>
                    <w:rPr>
                      <w:rFonts w:hint="default" w:ascii="Times New Roman" w:hAnsi="Times New Roman" w:eastAsia="宋体" w:cs="Times New Roman"/>
                      <w:color w:val="auto"/>
                      <w:sz w:val="18"/>
                      <w:szCs w:val="18"/>
                      <w:highlight w:val="none"/>
                    </w:rPr>
                    <w:t>，不外排。</w:t>
                  </w:r>
                </w:p>
                <w:p w14:paraId="0F3479B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生活污水全部进入现有厂区</w:t>
                  </w:r>
                  <w:r>
                    <w:rPr>
                      <w:rFonts w:hint="default" w:ascii="Times New Roman" w:hAnsi="Times New Roman" w:eastAsia="宋体" w:cs="Times New Roman"/>
                      <w:color w:val="auto"/>
                      <w:sz w:val="18"/>
                      <w:szCs w:val="18"/>
                      <w:highlight w:val="none"/>
                      <w:lang w:val="en-US" w:eastAsia="zh-CN"/>
                    </w:rPr>
                    <w:t>生活</w:t>
                  </w:r>
                  <w:r>
                    <w:rPr>
                      <w:rFonts w:hint="default" w:ascii="Times New Roman" w:hAnsi="Times New Roman" w:eastAsia="宋体" w:cs="Times New Roman"/>
                      <w:color w:val="auto"/>
                      <w:sz w:val="18"/>
                      <w:szCs w:val="18"/>
                      <w:highlight w:val="none"/>
                    </w:rPr>
                    <w:t>污水处理站处理，处理后的中水作绿化用水或高炉冲渣水，不外排</w:t>
                  </w:r>
                  <w:r>
                    <w:rPr>
                      <w:rFonts w:hint="default" w:ascii="Times New Roman" w:hAnsi="Times New Roman" w:eastAsia="宋体" w:cs="Times New Roman"/>
                      <w:color w:val="auto"/>
                      <w:sz w:val="18"/>
                      <w:szCs w:val="18"/>
                      <w:highlight w:val="none"/>
                      <w:lang w:eastAsia="zh-CN"/>
                    </w:rPr>
                    <w:t>。</w:t>
                  </w:r>
                </w:p>
              </w:tc>
            </w:tr>
            <w:tr w14:paraId="4567C4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tcBorders>
                    <w:tl2br w:val="nil"/>
                    <w:tr2bl w:val="nil"/>
                  </w:tcBorders>
                  <w:vAlign w:val="center"/>
                </w:tcPr>
                <w:p w14:paraId="4543231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766C6C3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174972E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w:t>
                  </w:r>
                </w:p>
              </w:tc>
              <w:tc>
                <w:tcPr>
                  <w:tcW w:w="3397" w:type="pct"/>
                  <w:tcBorders>
                    <w:tl2br w:val="nil"/>
                    <w:tr2bl w:val="nil"/>
                  </w:tcBorders>
                  <w:vAlign w:val="center"/>
                </w:tcPr>
                <w:p w14:paraId="1FBFEA5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通过选用低噪声设备，对泵与管道连接处采取软连接，减轻因管道共振产生的噪声；在锅炉排气口上加装消声器，控制室等工作环境区域设置有效的隔音设施；转动设备大部分安装在封闭厂房内，厂房安装隔声门窗，厂房周围种植一些适应性强的植物</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设置绿化隔离带等，降低项目所产生的噪声对厂界的影响。</w:t>
                  </w:r>
                </w:p>
              </w:tc>
            </w:tr>
            <w:tr w14:paraId="1C0C71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tcBorders>
                    <w:tl2br w:val="nil"/>
                    <w:tr2bl w:val="nil"/>
                  </w:tcBorders>
                  <w:vAlign w:val="center"/>
                </w:tcPr>
                <w:p w14:paraId="69AC1E4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kern w:val="2"/>
                      <w:sz w:val="18"/>
                      <w:szCs w:val="18"/>
                      <w:highlight w:val="none"/>
                      <w:lang w:val="en-US" w:eastAsia="zh-CN" w:bidi="ar-SA"/>
                    </w:rPr>
                  </w:pPr>
                </w:p>
              </w:tc>
              <w:tc>
                <w:tcPr>
                  <w:tcW w:w="695" w:type="pct"/>
                  <w:vMerge w:val="continue"/>
                  <w:tcBorders>
                    <w:tl2br w:val="nil"/>
                    <w:tr2bl w:val="nil"/>
                  </w:tcBorders>
                  <w:vAlign w:val="center"/>
                </w:tcPr>
                <w:p w14:paraId="34EA94B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6596390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3397" w:type="pct"/>
                  <w:tcBorders>
                    <w:tl2br w:val="nil"/>
                    <w:tr2bl w:val="nil"/>
                  </w:tcBorders>
                  <w:vAlign w:val="center"/>
                </w:tcPr>
                <w:p w14:paraId="7AA407B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废</w:t>
                  </w:r>
                  <w:r>
                    <w:rPr>
                      <w:rFonts w:hint="eastAsia" w:cs="Times New Roman"/>
                      <w:color w:val="auto"/>
                      <w:sz w:val="18"/>
                      <w:szCs w:val="18"/>
                      <w:highlight w:val="none"/>
                      <w:lang w:val="en-US" w:eastAsia="zh-CN"/>
                    </w:rPr>
                    <w:t>润滑油</w:t>
                  </w:r>
                  <w:r>
                    <w:rPr>
                      <w:rFonts w:hint="default" w:ascii="Times New Roman" w:hAnsi="Times New Roman" w:eastAsia="宋体" w:cs="Times New Roman"/>
                      <w:color w:val="auto"/>
                      <w:sz w:val="18"/>
                      <w:szCs w:val="18"/>
                      <w:highlight w:val="none"/>
                    </w:rPr>
                    <w:t>用专门的储油桶收集后送烧结车间危废</w:t>
                  </w:r>
                  <w:r>
                    <w:rPr>
                      <w:rFonts w:hint="eastAsia" w:cs="Times New Roman"/>
                      <w:color w:val="auto"/>
                      <w:sz w:val="18"/>
                      <w:szCs w:val="18"/>
                      <w:highlight w:val="none"/>
                      <w:lang w:val="en-US" w:eastAsia="zh-CN"/>
                    </w:rPr>
                    <w:t>废物贮存库暂存</w:t>
                  </w:r>
                  <w:r>
                    <w:rPr>
                      <w:rFonts w:hint="default" w:ascii="Times New Roman" w:hAnsi="Times New Roman" w:eastAsia="宋体" w:cs="Times New Roman"/>
                      <w:color w:val="auto"/>
                      <w:sz w:val="18"/>
                      <w:szCs w:val="18"/>
                      <w:highlight w:val="none"/>
                    </w:rPr>
                    <w:t>，用作烧结链板机润滑</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生活垃圾统一收集后由当地环卫部门统一清运</w:t>
                  </w:r>
                  <w:r>
                    <w:rPr>
                      <w:rFonts w:hint="default" w:ascii="Times New Roman" w:hAnsi="Times New Roman" w:eastAsia="宋体" w:cs="Times New Roman"/>
                      <w:color w:val="auto"/>
                      <w:sz w:val="18"/>
                      <w:szCs w:val="18"/>
                      <w:highlight w:val="none"/>
                      <w:lang w:eastAsia="zh-CN"/>
                    </w:rPr>
                    <w:t>。</w:t>
                  </w:r>
                </w:p>
              </w:tc>
            </w:tr>
            <w:tr w14:paraId="54BE02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restart"/>
                  <w:tcBorders>
                    <w:tl2br w:val="nil"/>
                    <w:tr2bl w:val="nil"/>
                  </w:tcBorders>
                  <w:vAlign w:val="center"/>
                </w:tcPr>
                <w:p w14:paraId="60EE9C6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695" w:type="pct"/>
                  <w:vMerge w:val="restart"/>
                  <w:tcBorders>
                    <w:tl2br w:val="nil"/>
                    <w:tr2bl w:val="nil"/>
                  </w:tcBorders>
                  <w:vAlign w:val="center"/>
                </w:tcPr>
                <w:p w14:paraId="6909D18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20MW发电</w:t>
                  </w:r>
                  <w:r>
                    <w:rPr>
                      <w:rFonts w:hint="default" w:ascii="Times New Roman" w:hAnsi="Times New Roman" w:eastAsia="宋体" w:cs="Times New Roman"/>
                      <w:color w:val="auto"/>
                      <w:sz w:val="18"/>
                      <w:szCs w:val="18"/>
                      <w:highlight w:val="none"/>
                      <w:lang w:val="en-US" w:eastAsia="zh-CN"/>
                    </w:rPr>
                    <w:t>机组</w:t>
                  </w:r>
                </w:p>
              </w:tc>
              <w:tc>
                <w:tcPr>
                  <w:tcW w:w="634" w:type="pct"/>
                  <w:tcBorders>
                    <w:tl2br w:val="nil"/>
                    <w:tr2bl w:val="nil"/>
                  </w:tcBorders>
                  <w:vAlign w:val="center"/>
                </w:tcPr>
                <w:p w14:paraId="0BE261C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3397" w:type="pct"/>
                  <w:tcBorders>
                    <w:tl2br w:val="nil"/>
                    <w:tr2bl w:val="nil"/>
                  </w:tcBorders>
                  <w:vAlign w:val="center"/>
                </w:tcPr>
                <w:p w14:paraId="31B71F3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煤气余热锅炉排放的废气</w:t>
                  </w:r>
                  <w:r>
                    <w:rPr>
                      <w:rFonts w:hint="default" w:ascii="Times New Roman" w:hAnsi="Times New Roman" w:eastAsia="宋体" w:cs="Times New Roman"/>
                      <w:color w:val="auto"/>
                      <w:sz w:val="18"/>
                      <w:szCs w:val="18"/>
                      <w:highlight w:val="none"/>
                    </w:rPr>
                    <w:t>通过</w:t>
                  </w:r>
                  <w:r>
                    <w:rPr>
                      <w:rFonts w:hint="default" w:ascii="Times New Roman" w:hAnsi="Times New Roman" w:eastAsia="宋体" w:cs="Times New Roman"/>
                      <w:color w:val="auto"/>
                      <w:sz w:val="18"/>
                      <w:szCs w:val="18"/>
                      <w:highlight w:val="none"/>
                      <w:lang w:val="en-US" w:eastAsia="zh-CN"/>
                    </w:rPr>
                    <w:t>一根</w:t>
                  </w:r>
                  <w:r>
                    <w:rPr>
                      <w:rFonts w:hint="default" w:ascii="Times New Roman" w:hAnsi="Times New Roman" w:eastAsia="宋体" w:cs="Times New Roman"/>
                      <w:color w:val="auto"/>
                      <w:sz w:val="18"/>
                      <w:szCs w:val="18"/>
                      <w:highlight w:val="none"/>
                    </w:rPr>
                    <w:t>高60m</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烟囱内径</w:t>
                  </w:r>
                  <w:r>
                    <w:rPr>
                      <w:rFonts w:hint="default" w:ascii="Times New Roman" w:hAnsi="Times New Roman" w:eastAsia="宋体" w:cs="Times New Roman"/>
                      <w:color w:val="auto"/>
                      <w:sz w:val="18"/>
                      <w:szCs w:val="18"/>
                      <w:highlight w:val="none"/>
                      <w:lang w:val="en-US" w:eastAsia="zh-CN"/>
                    </w:rPr>
                    <w:t>为</w:t>
                  </w:r>
                  <w:r>
                    <w:rPr>
                      <w:rFonts w:hint="default" w:ascii="Times New Roman" w:hAnsi="Times New Roman" w:eastAsia="宋体" w:cs="Times New Roman"/>
                      <w:color w:val="auto"/>
                      <w:sz w:val="18"/>
                      <w:szCs w:val="18"/>
                      <w:highlight w:val="none"/>
                    </w:rPr>
                    <w:t>1.6m的烟囱排放</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烟囱配套有烟气在线监测系统，对锅炉废气污染物浓度进行实时跟踪监测。</w:t>
                  </w:r>
                </w:p>
                <w:p w14:paraId="555FF48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烧结余热锅炉无废气外排。</w:t>
                  </w:r>
                </w:p>
              </w:tc>
            </w:tr>
            <w:tr w14:paraId="2F268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72" w:type="pct"/>
                  <w:vMerge w:val="continue"/>
                  <w:tcBorders>
                    <w:tl2br w:val="nil"/>
                    <w:tr2bl w:val="nil"/>
                  </w:tcBorders>
                  <w:vAlign w:val="center"/>
                </w:tcPr>
                <w:p w14:paraId="3C6E9A6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top"/>
                </w:tcPr>
                <w:p w14:paraId="28D63E4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21CC6DD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3397" w:type="pct"/>
                  <w:tcBorders>
                    <w:tl2br w:val="nil"/>
                    <w:tr2bl w:val="nil"/>
                  </w:tcBorders>
                  <w:vAlign w:val="center"/>
                </w:tcPr>
                <w:p w14:paraId="5319E88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本项目除盐水站、软水站废水收集后用于</w:t>
                  </w:r>
                  <w:r>
                    <w:rPr>
                      <w:rFonts w:hint="default" w:ascii="Times New Roman" w:hAnsi="Times New Roman" w:eastAsia="宋体" w:cs="Times New Roman"/>
                      <w:color w:val="auto"/>
                      <w:sz w:val="18"/>
                      <w:szCs w:val="18"/>
                      <w:highlight w:val="none"/>
                      <w:lang w:val="en-US" w:eastAsia="zh-CN"/>
                    </w:rPr>
                    <w:t>仙福集团</w:t>
                  </w:r>
                  <w:r>
                    <w:rPr>
                      <w:rFonts w:hint="default" w:ascii="Times New Roman" w:hAnsi="Times New Roman" w:eastAsia="宋体" w:cs="Times New Roman"/>
                      <w:color w:val="auto"/>
                      <w:sz w:val="18"/>
                      <w:szCs w:val="18"/>
                      <w:highlight w:val="none"/>
                    </w:rPr>
                    <w:t>内高炉冲渣。锅炉排水</w:t>
                  </w:r>
                  <w:r>
                    <w:rPr>
                      <w:rFonts w:hint="default" w:ascii="Times New Roman" w:hAnsi="Times New Roman" w:eastAsia="宋体" w:cs="Times New Roman"/>
                      <w:color w:val="auto"/>
                      <w:sz w:val="18"/>
                      <w:szCs w:val="18"/>
                      <w:highlight w:val="none"/>
                      <w:lang w:val="en-US" w:eastAsia="zh-CN"/>
                    </w:rPr>
                    <w:t>经一个</w:t>
                  </w:r>
                  <w:r>
                    <w:rPr>
                      <w:rFonts w:hint="default" w:ascii="Times New Roman" w:hAnsi="Times New Roman" w:eastAsia="宋体" w:cs="Times New Roman"/>
                      <w:color w:val="auto"/>
                      <w:sz w:val="18"/>
                      <w:szCs w:val="18"/>
                      <w:highlight w:val="none"/>
                    </w:rPr>
                    <w:t>容积</w:t>
                  </w:r>
                  <w:r>
                    <w:rPr>
                      <w:rFonts w:hint="default" w:ascii="Times New Roman" w:hAnsi="Times New Roman" w:eastAsia="宋体" w:cs="Times New Roman"/>
                      <w:color w:val="auto"/>
                      <w:sz w:val="18"/>
                      <w:szCs w:val="18"/>
                      <w:highlight w:val="none"/>
                      <w:lang w:val="en-US" w:eastAsia="zh-CN"/>
                    </w:rPr>
                    <w:t>58</w:t>
                  </w:r>
                  <w:r>
                    <w:rPr>
                      <w:rFonts w:hint="default" w:ascii="Times New Roman" w:hAnsi="Times New Roman" w:eastAsia="宋体" w:cs="Times New Roman"/>
                      <w:color w:val="auto"/>
                      <w:sz w:val="18"/>
                      <w:szCs w:val="18"/>
                      <w:highlight w:val="none"/>
                    </w:rPr>
                    <w:t>m³</w:t>
                  </w:r>
                  <w:r>
                    <w:rPr>
                      <w:rFonts w:hint="default" w:ascii="Times New Roman" w:hAnsi="Times New Roman" w:eastAsia="宋体" w:cs="Times New Roman"/>
                      <w:color w:val="auto"/>
                      <w:sz w:val="18"/>
                      <w:szCs w:val="18"/>
                      <w:highlight w:val="none"/>
                      <w:lang w:val="en-US" w:eastAsia="zh-CN"/>
                    </w:rPr>
                    <w:t>的收集池</w:t>
                  </w:r>
                  <w:r>
                    <w:rPr>
                      <w:rFonts w:hint="default" w:ascii="Times New Roman" w:hAnsi="Times New Roman" w:eastAsia="宋体" w:cs="Times New Roman"/>
                      <w:color w:val="auto"/>
                      <w:sz w:val="18"/>
                      <w:szCs w:val="18"/>
                      <w:highlight w:val="none"/>
                    </w:rPr>
                    <w:t>沉淀后回用于高炉冲渣。循环冷却水经冷却后循环使用。酸碱废液经收集经中和处理后进入一个</w:t>
                  </w:r>
                  <w:r>
                    <w:rPr>
                      <w:rFonts w:hint="default" w:ascii="Times New Roman" w:hAnsi="Times New Roman" w:eastAsia="宋体" w:cs="Times New Roman"/>
                      <w:color w:val="auto"/>
                      <w:sz w:val="18"/>
                      <w:szCs w:val="18"/>
                      <w:highlight w:val="none"/>
                      <w:lang w:val="en-US" w:eastAsia="zh-CN"/>
                    </w:rPr>
                    <w:t>25</w:t>
                  </w:r>
                  <w:r>
                    <w:rPr>
                      <w:rFonts w:hint="default" w:ascii="Times New Roman" w:hAnsi="Times New Roman" w:eastAsia="宋体" w:cs="Times New Roman"/>
                      <w:color w:val="auto"/>
                      <w:sz w:val="18"/>
                      <w:szCs w:val="18"/>
                      <w:highlight w:val="none"/>
                    </w:rPr>
                    <w:t>MW</w:t>
                  </w:r>
                  <w:r>
                    <w:rPr>
                      <w:rFonts w:hint="default" w:ascii="Times New Roman" w:hAnsi="Times New Roman" w:eastAsia="宋体" w:cs="Times New Roman"/>
                      <w:color w:val="auto"/>
                      <w:sz w:val="18"/>
                      <w:szCs w:val="18"/>
                      <w:highlight w:val="none"/>
                      <w:lang w:val="en-US" w:eastAsia="zh-CN"/>
                    </w:rPr>
                    <w:t>设置的容积为</w:t>
                  </w:r>
                  <w:r>
                    <w:rPr>
                      <w:rFonts w:hint="default" w:ascii="Times New Roman" w:hAnsi="Times New Roman" w:eastAsia="宋体" w:cs="Times New Roman"/>
                      <w:color w:val="auto"/>
                      <w:sz w:val="18"/>
                      <w:szCs w:val="18"/>
                      <w:highlight w:val="none"/>
                    </w:rPr>
                    <w:t>50m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的集水池</w:t>
                  </w:r>
                  <w:r>
                    <w:rPr>
                      <w:rFonts w:hint="default" w:ascii="Times New Roman" w:hAnsi="Times New Roman" w:eastAsia="宋体" w:cs="Times New Roman"/>
                      <w:color w:val="auto"/>
                      <w:sz w:val="18"/>
                      <w:szCs w:val="18"/>
                      <w:highlight w:val="none"/>
                      <w:lang w:val="en-US" w:eastAsia="zh-CN"/>
                    </w:rPr>
                    <w:t>中</w:t>
                  </w:r>
                  <w:r>
                    <w:rPr>
                      <w:rFonts w:hint="default" w:ascii="Times New Roman" w:hAnsi="Times New Roman" w:eastAsia="宋体" w:cs="Times New Roman"/>
                      <w:color w:val="auto"/>
                      <w:sz w:val="18"/>
                      <w:szCs w:val="18"/>
                      <w:highlight w:val="none"/>
                    </w:rPr>
                    <w:t>，用作</w:t>
                  </w:r>
                  <w:r>
                    <w:rPr>
                      <w:rFonts w:hint="default" w:ascii="Times New Roman" w:hAnsi="Times New Roman" w:eastAsia="宋体" w:cs="Times New Roman"/>
                      <w:color w:val="auto"/>
                      <w:sz w:val="18"/>
                      <w:szCs w:val="18"/>
                      <w:highlight w:val="none"/>
                      <w:lang w:val="en-US" w:eastAsia="zh-CN"/>
                    </w:rPr>
                    <w:t>高炉冲渣</w:t>
                  </w:r>
                  <w:r>
                    <w:rPr>
                      <w:rFonts w:hint="default" w:ascii="Times New Roman" w:hAnsi="Times New Roman" w:eastAsia="宋体" w:cs="Times New Roman"/>
                      <w:color w:val="auto"/>
                      <w:sz w:val="18"/>
                      <w:szCs w:val="18"/>
                      <w:highlight w:val="none"/>
                    </w:rPr>
                    <w:t>，不外排。</w:t>
                  </w:r>
                </w:p>
                <w:p w14:paraId="27AC6C5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生活污水全部进入现有厂区</w:t>
                  </w:r>
                  <w:r>
                    <w:rPr>
                      <w:rFonts w:hint="default" w:ascii="Times New Roman" w:hAnsi="Times New Roman" w:eastAsia="宋体" w:cs="Times New Roman"/>
                      <w:color w:val="auto"/>
                      <w:sz w:val="18"/>
                      <w:szCs w:val="18"/>
                      <w:highlight w:val="none"/>
                      <w:lang w:val="en-US" w:eastAsia="zh-CN"/>
                    </w:rPr>
                    <w:t>生活</w:t>
                  </w:r>
                  <w:r>
                    <w:rPr>
                      <w:rFonts w:hint="default" w:ascii="Times New Roman" w:hAnsi="Times New Roman" w:eastAsia="宋体" w:cs="Times New Roman"/>
                      <w:color w:val="auto"/>
                      <w:sz w:val="18"/>
                      <w:szCs w:val="18"/>
                      <w:highlight w:val="none"/>
                    </w:rPr>
                    <w:t>污水处理站处理，处理后的中水作绿化用水或高炉冲渣水，不外排</w:t>
                  </w:r>
                  <w:r>
                    <w:rPr>
                      <w:rFonts w:hint="default" w:ascii="Times New Roman" w:hAnsi="Times New Roman" w:eastAsia="宋体" w:cs="Times New Roman"/>
                      <w:color w:val="auto"/>
                      <w:sz w:val="18"/>
                      <w:szCs w:val="18"/>
                      <w:highlight w:val="none"/>
                      <w:lang w:eastAsia="zh-CN"/>
                    </w:rPr>
                    <w:t>。</w:t>
                  </w:r>
                </w:p>
              </w:tc>
            </w:tr>
            <w:tr w14:paraId="602592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72" w:type="pct"/>
                  <w:vMerge w:val="continue"/>
                  <w:tcBorders>
                    <w:tl2br w:val="nil"/>
                    <w:tr2bl w:val="nil"/>
                  </w:tcBorders>
                  <w:vAlign w:val="center"/>
                </w:tcPr>
                <w:p w14:paraId="6AD69D3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top"/>
                </w:tcPr>
                <w:p w14:paraId="55D1B39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154C40B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w:t>
                  </w:r>
                </w:p>
              </w:tc>
              <w:tc>
                <w:tcPr>
                  <w:tcW w:w="3397" w:type="pct"/>
                  <w:tcBorders>
                    <w:tl2br w:val="nil"/>
                    <w:tr2bl w:val="nil"/>
                  </w:tcBorders>
                  <w:vAlign w:val="center"/>
                </w:tcPr>
                <w:p w14:paraId="56EF1A7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设备选用低噪声设备；大型设备基座设置减震垫；风机等设置消声器；对泵与管道连接处采取软连接，减轻因管道共振产生的噪声；控制室、软水站等</w:t>
                  </w:r>
                  <w:r>
                    <w:rPr>
                      <w:rFonts w:hint="default" w:ascii="Times New Roman" w:hAnsi="Times New Roman" w:eastAsia="宋体" w:cs="Times New Roman"/>
                      <w:color w:val="auto"/>
                      <w:sz w:val="18"/>
                      <w:szCs w:val="18"/>
                      <w:highlight w:val="none"/>
                      <w:lang w:val="en-US" w:eastAsia="zh-CN"/>
                    </w:rPr>
                    <w:t>布置</w:t>
                  </w:r>
                  <w:r>
                    <w:rPr>
                      <w:rFonts w:hint="default" w:ascii="Times New Roman" w:hAnsi="Times New Roman" w:eastAsia="宋体" w:cs="Times New Roman"/>
                      <w:color w:val="auto"/>
                      <w:sz w:val="18"/>
                      <w:szCs w:val="18"/>
                      <w:highlight w:val="none"/>
                    </w:rPr>
                    <w:t>在室内，利用墙体隔声</w:t>
                  </w:r>
                </w:p>
              </w:tc>
            </w:tr>
            <w:tr w14:paraId="70F561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272" w:type="pct"/>
                  <w:vMerge w:val="continue"/>
                  <w:tcBorders>
                    <w:tl2br w:val="nil"/>
                    <w:tr2bl w:val="nil"/>
                  </w:tcBorders>
                  <w:vAlign w:val="center"/>
                </w:tcPr>
                <w:p w14:paraId="678EC34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top"/>
                </w:tcPr>
                <w:p w14:paraId="5E12982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01C58C8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3397" w:type="pct"/>
                  <w:tcBorders>
                    <w:tl2br w:val="nil"/>
                    <w:tr2bl w:val="nil"/>
                  </w:tcBorders>
                  <w:vAlign w:val="center"/>
                </w:tcPr>
                <w:p w14:paraId="6CE3913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产生的废活性炭不属于危险固废，为一般固废，经收集后由废活性炭回收公司回收；废树脂经收集后</w:t>
                  </w:r>
                  <w:r>
                    <w:rPr>
                      <w:rFonts w:hint="default" w:ascii="Times New Roman" w:hAnsi="Times New Roman" w:eastAsia="宋体" w:cs="Times New Roman"/>
                      <w:color w:val="auto"/>
                      <w:sz w:val="18"/>
                      <w:szCs w:val="18"/>
                      <w:highlight w:val="none"/>
                      <w:lang w:val="en-US" w:eastAsia="zh-CN"/>
                    </w:rPr>
                    <w:t>更换后由厂家回收带走</w:t>
                  </w:r>
                  <w:r>
                    <w:rPr>
                      <w:rFonts w:hint="default" w:ascii="Times New Roman" w:hAnsi="Times New Roman" w:eastAsia="宋体" w:cs="Times New Roman"/>
                      <w:color w:val="auto"/>
                      <w:sz w:val="18"/>
                      <w:szCs w:val="18"/>
                      <w:highlight w:val="none"/>
                    </w:rPr>
                    <w:t>。废润滑油收集后交由有资质的单位处</w:t>
                  </w:r>
                  <w:r>
                    <w:rPr>
                      <w:rFonts w:hint="default" w:ascii="Times New Roman" w:hAnsi="Times New Roman" w:eastAsia="宋体" w:cs="Times New Roman"/>
                      <w:color w:val="auto"/>
                      <w:sz w:val="18"/>
                      <w:szCs w:val="18"/>
                      <w:highlight w:val="none"/>
                      <w:lang w:val="en-US" w:eastAsia="zh-CN"/>
                    </w:rPr>
                    <w:t>置</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生活垃圾统一收集后由当地环卫部门统一清运</w:t>
                  </w:r>
                  <w:r>
                    <w:rPr>
                      <w:rFonts w:hint="default" w:ascii="Times New Roman" w:hAnsi="Times New Roman" w:eastAsia="宋体" w:cs="Times New Roman"/>
                      <w:color w:val="auto"/>
                      <w:sz w:val="18"/>
                      <w:szCs w:val="18"/>
                      <w:highlight w:val="none"/>
                      <w:lang w:val="en-US" w:eastAsia="zh-CN"/>
                    </w:rPr>
                    <w:t>及处置</w:t>
                  </w:r>
                  <w:r>
                    <w:rPr>
                      <w:rFonts w:hint="default" w:ascii="Times New Roman" w:hAnsi="Times New Roman" w:eastAsia="宋体" w:cs="Times New Roman"/>
                      <w:color w:val="auto"/>
                      <w:sz w:val="18"/>
                      <w:szCs w:val="18"/>
                      <w:highlight w:val="none"/>
                    </w:rPr>
                    <w:t>。</w:t>
                  </w:r>
                </w:p>
              </w:tc>
            </w:tr>
            <w:tr w14:paraId="50F7A1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72" w:type="pct"/>
                  <w:vMerge w:val="restart"/>
                  <w:tcBorders>
                    <w:tl2br w:val="nil"/>
                    <w:tr2bl w:val="nil"/>
                  </w:tcBorders>
                  <w:vAlign w:val="center"/>
                </w:tcPr>
                <w:p w14:paraId="3159122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w:t>
                  </w:r>
                </w:p>
              </w:tc>
              <w:tc>
                <w:tcPr>
                  <w:tcW w:w="695" w:type="pct"/>
                  <w:vMerge w:val="restart"/>
                  <w:tcBorders>
                    <w:tl2br w:val="nil"/>
                    <w:tr2bl w:val="nil"/>
                  </w:tcBorders>
                  <w:vAlign w:val="center"/>
                </w:tcPr>
                <w:p w14:paraId="48E673D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110</w:t>
                  </w:r>
                  <w:r>
                    <w:rPr>
                      <w:rFonts w:hint="default" w:ascii="Times New Roman" w:hAnsi="Times New Roman" w:eastAsia="宋体" w:cs="Times New Roman"/>
                      <w:color w:val="auto"/>
                      <w:sz w:val="18"/>
                      <w:szCs w:val="18"/>
                      <w:highlight w:val="none"/>
                    </w:rPr>
                    <w:t>MW发电</w:t>
                  </w:r>
                  <w:r>
                    <w:rPr>
                      <w:rFonts w:hint="default" w:ascii="Times New Roman" w:hAnsi="Times New Roman" w:eastAsia="宋体" w:cs="Times New Roman"/>
                      <w:color w:val="auto"/>
                      <w:sz w:val="18"/>
                      <w:szCs w:val="18"/>
                      <w:highlight w:val="none"/>
                      <w:lang w:val="en-US" w:eastAsia="zh-CN"/>
                    </w:rPr>
                    <w:t>机组</w:t>
                  </w:r>
                </w:p>
              </w:tc>
              <w:tc>
                <w:tcPr>
                  <w:tcW w:w="634" w:type="pct"/>
                  <w:tcBorders>
                    <w:tl2br w:val="nil"/>
                    <w:tr2bl w:val="nil"/>
                  </w:tcBorders>
                  <w:vAlign w:val="center"/>
                </w:tcPr>
                <w:p w14:paraId="6FDA638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废气</w:t>
                  </w:r>
                </w:p>
              </w:tc>
              <w:tc>
                <w:tcPr>
                  <w:tcW w:w="3397" w:type="pct"/>
                  <w:tcBorders>
                    <w:tl2br w:val="nil"/>
                    <w:tr2bl w:val="nil"/>
                  </w:tcBorders>
                  <w:vAlign w:val="center"/>
                </w:tcPr>
                <w:p w14:paraId="655F706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锅炉废气：采用低氮燃烧技术，锅炉烟气经石灰</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石膏法脱硫</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湿式电除尘后，通过</w:t>
                  </w: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根</w:t>
                  </w:r>
                  <w:r>
                    <w:rPr>
                      <w:rFonts w:hint="default" w:ascii="Times New Roman" w:hAnsi="Times New Roman" w:eastAsia="宋体" w:cs="Times New Roman"/>
                      <w:color w:val="auto"/>
                      <w:sz w:val="18"/>
                      <w:szCs w:val="18"/>
                      <w:highlight w:val="none"/>
                      <w:lang w:val="en-US" w:eastAsia="zh-CN"/>
                    </w:rPr>
                    <w:t>80m</w:t>
                  </w:r>
                  <w:r>
                    <w:rPr>
                      <w:rFonts w:hint="eastAsia" w:ascii="Times New Roman" w:hAnsi="Times New Roman" w:eastAsia="宋体" w:cs="Times New Roman"/>
                      <w:color w:val="auto"/>
                      <w:sz w:val="18"/>
                      <w:szCs w:val="18"/>
                      <w:highlight w:val="none"/>
                      <w:lang w:val="en-US" w:eastAsia="zh-CN"/>
                    </w:rPr>
                    <w:t>高烟囱排放，</w:t>
                  </w:r>
                  <w:r>
                    <w:rPr>
                      <w:rFonts w:hint="eastAsia" w:cs="Times New Roman"/>
                      <w:sz w:val="18"/>
                      <w:szCs w:val="18"/>
                      <w:vertAlign w:val="baseline"/>
                      <w:lang w:val="en-US" w:eastAsia="zh-CN"/>
                    </w:rPr>
                    <w:t>灰仓粉尘和锅炉烟气处理后一同通过80m烟囱排放，</w:t>
                  </w:r>
                  <w:r>
                    <w:rPr>
                      <w:rFonts w:hint="eastAsia" w:ascii="Times New Roman" w:hAnsi="Times New Roman" w:eastAsia="宋体" w:cs="Times New Roman"/>
                      <w:color w:val="auto"/>
                      <w:sz w:val="18"/>
                      <w:szCs w:val="18"/>
                      <w:highlight w:val="none"/>
                      <w:lang w:val="en-US" w:eastAsia="zh-CN"/>
                    </w:rPr>
                    <w:t>安装在线监测系统</w:t>
                  </w: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套，监测指标：烟尘、</w:t>
                  </w:r>
                  <w:r>
                    <w:rPr>
                      <w:rFonts w:hint="default" w:ascii="Times New Roman" w:hAnsi="Times New Roman" w:eastAsia="宋体" w:cs="Times New Roman"/>
                      <w:color w:val="auto"/>
                      <w:sz w:val="18"/>
                      <w:szCs w:val="18"/>
                      <w:highlight w:val="none"/>
                      <w:lang w:val="en-US" w:eastAsia="zh-CN"/>
                    </w:rPr>
                    <w:t>SO</w:t>
                  </w:r>
                  <w:r>
                    <w:rPr>
                      <w:rFonts w:hint="default" w:ascii="Times New Roman" w:hAnsi="Times New Roman" w:eastAsia="宋体" w:cs="Times New Roman"/>
                      <w:color w:val="auto"/>
                      <w:sz w:val="18"/>
                      <w:szCs w:val="18"/>
                      <w:highlight w:val="none"/>
                      <w:vertAlign w:val="subscript"/>
                      <w:lang w:val="en-US" w:eastAsia="zh-CN"/>
                    </w:rPr>
                    <w:t>2</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NOx</w:t>
                  </w:r>
                  <w:r>
                    <w:rPr>
                      <w:rFonts w:hint="eastAsia" w:ascii="Times New Roman" w:hAnsi="Times New Roman" w:eastAsia="宋体" w:cs="Times New Roman"/>
                      <w:color w:val="auto"/>
                      <w:sz w:val="18"/>
                      <w:szCs w:val="18"/>
                      <w:highlight w:val="none"/>
                      <w:lang w:val="en-US" w:eastAsia="zh-CN"/>
                    </w:rPr>
                    <w:t>、氧含量、烟温、烟气量等，并与生态环境管理部门监测中心联网</w:t>
                  </w:r>
                  <w:r>
                    <w:rPr>
                      <w:rFonts w:hint="eastAsia" w:ascii="宋体" w:hAnsi="宋体" w:eastAsia="宋体" w:cs="宋体"/>
                      <w:color w:val="000000"/>
                      <w:kern w:val="0"/>
                      <w:sz w:val="18"/>
                      <w:szCs w:val="18"/>
                      <w:lang w:val="en-US" w:eastAsia="zh-CN" w:bidi="ar"/>
                    </w:rPr>
                    <w:t>。</w:t>
                  </w:r>
                </w:p>
              </w:tc>
            </w:tr>
            <w:tr w14:paraId="1C9B21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72" w:type="pct"/>
                  <w:vMerge w:val="continue"/>
                  <w:tcBorders>
                    <w:tl2br w:val="nil"/>
                    <w:tr2bl w:val="nil"/>
                  </w:tcBorders>
                  <w:vAlign w:val="center"/>
                </w:tcPr>
                <w:p w14:paraId="4800C64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7C84834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1F4BF72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废水</w:t>
                  </w:r>
                </w:p>
              </w:tc>
              <w:tc>
                <w:tcPr>
                  <w:tcW w:w="3397" w:type="pct"/>
                  <w:tcBorders>
                    <w:tl2br w:val="nil"/>
                    <w:tr2bl w:val="nil"/>
                  </w:tcBorders>
                  <w:vAlign w:val="center"/>
                </w:tcPr>
                <w:p w14:paraId="02FB410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产废水：高炉煤气柜柜体底部油沟排水、底板冷凝水排水等生产废水收集至煤气柜柜区设置的防渗漏隔油池（钢筋混凝土结构）处理后排入厂区生产废水管网；送风机、引风机、脱硫系统等冷却排水，废水经冷却后重复使用，排污水定期排入生产废水管网；旁通过滤器反洗水排入生产废水管网。凝结水精处理间、除盐水站、煤气排水器等排水排入生产废水管网。锅炉排污水通过排污扩容器减压降温后回收至循环水池。蒸气疏放水大部分经疏水扩容器回收利用，小部分排入地沟，和其他工业排放水一起排入生产废水管网，进入的中央水处理站处理达标后回用。</w:t>
                  </w:r>
                </w:p>
                <w:p w14:paraId="4146C849">
                  <w:pPr>
                    <w:keepNext w:val="0"/>
                    <w:keepLines w:val="0"/>
                    <w:widowControl/>
                    <w:suppressLineNumbers w:val="0"/>
                    <w:jc w:val="left"/>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生活污水：</w:t>
                  </w:r>
                  <w:r>
                    <w:rPr>
                      <w:rFonts w:hint="eastAsia" w:ascii="宋体" w:hAnsi="宋体" w:eastAsia="宋体" w:cs="宋体"/>
                      <w:color w:val="000000"/>
                      <w:kern w:val="0"/>
                      <w:sz w:val="18"/>
                      <w:szCs w:val="18"/>
                      <w:lang w:val="en-US" w:eastAsia="zh-CN" w:bidi="ar"/>
                    </w:rPr>
                    <w:t>依托厂区现有生活污水处理站处理后全部回用。</w:t>
                  </w:r>
                </w:p>
              </w:tc>
            </w:tr>
            <w:tr w14:paraId="28CE4D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72" w:type="pct"/>
                  <w:vMerge w:val="continue"/>
                  <w:tcBorders>
                    <w:tl2br w:val="nil"/>
                    <w:tr2bl w:val="nil"/>
                  </w:tcBorders>
                  <w:vAlign w:val="center"/>
                </w:tcPr>
                <w:p w14:paraId="03F7F9F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64DA749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1D2A412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噪声</w:t>
                  </w:r>
                </w:p>
              </w:tc>
              <w:tc>
                <w:tcPr>
                  <w:tcW w:w="3397" w:type="pct"/>
                  <w:tcBorders>
                    <w:tl2br w:val="nil"/>
                    <w:tr2bl w:val="nil"/>
                  </w:tcBorders>
                  <w:vAlign w:val="center"/>
                </w:tcPr>
                <w:p w14:paraId="05031EA5">
                  <w:pPr>
                    <w:keepNext w:val="0"/>
                    <w:keepLines w:val="0"/>
                    <w:widowControl/>
                    <w:suppressLineNumbers w:val="0"/>
                    <w:jc w:val="left"/>
                    <w:rPr>
                      <w:rFonts w:hint="default" w:ascii="Times New Roman" w:hAnsi="Times New Roman" w:eastAsia="宋体" w:cs="Times New Roman"/>
                      <w:color w:val="auto"/>
                      <w:sz w:val="18"/>
                      <w:szCs w:val="18"/>
                      <w:highlight w:val="none"/>
                    </w:rPr>
                  </w:pPr>
                  <w:r>
                    <w:rPr>
                      <w:rFonts w:hint="eastAsia" w:ascii="宋体" w:hAnsi="宋体" w:eastAsia="宋体" w:cs="宋体"/>
                      <w:color w:val="000000"/>
                      <w:kern w:val="0"/>
                      <w:sz w:val="18"/>
                      <w:szCs w:val="18"/>
                      <w:lang w:val="en-US" w:eastAsia="zh-CN" w:bidi="ar"/>
                    </w:rPr>
                    <w:t>选用低噪声设备、风机安装消声器、厂房隔声。</w:t>
                  </w:r>
                </w:p>
              </w:tc>
            </w:tr>
            <w:tr w14:paraId="15B09A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72" w:type="pct"/>
                  <w:vMerge w:val="continue"/>
                  <w:tcBorders>
                    <w:tl2br w:val="nil"/>
                    <w:tr2bl w:val="nil"/>
                  </w:tcBorders>
                  <w:vAlign w:val="center"/>
                </w:tcPr>
                <w:p w14:paraId="072292A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95" w:type="pct"/>
                  <w:vMerge w:val="continue"/>
                  <w:tcBorders>
                    <w:tl2br w:val="nil"/>
                    <w:tr2bl w:val="nil"/>
                  </w:tcBorders>
                  <w:vAlign w:val="center"/>
                </w:tcPr>
                <w:p w14:paraId="548F89D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634" w:type="pct"/>
                  <w:tcBorders>
                    <w:tl2br w:val="nil"/>
                    <w:tr2bl w:val="nil"/>
                  </w:tcBorders>
                  <w:vAlign w:val="center"/>
                </w:tcPr>
                <w:p w14:paraId="29C2B10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固废</w:t>
                  </w:r>
                </w:p>
              </w:tc>
              <w:tc>
                <w:tcPr>
                  <w:tcW w:w="3397" w:type="pct"/>
                  <w:tcBorders>
                    <w:tl2br w:val="nil"/>
                    <w:tr2bl w:val="nil"/>
                  </w:tcBorders>
                  <w:vAlign w:val="center"/>
                </w:tcPr>
                <w:p w14:paraId="5C576843">
                  <w:pPr>
                    <w:keepNext w:val="0"/>
                    <w:keepLines w:val="0"/>
                    <w:widowControl/>
                    <w:suppressLineNumbers w:val="0"/>
                    <w:jc w:val="left"/>
                  </w:pPr>
                  <w:r>
                    <w:rPr>
                      <w:rFonts w:hint="eastAsia" w:ascii="宋体" w:hAnsi="宋体" w:eastAsia="宋体" w:cs="宋体"/>
                      <w:color w:val="000000"/>
                      <w:kern w:val="0"/>
                      <w:sz w:val="18"/>
                      <w:szCs w:val="18"/>
                      <w:lang w:val="en-US" w:eastAsia="zh-CN" w:bidi="ar"/>
                    </w:rPr>
                    <w:t>废乳化油、废润滑油：统一收集暂存于仙福公司现有</w:t>
                  </w:r>
                  <w:r>
                    <w:rPr>
                      <w:rFonts w:hint="eastAsia" w:ascii="宋体" w:hAnsi="宋体" w:cs="宋体"/>
                      <w:color w:val="000000"/>
                      <w:kern w:val="0"/>
                      <w:sz w:val="18"/>
                      <w:szCs w:val="18"/>
                      <w:lang w:val="en-US" w:eastAsia="zh-CN" w:bidi="ar"/>
                    </w:rPr>
                    <w:t>危险废物贮存库内</w:t>
                  </w:r>
                  <w:r>
                    <w:rPr>
                      <w:rFonts w:hint="eastAsia" w:ascii="宋体" w:hAnsi="宋体" w:eastAsia="宋体" w:cs="宋体"/>
                      <w:color w:val="000000"/>
                      <w:kern w:val="0"/>
                      <w:sz w:val="18"/>
                      <w:szCs w:val="18"/>
                      <w:lang w:val="en-US" w:eastAsia="zh-CN" w:bidi="ar"/>
                    </w:rPr>
                    <w:t>，委托处置。</w:t>
                  </w:r>
                </w:p>
                <w:p w14:paraId="76EC1281">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废过滤介质、离子交换树脂：更换后由厂家回收带走。</w:t>
                  </w:r>
                </w:p>
                <w:p w14:paraId="505D64F9">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脱硫石膏：收集于石膏仓贮存，委托处置。</w:t>
                  </w:r>
                </w:p>
                <w:p w14:paraId="6D08894A">
                  <w:pPr>
                    <w:keepNext w:val="0"/>
                    <w:keepLines w:val="0"/>
                    <w:widowControl/>
                    <w:suppressLineNumbers w:val="0"/>
                    <w:jc w:val="left"/>
                    <w:rPr>
                      <w:rFonts w:hint="default"/>
                      <w:lang w:val="en-US"/>
                    </w:rPr>
                  </w:pPr>
                  <w:r>
                    <w:rPr>
                      <w:rFonts w:hint="eastAsia" w:ascii="宋体" w:hAnsi="宋体" w:eastAsia="宋体" w:cs="宋体"/>
                      <w:color w:val="000000"/>
                      <w:kern w:val="0"/>
                      <w:sz w:val="18"/>
                      <w:szCs w:val="18"/>
                      <w:lang w:val="en-US" w:eastAsia="zh-CN" w:bidi="ar"/>
                    </w:rPr>
                    <w:t>废催化剂：更换后由厂家直接带走。</w:t>
                  </w:r>
                </w:p>
                <w:p w14:paraId="1DE0BAC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生活垃圾：设置垃圾桶收集后统一处置。</w:t>
                  </w:r>
                </w:p>
              </w:tc>
            </w:tr>
            <w:tr w14:paraId="2A618F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72" w:type="pct"/>
                  <w:tcBorders>
                    <w:tl2br w:val="nil"/>
                    <w:tr2bl w:val="nil"/>
                  </w:tcBorders>
                  <w:vAlign w:val="center"/>
                </w:tcPr>
                <w:p w14:paraId="6FF7B0A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p>
              </w:tc>
              <w:tc>
                <w:tcPr>
                  <w:tcW w:w="695" w:type="pct"/>
                  <w:tcBorders>
                    <w:tl2br w:val="nil"/>
                    <w:tr2bl w:val="nil"/>
                  </w:tcBorders>
                  <w:vAlign w:val="center"/>
                </w:tcPr>
                <w:p w14:paraId="6C22216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焦化工程</w:t>
                  </w:r>
                </w:p>
              </w:tc>
              <w:tc>
                <w:tcPr>
                  <w:tcW w:w="634" w:type="pct"/>
                  <w:tcBorders>
                    <w:tl2br w:val="nil"/>
                    <w:tr2bl w:val="nil"/>
                  </w:tcBorders>
                  <w:vAlign w:val="center"/>
                </w:tcPr>
                <w:p w14:paraId="6CF07FD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焦化煤气</w:t>
                  </w:r>
                </w:p>
              </w:tc>
              <w:tc>
                <w:tcPr>
                  <w:tcW w:w="3397" w:type="pct"/>
                  <w:tcBorders>
                    <w:tl2br w:val="nil"/>
                    <w:tr2bl w:val="nil"/>
                  </w:tcBorders>
                  <w:vAlign w:val="center"/>
                </w:tcPr>
                <w:p w14:paraId="0CBC26A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焦化工程焦炉副产品焦炉煤气，产气量43803.5万m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/a，主要用于本工程炼焦系统、脱硝设施及仙福钢铁厂发电使用，本项目焦炉采用焦炉煤气加热，使用量为焦炉煤气17960万m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/a，脱硝系统用煤气量为12.5万m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/a，剩余25831万m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/a焦炉煤气送至仙福钢铁厂100MW发电系统使用。</w:t>
                  </w:r>
                </w:p>
              </w:tc>
            </w:tr>
          </w:tbl>
          <w:p w14:paraId="0417A6F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4、污染物排放量</w:t>
            </w:r>
          </w:p>
          <w:p w14:paraId="126D7F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本项目建成后替代</w:t>
            </w:r>
            <w:r>
              <w:rPr>
                <w:rFonts w:hint="eastAsia" w:ascii="Times New Roman" w:hAnsi="Times New Roman" w:eastAsia="宋体" w:cs="Times New Roman"/>
                <w:color w:val="auto"/>
                <w:kern w:val="2"/>
                <w:sz w:val="24"/>
                <w:szCs w:val="24"/>
                <w:highlight w:val="none"/>
                <w:lang w:val="en-US" w:eastAsia="zh-CN" w:bidi="ar-SA"/>
              </w:rPr>
              <w:t>12MW</w:t>
            </w:r>
            <w:r>
              <w:rPr>
                <w:rFonts w:hint="eastAsia" w:ascii="Times New Roman" w:hAnsi="Times New Roman" w:eastAsia="宋体" w:cs="Times New Roman"/>
                <w:color w:val="auto"/>
                <w:sz w:val="24"/>
                <w:highlight w:val="none"/>
                <w:lang w:val="en-US" w:eastAsia="zh-CN"/>
              </w:rPr>
              <w:t>中温中压煤气发电机组</w:t>
            </w:r>
            <w:r>
              <w:rPr>
                <w:rFonts w:hint="eastAsia" w:cs="Times New Roman"/>
                <w:color w:val="auto"/>
                <w:sz w:val="24"/>
                <w:highlight w:val="none"/>
                <w:lang w:val="en-US" w:eastAsia="zh-CN"/>
              </w:rPr>
              <w:t>，20MW</w:t>
            </w:r>
            <w:r>
              <w:rPr>
                <w:rFonts w:hint="eastAsia" w:ascii="Times New Roman" w:hAnsi="Times New Roman" w:eastAsia="宋体" w:cs="Times New Roman"/>
                <w:color w:val="auto"/>
                <w:sz w:val="24"/>
                <w:highlight w:val="none"/>
                <w:lang w:val="en-US" w:eastAsia="zh-CN"/>
              </w:rPr>
              <w:t>中温中压煤气</w:t>
            </w:r>
            <w:r>
              <w:rPr>
                <w:rFonts w:hint="eastAsia" w:cs="Times New Roman"/>
                <w:color w:val="auto"/>
                <w:sz w:val="24"/>
                <w:highlight w:val="none"/>
                <w:lang w:val="en-US" w:eastAsia="zh-CN"/>
              </w:rPr>
              <w:t>+烧结余热</w:t>
            </w:r>
            <w:r>
              <w:rPr>
                <w:rFonts w:hint="eastAsia" w:ascii="Times New Roman" w:hAnsi="Times New Roman" w:eastAsia="宋体" w:cs="Times New Roman"/>
                <w:color w:val="auto"/>
                <w:sz w:val="24"/>
                <w:highlight w:val="none"/>
                <w:lang w:val="en-US" w:eastAsia="zh-CN"/>
              </w:rPr>
              <w:t>发电机组</w:t>
            </w:r>
            <w:r>
              <w:rPr>
                <w:rFonts w:hint="eastAsia" w:cs="Times New Roman"/>
                <w:color w:val="auto"/>
                <w:sz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25MW</w:t>
            </w:r>
            <w:r>
              <w:rPr>
                <w:rFonts w:hint="eastAsia" w:ascii="Times New Roman" w:hAnsi="Times New Roman" w:eastAsia="宋体" w:cs="Times New Roman"/>
                <w:color w:val="auto"/>
                <w:sz w:val="24"/>
                <w:highlight w:val="none"/>
                <w:lang w:val="en-US" w:eastAsia="zh-CN"/>
              </w:rPr>
              <w:t>中温中压煤气发电机组</w:t>
            </w:r>
            <w:r>
              <w:rPr>
                <w:rFonts w:hint="eastAsia" w:cs="Times New Roman"/>
                <w:color w:val="auto"/>
                <w:sz w:val="24"/>
                <w:highlight w:val="none"/>
                <w:lang w:val="en-US" w:eastAsia="zh-CN"/>
              </w:rPr>
              <w:t>，因此污染物排放量只核算三个电站的情况。</w:t>
            </w:r>
          </w:p>
          <w:p w14:paraId="263DD0B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（一）废气</w:t>
            </w:r>
          </w:p>
          <w:p w14:paraId="2FFC12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三个电站近两年未运行，根据</w:t>
            </w:r>
            <w:r>
              <w:rPr>
                <w:rFonts w:hint="default" w:cs="Times New Roman"/>
                <w:color w:val="auto"/>
                <w:sz w:val="24"/>
                <w:szCs w:val="24"/>
                <w:highlight w:val="none"/>
                <w:lang w:val="en-US" w:eastAsia="zh-CN"/>
              </w:rPr>
              <w:t>2022</w:t>
            </w:r>
            <w:r>
              <w:rPr>
                <w:rFonts w:hint="eastAsia" w:cs="Times New Roman"/>
                <w:color w:val="auto"/>
                <w:sz w:val="24"/>
                <w:szCs w:val="24"/>
                <w:highlight w:val="none"/>
                <w:lang w:val="en-US" w:eastAsia="zh-CN"/>
              </w:rPr>
              <w:t>年</w:t>
            </w:r>
            <w:r>
              <w:rPr>
                <w:rFonts w:hint="default" w:cs="Times New Roman"/>
                <w:color w:val="auto"/>
                <w:sz w:val="24"/>
                <w:szCs w:val="24"/>
                <w:highlight w:val="none"/>
                <w:lang w:val="en-US" w:eastAsia="zh-CN"/>
              </w:rPr>
              <w:t>~2023</w:t>
            </w:r>
            <w:r>
              <w:rPr>
                <w:rFonts w:hint="eastAsia" w:cs="Times New Roman"/>
                <w:color w:val="auto"/>
                <w:sz w:val="24"/>
                <w:szCs w:val="24"/>
                <w:highlight w:val="none"/>
                <w:lang w:val="en-US" w:eastAsia="zh-CN"/>
              </w:rPr>
              <w:t>年年度执行报告中各电站废气污染物排放量如下表：</w:t>
            </w:r>
          </w:p>
          <w:p w14:paraId="312C78D7">
            <w:pPr>
              <w:pStyle w:val="28"/>
              <w:keepNext w:val="0"/>
              <w:keepLines w:val="0"/>
              <w:suppressLineNumbers w:val="0"/>
              <w:bidi w:val="0"/>
              <w:spacing w:before="0" w:beforeAutospacing="0" w:after="0" w:afterAutospacing="0"/>
              <w:ind w:left="0" w:right="0"/>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en-US" w:eastAsia="zh-CN"/>
              </w:rPr>
              <w:t>表2-19  现有电站大气污染物排放量核算表</w:t>
            </w:r>
          </w:p>
          <w:tbl>
            <w:tblPr>
              <w:tblStyle w:val="18"/>
              <w:tblW w:w="80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570"/>
              <w:gridCol w:w="1390"/>
              <w:gridCol w:w="1240"/>
              <w:gridCol w:w="1120"/>
              <w:gridCol w:w="848"/>
            </w:tblGrid>
            <w:tr w14:paraId="0B37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restart"/>
                  <w:tcBorders>
                    <w:left w:val="nil"/>
                  </w:tcBorders>
                  <w:vAlign w:val="center"/>
                </w:tcPr>
                <w:p w14:paraId="38BCA9D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时间</w:t>
                  </w:r>
                </w:p>
              </w:tc>
              <w:tc>
                <w:tcPr>
                  <w:tcW w:w="2570" w:type="dxa"/>
                  <w:vMerge w:val="restart"/>
                  <w:vAlign w:val="center"/>
                </w:tcPr>
                <w:p w14:paraId="4F863D9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排放源名称</w:t>
                  </w:r>
                </w:p>
              </w:tc>
              <w:tc>
                <w:tcPr>
                  <w:tcW w:w="1390" w:type="dxa"/>
                  <w:vMerge w:val="restart"/>
                  <w:vAlign w:val="center"/>
                </w:tcPr>
                <w:p w14:paraId="5D3DD61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排放口类型</w:t>
                  </w:r>
                </w:p>
              </w:tc>
              <w:tc>
                <w:tcPr>
                  <w:tcW w:w="3208" w:type="dxa"/>
                  <w:gridSpan w:val="3"/>
                  <w:tcBorders>
                    <w:right w:val="nil"/>
                  </w:tcBorders>
                  <w:vAlign w:val="center"/>
                </w:tcPr>
                <w:p w14:paraId="0036F0C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污染物排放量</w:t>
                  </w:r>
                </w:p>
              </w:tc>
            </w:tr>
            <w:tr w14:paraId="48D6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1FC5755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Merge w:val="continue"/>
                  <w:vAlign w:val="center"/>
                </w:tcPr>
                <w:p w14:paraId="3B08F79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390" w:type="dxa"/>
                  <w:vMerge w:val="continue"/>
                  <w:vAlign w:val="center"/>
                </w:tcPr>
                <w:p w14:paraId="6147F04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240" w:type="dxa"/>
                  <w:vAlign w:val="center"/>
                </w:tcPr>
                <w:p w14:paraId="4FF1F2E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1120" w:type="dxa"/>
                  <w:vAlign w:val="center"/>
                </w:tcPr>
                <w:p w14:paraId="4890575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SO</w:t>
                  </w:r>
                  <w:r>
                    <w:rPr>
                      <w:rFonts w:hint="eastAsia" w:cs="Times New Roman"/>
                      <w:color w:val="auto"/>
                      <w:sz w:val="18"/>
                      <w:szCs w:val="18"/>
                      <w:highlight w:val="none"/>
                      <w:vertAlign w:val="subscript"/>
                      <w:lang w:val="en-US" w:eastAsia="zh-CN"/>
                    </w:rPr>
                    <w:t>2</w:t>
                  </w:r>
                </w:p>
              </w:tc>
              <w:tc>
                <w:tcPr>
                  <w:tcW w:w="848" w:type="dxa"/>
                  <w:tcBorders>
                    <w:right w:val="nil"/>
                  </w:tcBorders>
                  <w:vAlign w:val="center"/>
                </w:tcPr>
                <w:p w14:paraId="6D646ED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NOx</w:t>
                  </w:r>
                </w:p>
              </w:tc>
            </w:tr>
            <w:tr w14:paraId="7961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restart"/>
                  <w:tcBorders>
                    <w:left w:val="nil"/>
                  </w:tcBorders>
                  <w:vAlign w:val="center"/>
                </w:tcPr>
                <w:p w14:paraId="5F41156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2022年</w:t>
                  </w:r>
                </w:p>
              </w:tc>
              <w:tc>
                <w:tcPr>
                  <w:tcW w:w="2570" w:type="dxa"/>
                  <w:vAlign w:val="center"/>
                </w:tcPr>
                <w:p w14:paraId="0635D42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12MW</w:t>
                  </w:r>
                  <w:r>
                    <w:rPr>
                      <w:rFonts w:hint="eastAsia" w:cs="Times New Roman"/>
                      <w:color w:val="auto"/>
                      <w:sz w:val="18"/>
                      <w:szCs w:val="18"/>
                      <w:highlight w:val="none"/>
                      <w:lang w:val="en-US" w:eastAsia="zh-CN"/>
                    </w:rPr>
                    <w:t>煤气电站锅炉尾气排口</w:t>
                  </w:r>
                </w:p>
              </w:tc>
              <w:tc>
                <w:tcPr>
                  <w:tcW w:w="1390" w:type="dxa"/>
                  <w:vAlign w:val="center"/>
                </w:tcPr>
                <w:p w14:paraId="08C048D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主要排放口</w:t>
                  </w:r>
                </w:p>
              </w:tc>
              <w:tc>
                <w:tcPr>
                  <w:tcW w:w="1240" w:type="dxa"/>
                  <w:vAlign w:val="center"/>
                </w:tcPr>
                <w:p w14:paraId="15F77A0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3.789</w:t>
                  </w:r>
                </w:p>
              </w:tc>
              <w:tc>
                <w:tcPr>
                  <w:tcW w:w="1120" w:type="dxa"/>
                  <w:vAlign w:val="center"/>
                </w:tcPr>
                <w:p w14:paraId="2A74036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31.57</w:t>
                  </w:r>
                </w:p>
              </w:tc>
              <w:tc>
                <w:tcPr>
                  <w:tcW w:w="848" w:type="dxa"/>
                  <w:tcBorders>
                    <w:right w:val="nil"/>
                  </w:tcBorders>
                  <w:vAlign w:val="center"/>
                </w:tcPr>
                <w:p w14:paraId="4E5B389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33.417</w:t>
                  </w:r>
                </w:p>
              </w:tc>
            </w:tr>
            <w:tr w14:paraId="3978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02ED11C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Align w:val="center"/>
                </w:tcPr>
                <w:p w14:paraId="0B69468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r>
                    <w:rPr>
                      <w:rFonts w:hint="default" w:cs="Times New Roman"/>
                      <w:color w:val="auto"/>
                      <w:sz w:val="18"/>
                      <w:szCs w:val="18"/>
                      <w:highlight w:val="none"/>
                      <w:lang w:val="en-US" w:eastAsia="zh-CN"/>
                    </w:rPr>
                    <w:t>MW</w:t>
                  </w:r>
                  <w:r>
                    <w:rPr>
                      <w:rFonts w:hint="eastAsia" w:cs="Times New Roman"/>
                      <w:color w:val="auto"/>
                      <w:sz w:val="18"/>
                      <w:szCs w:val="18"/>
                      <w:highlight w:val="none"/>
                      <w:lang w:val="en-US" w:eastAsia="zh-CN"/>
                    </w:rPr>
                    <w:t>煤气电站锅炉尾气排口</w:t>
                  </w:r>
                </w:p>
              </w:tc>
              <w:tc>
                <w:tcPr>
                  <w:tcW w:w="1390" w:type="dxa"/>
                  <w:vAlign w:val="center"/>
                </w:tcPr>
                <w:p w14:paraId="25920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主要排放口</w:t>
                  </w:r>
                </w:p>
              </w:tc>
              <w:tc>
                <w:tcPr>
                  <w:tcW w:w="1240" w:type="dxa"/>
                  <w:vAlign w:val="center"/>
                </w:tcPr>
                <w:p w14:paraId="4FCA73F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6.944</w:t>
                  </w:r>
                </w:p>
              </w:tc>
              <w:tc>
                <w:tcPr>
                  <w:tcW w:w="1120" w:type="dxa"/>
                  <w:vAlign w:val="center"/>
                </w:tcPr>
                <w:p w14:paraId="7D7BDD1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66.087</w:t>
                  </w:r>
                </w:p>
              </w:tc>
              <w:tc>
                <w:tcPr>
                  <w:tcW w:w="848" w:type="dxa"/>
                  <w:tcBorders>
                    <w:right w:val="nil"/>
                  </w:tcBorders>
                  <w:vAlign w:val="center"/>
                </w:tcPr>
                <w:p w14:paraId="458315A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27.665</w:t>
                  </w:r>
                </w:p>
              </w:tc>
            </w:tr>
            <w:tr w14:paraId="6699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1E15861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Align w:val="center"/>
                </w:tcPr>
                <w:p w14:paraId="1A7D157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w:t>
                  </w:r>
                  <w:r>
                    <w:rPr>
                      <w:rFonts w:hint="default" w:cs="Times New Roman"/>
                      <w:color w:val="auto"/>
                      <w:sz w:val="18"/>
                      <w:szCs w:val="18"/>
                      <w:highlight w:val="none"/>
                      <w:lang w:val="en-US" w:eastAsia="zh-CN"/>
                    </w:rPr>
                    <w:t>MW</w:t>
                  </w:r>
                  <w:r>
                    <w:rPr>
                      <w:rFonts w:hint="eastAsia" w:cs="Times New Roman"/>
                      <w:color w:val="auto"/>
                      <w:sz w:val="18"/>
                      <w:szCs w:val="18"/>
                      <w:highlight w:val="none"/>
                      <w:lang w:val="en-US" w:eastAsia="zh-CN"/>
                    </w:rPr>
                    <w:t>煤气电站锅炉尾气排口</w:t>
                  </w:r>
                </w:p>
              </w:tc>
              <w:tc>
                <w:tcPr>
                  <w:tcW w:w="1390" w:type="dxa"/>
                  <w:vAlign w:val="center"/>
                </w:tcPr>
                <w:p w14:paraId="41FDD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主要排放口</w:t>
                  </w:r>
                </w:p>
              </w:tc>
              <w:tc>
                <w:tcPr>
                  <w:tcW w:w="1240" w:type="dxa"/>
                  <w:vAlign w:val="center"/>
                </w:tcPr>
                <w:p w14:paraId="0C8D71D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2.09</w:t>
                  </w:r>
                </w:p>
              </w:tc>
              <w:tc>
                <w:tcPr>
                  <w:tcW w:w="1120" w:type="dxa"/>
                  <w:vAlign w:val="center"/>
                </w:tcPr>
                <w:p w14:paraId="27A731B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17.902</w:t>
                  </w:r>
                </w:p>
              </w:tc>
              <w:tc>
                <w:tcPr>
                  <w:tcW w:w="848" w:type="dxa"/>
                  <w:tcBorders>
                    <w:right w:val="nil"/>
                  </w:tcBorders>
                  <w:vAlign w:val="center"/>
                </w:tcPr>
                <w:p w14:paraId="4B3B988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11.402</w:t>
                  </w:r>
                </w:p>
              </w:tc>
            </w:tr>
            <w:tr w14:paraId="261C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23983EF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Align w:val="center"/>
                </w:tcPr>
                <w:p w14:paraId="156BB97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1390" w:type="dxa"/>
                  <w:vAlign w:val="center"/>
                </w:tcPr>
                <w:p w14:paraId="75C47C9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1240" w:type="dxa"/>
                  <w:vAlign w:val="center"/>
                </w:tcPr>
                <w:p w14:paraId="1284EBE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12.823</w:t>
                  </w:r>
                </w:p>
              </w:tc>
              <w:tc>
                <w:tcPr>
                  <w:tcW w:w="1120" w:type="dxa"/>
                  <w:vAlign w:val="center"/>
                </w:tcPr>
                <w:p w14:paraId="008FFD7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115.559</w:t>
                  </w:r>
                </w:p>
              </w:tc>
              <w:tc>
                <w:tcPr>
                  <w:tcW w:w="848" w:type="dxa"/>
                  <w:tcBorders>
                    <w:right w:val="nil"/>
                  </w:tcBorders>
                  <w:vAlign w:val="center"/>
                </w:tcPr>
                <w:p w14:paraId="74C3A9F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72.484</w:t>
                  </w:r>
                </w:p>
              </w:tc>
            </w:tr>
            <w:tr w14:paraId="42BD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restart"/>
                  <w:tcBorders>
                    <w:left w:val="nil"/>
                  </w:tcBorders>
                  <w:vAlign w:val="center"/>
                </w:tcPr>
                <w:p w14:paraId="4BBCAFB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2023年</w:t>
                  </w:r>
                </w:p>
              </w:tc>
              <w:tc>
                <w:tcPr>
                  <w:tcW w:w="2570" w:type="dxa"/>
                  <w:vAlign w:val="center"/>
                </w:tcPr>
                <w:p w14:paraId="75D4A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lang w:val="en-US" w:eastAsia="zh-CN"/>
                    </w:rPr>
                    <w:t>12MW</w:t>
                  </w:r>
                  <w:r>
                    <w:rPr>
                      <w:rFonts w:hint="eastAsia" w:cs="Times New Roman"/>
                      <w:color w:val="auto"/>
                      <w:sz w:val="18"/>
                      <w:szCs w:val="18"/>
                      <w:highlight w:val="none"/>
                      <w:lang w:val="en-US" w:eastAsia="zh-CN"/>
                    </w:rPr>
                    <w:t>煤气电站锅炉尾气排口</w:t>
                  </w:r>
                </w:p>
              </w:tc>
              <w:tc>
                <w:tcPr>
                  <w:tcW w:w="1390" w:type="dxa"/>
                  <w:vAlign w:val="center"/>
                </w:tcPr>
                <w:p w14:paraId="551EE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主要排放口</w:t>
                  </w:r>
                </w:p>
              </w:tc>
              <w:tc>
                <w:tcPr>
                  <w:tcW w:w="1240" w:type="dxa"/>
                  <w:vAlign w:val="center"/>
                </w:tcPr>
                <w:p w14:paraId="5203764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6.75</w:t>
                  </w:r>
                </w:p>
              </w:tc>
              <w:tc>
                <w:tcPr>
                  <w:tcW w:w="1120" w:type="dxa"/>
                  <w:vAlign w:val="center"/>
                </w:tcPr>
                <w:p w14:paraId="7999D1D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46.08</w:t>
                  </w:r>
                </w:p>
              </w:tc>
              <w:tc>
                <w:tcPr>
                  <w:tcW w:w="848" w:type="dxa"/>
                  <w:tcBorders>
                    <w:right w:val="nil"/>
                  </w:tcBorders>
                  <w:vAlign w:val="center"/>
                </w:tcPr>
                <w:p w14:paraId="0BAD438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69.87</w:t>
                  </w:r>
                </w:p>
              </w:tc>
            </w:tr>
            <w:tr w14:paraId="793B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056BE8D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Align w:val="center"/>
                </w:tcPr>
                <w:p w14:paraId="1821F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r>
                    <w:rPr>
                      <w:rFonts w:hint="default" w:cs="Times New Roman"/>
                      <w:color w:val="auto"/>
                      <w:sz w:val="18"/>
                      <w:szCs w:val="18"/>
                      <w:highlight w:val="none"/>
                      <w:lang w:val="en-US" w:eastAsia="zh-CN"/>
                    </w:rPr>
                    <w:t>MW</w:t>
                  </w:r>
                  <w:r>
                    <w:rPr>
                      <w:rFonts w:hint="eastAsia" w:cs="Times New Roman"/>
                      <w:color w:val="auto"/>
                      <w:sz w:val="18"/>
                      <w:szCs w:val="18"/>
                      <w:highlight w:val="none"/>
                      <w:lang w:val="en-US" w:eastAsia="zh-CN"/>
                    </w:rPr>
                    <w:t>煤气电站锅炉尾气排口</w:t>
                  </w:r>
                </w:p>
              </w:tc>
              <w:tc>
                <w:tcPr>
                  <w:tcW w:w="1390" w:type="dxa"/>
                  <w:vAlign w:val="center"/>
                </w:tcPr>
                <w:p w14:paraId="09C5E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主要排放口</w:t>
                  </w:r>
                </w:p>
              </w:tc>
              <w:tc>
                <w:tcPr>
                  <w:tcW w:w="1240" w:type="dxa"/>
                  <w:vAlign w:val="center"/>
                </w:tcPr>
                <w:p w14:paraId="6C5A6EA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6.72</w:t>
                  </w:r>
                </w:p>
              </w:tc>
              <w:tc>
                <w:tcPr>
                  <w:tcW w:w="1120" w:type="dxa"/>
                  <w:vAlign w:val="center"/>
                </w:tcPr>
                <w:p w14:paraId="56B86AB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45.22</w:t>
                  </w:r>
                </w:p>
              </w:tc>
              <w:tc>
                <w:tcPr>
                  <w:tcW w:w="848" w:type="dxa"/>
                  <w:tcBorders>
                    <w:right w:val="nil"/>
                  </w:tcBorders>
                  <w:vAlign w:val="center"/>
                </w:tcPr>
                <w:p w14:paraId="41029FB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30.67</w:t>
                  </w:r>
                </w:p>
              </w:tc>
            </w:tr>
            <w:tr w14:paraId="62AE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18199E8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Align w:val="center"/>
                </w:tcPr>
                <w:p w14:paraId="076E4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w:t>
                  </w:r>
                  <w:r>
                    <w:rPr>
                      <w:rFonts w:hint="default" w:cs="Times New Roman"/>
                      <w:color w:val="auto"/>
                      <w:sz w:val="18"/>
                      <w:szCs w:val="18"/>
                      <w:highlight w:val="none"/>
                      <w:lang w:val="en-US" w:eastAsia="zh-CN"/>
                    </w:rPr>
                    <w:t>MW</w:t>
                  </w:r>
                  <w:r>
                    <w:rPr>
                      <w:rFonts w:hint="eastAsia" w:cs="Times New Roman"/>
                      <w:color w:val="auto"/>
                      <w:sz w:val="18"/>
                      <w:szCs w:val="18"/>
                      <w:highlight w:val="none"/>
                      <w:lang w:val="en-US" w:eastAsia="zh-CN"/>
                    </w:rPr>
                    <w:t>煤气电站锅炉尾气排口</w:t>
                  </w:r>
                </w:p>
              </w:tc>
              <w:tc>
                <w:tcPr>
                  <w:tcW w:w="1390" w:type="dxa"/>
                  <w:vAlign w:val="center"/>
                </w:tcPr>
                <w:p w14:paraId="36ECE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主要排放口</w:t>
                  </w:r>
                </w:p>
              </w:tc>
              <w:tc>
                <w:tcPr>
                  <w:tcW w:w="1240" w:type="dxa"/>
                  <w:vAlign w:val="center"/>
                </w:tcPr>
                <w:p w14:paraId="6EF30E0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2.35</w:t>
                  </w:r>
                </w:p>
              </w:tc>
              <w:tc>
                <w:tcPr>
                  <w:tcW w:w="1120" w:type="dxa"/>
                  <w:vAlign w:val="center"/>
                </w:tcPr>
                <w:p w14:paraId="592BAE1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20.4</w:t>
                  </w:r>
                </w:p>
              </w:tc>
              <w:tc>
                <w:tcPr>
                  <w:tcW w:w="848" w:type="dxa"/>
                  <w:tcBorders>
                    <w:right w:val="nil"/>
                  </w:tcBorders>
                  <w:vAlign w:val="center"/>
                </w:tcPr>
                <w:p w14:paraId="77E68A8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15.73</w:t>
                  </w:r>
                </w:p>
              </w:tc>
            </w:tr>
            <w:tr w14:paraId="5129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Borders>
                    <w:left w:val="nil"/>
                  </w:tcBorders>
                  <w:vAlign w:val="center"/>
                </w:tcPr>
                <w:p w14:paraId="449F11D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570" w:type="dxa"/>
                  <w:vAlign w:val="center"/>
                </w:tcPr>
                <w:p w14:paraId="501D367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1390" w:type="dxa"/>
                  <w:vAlign w:val="center"/>
                </w:tcPr>
                <w:p w14:paraId="46B6E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1240" w:type="dxa"/>
                  <w:vAlign w:val="center"/>
                </w:tcPr>
                <w:p w14:paraId="3019DBB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15.82</w:t>
                  </w:r>
                </w:p>
              </w:tc>
              <w:tc>
                <w:tcPr>
                  <w:tcW w:w="1120" w:type="dxa"/>
                  <w:vAlign w:val="center"/>
                </w:tcPr>
                <w:p w14:paraId="068F266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111.7</w:t>
                  </w:r>
                </w:p>
              </w:tc>
              <w:tc>
                <w:tcPr>
                  <w:tcW w:w="848" w:type="dxa"/>
                  <w:tcBorders>
                    <w:right w:val="nil"/>
                  </w:tcBorders>
                  <w:vAlign w:val="center"/>
                </w:tcPr>
                <w:p w14:paraId="5BA36FA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116.27</w:t>
                  </w:r>
                </w:p>
              </w:tc>
            </w:tr>
            <w:tr w14:paraId="6BAA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6" w:type="dxa"/>
                  <w:gridSpan w:val="3"/>
                  <w:tcBorders>
                    <w:left w:val="nil"/>
                  </w:tcBorders>
                  <w:vAlign w:val="center"/>
                </w:tcPr>
                <w:p w14:paraId="32B55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3个电站平均</w:t>
                  </w:r>
                </w:p>
              </w:tc>
              <w:tc>
                <w:tcPr>
                  <w:tcW w:w="1240" w:type="dxa"/>
                  <w:vAlign w:val="center"/>
                </w:tcPr>
                <w:p w14:paraId="59773E3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14.325</w:t>
                  </w:r>
                </w:p>
              </w:tc>
              <w:tc>
                <w:tcPr>
                  <w:tcW w:w="1120" w:type="dxa"/>
                  <w:vAlign w:val="center"/>
                </w:tcPr>
                <w:p w14:paraId="21A8BA4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113.630</w:t>
                  </w:r>
                </w:p>
              </w:tc>
              <w:tc>
                <w:tcPr>
                  <w:tcW w:w="848" w:type="dxa"/>
                  <w:tcBorders>
                    <w:right w:val="nil"/>
                  </w:tcBorders>
                  <w:vAlign w:val="center"/>
                </w:tcPr>
                <w:p w14:paraId="5370E63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94.377</w:t>
                  </w:r>
                </w:p>
              </w:tc>
            </w:tr>
          </w:tbl>
          <w:p w14:paraId="7BC9D7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根据年度执行报告和自行监测报告，3个电站废气均能达标排放，排口排放总量均低于许可排放量。</w:t>
            </w:r>
          </w:p>
          <w:p w14:paraId="50F6E22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（二）废水</w:t>
            </w:r>
          </w:p>
          <w:p w14:paraId="1F2062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电厂废水主要为煤气锅炉及脱盐水站排污、软水站排污、冷却塔排污，</w:t>
            </w:r>
            <w:r>
              <w:rPr>
                <w:rFonts w:hint="eastAsia" w:ascii="Times New Roman" w:hAnsi="Times New Roman" w:eastAsia="宋体" w:cs="Times New Roman"/>
                <w:color w:val="000000"/>
                <w:kern w:val="0"/>
                <w:sz w:val="24"/>
                <w:szCs w:val="24"/>
                <w:lang w:val="en-US" w:eastAsia="zh-CN" w:bidi="ar"/>
              </w:rPr>
              <w:t>收集后至全厂中央水处理站，处理后回用于各用水环节，无外排。</w:t>
            </w:r>
          </w:p>
          <w:p w14:paraId="7F7650B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（三）噪声</w:t>
            </w:r>
          </w:p>
          <w:p w14:paraId="28E681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电厂噪声源主要是锅炉、汽轮机、发电机、冷却塔、风机、水泵等，噪声源强70~100dB（A），焦化工程噪声源主要是粉碎机、捣固站、转运站、焦炉机械、锅炉等，通过厂房隔声、消声器、基础减振等措施减少噪声。</w:t>
            </w:r>
          </w:p>
          <w:p w14:paraId="1EBFF5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根据企业自行监测报告，仙福公司厂界噪声值昼间、夜间均满足《工业企业厂界环境噪声排放标准》（GB12348-2008）3类标准限值。</w:t>
            </w:r>
          </w:p>
          <w:p w14:paraId="230E37B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（四）固废</w:t>
            </w:r>
          </w:p>
          <w:p w14:paraId="434318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产生的固废</w:t>
            </w:r>
            <w:r>
              <w:rPr>
                <w:rFonts w:hint="eastAsia" w:cs="Times New Roman"/>
                <w:color w:val="000000"/>
                <w:kern w:val="0"/>
                <w:sz w:val="24"/>
                <w:szCs w:val="24"/>
                <w:lang w:val="en-US" w:eastAsia="zh-CN" w:bidi="ar"/>
              </w:rPr>
              <w:t>废过滤介质和废树脂，更换后由厂家带走回收利用；废润滑油、废乳化油、危险化学品包装桶收集暂存于仙福公司危险废物贮存库，委托有资质单位处置；生活垃圾统一收集后委托环卫部门清运处置，固废都合理处置，处置率100%。</w:t>
            </w:r>
          </w:p>
          <w:p w14:paraId="02DA3EB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b/>
                <w:bCs/>
                <w:sz w:val="24"/>
                <w:szCs w:val="24"/>
                <w:lang w:val="en-US" w:eastAsia="zh-CN"/>
              </w:rPr>
              <w:t>5</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相关工程存在的环境问题</w:t>
            </w:r>
          </w:p>
          <w:p w14:paraId="271BCF15">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根据现场调查情况</w:t>
            </w:r>
            <w:r>
              <w:rPr>
                <w:rFonts w:hint="eastAsia" w:cs="Times New Roman"/>
                <w:color w:val="000000"/>
                <w:kern w:val="0"/>
                <w:sz w:val="24"/>
                <w:szCs w:val="24"/>
                <w:lang w:val="en-US" w:eastAsia="zh-CN" w:bidi="ar"/>
              </w:rPr>
              <w:t>和建设单位提供的竣工环境保护验收监测报告，</w:t>
            </w:r>
            <w:r>
              <w:rPr>
                <w:rFonts w:hint="default" w:ascii="Times New Roman" w:hAnsi="Times New Roman" w:eastAsia="宋体" w:cs="Times New Roman"/>
                <w:color w:val="auto"/>
                <w:sz w:val="24"/>
                <w:szCs w:val="24"/>
                <w:highlight w:val="none"/>
              </w:rPr>
              <w:t>高</w:t>
            </w:r>
            <w:r>
              <w:rPr>
                <w:rFonts w:hint="default" w:ascii="Times New Roman" w:hAnsi="Times New Roman" w:eastAsia="宋体" w:cs="Times New Roman"/>
                <w:color w:val="000000"/>
                <w:kern w:val="0"/>
                <w:sz w:val="24"/>
                <w:szCs w:val="24"/>
                <w:lang w:val="en-US" w:eastAsia="zh-CN" w:bidi="ar"/>
              </w:rPr>
              <w:t>炉</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烧结、转炉炼钢、</w:t>
            </w:r>
            <w:r>
              <w:rPr>
                <w:rFonts w:hint="eastAsia" w:cs="Times New Roman"/>
                <w:color w:val="000000"/>
                <w:kern w:val="0"/>
                <w:sz w:val="24"/>
                <w:szCs w:val="24"/>
                <w:lang w:val="en-US" w:eastAsia="zh-CN" w:bidi="ar"/>
              </w:rPr>
              <w:t>电炉炼钢、</w:t>
            </w:r>
            <w:r>
              <w:rPr>
                <w:rFonts w:hint="default" w:ascii="Times New Roman" w:hAnsi="Times New Roman" w:eastAsia="宋体" w:cs="Times New Roman"/>
                <w:color w:val="000000"/>
                <w:kern w:val="0"/>
                <w:sz w:val="24"/>
                <w:szCs w:val="24"/>
                <w:lang w:val="en-US" w:eastAsia="zh-CN" w:bidi="ar"/>
              </w:rPr>
              <w:t>轧钢</w:t>
            </w:r>
            <w:r>
              <w:rPr>
                <w:rFonts w:hint="eastAsia" w:cs="Times New Roman"/>
                <w:color w:val="000000"/>
                <w:kern w:val="0"/>
                <w:sz w:val="24"/>
                <w:szCs w:val="24"/>
                <w:lang w:val="en-US" w:eastAsia="zh-CN" w:bidi="ar"/>
              </w:rPr>
              <w:t>以及石灰窑生产线不存在环境问题。</w:t>
            </w:r>
          </w:p>
          <w:p w14:paraId="4AFB7188">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现有</w:t>
            </w:r>
            <w:r>
              <w:rPr>
                <w:rFonts w:hint="eastAsia" w:cs="Times New Roman"/>
                <w:color w:val="000000"/>
                <w:kern w:val="0"/>
                <w:sz w:val="24"/>
                <w:szCs w:val="24"/>
                <w:lang w:val="en-US" w:eastAsia="zh-CN" w:bidi="ar"/>
              </w:rPr>
              <w:t>12</w:t>
            </w:r>
            <w:r>
              <w:rPr>
                <w:rFonts w:hint="eastAsia" w:ascii="Times New Roman" w:hAnsi="Times New Roman" w:eastAsia="宋体" w:cs="Times New Roman"/>
                <w:color w:val="000000"/>
                <w:kern w:val="0"/>
                <w:sz w:val="24"/>
                <w:szCs w:val="24"/>
                <w:lang w:val="en-US" w:eastAsia="zh-CN" w:bidi="ar"/>
              </w:rPr>
              <w:t>MW和20MW</w:t>
            </w:r>
            <w:r>
              <w:rPr>
                <w:rFonts w:hint="default" w:ascii="Times New Roman" w:hAnsi="Times New Roman" w:eastAsia="宋体" w:cs="Times New Roman"/>
                <w:color w:val="000000"/>
                <w:kern w:val="0"/>
                <w:sz w:val="24"/>
                <w:szCs w:val="24"/>
                <w:lang w:val="en-US" w:eastAsia="zh-CN" w:bidi="ar"/>
              </w:rPr>
              <w:t>电站</w:t>
            </w:r>
            <w:r>
              <w:rPr>
                <w:rFonts w:hint="eastAsia" w:ascii="Times New Roman" w:hAnsi="Times New Roman" w:eastAsia="宋体" w:cs="Times New Roman"/>
                <w:color w:val="000000"/>
                <w:kern w:val="0"/>
                <w:sz w:val="24"/>
                <w:szCs w:val="24"/>
                <w:lang w:val="en-US" w:eastAsia="zh-CN" w:bidi="ar"/>
              </w:rPr>
              <w:t>使用的煤气经系统净化（重力、旋风、布袋除尘）后使用，燃烧废气未进行脱硫脱硝处理。</w:t>
            </w:r>
          </w:p>
          <w:p w14:paraId="377D99CA">
            <w:pPr>
              <w:keepNext w:val="0"/>
              <w:keepLines w:val="0"/>
              <w:pageBreakBefore w:val="0"/>
              <w:widowControl/>
              <w:suppressLineNumbers w:val="0"/>
              <w:kinsoku/>
              <w:overflowPunct/>
              <w:autoSpaceDE/>
              <w:autoSpaceDN/>
              <w:bidi w:val="0"/>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p>
          <w:p w14:paraId="07C73D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p>
          <w:p w14:paraId="1E018F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p>
          <w:p w14:paraId="4C46F2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6C8BB5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6A9C7E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751432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670558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7C21CF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09AA5F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027EFB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0919FE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2B21D2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221889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696AA3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6DBFDC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0A75CD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0CFEB8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5F5E74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241EB2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7285E7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603BFB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2500E0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3163AA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72544F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131BE1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lang w:val="en-US" w:eastAsia="zh-CN"/>
              </w:rPr>
            </w:pPr>
          </w:p>
          <w:p w14:paraId="067603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lang w:val="en-US" w:eastAsia="zh-CN"/>
              </w:rPr>
            </w:pPr>
          </w:p>
        </w:tc>
      </w:tr>
    </w:tbl>
    <w:p w14:paraId="26B16416">
      <w:pPr>
        <w:pStyle w:val="2"/>
        <w:keepNext w:val="0"/>
        <w:keepLines w:val="0"/>
        <w:pageBreakBefore/>
        <w:widowControl w:val="0"/>
        <w:kinsoku/>
        <w:wordWrap/>
        <w:overflowPunct/>
        <w:topLinePunct w:val="0"/>
        <w:autoSpaceDE/>
        <w:autoSpaceDN/>
        <w:bidi w:val="0"/>
        <w:adjustRightInd/>
        <w:snapToGrid/>
        <w:textAlignment w:val="auto"/>
        <w:outlineLvl w:val="0"/>
        <w:rPr>
          <w:rFonts w:hint="eastAsia" w:ascii="Times New Roman" w:hAnsi="Times New Roman" w:cs="Times New Roman"/>
          <w:lang w:val="en-US" w:eastAsia="zh-CN"/>
        </w:rPr>
      </w:pPr>
      <w:bookmarkStart w:id="13" w:name="_Toc6910"/>
      <w:bookmarkStart w:id="14" w:name="_Toc2212"/>
      <w:bookmarkStart w:id="15" w:name="_Toc16170"/>
      <w:r>
        <w:rPr>
          <w:rFonts w:hint="eastAsia" w:ascii="Times New Roman" w:hAnsi="Times New Roman" w:cs="Times New Roman"/>
          <w:lang w:val="en-US" w:eastAsia="zh-CN"/>
        </w:rPr>
        <w:t>三、区域环境质量现状、环境保护目标及评价标准</w:t>
      </w:r>
      <w:bookmarkEnd w:id="13"/>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818"/>
      </w:tblGrid>
      <w:tr w14:paraId="3BCA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84AA9FB">
            <w:pPr>
              <w:pStyle w:val="12"/>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pacing w:val="0"/>
                <w:kern w:val="21"/>
                <w:sz w:val="24"/>
                <w:szCs w:val="24"/>
                <w:vertAlign w:val="baseline"/>
                <w:lang w:val="en-US" w:eastAsia="zh-CN"/>
              </w:rPr>
            </w:pPr>
            <w:r>
              <w:rPr>
                <w:rFonts w:hint="eastAsia" w:ascii="Times New Roman" w:hAnsi="Times New Roman" w:eastAsia="宋体" w:cs="Times New Roman"/>
                <w:spacing w:val="0"/>
                <w:kern w:val="21"/>
                <w:sz w:val="24"/>
                <w:szCs w:val="24"/>
                <w:vertAlign w:val="baseline"/>
                <w:lang w:val="en-US" w:eastAsia="zh-CN"/>
              </w:rPr>
              <w:t>区域环境质量现状</w:t>
            </w:r>
          </w:p>
        </w:tc>
        <w:tc>
          <w:tcPr>
            <w:tcW w:w="7818" w:type="dxa"/>
          </w:tcPr>
          <w:p w14:paraId="02435CF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kern w:val="0"/>
                <w:sz w:val="24"/>
                <w:szCs w:val="24"/>
                <w:lang w:val="en-US" w:eastAsia="zh-CN" w:bidi="ar"/>
              </w:rPr>
              <w:t>3.1环境空气质量现状</w:t>
            </w:r>
          </w:p>
          <w:p w14:paraId="3CF64E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3.3.1</w:t>
            </w:r>
            <w:r>
              <w:rPr>
                <w:rFonts w:hint="eastAsia" w:ascii="Times New Roman" w:hAnsi="Times New Roman" w:eastAsia="宋体" w:cs="Times New Roman"/>
                <w:b/>
                <w:bCs/>
                <w:color w:val="000000"/>
                <w:kern w:val="0"/>
                <w:sz w:val="24"/>
                <w:szCs w:val="24"/>
                <w:lang w:val="en-US" w:eastAsia="zh-CN" w:bidi="ar"/>
              </w:rPr>
              <w:t>环境空气执行标准</w:t>
            </w:r>
          </w:p>
          <w:p w14:paraId="381E23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kern w:val="0"/>
                <w:sz w:val="24"/>
                <w:szCs w:val="24"/>
                <w:lang w:val="en-US" w:eastAsia="zh-CN" w:bidi="ar"/>
              </w:rPr>
              <w:t>项目选址位于云南新平产业园区绿色钢城片区，</w:t>
            </w:r>
            <w:r>
              <w:rPr>
                <w:rFonts w:hint="default" w:ascii="Times New Roman" w:hAnsi="Times New Roman" w:eastAsia="宋体" w:cs="Times New Roman"/>
                <w:color w:val="auto"/>
                <w:sz w:val="24"/>
                <w:szCs w:val="24"/>
              </w:rPr>
              <w:t>项目所在</w:t>
            </w:r>
            <w:r>
              <w:rPr>
                <w:rFonts w:hint="default" w:ascii="Times New Roman" w:hAnsi="Times New Roman" w:eastAsia="宋体" w:cs="Times New Roman"/>
                <w:color w:val="auto"/>
                <w:sz w:val="24"/>
                <w:szCs w:val="24"/>
                <w:lang w:val="en-US" w:eastAsia="zh-CN"/>
              </w:rPr>
              <w:t>区域为二类区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000000"/>
                <w:kern w:val="0"/>
                <w:sz w:val="24"/>
                <w:szCs w:val="24"/>
                <w:lang w:val="en-US" w:eastAsia="zh-CN" w:bidi="ar"/>
              </w:rPr>
              <w:t>环境空气质量六项基本因子执行《环境空气质量标准》（GB3095-</w:t>
            </w:r>
            <w:r>
              <w:rPr>
                <w:rFonts w:hint="eastAsia" w:cs="Times New Roman"/>
                <w:color w:val="000000"/>
                <w:kern w:val="0"/>
                <w:sz w:val="24"/>
                <w:szCs w:val="24"/>
                <w:lang w:val="en-US" w:eastAsia="zh-CN" w:bidi="ar"/>
              </w:rPr>
              <w:t>2026</w:t>
            </w:r>
            <w:r>
              <w:rPr>
                <w:rFonts w:hint="default" w:ascii="Times New Roman" w:hAnsi="Times New Roman" w:eastAsia="宋体" w:cs="Times New Roman"/>
                <w:color w:val="000000"/>
                <w:kern w:val="0"/>
                <w:sz w:val="24"/>
                <w:szCs w:val="24"/>
                <w:lang w:val="en-US" w:eastAsia="zh-CN" w:bidi="ar"/>
              </w:rPr>
              <w:t>）二级标准</w:t>
            </w:r>
            <w:r>
              <w:rPr>
                <w:rFonts w:hint="eastAsia" w:cs="Times New Roman"/>
                <w:color w:val="000000"/>
                <w:kern w:val="0"/>
                <w:sz w:val="24"/>
                <w:szCs w:val="24"/>
                <w:lang w:val="en-US" w:eastAsia="zh-CN" w:bidi="ar"/>
              </w:rPr>
              <w:t>限值（2026年3月1日起2030年12月31日执行过渡阶段浓度限值，2031年1月1日起执行基本项目浓度限值）</w:t>
            </w:r>
            <w:r>
              <w:rPr>
                <w:rFonts w:hint="default" w:ascii="Times New Roman" w:hAnsi="Times New Roman" w:eastAsia="宋体" w:cs="Times New Roman"/>
                <w:color w:val="auto"/>
                <w:sz w:val="24"/>
                <w:szCs w:val="24"/>
              </w:rPr>
              <w:t>，标准限值如下表所示。</w:t>
            </w:r>
          </w:p>
          <w:p w14:paraId="172F42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表3-1  区域空气质量现状评价表</w:t>
            </w:r>
          </w:p>
          <w:tbl>
            <w:tblPr>
              <w:tblStyle w:val="1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0"/>
              <w:gridCol w:w="1505"/>
              <w:gridCol w:w="915"/>
              <w:gridCol w:w="951"/>
              <w:gridCol w:w="721"/>
              <w:gridCol w:w="721"/>
              <w:gridCol w:w="1606"/>
            </w:tblGrid>
            <w:tr w14:paraId="29831AC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pct"/>
                  <w:vMerge w:val="restart"/>
                  <w:tcBorders>
                    <w:tl2br w:val="nil"/>
                    <w:tr2bl w:val="nil"/>
                  </w:tcBorders>
                  <w:vAlign w:val="center"/>
                </w:tcPr>
                <w:p w14:paraId="7304F4A0">
                  <w:pPr>
                    <w:pStyle w:val="27"/>
                    <w:bidi w:val="0"/>
                    <w:rPr>
                      <w:rFonts w:hint="default"/>
                      <w:color w:val="auto"/>
                    </w:rPr>
                  </w:pPr>
                  <w:r>
                    <w:rPr>
                      <w:rFonts w:hint="default"/>
                      <w:color w:val="auto"/>
                    </w:rPr>
                    <w:t>污染物</w:t>
                  </w:r>
                </w:p>
              </w:tc>
              <w:tc>
                <w:tcPr>
                  <w:tcW w:w="990" w:type="pct"/>
                  <w:vMerge w:val="restart"/>
                  <w:tcBorders>
                    <w:tl2br w:val="nil"/>
                    <w:tr2bl w:val="nil"/>
                  </w:tcBorders>
                  <w:vAlign w:val="center"/>
                </w:tcPr>
                <w:p w14:paraId="381D1A62">
                  <w:pPr>
                    <w:pStyle w:val="27"/>
                    <w:bidi w:val="0"/>
                    <w:rPr>
                      <w:rFonts w:hint="default" w:eastAsia="宋体"/>
                      <w:color w:val="auto"/>
                      <w:lang w:val="en-US" w:eastAsia="zh-CN"/>
                    </w:rPr>
                  </w:pPr>
                  <w:r>
                    <w:rPr>
                      <w:rFonts w:hint="eastAsia"/>
                      <w:color w:val="auto"/>
                      <w:lang w:val="en-US" w:eastAsia="zh-CN"/>
                    </w:rPr>
                    <w:t>平均时间</w:t>
                  </w:r>
                </w:p>
              </w:tc>
              <w:tc>
                <w:tcPr>
                  <w:tcW w:w="1227" w:type="pct"/>
                  <w:gridSpan w:val="2"/>
                  <w:tcBorders>
                    <w:tl2br w:val="nil"/>
                    <w:tr2bl w:val="nil"/>
                  </w:tcBorders>
                  <w:vAlign w:val="center"/>
                </w:tcPr>
                <w:p w14:paraId="7B7BC892">
                  <w:pPr>
                    <w:pStyle w:val="27"/>
                    <w:bidi w:val="0"/>
                    <w:rPr>
                      <w:rFonts w:hint="default" w:eastAsia="宋体"/>
                      <w:color w:val="auto"/>
                      <w:lang w:val="en-US" w:eastAsia="zh-CN"/>
                    </w:rPr>
                  </w:pPr>
                  <w:r>
                    <w:rPr>
                      <w:rFonts w:hint="eastAsia"/>
                      <w:color w:val="auto"/>
                      <w:lang w:val="en-US" w:eastAsia="zh-CN"/>
                    </w:rPr>
                    <w:t>过渡阶段浓度限值</w:t>
                  </w:r>
                </w:p>
              </w:tc>
              <w:tc>
                <w:tcPr>
                  <w:tcW w:w="949" w:type="pct"/>
                  <w:gridSpan w:val="2"/>
                  <w:tcBorders>
                    <w:tl2br w:val="nil"/>
                    <w:tr2bl w:val="nil"/>
                  </w:tcBorders>
                  <w:vAlign w:val="center"/>
                </w:tcPr>
                <w:p w14:paraId="460FC09C">
                  <w:pPr>
                    <w:pStyle w:val="27"/>
                    <w:bidi w:val="0"/>
                    <w:rPr>
                      <w:rFonts w:hint="default" w:eastAsia="宋体"/>
                      <w:color w:val="auto"/>
                      <w:lang w:val="en-US" w:eastAsia="zh-CN"/>
                    </w:rPr>
                  </w:pPr>
                  <w:r>
                    <w:rPr>
                      <w:rFonts w:hint="eastAsia"/>
                      <w:color w:val="auto"/>
                      <w:lang w:val="en-US" w:eastAsia="zh-CN"/>
                    </w:rPr>
                    <w:t>浓度限值</w:t>
                  </w:r>
                </w:p>
              </w:tc>
              <w:tc>
                <w:tcPr>
                  <w:tcW w:w="1056" w:type="pct"/>
                  <w:vMerge w:val="restart"/>
                  <w:tcBorders>
                    <w:tl2br w:val="nil"/>
                    <w:tr2bl w:val="nil"/>
                  </w:tcBorders>
                  <w:vAlign w:val="center"/>
                </w:tcPr>
                <w:p w14:paraId="1D932636">
                  <w:pPr>
                    <w:pStyle w:val="27"/>
                    <w:bidi w:val="0"/>
                    <w:rPr>
                      <w:rFonts w:hint="default"/>
                      <w:color w:val="auto"/>
                    </w:rPr>
                  </w:pPr>
                  <w:r>
                    <w:rPr>
                      <w:rFonts w:hint="default"/>
                      <w:color w:val="auto"/>
                    </w:rPr>
                    <w:t>备注</w:t>
                  </w:r>
                </w:p>
              </w:tc>
            </w:tr>
            <w:tr w14:paraId="62C350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pct"/>
                  <w:vMerge w:val="continue"/>
                  <w:tcBorders>
                    <w:tl2br w:val="nil"/>
                    <w:tr2bl w:val="nil"/>
                  </w:tcBorders>
                  <w:vAlign w:val="center"/>
                </w:tcPr>
                <w:p w14:paraId="424C8F24">
                  <w:pPr>
                    <w:pStyle w:val="27"/>
                    <w:bidi w:val="0"/>
                    <w:rPr>
                      <w:rFonts w:hint="default"/>
                      <w:color w:val="auto"/>
                    </w:rPr>
                  </w:pPr>
                </w:p>
              </w:tc>
              <w:tc>
                <w:tcPr>
                  <w:tcW w:w="990" w:type="pct"/>
                  <w:vMerge w:val="continue"/>
                  <w:tcBorders>
                    <w:tl2br w:val="nil"/>
                    <w:tr2bl w:val="nil"/>
                  </w:tcBorders>
                  <w:vAlign w:val="center"/>
                </w:tcPr>
                <w:p w14:paraId="03859990">
                  <w:pPr>
                    <w:pStyle w:val="27"/>
                    <w:bidi w:val="0"/>
                    <w:rPr>
                      <w:rFonts w:hint="default" w:eastAsia="宋体"/>
                      <w:color w:val="auto"/>
                      <w:lang w:val="en-US" w:eastAsia="zh-CN"/>
                    </w:rPr>
                  </w:pPr>
                </w:p>
              </w:tc>
              <w:tc>
                <w:tcPr>
                  <w:tcW w:w="601" w:type="pct"/>
                  <w:tcBorders>
                    <w:tl2br w:val="nil"/>
                    <w:tr2bl w:val="nil"/>
                  </w:tcBorders>
                  <w:vAlign w:val="center"/>
                </w:tcPr>
                <w:p w14:paraId="17AEBE09">
                  <w:pPr>
                    <w:pStyle w:val="27"/>
                    <w:bidi w:val="0"/>
                    <w:rPr>
                      <w:rFonts w:hint="eastAsia" w:eastAsia="宋体"/>
                      <w:color w:val="auto"/>
                      <w:lang w:val="en-US" w:eastAsia="zh-CN"/>
                    </w:rPr>
                  </w:pPr>
                  <w:r>
                    <w:rPr>
                      <w:rFonts w:hint="eastAsia"/>
                      <w:color w:val="auto"/>
                      <w:lang w:val="en-US" w:eastAsia="zh-CN"/>
                    </w:rPr>
                    <w:t>一级</w:t>
                  </w:r>
                </w:p>
              </w:tc>
              <w:tc>
                <w:tcPr>
                  <w:tcW w:w="625" w:type="pct"/>
                  <w:tcBorders>
                    <w:tl2br w:val="nil"/>
                    <w:tr2bl w:val="nil"/>
                  </w:tcBorders>
                  <w:vAlign w:val="center"/>
                </w:tcPr>
                <w:p w14:paraId="411A935C">
                  <w:pPr>
                    <w:pStyle w:val="27"/>
                    <w:bidi w:val="0"/>
                    <w:ind w:firstLine="0" w:firstLineChars="0"/>
                    <w:rPr>
                      <w:rFonts w:hint="eastAsia"/>
                      <w:color w:val="auto"/>
                      <w:lang w:val="en-US" w:eastAsia="zh-CN"/>
                    </w:rPr>
                  </w:pPr>
                  <w:r>
                    <w:rPr>
                      <w:rFonts w:hint="eastAsia"/>
                      <w:color w:val="auto"/>
                      <w:lang w:val="en-US" w:eastAsia="zh-CN"/>
                    </w:rPr>
                    <w:t>二级</w:t>
                  </w:r>
                </w:p>
              </w:tc>
              <w:tc>
                <w:tcPr>
                  <w:tcW w:w="474" w:type="pct"/>
                  <w:tcBorders>
                    <w:tl2br w:val="nil"/>
                    <w:tr2bl w:val="nil"/>
                  </w:tcBorders>
                  <w:vAlign w:val="center"/>
                </w:tcPr>
                <w:p w14:paraId="2DBBEEC5">
                  <w:pPr>
                    <w:pStyle w:val="27"/>
                    <w:bidi w:val="0"/>
                    <w:rPr>
                      <w:rFonts w:hint="eastAsia" w:eastAsia="宋体"/>
                      <w:color w:val="auto"/>
                      <w:lang w:val="en-US" w:eastAsia="zh-CN"/>
                    </w:rPr>
                  </w:pPr>
                  <w:r>
                    <w:rPr>
                      <w:rFonts w:hint="eastAsia"/>
                      <w:color w:val="auto"/>
                      <w:lang w:val="en-US" w:eastAsia="zh-CN"/>
                    </w:rPr>
                    <w:t>一级</w:t>
                  </w:r>
                </w:p>
              </w:tc>
              <w:tc>
                <w:tcPr>
                  <w:tcW w:w="474" w:type="pct"/>
                  <w:tcBorders>
                    <w:tl2br w:val="nil"/>
                    <w:tr2bl w:val="nil"/>
                  </w:tcBorders>
                  <w:vAlign w:val="center"/>
                </w:tcPr>
                <w:p w14:paraId="0D6A79C1">
                  <w:pPr>
                    <w:pStyle w:val="27"/>
                    <w:bidi w:val="0"/>
                    <w:rPr>
                      <w:rFonts w:hint="default"/>
                      <w:color w:val="auto"/>
                      <w:lang w:val="en-US" w:eastAsia="zh-CN"/>
                    </w:rPr>
                  </w:pPr>
                  <w:r>
                    <w:rPr>
                      <w:rFonts w:hint="eastAsia"/>
                      <w:color w:val="auto"/>
                      <w:lang w:val="en-US" w:eastAsia="zh-CN"/>
                    </w:rPr>
                    <w:t>二级</w:t>
                  </w:r>
                </w:p>
              </w:tc>
              <w:tc>
                <w:tcPr>
                  <w:tcW w:w="1056" w:type="pct"/>
                  <w:vMerge w:val="continue"/>
                  <w:tcBorders>
                    <w:tl2br w:val="nil"/>
                    <w:tr2bl w:val="nil"/>
                  </w:tcBorders>
                  <w:vAlign w:val="center"/>
                </w:tcPr>
                <w:p w14:paraId="11B80E8D">
                  <w:pPr>
                    <w:pStyle w:val="27"/>
                    <w:bidi w:val="0"/>
                    <w:rPr>
                      <w:rFonts w:hint="default"/>
                      <w:color w:val="auto"/>
                    </w:rPr>
                  </w:pPr>
                </w:p>
              </w:tc>
            </w:tr>
            <w:tr w14:paraId="02B803D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restart"/>
                  <w:tcBorders>
                    <w:tl2br w:val="nil"/>
                    <w:tr2bl w:val="nil"/>
                  </w:tcBorders>
                  <w:vAlign w:val="center"/>
                </w:tcPr>
                <w:p w14:paraId="327BD0BC">
                  <w:pPr>
                    <w:pStyle w:val="27"/>
                    <w:bidi w:val="0"/>
                    <w:rPr>
                      <w:rFonts w:hint="default"/>
                      <w:color w:val="auto"/>
                    </w:rPr>
                  </w:pPr>
                  <w:r>
                    <w:rPr>
                      <w:rFonts w:hint="default"/>
                      <w:color w:val="auto"/>
                    </w:rPr>
                    <w:t>SO</w:t>
                  </w:r>
                  <w:r>
                    <w:rPr>
                      <w:rFonts w:hint="default"/>
                      <w:color w:val="auto"/>
                      <w:vertAlign w:val="subscript"/>
                    </w:rPr>
                    <w:t>2</w:t>
                  </w:r>
                </w:p>
              </w:tc>
              <w:tc>
                <w:tcPr>
                  <w:tcW w:w="990" w:type="pct"/>
                  <w:tcBorders>
                    <w:tl2br w:val="nil"/>
                    <w:tr2bl w:val="nil"/>
                  </w:tcBorders>
                  <w:vAlign w:val="center"/>
                </w:tcPr>
                <w:p w14:paraId="34BB088E">
                  <w:pPr>
                    <w:pStyle w:val="27"/>
                    <w:bidi w:val="0"/>
                    <w:rPr>
                      <w:rFonts w:hint="eastAsia" w:eastAsia="宋体"/>
                      <w:color w:val="auto"/>
                      <w:lang w:val="en-US" w:eastAsia="zh-CN"/>
                    </w:rPr>
                  </w:pPr>
                  <w:r>
                    <w:rPr>
                      <w:rFonts w:hint="eastAsia"/>
                      <w:color w:val="auto"/>
                      <w:lang w:val="en-US" w:eastAsia="zh-CN"/>
                    </w:rPr>
                    <w:t>年平均</w:t>
                  </w:r>
                </w:p>
              </w:tc>
              <w:tc>
                <w:tcPr>
                  <w:tcW w:w="601" w:type="pct"/>
                  <w:tcBorders>
                    <w:tl2br w:val="nil"/>
                    <w:tr2bl w:val="nil"/>
                  </w:tcBorders>
                  <w:vAlign w:val="center"/>
                </w:tcPr>
                <w:p w14:paraId="0BB5D3E0">
                  <w:pPr>
                    <w:pStyle w:val="27"/>
                    <w:bidi w:val="0"/>
                    <w:rPr>
                      <w:rFonts w:hint="default" w:eastAsia="宋体"/>
                      <w:color w:val="auto"/>
                      <w:lang w:val="en-US" w:eastAsia="zh-CN"/>
                    </w:rPr>
                  </w:pPr>
                  <w:r>
                    <w:rPr>
                      <w:rFonts w:hint="eastAsia"/>
                      <w:color w:val="auto"/>
                      <w:lang w:val="en-US" w:eastAsia="zh-CN"/>
                    </w:rPr>
                    <w:t>20</w:t>
                  </w:r>
                </w:p>
              </w:tc>
              <w:tc>
                <w:tcPr>
                  <w:tcW w:w="625" w:type="pct"/>
                  <w:tcBorders>
                    <w:tl2br w:val="nil"/>
                    <w:tr2bl w:val="nil"/>
                  </w:tcBorders>
                  <w:vAlign w:val="center"/>
                </w:tcPr>
                <w:p w14:paraId="70DA626A">
                  <w:pPr>
                    <w:pStyle w:val="27"/>
                    <w:bidi w:val="0"/>
                    <w:ind w:firstLine="0" w:firstLineChars="0"/>
                    <w:rPr>
                      <w:rFonts w:hint="eastAsia"/>
                      <w:color w:val="auto"/>
                      <w:lang w:val="en-US" w:eastAsia="zh-CN"/>
                    </w:rPr>
                  </w:pPr>
                  <w:r>
                    <w:rPr>
                      <w:rFonts w:hint="eastAsia"/>
                      <w:color w:val="auto"/>
                      <w:lang w:val="en-US" w:eastAsia="zh-CN"/>
                    </w:rPr>
                    <w:t>60</w:t>
                  </w:r>
                </w:p>
              </w:tc>
              <w:tc>
                <w:tcPr>
                  <w:tcW w:w="474" w:type="pct"/>
                  <w:tcBorders>
                    <w:tl2br w:val="nil"/>
                    <w:tr2bl w:val="nil"/>
                  </w:tcBorders>
                  <w:vAlign w:val="center"/>
                </w:tcPr>
                <w:p w14:paraId="1F55DE9A">
                  <w:pPr>
                    <w:pStyle w:val="27"/>
                    <w:bidi w:val="0"/>
                    <w:rPr>
                      <w:rFonts w:hint="default" w:eastAsia="宋体"/>
                      <w:color w:val="auto"/>
                      <w:lang w:val="en-US" w:eastAsia="zh-CN"/>
                    </w:rPr>
                  </w:pPr>
                  <w:r>
                    <w:rPr>
                      <w:rFonts w:hint="eastAsia"/>
                      <w:color w:val="auto"/>
                      <w:lang w:val="en-US" w:eastAsia="zh-CN"/>
                    </w:rPr>
                    <w:t>20</w:t>
                  </w:r>
                </w:p>
              </w:tc>
              <w:tc>
                <w:tcPr>
                  <w:tcW w:w="474" w:type="pct"/>
                  <w:tcBorders>
                    <w:tl2br w:val="nil"/>
                    <w:tr2bl w:val="nil"/>
                  </w:tcBorders>
                  <w:vAlign w:val="center"/>
                </w:tcPr>
                <w:p w14:paraId="722BC355">
                  <w:pPr>
                    <w:pStyle w:val="27"/>
                    <w:bidi w:val="0"/>
                    <w:ind w:firstLine="0" w:firstLineChars="0"/>
                    <w:rPr>
                      <w:rFonts w:hint="eastAsia"/>
                      <w:color w:val="auto"/>
                      <w:lang w:val="en-US" w:eastAsia="zh-CN"/>
                    </w:rPr>
                  </w:pPr>
                  <w:r>
                    <w:rPr>
                      <w:rFonts w:hint="eastAsia"/>
                      <w:color w:val="auto"/>
                      <w:lang w:val="en-US" w:eastAsia="zh-CN"/>
                    </w:rPr>
                    <w:t>20</w:t>
                  </w:r>
                </w:p>
              </w:tc>
              <w:tc>
                <w:tcPr>
                  <w:tcW w:w="1056" w:type="pct"/>
                  <w:vMerge w:val="restart"/>
                  <w:tcBorders>
                    <w:tl2br w:val="nil"/>
                    <w:tr2bl w:val="nil"/>
                  </w:tcBorders>
                  <w:vAlign w:val="center"/>
                </w:tcPr>
                <w:p w14:paraId="2EE3AA0A">
                  <w:pPr>
                    <w:pStyle w:val="27"/>
                    <w:bidi w:val="0"/>
                    <w:rPr>
                      <w:rFonts w:hint="default"/>
                      <w:color w:val="auto"/>
                    </w:rPr>
                  </w:pPr>
                  <w:r>
                    <w:rPr>
                      <w:rFonts w:hint="default"/>
                      <w:color w:val="auto"/>
                    </w:rPr>
                    <w:t>《环境空气质量标准》（GB3095-</w:t>
                  </w:r>
                  <w:r>
                    <w:rPr>
                      <w:rFonts w:hint="eastAsia"/>
                      <w:color w:val="auto"/>
                      <w:lang w:val="en-US" w:eastAsia="zh-CN"/>
                    </w:rPr>
                    <w:t>2026</w:t>
                  </w:r>
                  <w:r>
                    <w:rPr>
                      <w:rFonts w:hint="default"/>
                      <w:color w:val="auto"/>
                    </w:rPr>
                    <w:t>）中的二级标准</w:t>
                  </w:r>
                </w:p>
              </w:tc>
            </w:tr>
            <w:tr w14:paraId="347BAB8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6D3268D9">
                  <w:pPr>
                    <w:pStyle w:val="27"/>
                    <w:bidi w:val="0"/>
                  </w:pPr>
                </w:p>
              </w:tc>
              <w:tc>
                <w:tcPr>
                  <w:tcW w:w="990" w:type="pct"/>
                  <w:tcBorders>
                    <w:tl2br w:val="nil"/>
                    <w:tr2bl w:val="nil"/>
                  </w:tcBorders>
                  <w:vAlign w:val="center"/>
                </w:tcPr>
                <w:p w14:paraId="4B69F759">
                  <w:pPr>
                    <w:pStyle w:val="27"/>
                    <w:bidi w:val="0"/>
                    <w:rPr>
                      <w:rFonts w:hint="eastAsia" w:eastAsia="宋体"/>
                      <w:color w:val="auto"/>
                      <w:lang w:val="en-US" w:eastAsia="zh-CN"/>
                    </w:rPr>
                  </w:pPr>
                  <w:r>
                    <w:rPr>
                      <w:rFonts w:hint="eastAsia"/>
                      <w:color w:val="auto"/>
                      <w:lang w:val="en-US" w:eastAsia="zh-CN"/>
                    </w:rPr>
                    <w:t>日平均</w:t>
                  </w:r>
                </w:p>
              </w:tc>
              <w:tc>
                <w:tcPr>
                  <w:tcW w:w="601" w:type="pct"/>
                  <w:tcBorders>
                    <w:tl2br w:val="nil"/>
                    <w:tr2bl w:val="nil"/>
                  </w:tcBorders>
                  <w:vAlign w:val="center"/>
                </w:tcPr>
                <w:p w14:paraId="599644BE">
                  <w:pPr>
                    <w:pStyle w:val="27"/>
                    <w:bidi w:val="0"/>
                    <w:rPr>
                      <w:rFonts w:hint="default" w:eastAsia="宋体"/>
                      <w:color w:val="auto"/>
                      <w:lang w:val="en-US" w:eastAsia="zh-CN"/>
                    </w:rPr>
                  </w:pPr>
                  <w:r>
                    <w:rPr>
                      <w:rFonts w:hint="eastAsia"/>
                      <w:color w:val="auto"/>
                      <w:lang w:val="en-US" w:eastAsia="zh-CN"/>
                    </w:rPr>
                    <w:t>50</w:t>
                  </w:r>
                </w:p>
              </w:tc>
              <w:tc>
                <w:tcPr>
                  <w:tcW w:w="625" w:type="pct"/>
                  <w:tcBorders>
                    <w:tl2br w:val="nil"/>
                    <w:tr2bl w:val="nil"/>
                  </w:tcBorders>
                  <w:vAlign w:val="center"/>
                </w:tcPr>
                <w:p w14:paraId="6E741B9D">
                  <w:pPr>
                    <w:pStyle w:val="27"/>
                    <w:bidi w:val="0"/>
                    <w:ind w:firstLine="0" w:firstLineChars="0"/>
                    <w:rPr>
                      <w:rFonts w:hint="eastAsia"/>
                      <w:color w:val="auto"/>
                      <w:lang w:val="en-US" w:eastAsia="zh-CN"/>
                    </w:rPr>
                  </w:pPr>
                  <w:r>
                    <w:rPr>
                      <w:rFonts w:hint="eastAsia"/>
                      <w:color w:val="auto"/>
                      <w:lang w:val="en-US" w:eastAsia="zh-CN"/>
                    </w:rPr>
                    <w:t>150</w:t>
                  </w:r>
                </w:p>
              </w:tc>
              <w:tc>
                <w:tcPr>
                  <w:tcW w:w="474" w:type="pct"/>
                  <w:tcBorders>
                    <w:tl2br w:val="nil"/>
                    <w:tr2bl w:val="nil"/>
                  </w:tcBorders>
                  <w:vAlign w:val="center"/>
                </w:tcPr>
                <w:p w14:paraId="2EEB28D4">
                  <w:pPr>
                    <w:pStyle w:val="27"/>
                    <w:bidi w:val="0"/>
                    <w:rPr>
                      <w:rFonts w:hint="default" w:eastAsia="宋体"/>
                      <w:color w:val="auto"/>
                      <w:lang w:val="en-US" w:eastAsia="zh-CN"/>
                    </w:rPr>
                  </w:pPr>
                  <w:r>
                    <w:rPr>
                      <w:rFonts w:hint="eastAsia"/>
                      <w:color w:val="auto"/>
                      <w:lang w:val="en-US" w:eastAsia="zh-CN"/>
                    </w:rPr>
                    <w:t>50</w:t>
                  </w:r>
                </w:p>
              </w:tc>
              <w:tc>
                <w:tcPr>
                  <w:tcW w:w="474" w:type="pct"/>
                  <w:tcBorders>
                    <w:tl2br w:val="nil"/>
                    <w:tr2bl w:val="nil"/>
                  </w:tcBorders>
                  <w:vAlign w:val="center"/>
                </w:tcPr>
                <w:p w14:paraId="0BA98618">
                  <w:pPr>
                    <w:pStyle w:val="27"/>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08561E3A">
                  <w:pPr>
                    <w:pStyle w:val="27"/>
                    <w:bidi w:val="0"/>
                    <w:rPr>
                      <w:rFonts w:hint="default"/>
                      <w:color w:val="auto"/>
                    </w:rPr>
                  </w:pPr>
                </w:p>
              </w:tc>
            </w:tr>
            <w:tr w14:paraId="364FF9A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6D9ED668">
                  <w:pPr>
                    <w:pStyle w:val="27"/>
                    <w:bidi w:val="0"/>
                    <w:rPr>
                      <w:rFonts w:hint="default"/>
                      <w:color w:val="auto"/>
                    </w:rPr>
                  </w:pPr>
                </w:p>
              </w:tc>
              <w:tc>
                <w:tcPr>
                  <w:tcW w:w="990" w:type="pct"/>
                  <w:tcBorders>
                    <w:tl2br w:val="nil"/>
                    <w:tr2bl w:val="nil"/>
                  </w:tcBorders>
                  <w:vAlign w:val="center"/>
                </w:tcPr>
                <w:p w14:paraId="7BDB135D">
                  <w:pPr>
                    <w:pStyle w:val="27"/>
                    <w:bidi w:val="0"/>
                    <w:rPr>
                      <w:rFonts w:hint="default" w:eastAsia="宋体"/>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13EFFE97">
                  <w:pPr>
                    <w:pStyle w:val="27"/>
                    <w:bidi w:val="0"/>
                    <w:rPr>
                      <w:rFonts w:hint="default" w:eastAsia="宋体"/>
                      <w:color w:val="auto"/>
                      <w:lang w:val="en-US" w:eastAsia="zh-CN"/>
                    </w:rPr>
                  </w:pPr>
                  <w:r>
                    <w:rPr>
                      <w:rFonts w:hint="eastAsia"/>
                      <w:color w:val="auto"/>
                      <w:lang w:val="en-US" w:eastAsia="zh-CN"/>
                    </w:rPr>
                    <w:t>150</w:t>
                  </w:r>
                </w:p>
              </w:tc>
              <w:tc>
                <w:tcPr>
                  <w:tcW w:w="625" w:type="pct"/>
                  <w:tcBorders>
                    <w:tl2br w:val="nil"/>
                    <w:tr2bl w:val="nil"/>
                  </w:tcBorders>
                  <w:vAlign w:val="center"/>
                </w:tcPr>
                <w:p w14:paraId="05761F68">
                  <w:pPr>
                    <w:pStyle w:val="27"/>
                    <w:bidi w:val="0"/>
                    <w:ind w:firstLine="0" w:firstLineChars="0"/>
                    <w:rPr>
                      <w:rFonts w:hint="eastAsia"/>
                      <w:color w:val="auto"/>
                      <w:lang w:val="en-US" w:eastAsia="zh-CN"/>
                    </w:rPr>
                  </w:pPr>
                  <w:r>
                    <w:rPr>
                      <w:rFonts w:hint="eastAsia"/>
                      <w:color w:val="auto"/>
                      <w:lang w:val="en-US" w:eastAsia="zh-CN"/>
                    </w:rPr>
                    <w:t>500</w:t>
                  </w:r>
                </w:p>
              </w:tc>
              <w:tc>
                <w:tcPr>
                  <w:tcW w:w="474" w:type="pct"/>
                  <w:tcBorders>
                    <w:tl2br w:val="nil"/>
                    <w:tr2bl w:val="nil"/>
                  </w:tcBorders>
                  <w:vAlign w:val="center"/>
                </w:tcPr>
                <w:p w14:paraId="1F08BB64">
                  <w:pPr>
                    <w:pStyle w:val="27"/>
                    <w:bidi w:val="0"/>
                    <w:rPr>
                      <w:rFonts w:hint="default" w:eastAsia="宋体"/>
                      <w:color w:val="auto"/>
                      <w:lang w:val="en-US" w:eastAsia="zh-CN"/>
                    </w:rPr>
                  </w:pPr>
                  <w:r>
                    <w:rPr>
                      <w:rFonts w:hint="eastAsia"/>
                      <w:color w:val="auto"/>
                      <w:lang w:val="en-US" w:eastAsia="zh-CN"/>
                    </w:rPr>
                    <w:t>150</w:t>
                  </w:r>
                </w:p>
              </w:tc>
              <w:tc>
                <w:tcPr>
                  <w:tcW w:w="474" w:type="pct"/>
                  <w:tcBorders>
                    <w:tl2br w:val="nil"/>
                    <w:tr2bl w:val="nil"/>
                  </w:tcBorders>
                  <w:vAlign w:val="center"/>
                </w:tcPr>
                <w:p w14:paraId="0C025694">
                  <w:pPr>
                    <w:pStyle w:val="27"/>
                    <w:bidi w:val="0"/>
                    <w:ind w:firstLine="0" w:firstLineChars="0"/>
                    <w:rPr>
                      <w:rFonts w:hint="eastAsia"/>
                      <w:color w:val="auto"/>
                      <w:lang w:val="en-US" w:eastAsia="zh-CN"/>
                    </w:rPr>
                  </w:pPr>
                  <w:r>
                    <w:rPr>
                      <w:rFonts w:hint="eastAsia"/>
                      <w:color w:val="auto"/>
                      <w:lang w:val="en-US" w:eastAsia="zh-CN"/>
                    </w:rPr>
                    <w:t>150</w:t>
                  </w:r>
                </w:p>
              </w:tc>
              <w:tc>
                <w:tcPr>
                  <w:tcW w:w="1056" w:type="pct"/>
                  <w:vMerge w:val="continue"/>
                  <w:tcBorders>
                    <w:tl2br w:val="nil"/>
                    <w:tr2bl w:val="nil"/>
                  </w:tcBorders>
                  <w:vAlign w:val="center"/>
                </w:tcPr>
                <w:p w14:paraId="7A6866FC">
                  <w:pPr>
                    <w:pStyle w:val="27"/>
                    <w:bidi w:val="0"/>
                    <w:rPr>
                      <w:rFonts w:hint="default"/>
                      <w:color w:val="auto"/>
                    </w:rPr>
                  </w:pPr>
                </w:p>
              </w:tc>
            </w:tr>
            <w:tr w14:paraId="30AED9B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restart"/>
                  <w:tcBorders>
                    <w:tl2br w:val="nil"/>
                    <w:tr2bl w:val="nil"/>
                  </w:tcBorders>
                  <w:vAlign w:val="center"/>
                </w:tcPr>
                <w:p w14:paraId="342FC606">
                  <w:pPr>
                    <w:pStyle w:val="27"/>
                    <w:bidi w:val="0"/>
                    <w:rPr>
                      <w:rFonts w:hint="default"/>
                      <w:color w:val="auto"/>
                    </w:rPr>
                  </w:pPr>
                  <w:r>
                    <w:rPr>
                      <w:rFonts w:hint="default"/>
                      <w:color w:val="auto"/>
                    </w:rPr>
                    <w:t>NO</w:t>
                  </w:r>
                  <w:r>
                    <w:rPr>
                      <w:rFonts w:hint="default"/>
                      <w:color w:val="auto"/>
                      <w:vertAlign w:val="subscript"/>
                    </w:rPr>
                    <w:t>2</w:t>
                  </w:r>
                </w:p>
              </w:tc>
              <w:tc>
                <w:tcPr>
                  <w:tcW w:w="990" w:type="pct"/>
                  <w:tcBorders>
                    <w:tl2br w:val="nil"/>
                    <w:tr2bl w:val="nil"/>
                  </w:tcBorders>
                  <w:vAlign w:val="center"/>
                </w:tcPr>
                <w:p w14:paraId="60B0E6E7">
                  <w:pPr>
                    <w:pStyle w:val="27"/>
                    <w:bidi w:val="0"/>
                    <w:ind w:firstLine="0" w:firstLineChars="0"/>
                    <w:rPr>
                      <w:rFonts w:hint="default"/>
                      <w:color w:val="auto"/>
                    </w:rPr>
                  </w:pPr>
                  <w:r>
                    <w:rPr>
                      <w:rFonts w:hint="eastAsia"/>
                      <w:color w:val="auto"/>
                      <w:lang w:val="en-US" w:eastAsia="zh-CN"/>
                    </w:rPr>
                    <w:t>年平均</w:t>
                  </w:r>
                </w:p>
              </w:tc>
              <w:tc>
                <w:tcPr>
                  <w:tcW w:w="601" w:type="pct"/>
                  <w:tcBorders>
                    <w:tl2br w:val="nil"/>
                    <w:tr2bl w:val="nil"/>
                  </w:tcBorders>
                  <w:vAlign w:val="center"/>
                </w:tcPr>
                <w:p w14:paraId="66B8AD55">
                  <w:pPr>
                    <w:pStyle w:val="27"/>
                    <w:bidi w:val="0"/>
                    <w:rPr>
                      <w:rFonts w:hint="default" w:eastAsia="宋体"/>
                      <w:color w:val="auto"/>
                      <w:lang w:val="en-US" w:eastAsia="zh-CN"/>
                    </w:rPr>
                  </w:pPr>
                  <w:r>
                    <w:rPr>
                      <w:rFonts w:hint="eastAsia"/>
                      <w:color w:val="auto"/>
                      <w:lang w:val="en-US" w:eastAsia="zh-CN"/>
                    </w:rPr>
                    <w:t>40</w:t>
                  </w:r>
                </w:p>
              </w:tc>
              <w:tc>
                <w:tcPr>
                  <w:tcW w:w="625" w:type="pct"/>
                  <w:tcBorders>
                    <w:tl2br w:val="nil"/>
                    <w:tr2bl w:val="nil"/>
                  </w:tcBorders>
                  <w:vAlign w:val="center"/>
                </w:tcPr>
                <w:p w14:paraId="67F1A30A">
                  <w:pPr>
                    <w:pStyle w:val="27"/>
                    <w:bidi w:val="0"/>
                    <w:ind w:firstLine="0" w:firstLineChars="0"/>
                    <w:rPr>
                      <w:rFonts w:hint="eastAsia"/>
                      <w:color w:val="auto"/>
                      <w:lang w:val="en-US" w:eastAsia="zh-CN"/>
                    </w:rPr>
                  </w:pPr>
                  <w:r>
                    <w:rPr>
                      <w:rFonts w:hint="eastAsia"/>
                      <w:color w:val="auto"/>
                      <w:lang w:val="en-US" w:eastAsia="zh-CN"/>
                    </w:rPr>
                    <w:t>40</w:t>
                  </w:r>
                </w:p>
              </w:tc>
              <w:tc>
                <w:tcPr>
                  <w:tcW w:w="474" w:type="pct"/>
                  <w:tcBorders>
                    <w:tl2br w:val="nil"/>
                    <w:tr2bl w:val="nil"/>
                  </w:tcBorders>
                  <w:vAlign w:val="center"/>
                </w:tcPr>
                <w:p w14:paraId="5E664197">
                  <w:pPr>
                    <w:pStyle w:val="27"/>
                    <w:bidi w:val="0"/>
                    <w:rPr>
                      <w:rFonts w:hint="default" w:eastAsia="宋体"/>
                      <w:color w:val="auto"/>
                      <w:lang w:val="en-US" w:eastAsia="zh-CN"/>
                    </w:rPr>
                  </w:pPr>
                  <w:r>
                    <w:rPr>
                      <w:rFonts w:hint="eastAsia"/>
                      <w:color w:val="auto"/>
                      <w:lang w:val="en-US" w:eastAsia="zh-CN"/>
                    </w:rPr>
                    <w:t>30</w:t>
                  </w:r>
                </w:p>
              </w:tc>
              <w:tc>
                <w:tcPr>
                  <w:tcW w:w="474" w:type="pct"/>
                  <w:tcBorders>
                    <w:tl2br w:val="nil"/>
                    <w:tr2bl w:val="nil"/>
                  </w:tcBorders>
                  <w:vAlign w:val="center"/>
                </w:tcPr>
                <w:p w14:paraId="192485E1">
                  <w:pPr>
                    <w:pStyle w:val="27"/>
                    <w:bidi w:val="0"/>
                    <w:ind w:firstLine="0" w:firstLineChars="0"/>
                    <w:rPr>
                      <w:rFonts w:hint="eastAsia"/>
                      <w:color w:val="auto"/>
                      <w:lang w:val="en-US" w:eastAsia="zh-CN"/>
                    </w:rPr>
                  </w:pPr>
                  <w:r>
                    <w:rPr>
                      <w:rFonts w:hint="eastAsia"/>
                      <w:color w:val="auto"/>
                      <w:lang w:val="en-US" w:eastAsia="zh-CN"/>
                    </w:rPr>
                    <w:t>30</w:t>
                  </w:r>
                </w:p>
              </w:tc>
              <w:tc>
                <w:tcPr>
                  <w:tcW w:w="1056" w:type="pct"/>
                  <w:vMerge w:val="continue"/>
                  <w:tcBorders>
                    <w:tl2br w:val="nil"/>
                    <w:tr2bl w:val="nil"/>
                  </w:tcBorders>
                  <w:vAlign w:val="center"/>
                </w:tcPr>
                <w:p w14:paraId="3030BB1E">
                  <w:pPr>
                    <w:pStyle w:val="27"/>
                    <w:bidi w:val="0"/>
                    <w:rPr>
                      <w:rFonts w:hint="default"/>
                      <w:color w:val="auto"/>
                    </w:rPr>
                  </w:pPr>
                </w:p>
              </w:tc>
            </w:tr>
            <w:tr w14:paraId="63816F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37853F9F">
                  <w:pPr>
                    <w:pStyle w:val="27"/>
                    <w:bidi w:val="0"/>
                  </w:pPr>
                </w:p>
              </w:tc>
              <w:tc>
                <w:tcPr>
                  <w:tcW w:w="990" w:type="pct"/>
                  <w:tcBorders>
                    <w:tl2br w:val="nil"/>
                    <w:tr2bl w:val="nil"/>
                  </w:tcBorders>
                  <w:vAlign w:val="center"/>
                </w:tcPr>
                <w:p w14:paraId="23CFAD5A">
                  <w:pPr>
                    <w:pStyle w:val="27"/>
                    <w:bidi w:val="0"/>
                    <w:ind w:firstLine="0" w:firstLineChars="0"/>
                    <w:rPr>
                      <w:rFonts w:hint="default"/>
                      <w:color w:val="auto"/>
                    </w:rPr>
                  </w:pPr>
                  <w:r>
                    <w:rPr>
                      <w:rFonts w:hint="eastAsia"/>
                      <w:color w:val="auto"/>
                      <w:lang w:val="en-US" w:eastAsia="zh-CN"/>
                    </w:rPr>
                    <w:t>日平均</w:t>
                  </w:r>
                </w:p>
              </w:tc>
              <w:tc>
                <w:tcPr>
                  <w:tcW w:w="601" w:type="pct"/>
                  <w:tcBorders>
                    <w:tl2br w:val="nil"/>
                    <w:tr2bl w:val="nil"/>
                  </w:tcBorders>
                  <w:vAlign w:val="center"/>
                </w:tcPr>
                <w:p w14:paraId="595E5F4B">
                  <w:pPr>
                    <w:pStyle w:val="27"/>
                    <w:bidi w:val="0"/>
                    <w:rPr>
                      <w:rFonts w:hint="default" w:eastAsia="宋体"/>
                      <w:color w:val="auto"/>
                      <w:lang w:val="en-US" w:eastAsia="zh-CN"/>
                    </w:rPr>
                  </w:pPr>
                  <w:r>
                    <w:rPr>
                      <w:rFonts w:hint="eastAsia"/>
                      <w:color w:val="auto"/>
                      <w:lang w:val="en-US" w:eastAsia="zh-CN"/>
                    </w:rPr>
                    <w:t>80</w:t>
                  </w:r>
                </w:p>
              </w:tc>
              <w:tc>
                <w:tcPr>
                  <w:tcW w:w="625" w:type="pct"/>
                  <w:tcBorders>
                    <w:tl2br w:val="nil"/>
                    <w:tr2bl w:val="nil"/>
                  </w:tcBorders>
                  <w:vAlign w:val="center"/>
                </w:tcPr>
                <w:p w14:paraId="0696E216">
                  <w:pPr>
                    <w:pStyle w:val="27"/>
                    <w:bidi w:val="0"/>
                    <w:ind w:firstLine="0" w:firstLineChars="0"/>
                    <w:rPr>
                      <w:rFonts w:hint="eastAsia"/>
                      <w:color w:val="auto"/>
                      <w:lang w:val="en-US" w:eastAsia="zh-CN"/>
                    </w:rPr>
                  </w:pPr>
                  <w:r>
                    <w:rPr>
                      <w:rFonts w:hint="eastAsia"/>
                      <w:color w:val="auto"/>
                      <w:lang w:val="en-US" w:eastAsia="zh-CN"/>
                    </w:rPr>
                    <w:t>80</w:t>
                  </w:r>
                </w:p>
              </w:tc>
              <w:tc>
                <w:tcPr>
                  <w:tcW w:w="474" w:type="pct"/>
                  <w:tcBorders>
                    <w:tl2br w:val="nil"/>
                    <w:tr2bl w:val="nil"/>
                  </w:tcBorders>
                  <w:vAlign w:val="center"/>
                </w:tcPr>
                <w:p w14:paraId="585B7CBF">
                  <w:pPr>
                    <w:pStyle w:val="27"/>
                    <w:bidi w:val="0"/>
                    <w:rPr>
                      <w:rFonts w:hint="default" w:eastAsia="宋体"/>
                      <w:color w:val="auto"/>
                      <w:lang w:val="en-US" w:eastAsia="zh-CN"/>
                    </w:rPr>
                  </w:pPr>
                  <w:r>
                    <w:rPr>
                      <w:rFonts w:hint="eastAsia"/>
                      <w:color w:val="auto"/>
                      <w:lang w:val="en-US" w:eastAsia="zh-CN"/>
                    </w:rPr>
                    <w:t>50</w:t>
                  </w:r>
                </w:p>
              </w:tc>
              <w:tc>
                <w:tcPr>
                  <w:tcW w:w="474" w:type="pct"/>
                  <w:tcBorders>
                    <w:tl2br w:val="nil"/>
                    <w:tr2bl w:val="nil"/>
                  </w:tcBorders>
                  <w:vAlign w:val="center"/>
                </w:tcPr>
                <w:p w14:paraId="1ED11EED">
                  <w:pPr>
                    <w:pStyle w:val="27"/>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123159EE">
                  <w:pPr>
                    <w:pStyle w:val="27"/>
                    <w:bidi w:val="0"/>
                    <w:rPr>
                      <w:rFonts w:hint="default"/>
                      <w:color w:val="auto"/>
                    </w:rPr>
                  </w:pPr>
                </w:p>
              </w:tc>
            </w:tr>
            <w:tr w14:paraId="27900C7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797DBC02">
                  <w:pPr>
                    <w:pStyle w:val="27"/>
                    <w:bidi w:val="0"/>
                    <w:rPr>
                      <w:rFonts w:hint="default"/>
                      <w:color w:val="auto"/>
                    </w:rPr>
                  </w:pPr>
                </w:p>
              </w:tc>
              <w:tc>
                <w:tcPr>
                  <w:tcW w:w="990" w:type="pct"/>
                  <w:tcBorders>
                    <w:tl2br w:val="nil"/>
                    <w:tr2bl w:val="nil"/>
                  </w:tcBorders>
                  <w:vAlign w:val="center"/>
                </w:tcPr>
                <w:p w14:paraId="44D137A7">
                  <w:pPr>
                    <w:pStyle w:val="27"/>
                    <w:bidi w:val="0"/>
                    <w:ind w:firstLine="0" w:firstLineChars="0"/>
                    <w:rPr>
                      <w:rFonts w:hint="default"/>
                      <w:color w:val="auto"/>
                    </w:rPr>
                  </w:pPr>
                  <w:r>
                    <w:rPr>
                      <w:rFonts w:hint="eastAsia"/>
                      <w:color w:val="auto"/>
                      <w:lang w:val="en-US" w:eastAsia="zh-CN"/>
                    </w:rPr>
                    <w:t>1小时平均</w:t>
                  </w:r>
                </w:p>
              </w:tc>
              <w:tc>
                <w:tcPr>
                  <w:tcW w:w="601" w:type="pct"/>
                  <w:tcBorders>
                    <w:tl2br w:val="nil"/>
                    <w:tr2bl w:val="nil"/>
                  </w:tcBorders>
                  <w:vAlign w:val="center"/>
                </w:tcPr>
                <w:p w14:paraId="0CA1381F">
                  <w:pPr>
                    <w:pStyle w:val="27"/>
                    <w:bidi w:val="0"/>
                    <w:rPr>
                      <w:rFonts w:hint="default" w:eastAsia="宋体"/>
                      <w:color w:val="auto"/>
                      <w:lang w:val="en-US" w:eastAsia="zh-CN"/>
                    </w:rPr>
                  </w:pPr>
                  <w:r>
                    <w:rPr>
                      <w:rFonts w:hint="eastAsia"/>
                      <w:color w:val="auto"/>
                      <w:lang w:val="en-US" w:eastAsia="zh-CN"/>
                    </w:rPr>
                    <w:t>200</w:t>
                  </w:r>
                </w:p>
              </w:tc>
              <w:tc>
                <w:tcPr>
                  <w:tcW w:w="625" w:type="pct"/>
                  <w:tcBorders>
                    <w:tl2br w:val="nil"/>
                    <w:tr2bl w:val="nil"/>
                  </w:tcBorders>
                  <w:vAlign w:val="center"/>
                </w:tcPr>
                <w:p w14:paraId="3905C61A">
                  <w:pPr>
                    <w:pStyle w:val="27"/>
                    <w:bidi w:val="0"/>
                    <w:ind w:firstLine="0" w:firstLineChars="0"/>
                    <w:rPr>
                      <w:rFonts w:hint="eastAsia"/>
                      <w:color w:val="auto"/>
                      <w:lang w:val="en-US" w:eastAsia="zh-CN"/>
                    </w:rPr>
                  </w:pPr>
                  <w:r>
                    <w:rPr>
                      <w:rFonts w:hint="eastAsia"/>
                      <w:color w:val="auto"/>
                      <w:lang w:val="en-US" w:eastAsia="zh-CN"/>
                    </w:rPr>
                    <w:t>200</w:t>
                  </w:r>
                </w:p>
              </w:tc>
              <w:tc>
                <w:tcPr>
                  <w:tcW w:w="474" w:type="pct"/>
                  <w:tcBorders>
                    <w:tl2br w:val="nil"/>
                    <w:tr2bl w:val="nil"/>
                  </w:tcBorders>
                  <w:vAlign w:val="center"/>
                </w:tcPr>
                <w:p w14:paraId="2015E022">
                  <w:pPr>
                    <w:pStyle w:val="27"/>
                    <w:bidi w:val="0"/>
                    <w:rPr>
                      <w:rFonts w:hint="default" w:eastAsia="宋体"/>
                      <w:color w:val="auto"/>
                      <w:lang w:val="en-US" w:eastAsia="zh-CN"/>
                    </w:rPr>
                  </w:pPr>
                  <w:r>
                    <w:rPr>
                      <w:rFonts w:hint="eastAsia"/>
                      <w:color w:val="auto"/>
                      <w:lang w:val="en-US" w:eastAsia="zh-CN"/>
                    </w:rPr>
                    <w:t>200</w:t>
                  </w:r>
                </w:p>
              </w:tc>
              <w:tc>
                <w:tcPr>
                  <w:tcW w:w="474" w:type="pct"/>
                  <w:tcBorders>
                    <w:tl2br w:val="nil"/>
                    <w:tr2bl w:val="nil"/>
                  </w:tcBorders>
                  <w:vAlign w:val="center"/>
                </w:tcPr>
                <w:p w14:paraId="046EAA48">
                  <w:pPr>
                    <w:pStyle w:val="27"/>
                    <w:bidi w:val="0"/>
                    <w:ind w:firstLine="0" w:firstLineChars="0"/>
                    <w:rPr>
                      <w:rFonts w:hint="eastAsia"/>
                      <w:color w:val="auto"/>
                      <w:lang w:val="en-US" w:eastAsia="zh-CN"/>
                    </w:rPr>
                  </w:pPr>
                  <w:r>
                    <w:rPr>
                      <w:rFonts w:hint="eastAsia"/>
                      <w:color w:val="auto"/>
                      <w:lang w:val="en-US" w:eastAsia="zh-CN"/>
                    </w:rPr>
                    <w:t>200</w:t>
                  </w:r>
                </w:p>
              </w:tc>
              <w:tc>
                <w:tcPr>
                  <w:tcW w:w="1056" w:type="pct"/>
                  <w:vMerge w:val="continue"/>
                  <w:tcBorders>
                    <w:tl2br w:val="nil"/>
                    <w:tr2bl w:val="nil"/>
                  </w:tcBorders>
                  <w:vAlign w:val="center"/>
                </w:tcPr>
                <w:p w14:paraId="0420EFBB">
                  <w:pPr>
                    <w:pStyle w:val="27"/>
                    <w:bidi w:val="0"/>
                    <w:rPr>
                      <w:rFonts w:hint="default"/>
                      <w:color w:val="auto"/>
                    </w:rPr>
                  </w:pPr>
                </w:p>
              </w:tc>
            </w:tr>
            <w:tr w14:paraId="3E67EBB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776" w:type="pct"/>
                  <w:vMerge w:val="restart"/>
                  <w:tcBorders>
                    <w:tl2br w:val="nil"/>
                    <w:tr2bl w:val="nil"/>
                  </w:tcBorders>
                  <w:vAlign w:val="center"/>
                </w:tcPr>
                <w:p w14:paraId="6A62DA3D">
                  <w:pPr>
                    <w:pStyle w:val="27"/>
                    <w:bidi w:val="0"/>
                    <w:rPr>
                      <w:rFonts w:hint="default"/>
                      <w:color w:val="auto"/>
                    </w:rPr>
                  </w:pPr>
                  <w:r>
                    <w:rPr>
                      <w:rFonts w:hint="eastAsia"/>
                      <w:color w:val="auto"/>
                      <w:lang w:val="en-US" w:eastAsia="zh-CN"/>
                    </w:rPr>
                    <w:t>NOx</w:t>
                  </w:r>
                </w:p>
              </w:tc>
              <w:tc>
                <w:tcPr>
                  <w:tcW w:w="990" w:type="pct"/>
                  <w:tcBorders>
                    <w:tl2br w:val="nil"/>
                    <w:tr2bl w:val="nil"/>
                  </w:tcBorders>
                  <w:vAlign w:val="center"/>
                </w:tcPr>
                <w:p w14:paraId="7D4E20A4">
                  <w:pPr>
                    <w:pStyle w:val="27"/>
                    <w:bidi w:val="0"/>
                    <w:ind w:firstLine="0" w:firstLineChars="0"/>
                    <w:rPr>
                      <w:rFonts w:hint="eastAsia"/>
                      <w:color w:val="auto"/>
                      <w:lang w:val="en-US" w:eastAsia="zh-CN"/>
                    </w:rPr>
                  </w:pPr>
                  <w:r>
                    <w:rPr>
                      <w:rFonts w:hint="eastAsia"/>
                      <w:color w:val="auto"/>
                      <w:lang w:val="en-US" w:eastAsia="zh-CN"/>
                    </w:rPr>
                    <w:t>年平均</w:t>
                  </w:r>
                </w:p>
              </w:tc>
              <w:tc>
                <w:tcPr>
                  <w:tcW w:w="601" w:type="pct"/>
                  <w:tcBorders>
                    <w:tl2br w:val="nil"/>
                    <w:tr2bl w:val="nil"/>
                  </w:tcBorders>
                  <w:vAlign w:val="center"/>
                </w:tcPr>
                <w:p w14:paraId="40B95DEA">
                  <w:pPr>
                    <w:pStyle w:val="27"/>
                    <w:bidi w:val="0"/>
                    <w:rPr>
                      <w:rFonts w:hint="default"/>
                      <w:color w:val="auto"/>
                      <w:lang w:val="en-US" w:eastAsia="zh-CN"/>
                    </w:rPr>
                  </w:pPr>
                  <w:r>
                    <w:rPr>
                      <w:rFonts w:hint="eastAsia"/>
                      <w:color w:val="auto"/>
                      <w:lang w:val="en-US" w:eastAsia="zh-CN"/>
                    </w:rPr>
                    <w:t>50</w:t>
                  </w:r>
                </w:p>
              </w:tc>
              <w:tc>
                <w:tcPr>
                  <w:tcW w:w="625" w:type="pct"/>
                  <w:tcBorders>
                    <w:tl2br w:val="nil"/>
                    <w:tr2bl w:val="nil"/>
                  </w:tcBorders>
                  <w:vAlign w:val="center"/>
                </w:tcPr>
                <w:p w14:paraId="6450D9D2">
                  <w:pPr>
                    <w:pStyle w:val="27"/>
                    <w:bidi w:val="0"/>
                    <w:ind w:firstLine="0" w:firstLineChars="0"/>
                    <w:rPr>
                      <w:rFonts w:hint="eastAsia"/>
                      <w:color w:val="auto"/>
                      <w:lang w:val="en-US" w:eastAsia="zh-CN"/>
                    </w:rPr>
                  </w:pPr>
                  <w:r>
                    <w:rPr>
                      <w:rFonts w:hint="eastAsia"/>
                      <w:color w:val="auto"/>
                      <w:lang w:val="en-US" w:eastAsia="zh-CN"/>
                    </w:rPr>
                    <w:t>50</w:t>
                  </w:r>
                </w:p>
              </w:tc>
              <w:tc>
                <w:tcPr>
                  <w:tcW w:w="474" w:type="pct"/>
                  <w:tcBorders>
                    <w:tl2br w:val="nil"/>
                    <w:tr2bl w:val="nil"/>
                  </w:tcBorders>
                  <w:vAlign w:val="center"/>
                </w:tcPr>
                <w:p w14:paraId="40FEDA36">
                  <w:pPr>
                    <w:pStyle w:val="27"/>
                    <w:bidi w:val="0"/>
                    <w:rPr>
                      <w:rFonts w:hint="default"/>
                      <w:color w:val="auto"/>
                      <w:lang w:val="en-US" w:eastAsia="zh-CN"/>
                    </w:rPr>
                  </w:pPr>
                  <w:r>
                    <w:rPr>
                      <w:rFonts w:hint="eastAsia"/>
                      <w:color w:val="auto"/>
                      <w:lang w:val="en-US" w:eastAsia="zh-CN"/>
                    </w:rPr>
                    <w:t>40</w:t>
                  </w:r>
                </w:p>
              </w:tc>
              <w:tc>
                <w:tcPr>
                  <w:tcW w:w="474" w:type="pct"/>
                  <w:tcBorders>
                    <w:tl2br w:val="nil"/>
                    <w:tr2bl w:val="nil"/>
                  </w:tcBorders>
                  <w:vAlign w:val="center"/>
                </w:tcPr>
                <w:p w14:paraId="3CD05B90">
                  <w:pPr>
                    <w:pStyle w:val="27"/>
                    <w:bidi w:val="0"/>
                    <w:ind w:firstLine="0" w:firstLineChars="0"/>
                    <w:rPr>
                      <w:rFonts w:hint="default"/>
                      <w:color w:val="auto"/>
                      <w:lang w:val="en-US" w:eastAsia="zh-CN"/>
                    </w:rPr>
                  </w:pPr>
                  <w:r>
                    <w:rPr>
                      <w:rFonts w:hint="eastAsia"/>
                      <w:color w:val="auto"/>
                      <w:lang w:val="en-US" w:eastAsia="zh-CN"/>
                    </w:rPr>
                    <w:t>40</w:t>
                  </w:r>
                </w:p>
              </w:tc>
              <w:tc>
                <w:tcPr>
                  <w:tcW w:w="1056" w:type="pct"/>
                  <w:vMerge w:val="continue"/>
                  <w:tcBorders>
                    <w:tl2br w:val="nil"/>
                    <w:tr2bl w:val="nil"/>
                  </w:tcBorders>
                  <w:vAlign w:val="center"/>
                </w:tcPr>
                <w:p w14:paraId="5E9EEF6C">
                  <w:pPr>
                    <w:pStyle w:val="27"/>
                    <w:bidi w:val="0"/>
                    <w:rPr>
                      <w:rFonts w:hint="default"/>
                      <w:color w:val="auto"/>
                    </w:rPr>
                  </w:pPr>
                </w:p>
              </w:tc>
            </w:tr>
            <w:tr w14:paraId="575E271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7698192F">
                  <w:pPr>
                    <w:pStyle w:val="27"/>
                    <w:bidi w:val="0"/>
                    <w:rPr>
                      <w:rFonts w:hint="default"/>
                      <w:color w:val="auto"/>
                    </w:rPr>
                  </w:pPr>
                </w:p>
              </w:tc>
              <w:tc>
                <w:tcPr>
                  <w:tcW w:w="990" w:type="pct"/>
                  <w:tcBorders>
                    <w:tl2br w:val="nil"/>
                    <w:tr2bl w:val="nil"/>
                  </w:tcBorders>
                  <w:vAlign w:val="center"/>
                </w:tcPr>
                <w:p w14:paraId="0CC96A29">
                  <w:pPr>
                    <w:pStyle w:val="27"/>
                    <w:bidi w:val="0"/>
                    <w:ind w:firstLine="0" w:firstLineChars="0"/>
                    <w:rPr>
                      <w:rFonts w:hint="eastAsia"/>
                      <w:color w:val="auto"/>
                      <w:lang w:val="en-US" w:eastAsia="zh-CN"/>
                    </w:rPr>
                  </w:pPr>
                  <w:r>
                    <w:rPr>
                      <w:rFonts w:hint="eastAsia"/>
                      <w:color w:val="auto"/>
                      <w:lang w:val="en-US" w:eastAsia="zh-CN"/>
                    </w:rPr>
                    <w:t>日平均</w:t>
                  </w:r>
                </w:p>
              </w:tc>
              <w:tc>
                <w:tcPr>
                  <w:tcW w:w="601" w:type="pct"/>
                  <w:tcBorders>
                    <w:tl2br w:val="nil"/>
                    <w:tr2bl w:val="nil"/>
                  </w:tcBorders>
                  <w:vAlign w:val="center"/>
                </w:tcPr>
                <w:p w14:paraId="102BFFE4">
                  <w:pPr>
                    <w:pStyle w:val="27"/>
                    <w:bidi w:val="0"/>
                    <w:rPr>
                      <w:rFonts w:hint="default"/>
                      <w:color w:val="auto"/>
                      <w:lang w:val="en-US" w:eastAsia="zh-CN"/>
                    </w:rPr>
                  </w:pPr>
                  <w:r>
                    <w:rPr>
                      <w:rFonts w:hint="eastAsia"/>
                      <w:color w:val="auto"/>
                      <w:lang w:val="en-US" w:eastAsia="zh-CN"/>
                    </w:rPr>
                    <w:t>100</w:t>
                  </w:r>
                </w:p>
              </w:tc>
              <w:tc>
                <w:tcPr>
                  <w:tcW w:w="625" w:type="pct"/>
                  <w:tcBorders>
                    <w:tl2br w:val="nil"/>
                    <w:tr2bl w:val="nil"/>
                  </w:tcBorders>
                  <w:vAlign w:val="center"/>
                </w:tcPr>
                <w:p w14:paraId="7D3C30F6">
                  <w:pPr>
                    <w:pStyle w:val="27"/>
                    <w:bidi w:val="0"/>
                    <w:ind w:firstLine="0" w:firstLineChars="0"/>
                    <w:rPr>
                      <w:rFonts w:hint="eastAsia"/>
                      <w:color w:val="auto"/>
                      <w:lang w:val="en-US" w:eastAsia="zh-CN"/>
                    </w:rPr>
                  </w:pPr>
                  <w:r>
                    <w:rPr>
                      <w:rFonts w:hint="eastAsia"/>
                      <w:color w:val="auto"/>
                      <w:lang w:val="en-US" w:eastAsia="zh-CN"/>
                    </w:rPr>
                    <w:t>100</w:t>
                  </w:r>
                </w:p>
              </w:tc>
              <w:tc>
                <w:tcPr>
                  <w:tcW w:w="474" w:type="pct"/>
                  <w:tcBorders>
                    <w:tl2br w:val="nil"/>
                    <w:tr2bl w:val="nil"/>
                  </w:tcBorders>
                  <w:vAlign w:val="center"/>
                </w:tcPr>
                <w:p w14:paraId="32864A78">
                  <w:pPr>
                    <w:pStyle w:val="27"/>
                    <w:bidi w:val="0"/>
                    <w:rPr>
                      <w:rFonts w:hint="default"/>
                      <w:color w:val="auto"/>
                      <w:lang w:val="en-US" w:eastAsia="zh-CN"/>
                    </w:rPr>
                  </w:pPr>
                  <w:r>
                    <w:rPr>
                      <w:rFonts w:hint="eastAsia"/>
                      <w:color w:val="auto"/>
                      <w:lang w:val="en-US" w:eastAsia="zh-CN"/>
                    </w:rPr>
                    <w:t>70</w:t>
                  </w:r>
                </w:p>
              </w:tc>
              <w:tc>
                <w:tcPr>
                  <w:tcW w:w="474" w:type="pct"/>
                  <w:tcBorders>
                    <w:tl2br w:val="nil"/>
                    <w:tr2bl w:val="nil"/>
                  </w:tcBorders>
                  <w:vAlign w:val="center"/>
                </w:tcPr>
                <w:p w14:paraId="72193AF8">
                  <w:pPr>
                    <w:pStyle w:val="27"/>
                    <w:bidi w:val="0"/>
                    <w:ind w:firstLine="0" w:firstLineChars="0"/>
                    <w:rPr>
                      <w:rFonts w:hint="default"/>
                      <w:color w:val="auto"/>
                      <w:lang w:val="en-US" w:eastAsia="zh-CN"/>
                    </w:rPr>
                  </w:pPr>
                  <w:r>
                    <w:rPr>
                      <w:rFonts w:hint="eastAsia"/>
                      <w:color w:val="auto"/>
                      <w:lang w:val="en-US" w:eastAsia="zh-CN"/>
                    </w:rPr>
                    <w:t>70</w:t>
                  </w:r>
                </w:p>
              </w:tc>
              <w:tc>
                <w:tcPr>
                  <w:tcW w:w="1056" w:type="pct"/>
                  <w:vMerge w:val="continue"/>
                  <w:tcBorders>
                    <w:tl2br w:val="nil"/>
                    <w:tr2bl w:val="nil"/>
                  </w:tcBorders>
                  <w:vAlign w:val="center"/>
                </w:tcPr>
                <w:p w14:paraId="3DB57C0D">
                  <w:pPr>
                    <w:pStyle w:val="27"/>
                    <w:bidi w:val="0"/>
                    <w:rPr>
                      <w:rFonts w:hint="default"/>
                      <w:color w:val="auto"/>
                    </w:rPr>
                  </w:pPr>
                </w:p>
              </w:tc>
            </w:tr>
            <w:tr w14:paraId="3C4D3D9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55945887">
                  <w:pPr>
                    <w:pStyle w:val="27"/>
                    <w:bidi w:val="0"/>
                    <w:rPr>
                      <w:rFonts w:hint="default"/>
                      <w:color w:val="auto"/>
                    </w:rPr>
                  </w:pPr>
                </w:p>
              </w:tc>
              <w:tc>
                <w:tcPr>
                  <w:tcW w:w="990" w:type="pct"/>
                  <w:tcBorders>
                    <w:tl2br w:val="nil"/>
                    <w:tr2bl w:val="nil"/>
                  </w:tcBorders>
                  <w:vAlign w:val="center"/>
                </w:tcPr>
                <w:p w14:paraId="17DA45F5">
                  <w:pPr>
                    <w:pStyle w:val="27"/>
                    <w:bidi w:val="0"/>
                    <w:ind w:firstLine="0" w:firstLineChars="0"/>
                    <w:rPr>
                      <w:rFonts w:hint="eastAsia"/>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52C94085">
                  <w:pPr>
                    <w:pStyle w:val="27"/>
                    <w:bidi w:val="0"/>
                    <w:rPr>
                      <w:rFonts w:hint="default"/>
                      <w:color w:val="auto"/>
                      <w:lang w:val="en-US" w:eastAsia="zh-CN"/>
                    </w:rPr>
                  </w:pPr>
                  <w:r>
                    <w:rPr>
                      <w:rFonts w:hint="eastAsia"/>
                      <w:color w:val="auto"/>
                      <w:lang w:val="en-US" w:eastAsia="zh-CN"/>
                    </w:rPr>
                    <w:t>250</w:t>
                  </w:r>
                </w:p>
              </w:tc>
              <w:tc>
                <w:tcPr>
                  <w:tcW w:w="625" w:type="pct"/>
                  <w:tcBorders>
                    <w:tl2br w:val="nil"/>
                    <w:tr2bl w:val="nil"/>
                  </w:tcBorders>
                  <w:vAlign w:val="center"/>
                </w:tcPr>
                <w:p w14:paraId="750E91AE">
                  <w:pPr>
                    <w:pStyle w:val="27"/>
                    <w:bidi w:val="0"/>
                    <w:ind w:firstLine="0" w:firstLineChars="0"/>
                    <w:rPr>
                      <w:rFonts w:hint="eastAsia"/>
                      <w:color w:val="auto"/>
                      <w:lang w:val="en-US" w:eastAsia="zh-CN"/>
                    </w:rPr>
                  </w:pPr>
                  <w:r>
                    <w:rPr>
                      <w:rFonts w:hint="eastAsia"/>
                      <w:color w:val="auto"/>
                      <w:lang w:val="en-US" w:eastAsia="zh-CN"/>
                    </w:rPr>
                    <w:t>250</w:t>
                  </w:r>
                </w:p>
              </w:tc>
              <w:tc>
                <w:tcPr>
                  <w:tcW w:w="474" w:type="pct"/>
                  <w:tcBorders>
                    <w:tl2br w:val="nil"/>
                    <w:tr2bl w:val="nil"/>
                  </w:tcBorders>
                  <w:vAlign w:val="center"/>
                </w:tcPr>
                <w:p w14:paraId="71F30F1A">
                  <w:pPr>
                    <w:pStyle w:val="27"/>
                    <w:bidi w:val="0"/>
                    <w:rPr>
                      <w:rFonts w:hint="default"/>
                      <w:color w:val="auto"/>
                      <w:lang w:val="en-US" w:eastAsia="zh-CN"/>
                    </w:rPr>
                  </w:pPr>
                  <w:r>
                    <w:rPr>
                      <w:rFonts w:hint="eastAsia"/>
                      <w:color w:val="auto"/>
                      <w:lang w:val="en-US" w:eastAsia="zh-CN"/>
                    </w:rPr>
                    <w:t>250</w:t>
                  </w:r>
                </w:p>
              </w:tc>
              <w:tc>
                <w:tcPr>
                  <w:tcW w:w="474" w:type="pct"/>
                  <w:tcBorders>
                    <w:tl2br w:val="nil"/>
                    <w:tr2bl w:val="nil"/>
                  </w:tcBorders>
                  <w:vAlign w:val="center"/>
                </w:tcPr>
                <w:p w14:paraId="0330D88D">
                  <w:pPr>
                    <w:pStyle w:val="27"/>
                    <w:bidi w:val="0"/>
                    <w:ind w:firstLine="0" w:firstLineChars="0"/>
                    <w:rPr>
                      <w:rFonts w:hint="default"/>
                      <w:color w:val="auto"/>
                      <w:lang w:val="en-US" w:eastAsia="zh-CN"/>
                    </w:rPr>
                  </w:pPr>
                  <w:r>
                    <w:rPr>
                      <w:rFonts w:hint="eastAsia"/>
                      <w:color w:val="auto"/>
                      <w:lang w:val="en-US" w:eastAsia="zh-CN"/>
                    </w:rPr>
                    <w:t>250</w:t>
                  </w:r>
                </w:p>
              </w:tc>
              <w:tc>
                <w:tcPr>
                  <w:tcW w:w="1056" w:type="pct"/>
                  <w:vMerge w:val="continue"/>
                  <w:tcBorders>
                    <w:tl2br w:val="nil"/>
                    <w:tr2bl w:val="nil"/>
                  </w:tcBorders>
                  <w:vAlign w:val="center"/>
                </w:tcPr>
                <w:p w14:paraId="1082E67D">
                  <w:pPr>
                    <w:pStyle w:val="27"/>
                    <w:bidi w:val="0"/>
                    <w:rPr>
                      <w:rFonts w:hint="default"/>
                      <w:color w:val="auto"/>
                    </w:rPr>
                  </w:pPr>
                </w:p>
              </w:tc>
            </w:tr>
            <w:tr w14:paraId="74199F5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restart"/>
                  <w:tcBorders>
                    <w:tl2br w:val="nil"/>
                    <w:tr2bl w:val="nil"/>
                  </w:tcBorders>
                  <w:vAlign w:val="center"/>
                </w:tcPr>
                <w:p w14:paraId="5B0EE1F4">
                  <w:pPr>
                    <w:pStyle w:val="27"/>
                    <w:bidi w:val="0"/>
                    <w:rPr>
                      <w:rFonts w:hint="default" w:eastAsia="宋体"/>
                      <w:color w:val="auto"/>
                      <w:lang w:val="en-US" w:eastAsia="zh-CN"/>
                    </w:rPr>
                  </w:pPr>
                  <w:r>
                    <w:rPr>
                      <w:rFonts w:hint="eastAsia"/>
                      <w:color w:val="auto"/>
                      <w:lang w:val="en-US" w:eastAsia="zh-CN"/>
                    </w:rPr>
                    <w:t>TSP</w:t>
                  </w:r>
                </w:p>
              </w:tc>
              <w:tc>
                <w:tcPr>
                  <w:tcW w:w="990" w:type="pct"/>
                  <w:tcBorders>
                    <w:tl2br w:val="nil"/>
                    <w:tr2bl w:val="nil"/>
                  </w:tcBorders>
                  <w:vAlign w:val="center"/>
                </w:tcPr>
                <w:p w14:paraId="2D0EB52A">
                  <w:pPr>
                    <w:pStyle w:val="27"/>
                    <w:bidi w:val="0"/>
                    <w:ind w:firstLine="0" w:firstLineChars="0"/>
                    <w:rPr>
                      <w:rFonts w:hint="eastAsia"/>
                      <w:color w:val="auto"/>
                      <w:lang w:val="en-US" w:eastAsia="zh-CN"/>
                    </w:rPr>
                  </w:pPr>
                  <w:r>
                    <w:rPr>
                      <w:rFonts w:hint="eastAsia"/>
                      <w:color w:val="auto"/>
                      <w:lang w:val="en-US" w:eastAsia="zh-CN"/>
                    </w:rPr>
                    <w:t>年平均</w:t>
                  </w:r>
                </w:p>
              </w:tc>
              <w:tc>
                <w:tcPr>
                  <w:tcW w:w="601" w:type="pct"/>
                  <w:tcBorders>
                    <w:tl2br w:val="nil"/>
                    <w:tr2bl w:val="nil"/>
                  </w:tcBorders>
                  <w:vAlign w:val="center"/>
                </w:tcPr>
                <w:p w14:paraId="52885293">
                  <w:pPr>
                    <w:pStyle w:val="27"/>
                    <w:bidi w:val="0"/>
                    <w:rPr>
                      <w:rFonts w:hint="default"/>
                      <w:color w:val="auto"/>
                      <w:lang w:val="en-US" w:eastAsia="zh-CN"/>
                    </w:rPr>
                  </w:pPr>
                  <w:r>
                    <w:rPr>
                      <w:rFonts w:hint="eastAsia"/>
                      <w:color w:val="auto"/>
                      <w:lang w:val="en-US" w:eastAsia="zh-CN"/>
                    </w:rPr>
                    <w:t>80</w:t>
                  </w:r>
                </w:p>
              </w:tc>
              <w:tc>
                <w:tcPr>
                  <w:tcW w:w="625" w:type="pct"/>
                  <w:tcBorders>
                    <w:tl2br w:val="nil"/>
                    <w:tr2bl w:val="nil"/>
                  </w:tcBorders>
                  <w:vAlign w:val="center"/>
                </w:tcPr>
                <w:p w14:paraId="16DD76B9">
                  <w:pPr>
                    <w:pStyle w:val="27"/>
                    <w:bidi w:val="0"/>
                    <w:ind w:firstLine="0" w:firstLineChars="0"/>
                    <w:rPr>
                      <w:rFonts w:hint="default"/>
                      <w:color w:val="auto"/>
                      <w:lang w:val="en-US" w:eastAsia="zh-CN"/>
                    </w:rPr>
                  </w:pPr>
                  <w:r>
                    <w:rPr>
                      <w:rFonts w:hint="eastAsia"/>
                      <w:color w:val="auto"/>
                      <w:lang w:val="en-US" w:eastAsia="zh-CN"/>
                    </w:rPr>
                    <w:t>200</w:t>
                  </w:r>
                </w:p>
              </w:tc>
              <w:tc>
                <w:tcPr>
                  <w:tcW w:w="474" w:type="pct"/>
                  <w:tcBorders>
                    <w:tl2br w:val="nil"/>
                    <w:tr2bl w:val="nil"/>
                  </w:tcBorders>
                  <w:vAlign w:val="center"/>
                </w:tcPr>
                <w:p w14:paraId="0A3684FF">
                  <w:pPr>
                    <w:pStyle w:val="27"/>
                    <w:bidi w:val="0"/>
                    <w:rPr>
                      <w:rFonts w:hint="default"/>
                      <w:color w:val="auto"/>
                      <w:lang w:val="en-US" w:eastAsia="zh-CN"/>
                    </w:rPr>
                  </w:pPr>
                  <w:r>
                    <w:rPr>
                      <w:rFonts w:hint="eastAsia"/>
                      <w:color w:val="auto"/>
                      <w:lang w:val="en-US" w:eastAsia="zh-CN"/>
                    </w:rPr>
                    <w:t>80</w:t>
                  </w:r>
                </w:p>
              </w:tc>
              <w:tc>
                <w:tcPr>
                  <w:tcW w:w="474" w:type="pct"/>
                  <w:tcBorders>
                    <w:tl2br w:val="nil"/>
                    <w:tr2bl w:val="nil"/>
                  </w:tcBorders>
                  <w:vAlign w:val="center"/>
                </w:tcPr>
                <w:p w14:paraId="7F519E85">
                  <w:pPr>
                    <w:pStyle w:val="27"/>
                    <w:bidi w:val="0"/>
                    <w:ind w:firstLine="0" w:firstLineChars="0"/>
                    <w:rPr>
                      <w:rFonts w:hint="default"/>
                      <w:color w:val="auto"/>
                      <w:lang w:val="en-US" w:eastAsia="zh-CN"/>
                    </w:rPr>
                  </w:pPr>
                  <w:r>
                    <w:rPr>
                      <w:rFonts w:hint="eastAsia"/>
                      <w:color w:val="auto"/>
                      <w:lang w:val="en-US" w:eastAsia="zh-CN"/>
                    </w:rPr>
                    <w:t>200</w:t>
                  </w:r>
                </w:p>
              </w:tc>
              <w:tc>
                <w:tcPr>
                  <w:tcW w:w="1056" w:type="pct"/>
                  <w:vMerge w:val="continue"/>
                  <w:tcBorders>
                    <w:tl2br w:val="nil"/>
                    <w:tr2bl w:val="nil"/>
                  </w:tcBorders>
                  <w:vAlign w:val="center"/>
                </w:tcPr>
                <w:p w14:paraId="59768CD4">
                  <w:pPr>
                    <w:pStyle w:val="27"/>
                    <w:bidi w:val="0"/>
                    <w:rPr>
                      <w:rFonts w:hint="default"/>
                      <w:color w:val="auto"/>
                    </w:rPr>
                  </w:pPr>
                </w:p>
              </w:tc>
            </w:tr>
            <w:tr w14:paraId="7C5943B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4372B492">
                  <w:pPr>
                    <w:pStyle w:val="27"/>
                    <w:bidi w:val="0"/>
                    <w:rPr>
                      <w:rFonts w:hint="default"/>
                      <w:color w:val="auto"/>
                    </w:rPr>
                  </w:pPr>
                </w:p>
              </w:tc>
              <w:tc>
                <w:tcPr>
                  <w:tcW w:w="990" w:type="pct"/>
                  <w:tcBorders>
                    <w:tl2br w:val="nil"/>
                    <w:tr2bl w:val="nil"/>
                  </w:tcBorders>
                  <w:vAlign w:val="center"/>
                </w:tcPr>
                <w:p w14:paraId="63D015E4">
                  <w:pPr>
                    <w:pStyle w:val="27"/>
                    <w:bidi w:val="0"/>
                    <w:ind w:firstLine="0" w:firstLineChars="0"/>
                    <w:rPr>
                      <w:rFonts w:hint="eastAsia"/>
                      <w:color w:val="auto"/>
                      <w:lang w:val="en-US" w:eastAsia="zh-CN"/>
                    </w:rPr>
                  </w:pPr>
                  <w:r>
                    <w:rPr>
                      <w:rFonts w:hint="eastAsia"/>
                      <w:color w:val="auto"/>
                      <w:lang w:val="en-US" w:eastAsia="zh-CN"/>
                    </w:rPr>
                    <w:t>日平均</w:t>
                  </w:r>
                </w:p>
              </w:tc>
              <w:tc>
                <w:tcPr>
                  <w:tcW w:w="601" w:type="pct"/>
                  <w:tcBorders>
                    <w:tl2br w:val="nil"/>
                    <w:tr2bl w:val="nil"/>
                  </w:tcBorders>
                  <w:vAlign w:val="center"/>
                </w:tcPr>
                <w:p w14:paraId="0DD9D8E3">
                  <w:pPr>
                    <w:pStyle w:val="27"/>
                    <w:bidi w:val="0"/>
                    <w:rPr>
                      <w:rFonts w:hint="default"/>
                      <w:color w:val="auto"/>
                      <w:lang w:val="en-US" w:eastAsia="zh-CN"/>
                    </w:rPr>
                  </w:pPr>
                  <w:r>
                    <w:rPr>
                      <w:rFonts w:hint="eastAsia"/>
                      <w:color w:val="auto"/>
                      <w:lang w:val="en-US" w:eastAsia="zh-CN"/>
                    </w:rPr>
                    <w:t>120</w:t>
                  </w:r>
                </w:p>
              </w:tc>
              <w:tc>
                <w:tcPr>
                  <w:tcW w:w="625" w:type="pct"/>
                  <w:tcBorders>
                    <w:tl2br w:val="nil"/>
                    <w:tr2bl w:val="nil"/>
                  </w:tcBorders>
                  <w:vAlign w:val="center"/>
                </w:tcPr>
                <w:p w14:paraId="0FB7C89B">
                  <w:pPr>
                    <w:pStyle w:val="27"/>
                    <w:bidi w:val="0"/>
                    <w:ind w:firstLine="0" w:firstLineChars="0"/>
                    <w:rPr>
                      <w:rFonts w:hint="default"/>
                      <w:color w:val="auto"/>
                      <w:lang w:val="en-US" w:eastAsia="zh-CN"/>
                    </w:rPr>
                  </w:pPr>
                  <w:r>
                    <w:rPr>
                      <w:rFonts w:hint="eastAsia"/>
                      <w:color w:val="auto"/>
                      <w:lang w:val="en-US" w:eastAsia="zh-CN"/>
                    </w:rPr>
                    <w:t>300</w:t>
                  </w:r>
                </w:p>
              </w:tc>
              <w:tc>
                <w:tcPr>
                  <w:tcW w:w="474" w:type="pct"/>
                  <w:tcBorders>
                    <w:tl2br w:val="nil"/>
                    <w:tr2bl w:val="nil"/>
                  </w:tcBorders>
                  <w:vAlign w:val="center"/>
                </w:tcPr>
                <w:p w14:paraId="79C255DA">
                  <w:pPr>
                    <w:pStyle w:val="27"/>
                    <w:bidi w:val="0"/>
                    <w:rPr>
                      <w:rFonts w:hint="default"/>
                      <w:color w:val="auto"/>
                      <w:lang w:val="en-US" w:eastAsia="zh-CN"/>
                    </w:rPr>
                  </w:pPr>
                  <w:r>
                    <w:rPr>
                      <w:rFonts w:hint="eastAsia"/>
                      <w:color w:val="auto"/>
                      <w:lang w:val="en-US" w:eastAsia="zh-CN"/>
                    </w:rPr>
                    <w:t>120</w:t>
                  </w:r>
                </w:p>
              </w:tc>
              <w:tc>
                <w:tcPr>
                  <w:tcW w:w="474" w:type="pct"/>
                  <w:tcBorders>
                    <w:tl2br w:val="nil"/>
                    <w:tr2bl w:val="nil"/>
                  </w:tcBorders>
                  <w:vAlign w:val="center"/>
                </w:tcPr>
                <w:p w14:paraId="6B90BDB9">
                  <w:pPr>
                    <w:pStyle w:val="27"/>
                    <w:bidi w:val="0"/>
                    <w:ind w:firstLine="0" w:firstLineChars="0"/>
                    <w:rPr>
                      <w:rFonts w:hint="default"/>
                      <w:color w:val="auto"/>
                      <w:lang w:val="en-US" w:eastAsia="zh-CN"/>
                    </w:rPr>
                  </w:pPr>
                  <w:r>
                    <w:rPr>
                      <w:rFonts w:hint="eastAsia"/>
                      <w:color w:val="auto"/>
                      <w:lang w:val="en-US" w:eastAsia="zh-CN"/>
                    </w:rPr>
                    <w:t>300</w:t>
                  </w:r>
                </w:p>
              </w:tc>
              <w:tc>
                <w:tcPr>
                  <w:tcW w:w="1056" w:type="pct"/>
                  <w:vMerge w:val="continue"/>
                  <w:tcBorders>
                    <w:tl2br w:val="nil"/>
                    <w:tr2bl w:val="nil"/>
                  </w:tcBorders>
                  <w:vAlign w:val="center"/>
                </w:tcPr>
                <w:p w14:paraId="411729D8">
                  <w:pPr>
                    <w:pStyle w:val="27"/>
                    <w:bidi w:val="0"/>
                    <w:rPr>
                      <w:rFonts w:hint="default"/>
                      <w:color w:val="auto"/>
                    </w:rPr>
                  </w:pPr>
                </w:p>
              </w:tc>
            </w:tr>
            <w:tr w14:paraId="1ECB613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5BE92347">
                  <w:pPr>
                    <w:pStyle w:val="27"/>
                    <w:bidi w:val="0"/>
                    <w:rPr>
                      <w:rFonts w:hint="default"/>
                      <w:color w:val="auto"/>
                    </w:rPr>
                  </w:pPr>
                  <w:r>
                    <w:rPr>
                      <w:rFonts w:hint="default"/>
                      <w:color w:val="auto"/>
                    </w:rPr>
                    <w:t>PM</w:t>
                  </w:r>
                  <w:r>
                    <w:rPr>
                      <w:rFonts w:hint="default"/>
                      <w:color w:val="auto"/>
                      <w:vertAlign w:val="subscript"/>
                    </w:rPr>
                    <w:t>10</w:t>
                  </w:r>
                </w:p>
              </w:tc>
              <w:tc>
                <w:tcPr>
                  <w:tcW w:w="990" w:type="pct"/>
                  <w:tcBorders>
                    <w:tl2br w:val="nil"/>
                    <w:tr2bl w:val="nil"/>
                  </w:tcBorders>
                  <w:vAlign w:val="center"/>
                </w:tcPr>
                <w:p w14:paraId="58EEB748">
                  <w:pPr>
                    <w:pStyle w:val="27"/>
                    <w:bidi w:val="0"/>
                    <w:ind w:firstLine="0" w:firstLineChars="0"/>
                    <w:rPr>
                      <w:rFonts w:hint="default"/>
                      <w:color w:val="auto"/>
                    </w:rPr>
                  </w:pPr>
                  <w:r>
                    <w:rPr>
                      <w:rFonts w:hint="eastAsia"/>
                      <w:color w:val="auto"/>
                      <w:lang w:val="en-US" w:eastAsia="zh-CN"/>
                    </w:rPr>
                    <w:t>年平均</w:t>
                  </w:r>
                </w:p>
              </w:tc>
              <w:tc>
                <w:tcPr>
                  <w:tcW w:w="601" w:type="pct"/>
                  <w:tcBorders>
                    <w:tl2br w:val="nil"/>
                    <w:tr2bl w:val="nil"/>
                  </w:tcBorders>
                  <w:vAlign w:val="center"/>
                </w:tcPr>
                <w:p w14:paraId="7694DF82">
                  <w:pPr>
                    <w:pStyle w:val="27"/>
                    <w:bidi w:val="0"/>
                    <w:rPr>
                      <w:rFonts w:hint="default" w:eastAsia="宋体"/>
                      <w:color w:val="auto"/>
                      <w:lang w:val="en-US" w:eastAsia="zh-CN"/>
                    </w:rPr>
                  </w:pPr>
                  <w:r>
                    <w:rPr>
                      <w:rFonts w:hint="eastAsia"/>
                      <w:color w:val="auto"/>
                      <w:lang w:val="en-US" w:eastAsia="zh-CN"/>
                    </w:rPr>
                    <w:t>40</w:t>
                  </w:r>
                </w:p>
              </w:tc>
              <w:tc>
                <w:tcPr>
                  <w:tcW w:w="625" w:type="pct"/>
                  <w:tcBorders>
                    <w:tl2br w:val="nil"/>
                    <w:tr2bl w:val="nil"/>
                  </w:tcBorders>
                  <w:vAlign w:val="center"/>
                </w:tcPr>
                <w:p w14:paraId="793901C6">
                  <w:pPr>
                    <w:pStyle w:val="27"/>
                    <w:bidi w:val="0"/>
                    <w:ind w:firstLine="0" w:firstLineChars="0"/>
                    <w:rPr>
                      <w:rFonts w:hint="eastAsia"/>
                      <w:color w:val="auto"/>
                      <w:lang w:val="en-US" w:eastAsia="zh-CN"/>
                    </w:rPr>
                  </w:pPr>
                  <w:r>
                    <w:rPr>
                      <w:rFonts w:hint="eastAsia"/>
                      <w:color w:val="auto"/>
                      <w:lang w:val="en-US" w:eastAsia="zh-CN"/>
                    </w:rPr>
                    <w:t>60</w:t>
                  </w:r>
                </w:p>
              </w:tc>
              <w:tc>
                <w:tcPr>
                  <w:tcW w:w="474" w:type="pct"/>
                  <w:tcBorders>
                    <w:tl2br w:val="nil"/>
                    <w:tr2bl w:val="nil"/>
                  </w:tcBorders>
                  <w:vAlign w:val="center"/>
                </w:tcPr>
                <w:p w14:paraId="7C999DF9">
                  <w:pPr>
                    <w:pStyle w:val="27"/>
                    <w:bidi w:val="0"/>
                    <w:rPr>
                      <w:rFonts w:hint="default" w:eastAsia="宋体"/>
                      <w:color w:val="auto"/>
                      <w:lang w:val="en-US" w:eastAsia="zh-CN"/>
                    </w:rPr>
                  </w:pPr>
                  <w:r>
                    <w:rPr>
                      <w:rFonts w:hint="eastAsia"/>
                      <w:color w:val="auto"/>
                      <w:lang w:val="en-US" w:eastAsia="zh-CN"/>
                    </w:rPr>
                    <w:t>20</w:t>
                  </w:r>
                </w:p>
              </w:tc>
              <w:tc>
                <w:tcPr>
                  <w:tcW w:w="474" w:type="pct"/>
                  <w:tcBorders>
                    <w:tl2br w:val="nil"/>
                    <w:tr2bl w:val="nil"/>
                  </w:tcBorders>
                  <w:vAlign w:val="center"/>
                </w:tcPr>
                <w:p w14:paraId="2B431B94">
                  <w:pPr>
                    <w:pStyle w:val="27"/>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32B7E32B">
                  <w:pPr>
                    <w:pStyle w:val="27"/>
                    <w:bidi w:val="0"/>
                    <w:rPr>
                      <w:rFonts w:hint="default"/>
                      <w:color w:val="auto"/>
                    </w:rPr>
                  </w:pPr>
                </w:p>
              </w:tc>
            </w:tr>
            <w:tr w14:paraId="40170DD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303F6F64">
                  <w:pPr>
                    <w:pStyle w:val="27"/>
                    <w:bidi w:val="0"/>
                  </w:pPr>
                </w:p>
              </w:tc>
              <w:tc>
                <w:tcPr>
                  <w:tcW w:w="990" w:type="pct"/>
                  <w:tcBorders>
                    <w:tl2br w:val="nil"/>
                    <w:tr2bl w:val="nil"/>
                  </w:tcBorders>
                  <w:vAlign w:val="center"/>
                </w:tcPr>
                <w:p w14:paraId="43E182F7">
                  <w:pPr>
                    <w:pStyle w:val="27"/>
                    <w:bidi w:val="0"/>
                    <w:ind w:firstLine="0" w:firstLineChars="0"/>
                    <w:rPr>
                      <w:rFonts w:hint="default"/>
                      <w:color w:val="auto"/>
                    </w:rPr>
                  </w:pPr>
                  <w:r>
                    <w:rPr>
                      <w:rFonts w:hint="eastAsia"/>
                      <w:color w:val="auto"/>
                      <w:lang w:val="en-US" w:eastAsia="zh-CN"/>
                    </w:rPr>
                    <w:t>日平均</w:t>
                  </w:r>
                </w:p>
              </w:tc>
              <w:tc>
                <w:tcPr>
                  <w:tcW w:w="601" w:type="pct"/>
                  <w:tcBorders>
                    <w:tl2br w:val="nil"/>
                    <w:tr2bl w:val="nil"/>
                  </w:tcBorders>
                  <w:vAlign w:val="center"/>
                </w:tcPr>
                <w:p w14:paraId="0423EE04">
                  <w:pPr>
                    <w:pStyle w:val="27"/>
                    <w:bidi w:val="0"/>
                    <w:rPr>
                      <w:rFonts w:hint="default" w:eastAsia="宋体"/>
                      <w:color w:val="auto"/>
                      <w:lang w:val="en-US" w:eastAsia="zh-CN"/>
                    </w:rPr>
                  </w:pPr>
                  <w:r>
                    <w:rPr>
                      <w:rFonts w:hint="eastAsia"/>
                      <w:color w:val="auto"/>
                      <w:lang w:val="en-US" w:eastAsia="zh-CN"/>
                    </w:rPr>
                    <w:t>50</w:t>
                  </w:r>
                </w:p>
              </w:tc>
              <w:tc>
                <w:tcPr>
                  <w:tcW w:w="625" w:type="pct"/>
                  <w:tcBorders>
                    <w:tl2br w:val="nil"/>
                    <w:tr2bl w:val="nil"/>
                  </w:tcBorders>
                  <w:vAlign w:val="center"/>
                </w:tcPr>
                <w:p w14:paraId="70CCAE13">
                  <w:pPr>
                    <w:pStyle w:val="27"/>
                    <w:bidi w:val="0"/>
                    <w:ind w:firstLine="0" w:firstLineChars="0"/>
                    <w:rPr>
                      <w:rFonts w:hint="eastAsia"/>
                      <w:color w:val="auto"/>
                      <w:lang w:val="en-US" w:eastAsia="zh-CN"/>
                    </w:rPr>
                  </w:pPr>
                  <w:r>
                    <w:rPr>
                      <w:rFonts w:hint="eastAsia"/>
                      <w:color w:val="auto"/>
                      <w:lang w:val="en-US" w:eastAsia="zh-CN"/>
                    </w:rPr>
                    <w:t>120</w:t>
                  </w:r>
                </w:p>
              </w:tc>
              <w:tc>
                <w:tcPr>
                  <w:tcW w:w="474" w:type="pct"/>
                  <w:tcBorders>
                    <w:tl2br w:val="nil"/>
                    <w:tr2bl w:val="nil"/>
                  </w:tcBorders>
                  <w:vAlign w:val="center"/>
                </w:tcPr>
                <w:p w14:paraId="4DFCE8D1">
                  <w:pPr>
                    <w:pStyle w:val="27"/>
                    <w:bidi w:val="0"/>
                    <w:rPr>
                      <w:rFonts w:hint="default" w:eastAsia="宋体"/>
                      <w:color w:val="auto"/>
                      <w:lang w:val="en-US" w:eastAsia="zh-CN"/>
                    </w:rPr>
                  </w:pPr>
                  <w:r>
                    <w:rPr>
                      <w:rFonts w:hint="eastAsia"/>
                      <w:color w:val="auto"/>
                      <w:lang w:val="en-US" w:eastAsia="zh-CN"/>
                    </w:rPr>
                    <w:t>50</w:t>
                  </w:r>
                </w:p>
              </w:tc>
              <w:tc>
                <w:tcPr>
                  <w:tcW w:w="474" w:type="pct"/>
                  <w:tcBorders>
                    <w:tl2br w:val="nil"/>
                    <w:tr2bl w:val="nil"/>
                  </w:tcBorders>
                  <w:vAlign w:val="center"/>
                </w:tcPr>
                <w:p w14:paraId="6F90098B">
                  <w:pPr>
                    <w:pStyle w:val="27"/>
                    <w:bidi w:val="0"/>
                    <w:ind w:firstLine="0" w:firstLineChars="0"/>
                    <w:rPr>
                      <w:rFonts w:hint="eastAsia"/>
                      <w:color w:val="auto"/>
                      <w:lang w:val="en-US" w:eastAsia="zh-CN"/>
                    </w:rPr>
                  </w:pPr>
                  <w:r>
                    <w:rPr>
                      <w:rFonts w:hint="eastAsia"/>
                      <w:color w:val="auto"/>
                      <w:lang w:val="en-US" w:eastAsia="zh-CN"/>
                    </w:rPr>
                    <w:t>100</w:t>
                  </w:r>
                </w:p>
              </w:tc>
              <w:tc>
                <w:tcPr>
                  <w:tcW w:w="1056" w:type="pct"/>
                  <w:vMerge w:val="continue"/>
                  <w:tcBorders>
                    <w:tl2br w:val="nil"/>
                    <w:tr2bl w:val="nil"/>
                  </w:tcBorders>
                  <w:vAlign w:val="center"/>
                </w:tcPr>
                <w:p w14:paraId="6E288D08">
                  <w:pPr>
                    <w:pStyle w:val="27"/>
                    <w:bidi w:val="0"/>
                    <w:rPr>
                      <w:rFonts w:hint="default"/>
                      <w:color w:val="auto"/>
                    </w:rPr>
                  </w:pPr>
                </w:p>
              </w:tc>
            </w:tr>
            <w:tr w14:paraId="440D891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738890A0">
                  <w:pPr>
                    <w:pStyle w:val="27"/>
                    <w:bidi w:val="0"/>
                    <w:rPr>
                      <w:rFonts w:hint="default"/>
                      <w:color w:val="auto"/>
                    </w:rPr>
                  </w:pPr>
                  <w:r>
                    <w:rPr>
                      <w:rFonts w:hint="default"/>
                      <w:color w:val="auto"/>
                    </w:rPr>
                    <w:t>PM</w:t>
                  </w:r>
                  <w:r>
                    <w:rPr>
                      <w:rFonts w:hint="default"/>
                      <w:color w:val="auto"/>
                      <w:vertAlign w:val="subscript"/>
                    </w:rPr>
                    <w:t>2.5</w:t>
                  </w:r>
                </w:p>
              </w:tc>
              <w:tc>
                <w:tcPr>
                  <w:tcW w:w="990" w:type="pct"/>
                  <w:tcBorders>
                    <w:tl2br w:val="nil"/>
                    <w:tr2bl w:val="nil"/>
                  </w:tcBorders>
                  <w:vAlign w:val="center"/>
                </w:tcPr>
                <w:p w14:paraId="3D109063">
                  <w:pPr>
                    <w:pStyle w:val="27"/>
                    <w:bidi w:val="0"/>
                    <w:ind w:firstLine="0" w:firstLineChars="0"/>
                    <w:rPr>
                      <w:rFonts w:hint="default"/>
                      <w:color w:val="auto"/>
                    </w:rPr>
                  </w:pPr>
                  <w:r>
                    <w:rPr>
                      <w:rFonts w:hint="eastAsia"/>
                      <w:color w:val="auto"/>
                      <w:lang w:val="en-US" w:eastAsia="zh-CN"/>
                    </w:rPr>
                    <w:t>年平均</w:t>
                  </w:r>
                </w:p>
              </w:tc>
              <w:tc>
                <w:tcPr>
                  <w:tcW w:w="601" w:type="pct"/>
                  <w:tcBorders>
                    <w:tl2br w:val="nil"/>
                    <w:tr2bl w:val="nil"/>
                  </w:tcBorders>
                  <w:vAlign w:val="center"/>
                </w:tcPr>
                <w:p w14:paraId="5D9FE6AC">
                  <w:pPr>
                    <w:pStyle w:val="27"/>
                    <w:bidi w:val="0"/>
                    <w:rPr>
                      <w:rFonts w:hint="default" w:eastAsia="宋体"/>
                      <w:color w:val="auto"/>
                      <w:lang w:val="en-US" w:eastAsia="zh-CN"/>
                    </w:rPr>
                  </w:pPr>
                  <w:r>
                    <w:rPr>
                      <w:rFonts w:hint="eastAsia"/>
                      <w:color w:val="auto"/>
                      <w:lang w:val="en-US" w:eastAsia="zh-CN"/>
                    </w:rPr>
                    <w:t>15</w:t>
                  </w:r>
                </w:p>
              </w:tc>
              <w:tc>
                <w:tcPr>
                  <w:tcW w:w="625" w:type="pct"/>
                  <w:tcBorders>
                    <w:tl2br w:val="nil"/>
                    <w:tr2bl w:val="nil"/>
                  </w:tcBorders>
                  <w:vAlign w:val="center"/>
                </w:tcPr>
                <w:p w14:paraId="07E41262">
                  <w:pPr>
                    <w:pStyle w:val="27"/>
                    <w:bidi w:val="0"/>
                    <w:ind w:firstLine="0" w:firstLineChars="0"/>
                    <w:rPr>
                      <w:rFonts w:hint="eastAsia"/>
                      <w:color w:val="auto"/>
                      <w:lang w:val="en-US" w:eastAsia="zh-CN"/>
                    </w:rPr>
                  </w:pPr>
                  <w:r>
                    <w:rPr>
                      <w:rFonts w:hint="eastAsia"/>
                      <w:color w:val="auto"/>
                      <w:lang w:val="en-US" w:eastAsia="zh-CN"/>
                    </w:rPr>
                    <w:t>30</w:t>
                  </w:r>
                </w:p>
              </w:tc>
              <w:tc>
                <w:tcPr>
                  <w:tcW w:w="474" w:type="pct"/>
                  <w:tcBorders>
                    <w:tl2br w:val="nil"/>
                    <w:tr2bl w:val="nil"/>
                  </w:tcBorders>
                  <w:vAlign w:val="center"/>
                </w:tcPr>
                <w:p w14:paraId="5F8386F7">
                  <w:pPr>
                    <w:pStyle w:val="27"/>
                    <w:bidi w:val="0"/>
                    <w:rPr>
                      <w:rFonts w:hint="default" w:eastAsia="宋体"/>
                      <w:color w:val="auto"/>
                      <w:lang w:val="en-US" w:eastAsia="zh-CN"/>
                    </w:rPr>
                  </w:pPr>
                  <w:r>
                    <w:rPr>
                      <w:rFonts w:hint="eastAsia"/>
                      <w:color w:val="auto"/>
                      <w:lang w:val="en-US" w:eastAsia="zh-CN"/>
                    </w:rPr>
                    <w:t>10</w:t>
                  </w:r>
                </w:p>
              </w:tc>
              <w:tc>
                <w:tcPr>
                  <w:tcW w:w="474" w:type="pct"/>
                  <w:tcBorders>
                    <w:tl2br w:val="nil"/>
                    <w:tr2bl w:val="nil"/>
                  </w:tcBorders>
                  <w:vAlign w:val="center"/>
                </w:tcPr>
                <w:p w14:paraId="13DCDB36">
                  <w:pPr>
                    <w:pStyle w:val="27"/>
                    <w:bidi w:val="0"/>
                    <w:ind w:firstLine="0" w:firstLineChars="0"/>
                    <w:rPr>
                      <w:rFonts w:hint="eastAsia"/>
                      <w:color w:val="auto"/>
                      <w:lang w:val="en-US" w:eastAsia="zh-CN"/>
                    </w:rPr>
                  </w:pPr>
                  <w:r>
                    <w:rPr>
                      <w:rFonts w:hint="eastAsia"/>
                      <w:color w:val="auto"/>
                      <w:lang w:val="en-US" w:eastAsia="zh-CN"/>
                    </w:rPr>
                    <w:t>25</w:t>
                  </w:r>
                </w:p>
              </w:tc>
              <w:tc>
                <w:tcPr>
                  <w:tcW w:w="1056" w:type="pct"/>
                  <w:vMerge w:val="continue"/>
                  <w:tcBorders>
                    <w:tl2br w:val="nil"/>
                    <w:tr2bl w:val="nil"/>
                  </w:tcBorders>
                  <w:vAlign w:val="center"/>
                </w:tcPr>
                <w:p w14:paraId="362E0352">
                  <w:pPr>
                    <w:pStyle w:val="27"/>
                    <w:bidi w:val="0"/>
                    <w:rPr>
                      <w:rFonts w:hint="default"/>
                      <w:color w:val="auto"/>
                    </w:rPr>
                  </w:pPr>
                </w:p>
              </w:tc>
            </w:tr>
            <w:tr w14:paraId="333B42D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6303D522">
                  <w:pPr>
                    <w:pStyle w:val="27"/>
                    <w:bidi w:val="0"/>
                  </w:pPr>
                </w:p>
              </w:tc>
              <w:tc>
                <w:tcPr>
                  <w:tcW w:w="990" w:type="pct"/>
                  <w:tcBorders>
                    <w:tl2br w:val="nil"/>
                    <w:tr2bl w:val="nil"/>
                  </w:tcBorders>
                  <w:vAlign w:val="center"/>
                </w:tcPr>
                <w:p w14:paraId="22ABE5BA">
                  <w:pPr>
                    <w:pStyle w:val="27"/>
                    <w:bidi w:val="0"/>
                    <w:ind w:firstLine="0" w:firstLineChars="0"/>
                    <w:rPr>
                      <w:rFonts w:hint="default"/>
                      <w:color w:val="auto"/>
                    </w:rPr>
                  </w:pPr>
                  <w:r>
                    <w:rPr>
                      <w:rFonts w:hint="eastAsia"/>
                      <w:color w:val="auto"/>
                      <w:lang w:val="en-US" w:eastAsia="zh-CN"/>
                    </w:rPr>
                    <w:t>日平均</w:t>
                  </w:r>
                </w:p>
              </w:tc>
              <w:tc>
                <w:tcPr>
                  <w:tcW w:w="601" w:type="pct"/>
                  <w:tcBorders>
                    <w:tl2br w:val="nil"/>
                    <w:tr2bl w:val="nil"/>
                  </w:tcBorders>
                  <w:vAlign w:val="center"/>
                </w:tcPr>
                <w:p w14:paraId="6950EDD3">
                  <w:pPr>
                    <w:pStyle w:val="27"/>
                    <w:bidi w:val="0"/>
                    <w:rPr>
                      <w:rFonts w:hint="default" w:eastAsia="宋体"/>
                      <w:color w:val="auto"/>
                      <w:lang w:val="en-US" w:eastAsia="zh-CN"/>
                    </w:rPr>
                  </w:pPr>
                  <w:r>
                    <w:rPr>
                      <w:rFonts w:hint="eastAsia"/>
                      <w:color w:val="auto"/>
                      <w:lang w:val="en-US" w:eastAsia="zh-CN"/>
                    </w:rPr>
                    <w:t>35</w:t>
                  </w:r>
                </w:p>
              </w:tc>
              <w:tc>
                <w:tcPr>
                  <w:tcW w:w="625" w:type="pct"/>
                  <w:tcBorders>
                    <w:tl2br w:val="nil"/>
                    <w:tr2bl w:val="nil"/>
                  </w:tcBorders>
                  <w:vAlign w:val="center"/>
                </w:tcPr>
                <w:p w14:paraId="04EC457D">
                  <w:pPr>
                    <w:pStyle w:val="27"/>
                    <w:bidi w:val="0"/>
                    <w:ind w:firstLine="0" w:firstLineChars="0"/>
                    <w:rPr>
                      <w:rFonts w:hint="eastAsia"/>
                      <w:color w:val="auto"/>
                      <w:lang w:val="en-US" w:eastAsia="zh-CN"/>
                    </w:rPr>
                  </w:pPr>
                  <w:r>
                    <w:rPr>
                      <w:rFonts w:hint="eastAsia"/>
                      <w:color w:val="auto"/>
                      <w:lang w:val="en-US" w:eastAsia="zh-CN"/>
                    </w:rPr>
                    <w:t>60</w:t>
                  </w:r>
                </w:p>
              </w:tc>
              <w:tc>
                <w:tcPr>
                  <w:tcW w:w="474" w:type="pct"/>
                  <w:tcBorders>
                    <w:tl2br w:val="nil"/>
                    <w:tr2bl w:val="nil"/>
                  </w:tcBorders>
                  <w:vAlign w:val="center"/>
                </w:tcPr>
                <w:p w14:paraId="566B525E">
                  <w:pPr>
                    <w:pStyle w:val="27"/>
                    <w:bidi w:val="0"/>
                    <w:rPr>
                      <w:rFonts w:hint="default" w:eastAsia="宋体"/>
                      <w:color w:val="auto"/>
                      <w:lang w:val="en-US" w:eastAsia="zh-CN"/>
                    </w:rPr>
                  </w:pPr>
                  <w:r>
                    <w:rPr>
                      <w:rFonts w:hint="eastAsia"/>
                      <w:color w:val="auto"/>
                      <w:lang w:val="en-US" w:eastAsia="zh-CN"/>
                    </w:rPr>
                    <w:t>25</w:t>
                  </w:r>
                </w:p>
              </w:tc>
              <w:tc>
                <w:tcPr>
                  <w:tcW w:w="474" w:type="pct"/>
                  <w:tcBorders>
                    <w:tl2br w:val="nil"/>
                    <w:tr2bl w:val="nil"/>
                  </w:tcBorders>
                  <w:vAlign w:val="center"/>
                </w:tcPr>
                <w:p w14:paraId="5DD271C1">
                  <w:pPr>
                    <w:pStyle w:val="27"/>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6B6E2623">
                  <w:pPr>
                    <w:pStyle w:val="27"/>
                    <w:bidi w:val="0"/>
                    <w:rPr>
                      <w:rFonts w:hint="default"/>
                      <w:color w:val="auto"/>
                    </w:rPr>
                  </w:pPr>
                </w:p>
              </w:tc>
            </w:tr>
            <w:tr w14:paraId="14D8FDD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641F0496">
                  <w:pPr>
                    <w:keepNext w:val="0"/>
                    <w:keepLines w:val="0"/>
                    <w:widowControl/>
                    <w:suppressLineNumbers w:val="0"/>
                    <w:jc w:val="center"/>
                    <w:rPr>
                      <w:rFonts w:hint="eastAsia" w:eastAsia="宋体"/>
                      <w:color w:val="auto"/>
                      <w:lang w:eastAsia="zh-CN"/>
                    </w:rPr>
                  </w:pPr>
                  <w:r>
                    <w:rPr>
                      <w:rFonts w:hint="default"/>
                      <w:color w:val="auto"/>
                    </w:rPr>
                    <w:t>CO</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单位</w:t>
                  </w:r>
                  <w:r>
                    <w:rPr>
                      <w:rFonts w:hint="eastAsia" w:ascii="Times New Roman" w:hAnsi="Times New Roman" w:cs="Times New Roman"/>
                      <w:color w:val="auto"/>
                      <w:lang w:val="en-US" w:eastAsia="zh-CN"/>
                    </w:rPr>
                    <w:t>：</w:t>
                  </w:r>
                  <w:r>
                    <w:rPr>
                      <w:rFonts w:hint="default" w:ascii="Times New Roman" w:hAnsi="Times New Roman" w:eastAsia="黑体" w:cs="Times New Roman"/>
                      <w:b w:val="0"/>
                      <w:bCs w:val="0"/>
                      <w:color w:val="000000"/>
                      <w:kern w:val="0"/>
                      <w:sz w:val="21"/>
                      <w:szCs w:val="21"/>
                      <w:lang w:val="en-US" w:eastAsia="zh-CN" w:bidi="ar"/>
                    </w:rPr>
                    <w:t>mg/m</w:t>
                  </w:r>
                  <w:r>
                    <w:rPr>
                      <w:rFonts w:hint="default" w:ascii="Times New Roman" w:hAnsi="Times New Roman" w:eastAsia="黑体" w:cs="Times New Roman"/>
                      <w:b w:val="0"/>
                      <w:bCs w:val="0"/>
                      <w:color w:val="000000"/>
                      <w:kern w:val="0"/>
                      <w:sz w:val="21"/>
                      <w:szCs w:val="21"/>
                      <w:vertAlign w:val="superscript"/>
                      <w:lang w:val="en-US" w:eastAsia="zh-CN" w:bidi="ar"/>
                    </w:rPr>
                    <w:t>3</w:t>
                  </w:r>
                  <w:r>
                    <w:rPr>
                      <w:rFonts w:hint="default" w:ascii="Times New Roman" w:hAnsi="Times New Roman" w:cs="Times New Roman"/>
                      <w:color w:val="auto"/>
                      <w:lang w:eastAsia="zh-CN"/>
                    </w:rPr>
                    <w:t>）</w:t>
                  </w:r>
                </w:p>
              </w:tc>
              <w:tc>
                <w:tcPr>
                  <w:tcW w:w="990" w:type="pct"/>
                  <w:tcBorders>
                    <w:tl2br w:val="nil"/>
                    <w:tr2bl w:val="nil"/>
                  </w:tcBorders>
                  <w:vAlign w:val="center"/>
                </w:tcPr>
                <w:p w14:paraId="1BB9ABD1">
                  <w:pPr>
                    <w:pStyle w:val="27"/>
                    <w:bidi w:val="0"/>
                    <w:ind w:firstLine="0" w:firstLineChars="0"/>
                    <w:rPr>
                      <w:rFonts w:hint="default"/>
                      <w:color w:val="auto"/>
                      <w:lang w:val="en-US" w:eastAsia="zh-CN"/>
                    </w:rPr>
                  </w:pPr>
                  <w:r>
                    <w:rPr>
                      <w:rFonts w:hint="eastAsia"/>
                      <w:color w:val="auto"/>
                      <w:lang w:val="en-US" w:eastAsia="zh-CN"/>
                    </w:rPr>
                    <w:t>日平均</w:t>
                  </w:r>
                </w:p>
              </w:tc>
              <w:tc>
                <w:tcPr>
                  <w:tcW w:w="601" w:type="pct"/>
                  <w:tcBorders>
                    <w:tl2br w:val="nil"/>
                    <w:tr2bl w:val="nil"/>
                  </w:tcBorders>
                  <w:vAlign w:val="center"/>
                </w:tcPr>
                <w:p w14:paraId="37E0C142">
                  <w:pPr>
                    <w:pStyle w:val="27"/>
                    <w:bidi w:val="0"/>
                    <w:rPr>
                      <w:rFonts w:hint="default" w:eastAsia="宋体"/>
                      <w:color w:val="auto"/>
                      <w:lang w:val="en-US" w:eastAsia="zh-CN"/>
                    </w:rPr>
                  </w:pPr>
                  <w:r>
                    <w:rPr>
                      <w:rFonts w:hint="eastAsia"/>
                      <w:color w:val="auto"/>
                      <w:lang w:val="en-US" w:eastAsia="zh-CN"/>
                    </w:rPr>
                    <w:t>4</w:t>
                  </w:r>
                </w:p>
              </w:tc>
              <w:tc>
                <w:tcPr>
                  <w:tcW w:w="625" w:type="pct"/>
                  <w:tcBorders>
                    <w:tl2br w:val="nil"/>
                    <w:tr2bl w:val="nil"/>
                  </w:tcBorders>
                  <w:vAlign w:val="center"/>
                </w:tcPr>
                <w:p w14:paraId="73030B77">
                  <w:pPr>
                    <w:pStyle w:val="27"/>
                    <w:bidi w:val="0"/>
                    <w:ind w:firstLine="0" w:firstLineChars="0"/>
                    <w:rPr>
                      <w:rFonts w:hint="eastAsia"/>
                      <w:color w:val="auto"/>
                      <w:lang w:val="en-US" w:eastAsia="zh-CN"/>
                    </w:rPr>
                  </w:pPr>
                  <w:r>
                    <w:rPr>
                      <w:rFonts w:hint="eastAsia"/>
                      <w:color w:val="auto"/>
                      <w:lang w:val="en-US" w:eastAsia="zh-CN"/>
                    </w:rPr>
                    <w:t>4</w:t>
                  </w:r>
                </w:p>
              </w:tc>
              <w:tc>
                <w:tcPr>
                  <w:tcW w:w="474" w:type="pct"/>
                  <w:tcBorders>
                    <w:tl2br w:val="nil"/>
                    <w:tr2bl w:val="nil"/>
                  </w:tcBorders>
                  <w:vAlign w:val="center"/>
                </w:tcPr>
                <w:p w14:paraId="4BB07988">
                  <w:pPr>
                    <w:pStyle w:val="27"/>
                    <w:bidi w:val="0"/>
                    <w:rPr>
                      <w:rFonts w:hint="eastAsia" w:eastAsia="宋体"/>
                      <w:color w:val="auto"/>
                      <w:lang w:val="en-US" w:eastAsia="zh-CN"/>
                    </w:rPr>
                  </w:pPr>
                  <w:r>
                    <w:rPr>
                      <w:rFonts w:hint="eastAsia"/>
                      <w:color w:val="auto"/>
                      <w:lang w:val="en-US" w:eastAsia="zh-CN"/>
                    </w:rPr>
                    <w:t>4</w:t>
                  </w:r>
                </w:p>
              </w:tc>
              <w:tc>
                <w:tcPr>
                  <w:tcW w:w="474" w:type="pct"/>
                  <w:tcBorders>
                    <w:tl2br w:val="nil"/>
                    <w:tr2bl w:val="nil"/>
                  </w:tcBorders>
                  <w:vAlign w:val="center"/>
                </w:tcPr>
                <w:p w14:paraId="5127F301">
                  <w:pPr>
                    <w:pStyle w:val="27"/>
                    <w:bidi w:val="0"/>
                    <w:ind w:firstLine="0" w:firstLineChars="0"/>
                    <w:rPr>
                      <w:rFonts w:hint="eastAsia"/>
                      <w:color w:val="auto"/>
                      <w:lang w:val="en-US" w:eastAsia="zh-CN"/>
                    </w:rPr>
                  </w:pPr>
                  <w:r>
                    <w:rPr>
                      <w:rFonts w:hint="eastAsia"/>
                      <w:color w:val="auto"/>
                      <w:lang w:val="en-US" w:eastAsia="zh-CN"/>
                    </w:rPr>
                    <w:t>4</w:t>
                  </w:r>
                </w:p>
              </w:tc>
              <w:tc>
                <w:tcPr>
                  <w:tcW w:w="1056" w:type="pct"/>
                  <w:vMerge w:val="continue"/>
                  <w:tcBorders>
                    <w:tl2br w:val="nil"/>
                    <w:tr2bl w:val="nil"/>
                  </w:tcBorders>
                  <w:vAlign w:val="center"/>
                </w:tcPr>
                <w:p w14:paraId="4EECE38E">
                  <w:pPr>
                    <w:pStyle w:val="27"/>
                    <w:bidi w:val="0"/>
                    <w:rPr>
                      <w:rFonts w:hint="default"/>
                      <w:color w:val="auto"/>
                    </w:rPr>
                  </w:pPr>
                </w:p>
              </w:tc>
            </w:tr>
            <w:tr w14:paraId="6E90ACD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27890A10">
                  <w:pPr>
                    <w:pStyle w:val="27"/>
                    <w:bidi w:val="0"/>
                  </w:pPr>
                </w:p>
              </w:tc>
              <w:tc>
                <w:tcPr>
                  <w:tcW w:w="990" w:type="pct"/>
                  <w:tcBorders>
                    <w:tl2br w:val="nil"/>
                    <w:tr2bl w:val="nil"/>
                  </w:tcBorders>
                  <w:vAlign w:val="center"/>
                </w:tcPr>
                <w:p w14:paraId="4A424BBF">
                  <w:pPr>
                    <w:pStyle w:val="27"/>
                    <w:bidi w:val="0"/>
                    <w:ind w:firstLine="0" w:firstLineChars="0"/>
                    <w:rPr>
                      <w:rFonts w:hint="default"/>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430A59E3">
                  <w:pPr>
                    <w:pStyle w:val="27"/>
                    <w:bidi w:val="0"/>
                    <w:rPr>
                      <w:rFonts w:hint="default"/>
                      <w:color w:val="auto"/>
                      <w:lang w:val="en-US" w:eastAsia="zh-CN"/>
                    </w:rPr>
                  </w:pPr>
                  <w:r>
                    <w:rPr>
                      <w:rFonts w:hint="eastAsia"/>
                      <w:color w:val="auto"/>
                      <w:lang w:val="en-US" w:eastAsia="zh-CN"/>
                    </w:rPr>
                    <w:t>10</w:t>
                  </w:r>
                </w:p>
              </w:tc>
              <w:tc>
                <w:tcPr>
                  <w:tcW w:w="625" w:type="pct"/>
                  <w:tcBorders>
                    <w:tl2br w:val="nil"/>
                    <w:tr2bl w:val="nil"/>
                  </w:tcBorders>
                  <w:vAlign w:val="center"/>
                </w:tcPr>
                <w:p w14:paraId="58CCA6B4">
                  <w:pPr>
                    <w:pStyle w:val="27"/>
                    <w:bidi w:val="0"/>
                    <w:ind w:firstLine="0" w:firstLineChars="0"/>
                    <w:rPr>
                      <w:rFonts w:hint="eastAsia"/>
                      <w:color w:val="auto"/>
                      <w:lang w:val="en-US" w:eastAsia="zh-CN"/>
                    </w:rPr>
                  </w:pPr>
                  <w:r>
                    <w:rPr>
                      <w:rFonts w:hint="eastAsia"/>
                      <w:color w:val="auto"/>
                      <w:lang w:val="en-US" w:eastAsia="zh-CN"/>
                    </w:rPr>
                    <w:t>10</w:t>
                  </w:r>
                </w:p>
              </w:tc>
              <w:tc>
                <w:tcPr>
                  <w:tcW w:w="474" w:type="pct"/>
                  <w:tcBorders>
                    <w:tl2br w:val="nil"/>
                    <w:tr2bl w:val="nil"/>
                  </w:tcBorders>
                  <w:vAlign w:val="center"/>
                </w:tcPr>
                <w:p w14:paraId="23BE4C55">
                  <w:pPr>
                    <w:pStyle w:val="27"/>
                    <w:bidi w:val="0"/>
                    <w:rPr>
                      <w:rFonts w:hint="default"/>
                      <w:color w:val="auto"/>
                      <w:lang w:val="en-US" w:eastAsia="zh-CN"/>
                    </w:rPr>
                  </w:pPr>
                  <w:r>
                    <w:rPr>
                      <w:rFonts w:hint="eastAsia"/>
                      <w:color w:val="auto"/>
                      <w:lang w:val="en-US" w:eastAsia="zh-CN"/>
                    </w:rPr>
                    <w:t>10</w:t>
                  </w:r>
                </w:p>
              </w:tc>
              <w:tc>
                <w:tcPr>
                  <w:tcW w:w="474" w:type="pct"/>
                  <w:tcBorders>
                    <w:tl2br w:val="nil"/>
                    <w:tr2bl w:val="nil"/>
                  </w:tcBorders>
                  <w:vAlign w:val="center"/>
                </w:tcPr>
                <w:p w14:paraId="6B2C708E">
                  <w:pPr>
                    <w:pStyle w:val="27"/>
                    <w:bidi w:val="0"/>
                    <w:ind w:firstLine="0" w:firstLineChars="0"/>
                    <w:rPr>
                      <w:rFonts w:hint="eastAsia"/>
                      <w:color w:val="auto"/>
                      <w:lang w:val="en-US" w:eastAsia="zh-CN"/>
                    </w:rPr>
                  </w:pPr>
                  <w:r>
                    <w:rPr>
                      <w:rFonts w:hint="eastAsia"/>
                      <w:color w:val="auto"/>
                      <w:lang w:val="en-US" w:eastAsia="zh-CN"/>
                    </w:rPr>
                    <w:t>10</w:t>
                  </w:r>
                </w:p>
              </w:tc>
              <w:tc>
                <w:tcPr>
                  <w:tcW w:w="1056" w:type="pct"/>
                  <w:vMerge w:val="continue"/>
                  <w:tcBorders>
                    <w:tl2br w:val="nil"/>
                    <w:tr2bl w:val="nil"/>
                  </w:tcBorders>
                  <w:vAlign w:val="center"/>
                </w:tcPr>
                <w:p w14:paraId="3487835B">
                  <w:pPr>
                    <w:pStyle w:val="27"/>
                    <w:bidi w:val="0"/>
                    <w:rPr>
                      <w:rFonts w:hint="default"/>
                      <w:color w:val="auto"/>
                      <w:lang w:val="en-US" w:eastAsia="zh-CN"/>
                    </w:rPr>
                  </w:pPr>
                </w:p>
              </w:tc>
            </w:tr>
            <w:tr w14:paraId="59DF759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69D6AC59">
                  <w:pPr>
                    <w:pStyle w:val="27"/>
                    <w:bidi w:val="0"/>
                    <w:rPr>
                      <w:rFonts w:hint="default"/>
                      <w:color w:val="auto"/>
                    </w:rPr>
                  </w:pPr>
                  <w:r>
                    <w:rPr>
                      <w:rFonts w:hint="default"/>
                      <w:color w:val="auto"/>
                    </w:rPr>
                    <w:t>O</w:t>
                  </w:r>
                  <w:r>
                    <w:rPr>
                      <w:rFonts w:hint="default"/>
                      <w:color w:val="auto"/>
                      <w:vertAlign w:val="subscript"/>
                    </w:rPr>
                    <w:t>3</w:t>
                  </w:r>
                </w:p>
              </w:tc>
              <w:tc>
                <w:tcPr>
                  <w:tcW w:w="990" w:type="pct"/>
                  <w:tcBorders>
                    <w:tl2br w:val="nil"/>
                    <w:tr2bl w:val="nil"/>
                  </w:tcBorders>
                  <w:vAlign w:val="center"/>
                </w:tcPr>
                <w:p w14:paraId="2CC81243">
                  <w:pPr>
                    <w:pStyle w:val="27"/>
                    <w:bidi w:val="0"/>
                    <w:rPr>
                      <w:rFonts w:hint="default" w:eastAsia="宋体"/>
                      <w:color w:val="auto"/>
                      <w:lang w:val="en-US" w:eastAsia="zh-CN"/>
                    </w:rPr>
                  </w:pPr>
                  <w:r>
                    <w:rPr>
                      <w:rFonts w:hint="eastAsia"/>
                      <w:color w:val="auto"/>
                      <w:lang w:val="en-US" w:eastAsia="zh-CN"/>
                    </w:rPr>
                    <w:t>日最大8小时平均</w:t>
                  </w:r>
                </w:p>
              </w:tc>
              <w:tc>
                <w:tcPr>
                  <w:tcW w:w="601" w:type="pct"/>
                  <w:tcBorders>
                    <w:tl2br w:val="nil"/>
                    <w:tr2bl w:val="nil"/>
                  </w:tcBorders>
                  <w:vAlign w:val="center"/>
                </w:tcPr>
                <w:p w14:paraId="51F57318">
                  <w:pPr>
                    <w:pStyle w:val="27"/>
                    <w:bidi w:val="0"/>
                    <w:rPr>
                      <w:rFonts w:hint="default" w:eastAsia="宋体"/>
                      <w:color w:val="auto"/>
                      <w:lang w:val="en-US" w:eastAsia="zh-CN"/>
                    </w:rPr>
                  </w:pPr>
                  <w:r>
                    <w:rPr>
                      <w:rFonts w:hint="eastAsia"/>
                      <w:color w:val="auto"/>
                      <w:lang w:val="en-US" w:eastAsia="zh-CN"/>
                    </w:rPr>
                    <w:t>100</w:t>
                  </w:r>
                </w:p>
              </w:tc>
              <w:tc>
                <w:tcPr>
                  <w:tcW w:w="625" w:type="pct"/>
                  <w:tcBorders>
                    <w:tl2br w:val="nil"/>
                    <w:tr2bl w:val="nil"/>
                  </w:tcBorders>
                  <w:vAlign w:val="center"/>
                </w:tcPr>
                <w:p w14:paraId="66562E4C">
                  <w:pPr>
                    <w:pStyle w:val="27"/>
                    <w:bidi w:val="0"/>
                    <w:ind w:firstLine="0" w:firstLineChars="0"/>
                    <w:rPr>
                      <w:rFonts w:hint="eastAsia"/>
                      <w:color w:val="auto"/>
                      <w:lang w:val="en-US" w:eastAsia="zh-CN"/>
                    </w:rPr>
                  </w:pPr>
                  <w:r>
                    <w:rPr>
                      <w:rFonts w:hint="eastAsia"/>
                      <w:color w:val="auto"/>
                      <w:lang w:val="en-US" w:eastAsia="zh-CN"/>
                    </w:rPr>
                    <w:t>160</w:t>
                  </w:r>
                </w:p>
              </w:tc>
              <w:tc>
                <w:tcPr>
                  <w:tcW w:w="474" w:type="pct"/>
                  <w:tcBorders>
                    <w:tl2br w:val="nil"/>
                    <w:tr2bl w:val="nil"/>
                  </w:tcBorders>
                  <w:vAlign w:val="center"/>
                </w:tcPr>
                <w:p w14:paraId="6F63EB1B">
                  <w:pPr>
                    <w:pStyle w:val="27"/>
                    <w:bidi w:val="0"/>
                    <w:rPr>
                      <w:rFonts w:hint="default" w:eastAsia="宋体"/>
                      <w:color w:val="auto"/>
                      <w:lang w:val="en-US" w:eastAsia="zh-CN"/>
                    </w:rPr>
                  </w:pPr>
                  <w:r>
                    <w:rPr>
                      <w:rFonts w:hint="eastAsia"/>
                      <w:color w:val="auto"/>
                      <w:lang w:val="en-US" w:eastAsia="zh-CN"/>
                    </w:rPr>
                    <w:t>100</w:t>
                  </w:r>
                </w:p>
              </w:tc>
              <w:tc>
                <w:tcPr>
                  <w:tcW w:w="474" w:type="pct"/>
                  <w:tcBorders>
                    <w:tl2br w:val="nil"/>
                    <w:tr2bl w:val="nil"/>
                  </w:tcBorders>
                  <w:vAlign w:val="center"/>
                </w:tcPr>
                <w:p w14:paraId="36F3CBDB">
                  <w:pPr>
                    <w:pStyle w:val="27"/>
                    <w:bidi w:val="0"/>
                    <w:ind w:firstLine="0" w:firstLineChars="0"/>
                    <w:rPr>
                      <w:rFonts w:hint="eastAsia"/>
                      <w:color w:val="auto"/>
                      <w:lang w:val="en-US" w:eastAsia="zh-CN"/>
                    </w:rPr>
                  </w:pPr>
                  <w:r>
                    <w:rPr>
                      <w:rFonts w:hint="eastAsia"/>
                      <w:color w:val="auto"/>
                      <w:lang w:val="en-US" w:eastAsia="zh-CN"/>
                    </w:rPr>
                    <w:t>160</w:t>
                  </w:r>
                </w:p>
              </w:tc>
              <w:tc>
                <w:tcPr>
                  <w:tcW w:w="1056" w:type="pct"/>
                  <w:vMerge w:val="continue"/>
                  <w:tcBorders>
                    <w:tl2br w:val="nil"/>
                    <w:tr2bl w:val="nil"/>
                  </w:tcBorders>
                  <w:vAlign w:val="center"/>
                </w:tcPr>
                <w:p w14:paraId="5EE34362">
                  <w:pPr>
                    <w:pStyle w:val="27"/>
                    <w:bidi w:val="0"/>
                    <w:rPr>
                      <w:rFonts w:hint="default"/>
                      <w:color w:val="auto"/>
                    </w:rPr>
                  </w:pPr>
                </w:p>
              </w:tc>
            </w:tr>
            <w:tr w14:paraId="547C6C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4E083128">
                  <w:pPr>
                    <w:pStyle w:val="27"/>
                    <w:bidi w:val="0"/>
                  </w:pPr>
                </w:p>
              </w:tc>
              <w:tc>
                <w:tcPr>
                  <w:tcW w:w="990" w:type="pct"/>
                  <w:tcBorders>
                    <w:tl2br w:val="nil"/>
                    <w:tr2bl w:val="nil"/>
                  </w:tcBorders>
                  <w:vAlign w:val="center"/>
                </w:tcPr>
                <w:p w14:paraId="2B2C4FE1">
                  <w:pPr>
                    <w:pStyle w:val="27"/>
                    <w:bidi w:val="0"/>
                    <w:rPr>
                      <w:rFonts w:hint="default" w:eastAsia="宋体"/>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3BA94E7F">
                  <w:pPr>
                    <w:pStyle w:val="27"/>
                    <w:bidi w:val="0"/>
                    <w:rPr>
                      <w:rFonts w:hint="default" w:eastAsia="宋体"/>
                      <w:color w:val="auto"/>
                      <w:lang w:val="en-US" w:eastAsia="zh-CN"/>
                    </w:rPr>
                  </w:pPr>
                  <w:r>
                    <w:rPr>
                      <w:rFonts w:hint="eastAsia"/>
                      <w:color w:val="auto"/>
                      <w:lang w:val="en-US" w:eastAsia="zh-CN"/>
                    </w:rPr>
                    <w:t>160</w:t>
                  </w:r>
                </w:p>
              </w:tc>
              <w:tc>
                <w:tcPr>
                  <w:tcW w:w="625" w:type="pct"/>
                  <w:tcBorders>
                    <w:tl2br w:val="nil"/>
                    <w:tr2bl w:val="nil"/>
                  </w:tcBorders>
                  <w:vAlign w:val="center"/>
                </w:tcPr>
                <w:p w14:paraId="6B2CEDD5">
                  <w:pPr>
                    <w:pStyle w:val="27"/>
                    <w:bidi w:val="0"/>
                    <w:ind w:firstLine="0" w:firstLineChars="0"/>
                    <w:rPr>
                      <w:rFonts w:hint="eastAsia"/>
                      <w:color w:val="auto"/>
                      <w:lang w:val="en-US" w:eastAsia="zh-CN"/>
                    </w:rPr>
                  </w:pPr>
                  <w:r>
                    <w:rPr>
                      <w:rFonts w:hint="eastAsia"/>
                      <w:color w:val="auto"/>
                      <w:lang w:val="en-US" w:eastAsia="zh-CN"/>
                    </w:rPr>
                    <w:t>200</w:t>
                  </w:r>
                </w:p>
              </w:tc>
              <w:tc>
                <w:tcPr>
                  <w:tcW w:w="474" w:type="pct"/>
                  <w:tcBorders>
                    <w:tl2br w:val="nil"/>
                    <w:tr2bl w:val="nil"/>
                  </w:tcBorders>
                  <w:vAlign w:val="center"/>
                </w:tcPr>
                <w:p w14:paraId="7F7EC415">
                  <w:pPr>
                    <w:pStyle w:val="27"/>
                    <w:bidi w:val="0"/>
                    <w:rPr>
                      <w:rFonts w:hint="default" w:eastAsia="宋体"/>
                      <w:color w:val="auto"/>
                      <w:lang w:val="en-US" w:eastAsia="zh-CN"/>
                    </w:rPr>
                  </w:pPr>
                  <w:r>
                    <w:rPr>
                      <w:rFonts w:hint="eastAsia"/>
                      <w:color w:val="auto"/>
                      <w:lang w:val="en-US" w:eastAsia="zh-CN"/>
                    </w:rPr>
                    <w:t>160</w:t>
                  </w:r>
                </w:p>
              </w:tc>
              <w:tc>
                <w:tcPr>
                  <w:tcW w:w="474" w:type="pct"/>
                  <w:tcBorders>
                    <w:tl2br w:val="nil"/>
                    <w:tr2bl w:val="nil"/>
                  </w:tcBorders>
                  <w:vAlign w:val="center"/>
                </w:tcPr>
                <w:p w14:paraId="36311929">
                  <w:pPr>
                    <w:pStyle w:val="27"/>
                    <w:bidi w:val="0"/>
                    <w:ind w:firstLine="0" w:firstLineChars="0"/>
                    <w:rPr>
                      <w:rFonts w:hint="eastAsia"/>
                      <w:color w:val="auto"/>
                      <w:lang w:val="en-US" w:eastAsia="zh-CN"/>
                    </w:rPr>
                  </w:pPr>
                  <w:r>
                    <w:rPr>
                      <w:rFonts w:hint="eastAsia"/>
                      <w:color w:val="auto"/>
                      <w:lang w:val="en-US" w:eastAsia="zh-CN"/>
                    </w:rPr>
                    <w:t>200</w:t>
                  </w:r>
                </w:p>
              </w:tc>
              <w:tc>
                <w:tcPr>
                  <w:tcW w:w="1056" w:type="pct"/>
                  <w:vMerge w:val="continue"/>
                  <w:tcBorders>
                    <w:tl2br w:val="nil"/>
                    <w:tr2bl w:val="nil"/>
                  </w:tcBorders>
                  <w:vAlign w:val="center"/>
                </w:tcPr>
                <w:p w14:paraId="2C6ED855">
                  <w:pPr>
                    <w:pStyle w:val="27"/>
                    <w:bidi w:val="0"/>
                    <w:rPr>
                      <w:rFonts w:hint="default"/>
                      <w:color w:val="auto"/>
                    </w:rPr>
                  </w:pPr>
                </w:p>
              </w:tc>
            </w:tr>
          </w:tbl>
          <w:p w14:paraId="0DAFA27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3.3.2</w:t>
            </w:r>
            <w:r>
              <w:rPr>
                <w:rFonts w:hint="eastAsia" w:cs="Times New Roman"/>
                <w:b/>
                <w:bCs/>
                <w:color w:val="000000"/>
                <w:kern w:val="0"/>
                <w:sz w:val="24"/>
                <w:szCs w:val="24"/>
                <w:lang w:val="en-US" w:eastAsia="zh-CN" w:bidi="ar"/>
              </w:rPr>
              <w:t>所在区域达标判定</w:t>
            </w:r>
          </w:p>
          <w:p w14:paraId="31A5E0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①达标区</w:t>
            </w:r>
          </w:p>
          <w:p w14:paraId="52538F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highlight w:val="none"/>
                <w:lang w:val="en-US" w:eastAsia="zh-CN"/>
              </w:rPr>
            </w:pPr>
            <w:r>
              <w:rPr>
                <w:rFonts w:hint="default" w:ascii="Times New Roman" w:hAnsi="Times New Roman" w:eastAsia="宋体" w:cs="Times New Roman"/>
                <w:sz w:val="24"/>
                <w:szCs w:val="24"/>
                <w:lang w:eastAsia="zh-CN"/>
              </w:rPr>
              <w:t>本项目位于</w:t>
            </w:r>
            <w:r>
              <w:rPr>
                <w:rFonts w:hint="eastAsia" w:cs="Times New Roman"/>
                <w:sz w:val="24"/>
                <w:szCs w:val="24"/>
                <w:lang w:val="en-US" w:eastAsia="zh-CN"/>
              </w:rPr>
              <w:t>云南新平产业园区绿色钢城片区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rPr>
              <w:t>2024年玉溪市生态环境状况公报</w:t>
            </w:r>
            <w:r>
              <w:rPr>
                <w:rFonts w:hint="default" w:ascii="Times New Roman" w:hAnsi="Times New Roman" w:eastAsia="宋体" w:cs="Times New Roman"/>
                <w:sz w:val="24"/>
                <w:szCs w:val="24"/>
                <w:lang w:val="en-US" w:eastAsia="zh-CN"/>
              </w:rPr>
              <w:t>》，2024年，中心城区环境空气质量一级240天，二级124天，超标2天。与去年同期相比，一级天数增加29天，二级天数减少18天，超标天数减少了10天。其中，细颗粒物（PM2.5）平均浓度为19.6μg/m²，中心城区环境空气质量优良天数比率为99.5%，较上年同期上升2.8个百分点；江川区、澄江市、通海县、华宁县、易门县、峨山县、新平县、元江县空气质量优良天数比率分别为99.4%、100%、99.4%、99.7%、99.7%、99.4%、99.7%、99.4%。</w:t>
            </w:r>
          </w:p>
          <w:p w14:paraId="3F6B0C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本次评价收集新平县环境监测站的环境空气质量指数（AQI）有效监测数据进行环境质量现状调查与评价，基本污染物环境质量现状监测结果如下：</w:t>
            </w:r>
          </w:p>
          <w:p w14:paraId="385571B5">
            <w:pPr>
              <w:keepNext/>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3-</w:t>
            </w:r>
            <w:r>
              <w:rPr>
                <w:rFonts w:hint="eastAsia"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 xml:space="preserve">  新平县</w:t>
            </w:r>
            <w:r>
              <w:rPr>
                <w:rFonts w:hint="eastAsia"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2024年</w:t>
            </w:r>
            <w:r>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空气质量现状评价表</w:t>
            </w:r>
          </w:p>
          <w:tbl>
            <w:tblPr>
              <w:tblStyle w:val="17"/>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112"/>
              <w:gridCol w:w="1398"/>
              <w:gridCol w:w="1151"/>
              <w:gridCol w:w="1036"/>
              <w:gridCol w:w="1060"/>
            </w:tblGrid>
            <w:tr w14:paraId="5B73BE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0" w:hRule="atLeast"/>
                <w:tblHeader/>
              </w:trPr>
              <w:tc>
                <w:tcPr>
                  <w:tcW w:w="554" w:type="pct"/>
                  <w:tcBorders>
                    <w:tl2br w:val="nil"/>
                    <w:tr2bl w:val="nil"/>
                  </w:tcBorders>
                  <w:noWrap w:val="0"/>
                  <w:vAlign w:val="center"/>
                </w:tcPr>
                <w:p w14:paraId="3DA72F37">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污染物</w:t>
                  </w:r>
                </w:p>
              </w:tc>
              <w:tc>
                <w:tcPr>
                  <w:tcW w:w="1389" w:type="pct"/>
                  <w:tcBorders>
                    <w:tl2br w:val="nil"/>
                    <w:tr2bl w:val="nil"/>
                  </w:tcBorders>
                  <w:noWrap w:val="0"/>
                  <w:vAlign w:val="center"/>
                </w:tcPr>
                <w:p w14:paraId="4D8D1CE1">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评价指标</w:t>
                  </w:r>
                </w:p>
              </w:tc>
              <w:tc>
                <w:tcPr>
                  <w:tcW w:w="919" w:type="pct"/>
                  <w:tcBorders>
                    <w:tl2br w:val="nil"/>
                    <w:tr2bl w:val="nil"/>
                  </w:tcBorders>
                  <w:noWrap w:val="0"/>
                  <w:vAlign w:val="center"/>
                </w:tcPr>
                <w:p w14:paraId="6A4A9A76">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现状浓度μg/m</w:t>
                  </w:r>
                  <w:r>
                    <w:rPr>
                      <w:rFonts w:hint="default" w:ascii="Times New Roman" w:hAnsi="Times New Roman" w:eastAsia="宋体" w:cs="Times New Roman"/>
                      <w:snapToGrid/>
                      <w:color w:val="000000" w:themeColor="text1"/>
                      <w:kern w:val="2"/>
                      <w:sz w:val="18"/>
                      <w:szCs w:val="18"/>
                      <w:highlight w:val="none"/>
                      <w:vertAlign w:val="superscript"/>
                      <w14:textFill>
                        <w14:solidFill>
                          <w14:schemeClr w14:val="tx1"/>
                        </w14:solidFill>
                      </w14:textFill>
                    </w:rPr>
                    <w:t>3</w:t>
                  </w:r>
                </w:p>
              </w:tc>
              <w:tc>
                <w:tcPr>
                  <w:tcW w:w="757" w:type="pct"/>
                  <w:tcBorders>
                    <w:tl2br w:val="nil"/>
                    <w:tr2bl w:val="nil"/>
                  </w:tcBorders>
                  <w:noWrap w:val="0"/>
                  <w:vAlign w:val="center"/>
                </w:tcPr>
                <w:p w14:paraId="1C5B653D">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标准值μg/m</w:t>
                  </w:r>
                  <w:r>
                    <w:rPr>
                      <w:rFonts w:hint="default" w:ascii="Times New Roman" w:hAnsi="Times New Roman" w:eastAsia="宋体" w:cs="Times New Roman"/>
                      <w:snapToGrid/>
                      <w:color w:val="000000" w:themeColor="text1"/>
                      <w:kern w:val="2"/>
                      <w:sz w:val="18"/>
                      <w:szCs w:val="18"/>
                      <w:highlight w:val="none"/>
                      <w:vertAlign w:val="superscript"/>
                      <w14:textFill>
                        <w14:solidFill>
                          <w14:schemeClr w14:val="tx1"/>
                        </w14:solidFill>
                      </w14:textFill>
                    </w:rPr>
                    <w:t>3</w:t>
                  </w:r>
                </w:p>
              </w:tc>
              <w:tc>
                <w:tcPr>
                  <w:tcW w:w="681" w:type="pct"/>
                  <w:tcBorders>
                    <w:tl2br w:val="nil"/>
                    <w:tr2bl w:val="nil"/>
                  </w:tcBorders>
                  <w:noWrap w:val="0"/>
                  <w:vAlign w:val="center"/>
                </w:tcPr>
                <w:p w14:paraId="7C70F95D">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占标率%</w:t>
                  </w:r>
                </w:p>
              </w:tc>
              <w:tc>
                <w:tcPr>
                  <w:tcW w:w="697" w:type="pct"/>
                  <w:tcBorders>
                    <w:tl2br w:val="nil"/>
                    <w:tr2bl w:val="nil"/>
                  </w:tcBorders>
                  <w:noWrap w:val="0"/>
                  <w:vAlign w:val="center"/>
                </w:tcPr>
                <w:p w14:paraId="00D61BAB">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达标情况</w:t>
                  </w:r>
                </w:p>
              </w:tc>
            </w:tr>
            <w:tr w14:paraId="7B58F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3CB75098">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SO</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2</w:t>
                  </w:r>
                </w:p>
              </w:tc>
              <w:tc>
                <w:tcPr>
                  <w:tcW w:w="1389" w:type="pct"/>
                  <w:tcBorders>
                    <w:tl2br w:val="nil"/>
                    <w:tr2bl w:val="nil"/>
                  </w:tcBorders>
                  <w:noWrap w:val="0"/>
                  <w:vAlign w:val="center"/>
                </w:tcPr>
                <w:p w14:paraId="68445594">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1D7D63A4">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6.09</w:t>
                  </w:r>
                </w:p>
              </w:tc>
              <w:tc>
                <w:tcPr>
                  <w:tcW w:w="757" w:type="pct"/>
                  <w:tcBorders>
                    <w:tl2br w:val="nil"/>
                    <w:tr2bl w:val="nil"/>
                  </w:tcBorders>
                  <w:noWrap w:val="0"/>
                  <w:vAlign w:val="center"/>
                </w:tcPr>
                <w:p w14:paraId="06D8A434">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60</w:t>
                  </w:r>
                </w:p>
              </w:tc>
              <w:tc>
                <w:tcPr>
                  <w:tcW w:w="1161" w:type="dxa"/>
                  <w:tcBorders>
                    <w:tl2br w:val="nil"/>
                    <w:tr2bl w:val="nil"/>
                  </w:tcBorders>
                  <w:noWrap w:val="0"/>
                  <w:vAlign w:val="center"/>
                </w:tcPr>
                <w:p w14:paraId="18574E2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10.15</w:t>
                  </w:r>
                </w:p>
              </w:tc>
              <w:tc>
                <w:tcPr>
                  <w:tcW w:w="697" w:type="pct"/>
                  <w:tcBorders>
                    <w:tl2br w:val="nil"/>
                    <w:tr2bl w:val="nil"/>
                  </w:tcBorders>
                  <w:noWrap w:val="0"/>
                  <w:vAlign w:val="center"/>
                </w:tcPr>
                <w:p w14:paraId="6F221C6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57CB3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4A05D82D">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344AB6F8">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24h平均第98百分位数</w:t>
                  </w:r>
                </w:p>
              </w:tc>
              <w:tc>
                <w:tcPr>
                  <w:tcW w:w="919" w:type="pct"/>
                  <w:tcBorders>
                    <w:tl2br w:val="nil"/>
                    <w:tr2bl w:val="nil"/>
                  </w:tcBorders>
                  <w:noWrap w:val="0"/>
                  <w:vAlign w:val="center"/>
                </w:tcPr>
                <w:p w14:paraId="4F40329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10</w:t>
                  </w:r>
                </w:p>
              </w:tc>
              <w:tc>
                <w:tcPr>
                  <w:tcW w:w="757" w:type="pct"/>
                  <w:tcBorders>
                    <w:tl2br w:val="nil"/>
                    <w:tr2bl w:val="nil"/>
                  </w:tcBorders>
                  <w:noWrap w:val="0"/>
                  <w:vAlign w:val="center"/>
                </w:tcPr>
                <w:p w14:paraId="220C3EA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150</w:t>
                  </w:r>
                </w:p>
              </w:tc>
              <w:tc>
                <w:tcPr>
                  <w:tcW w:w="1161" w:type="dxa"/>
                  <w:tcBorders>
                    <w:tl2br w:val="nil"/>
                    <w:tr2bl w:val="nil"/>
                  </w:tcBorders>
                  <w:noWrap w:val="0"/>
                  <w:vAlign w:val="center"/>
                </w:tcPr>
                <w:p w14:paraId="2631EA1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6.67</w:t>
                  </w:r>
                </w:p>
              </w:tc>
              <w:tc>
                <w:tcPr>
                  <w:tcW w:w="697" w:type="pct"/>
                  <w:tcBorders>
                    <w:tl2br w:val="nil"/>
                    <w:tr2bl w:val="nil"/>
                  </w:tcBorders>
                  <w:noWrap w:val="0"/>
                  <w:vAlign w:val="center"/>
                </w:tcPr>
                <w:p w14:paraId="623E5C0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4A7A7C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38569E37">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NO</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2</w:t>
                  </w:r>
                </w:p>
              </w:tc>
              <w:tc>
                <w:tcPr>
                  <w:tcW w:w="1389" w:type="pct"/>
                  <w:tcBorders>
                    <w:tl2br w:val="nil"/>
                    <w:tr2bl w:val="nil"/>
                  </w:tcBorders>
                  <w:noWrap w:val="0"/>
                  <w:vAlign w:val="center"/>
                </w:tcPr>
                <w:p w14:paraId="0394C18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5D8BAE5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7.31</w:t>
                  </w:r>
                </w:p>
              </w:tc>
              <w:tc>
                <w:tcPr>
                  <w:tcW w:w="757" w:type="pct"/>
                  <w:tcBorders>
                    <w:tl2br w:val="nil"/>
                    <w:tr2bl w:val="nil"/>
                  </w:tcBorders>
                  <w:noWrap w:val="0"/>
                  <w:vAlign w:val="center"/>
                </w:tcPr>
                <w:p w14:paraId="10A3E3C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40</w:t>
                  </w:r>
                </w:p>
              </w:tc>
              <w:tc>
                <w:tcPr>
                  <w:tcW w:w="1161" w:type="dxa"/>
                  <w:tcBorders>
                    <w:tl2br w:val="nil"/>
                    <w:tr2bl w:val="nil"/>
                  </w:tcBorders>
                  <w:noWrap w:val="0"/>
                  <w:vAlign w:val="center"/>
                </w:tcPr>
                <w:p w14:paraId="10D3AFE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18.28</w:t>
                  </w:r>
                </w:p>
              </w:tc>
              <w:tc>
                <w:tcPr>
                  <w:tcW w:w="697" w:type="pct"/>
                  <w:tcBorders>
                    <w:tl2br w:val="nil"/>
                    <w:tr2bl w:val="nil"/>
                  </w:tcBorders>
                  <w:noWrap w:val="0"/>
                  <w:vAlign w:val="center"/>
                </w:tcPr>
                <w:p w14:paraId="79EF57E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1FA21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222A1233">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19231E6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24h平均第98百分位数</w:t>
                  </w:r>
                </w:p>
              </w:tc>
              <w:tc>
                <w:tcPr>
                  <w:tcW w:w="919" w:type="pct"/>
                  <w:tcBorders>
                    <w:tl2br w:val="nil"/>
                    <w:tr2bl w:val="nil"/>
                  </w:tcBorders>
                  <w:noWrap w:val="0"/>
                  <w:vAlign w:val="center"/>
                </w:tcPr>
                <w:p w14:paraId="07BED40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14</w:t>
                  </w:r>
                </w:p>
              </w:tc>
              <w:tc>
                <w:tcPr>
                  <w:tcW w:w="757" w:type="pct"/>
                  <w:tcBorders>
                    <w:tl2br w:val="nil"/>
                    <w:tr2bl w:val="nil"/>
                  </w:tcBorders>
                  <w:noWrap w:val="0"/>
                  <w:vAlign w:val="center"/>
                </w:tcPr>
                <w:p w14:paraId="7F02BAE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80</w:t>
                  </w:r>
                </w:p>
              </w:tc>
              <w:tc>
                <w:tcPr>
                  <w:tcW w:w="1161" w:type="dxa"/>
                  <w:tcBorders>
                    <w:tl2br w:val="nil"/>
                    <w:tr2bl w:val="nil"/>
                  </w:tcBorders>
                  <w:noWrap w:val="0"/>
                  <w:vAlign w:val="center"/>
                </w:tcPr>
                <w:p w14:paraId="2EFBD36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17.50</w:t>
                  </w:r>
                </w:p>
              </w:tc>
              <w:tc>
                <w:tcPr>
                  <w:tcW w:w="697" w:type="pct"/>
                  <w:tcBorders>
                    <w:tl2br w:val="nil"/>
                    <w:tr2bl w:val="nil"/>
                  </w:tcBorders>
                  <w:noWrap w:val="0"/>
                  <w:vAlign w:val="center"/>
                </w:tcPr>
                <w:p w14:paraId="0E175D5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38E94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1607A6DB">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PM</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10</w:t>
                  </w:r>
                </w:p>
              </w:tc>
              <w:tc>
                <w:tcPr>
                  <w:tcW w:w="1389" w:type="pct"/>
                  <w:tcBorders>
                    <w:tl2br w:val="nil"/>
                    <w:tr2bl w:val="nil"/>
                  </w:tcBorders>
                  <w:noWrap w:val="0"/>
                  <w:vAlign w:val="center"/>
                </w:tcPr>
                <w:p w14:paraId="77122B0A">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722D3214">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24.09</w:t>
                  </w:r>
                </w:p>
              </w:tc>
              <w:tc>
                <w:tcPr>
                  <w:tcW w:w="757" w:type="pct"/>
                  <w:tcBorders>
                    <w:tl2br w:val="nil"/>
                    <w:tr2bl w:val="nil"/>
                  </w:tcBorders>
                  <w:noWrap w:val="0"/>
                  <w:vAlign w:val="center"/>
                </w:tcPr>
                <w:p w14:paraId="69D743D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70</w:t>
                  </w:r>
                </w:p>
              </w:tc>
              <w:tc>
                <w:tcPr>
                  <w:tcW w:w="1161" w:type="dxa"/>
                  <w:tcBorders>
                    <w:tl2br w:val="nil"/>
                    <w:tr2bl w:val="nil"/>
                  </w:tcBorders>
                  <w:noWrap w:val="0"/>
                  <w:vAlign w:val="center"/>
                </w:tcPr>
                <w:p w14:paraId="5D85196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34.41</w:t>
                  </w:r>
                </w:p>
              </w:tc>
              <w:tc>
                <w:tcPr>
                  <w:tcW w:w="697" w:type="pct"/>
                  <w:tcBorders>
                    <w:tl2br w:val="nil"/>
                    <w:tr2bl w:val="nil"/>
                  </w:tcBorders>
                  <w:noWrap w:val="0"/>
                  <w:vAlign w:val="center"/>
                </w:tcPr>
                <w:p w14:paraId="2ACE576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5F192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5675373A">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305C55E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24h平均第95百分位数</w:t>
                  </w:r>
                </w:p>
              </w:tc>
              <w:tc>
                <w:tcPr>
                  <w:tcW w:w="919" w:type="pct"/>
                  <w:tcBorders>
                    <w:tl2br w:val="nil"/>
                    <w:tr2bl w:val="nil"/>
                  </w:tcBorders>
                  <w:noWrap w:val="0"/>
                  <w:vAlign w:val="center"/>
                </w:tcPr>
                <w:p w14:paraId="7601D83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55</w:t>
                  </w:r>
                </w:p>
              </w:tc>
              <w:tc>
                <w:tcPr>
                  <w:tcW w:w="757" w:type="pct"/>
                  <w:tcBorders>
                    <w:tl2br w:val="nil"/>
                    <w:tr2bl w:val="nil"/>
                  </w:tcBorders>
                  <w:noWrap w:val="0"/>
                  <w:vAlign w:val="center"/>
                </w:tcPr>
                <w:p w14:paraId="0D10CF9B">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150</w:t>
                  </w:r>
                </w:p>
              </w:tc>
              <w:tc>
                <w:tcPr>
                  <w:tcW w:w="1161" w:type="dxa"/>
                  <w:tcBorders>
                    <w:tl2br w:val="nil"/>
                    <w:tr2bl w:val="nil"/>
                  </w:tcBorders>
                  <w:noWrap w:val="0"/>
                  <w:vAlign w:val="center"/>
                </w:tcPr>
                <w:p w14:paraId="0A7506D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36.67</w:t>
                  </w:r>
                </w:p>
              </w:tc>
              <w:tc>
                <w:tcPr>
                  <w:tcW w:w="697" w:type="pct"/>
                  <w:tcBorders>
                    <w:tl2br w:val="nil"/>
                    <w:tr2bl w:val="nil"/>
                  </w:tcBorders>
                  <w:noWrap w:val="0"/>
                  <w:vAlign w:val="center"/>
                </w:tcPr>
                <w:p w14:paraId="6B3D116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05139F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tcBorders>
                    <w:tl2br w:val="nil"/>
                    <w:tr2bl w:val="nil"/>
                  </w:tcBorders>
                  <w:noWrap w:val="0"/>
                  <w:vAlign w:val="center"/>
                </w:tcPr>
                <w:p w14:paraId="161DB3E9">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CO</w:t>
                  </w:r>
                </w:p>
              </w:tc>
              <w:tc>
                <w:tcPr>
                  <w:tcW w:w="1389" w:type="pct"/>
                  <w:tcBorders>
                    <w:tl2br w:val="nil"/>
                    <w:tr2bl w:val="nil"/>
                  </w:tcBorders>
                  <w:noWrap w:val="0"/>
                  <w:vAlign w:val="center"/>
                </w:tcPr>
                <w:p w14:paraId="0DF0706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24h平均第95百分位数</w:t>
                  </w:r>
                </w:p>
              </w:tc>
              <w:tc>
                <w:tcPr>
                  <w:tcW w:w="919" w:type="pct"/>
                  <w:tcBorders>
                    <w:tl2br w:val="nil"/>
                    <w:tr2bl w:val="nil"/>
                  </w:tcBorders>
                  <w:noWrap w:val="0"/>
                  <w:vAlign w:val="center"/>
                </w:tcPr>
                <w:p w14:paraId="50155D6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600</w:t>
                  </w:r>
                </w:p>
              </w:tc>
              <w:tc>
                <w:tcPr>
                  <w:tcW w:w="757" w:type="pct"/>
                  <w:tcBorders>
                    <w:tl2br w:val="nil"/>
                    <w:tr2bl w:val="nil"/>
                  </w:tcBorders>
                  <w:noWrap w:val="0"/>
                  <w:vAlign w:val="center"/>
                </w:tcPr>
                <w:p w14:paraId="3B7ADA94">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4000</w:t>
                  </w:r>
                </w:p>
              </w:tc>
              <w:tc>
                <w:tcPr>
                  <w:tcW w:w="1161" w:type="dxa"/>
                  <w:tcBorders>
                    <w:tl2br w:val="nil"/>
                    <w:tr2bl w:val="nil"/>
                  </w:tcBorders>
                  <w:noWrap w:val="0"/>
                  <w:vAlign w:val="center"/>
                </w:tcPr>
                <w:p w14:paraId="32A215FA">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15.00</w:t>
                  </w:r>
                </w:p>
              </w:tc>
              <w:tc>
                <w:tcPr>
                  <w:tcW w:w="697" w:type="pct"/>
                  <w:tcBorders>
                    <w:tl2br w:val="nil"/>
                    <w:tr2bl w:val="nil"/>
                  </w:tcBorders>
                  <w:noWrap w:val="0"/>
                  <w:vAlign w:val="center"/>
                </w:tcPr>
                <w:p w14:paraId="1863807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5C73A8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tcBorders>
                    <w:tl2br w:val="nil"/>
                    <w:tr2bl w:val="nil"/>
                  </w:tcBorders>
                  <w:noWrap w:val="0"/>
                  <w:vAlign w:val="center"/>
                </w:tcPr>
                <w:p w14:paraId="6DB5210B">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O</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3</w:t>
                  </w:r>
                </w:p>
              </w:tc>
              <w:tc>
                <w:tcPr>
                  <w:tcW w:w="1389" w:type="pct"/>
                  <w:tcBorders>
                    <w:tl2br w:val="nil"/>
                    <w:tr2bl w:val="nil"/>
                  </w:tcBorders>
                  <w:noWrap w:val="0"/>
                  <w:vAlign w:val="center"/>
                </w:tcPr>
                <w:p w14:paraId="24BDBFE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8小时平均第90百分位数</w:t>
                  </w:r>
                </w:p>
              </w:tc>
              <w:tc>
                <w:tcPr>
                  <w:tcW w:w="919" w:type="pct"/>
                  <w:tcBorders>
                    <w:tl2br w:val="nil"/>
                    <w:tr2bl w:val="nil"/>
                  </w:tcBorders>
                  <w:noWrap w:val="0"/>
                  <w:vAlign w:val="center"/>
                </w:tcPr>
                <w:p w14:paraId="79698728">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74</w:t>
                  </w:r>
                </w:p>
              </w:tc>
              <w:tc>
                <w:tcPr>
                  <w:tcW w:w="757" w:type="pct"/>
                  <w:tcBorders>
                    <w:tl2br w:val="nil"/>
                    <w:tr2bl w:val="nil"/>
                  </w:tcBorders>
                  <w:noWrap w:val="0"/>
                  <w:vAlign w:val="center"/>
                </w:tcPr>
                <w:p w14:paraId="65AE133A">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160</w:t>
                  </w:r>
                </w:p>
              </w:tc>
              <w:tc>
                <w:tcPr>
                  <w:tcW w:w="1161" w:type="dxa"/>
                  <w:tcBorders>
                    <w:tl2br w:val="nil"/>
                    <w:tr2bl w:val="nil"/>
                  </w:tcBorders>
                  <w:noWrap w:val="0"/>
                  <w:vAlign w:val="center"/>
                </w:tcPr>
                <w:p w14:paraId="1706D9D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46.25</w:t>
                  </w:r>
                </w:p>
              </w:tc>
              <w:tc>
                <w:tcPr>
                  <w:tcW w:w="697" w:type="pct"/>
                  <w:tcBorders>
                    <w:tl2br w:val="nil"/>
                    <w:tr2bl w:val="nil"/>
                  </w:tcBorders>
                  <w:noWrap w:val="0"/>
                  <w:vAlign w:val="center"/>
                </w:tcPr>
                <w:p w14:paraId="048CFDE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0F6BB5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3DEAAA33">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PM</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2.5</w:t>
                  </w:r>
                </w:p>
              </w:tc>
              <w:tc>
                <w:tcPr>
                  <w:tcW w:w="1389" w:type="pct"/>
                  <w:tcBorders>
                    <w:tl2br w:val="nil"/>
                    <w:tr2bl w:val="nil"/>
                  </w:tcBorders>
                  <w:noWrap w:val="0"/>
                  <w:vAlign w:val="center"/>
                </w:tcPr>
                <w:p w14:paraId="2D9D8DA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5B595FD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16.78</w:t>
                  </w:r>
                </w:p>
              </w:tc>
              <w:tc>
                <w:tcPr>
                  <w:tcW w:w="757" w:type="pct"/>
                  <w:tcBorders>
                    <w:tl2br w:val="nil"/>
                    <w:tr2bl w:val="nil"/>
                  </w:tcBorders>
                  <w:noWrap w:val="0"/>
                  <w:vAlign w:val="center"/>
                </w:tcPr>
                <w:p w14:paraId="537DB7F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35</w:t>
                  </w:r>
                </w:p>
              </w:tc>
              <w:tc>
                <w:tcPr>
                  <w:tcW w:w="1161" w:type="dxa"/>
                  <w:tcBorders>
                    <w:tl2br w:val="nil"/>
                    <w:tr2bl w:val="nil"/>
                  </w:tcBorders>
                  <w:noWrap w:val="0"/>
                  <w:vAlign w:val="center"/>
                </w:tcPr>
                <w:p w14:paraId="4919FAAA">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47.94</w:t>
                  </w:r>
                </w:p>
              </w:tc>
              <w:tc>
                <w:tcPr>
                  <w:tcW w:w="697" w:type="pct"/>
                  <w:tcBorders>
                    <w:tl2br w:val="nil"/>
                    <w:tr2bl w:val="nil"/>
                  </w:tcBorders>
                  <w:noWrap w:val="0"/>
                  <w:vAlign w:val="center"/>
                </w:tcPr>
                <w:p w14:paraId="7B5C9E8B">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4C81CB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2F141521">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3576BDD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24h平均第95百分位数</w:t>
                  </w:r>
                </w:p>
              </w:tc>
              <w:tc>
                <w:tcPr>
                  <w:tcW w:w="919" w:type="pct"/>
                  <w:tcBorders>
                    <w:tl2br w:val="nil"/>
                    <w:tr2bl w:val="nil"/>
                  </w:tcBorders>
                  <w:noWrap w:val="0"/>
                  <w:vAlign w:val="center"/>
                </w:tcPr>
                <w:p w14:paraId="5A981CF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43</w:t>
                  </w:r>
                </w:p>
              </w:tc>
              <w:tc>
                <w:tcPr>
                  <w:tcW w:w="757" w:type="pct"/>
                  <w:tcBorders>
                    <w:tl2br w:val="nil"/>
                    <w:tr2bl w:val="nil"/>
                  </w:tcBorders>
                  <w:noWrap w:val="0"/>
                  <w:vAlign w:val="center"/>
                </w:tcPr>
                <w:p w14:paraId="1A4204F8">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75</w:t>
                  </w:r>
                </w:p>
              </w:tc>
              <w:tc>
                <w:tcPr>
                  <w:tcW w:w="1161" w:type="dxa"/>
                  <w:tcBorders>
                    <w:tl2br w:val="nil"/>
                    <w:tr2bl w:val="nil"/>
                  </w:tcBorders>
                  <w:noWrap w:val="0"/>
                  <w:vAlign w:val="center"/>
                </w:tcPr>
                <w:p w14:paraId="732441EB">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57.33</w:t>
                  </w:r>
                </w:p>
              </w:tc>
              <w:tc>
                <w:tcPr>
                  <w:tcW w:w="697" w:type="pct"/>
                  <w:tcBorders>
                    <w:tl2br w:val="nil"/>
                    <w:tr2bl w:val="nil"/>
                  </w:tcBorders>
                  <w:noWrap w:val="0"/>
                  <w:vAlign w:val="center"/>
                </w:tcPr>
                <w:p w14:paraId="0288BF1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bl>
          <w:p w14:paraId="383778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根据上表</w:t>
            </w:r>
            <w:r>
              <w:rPr>
                <w:rFonts w:hint="default" w:ascii="Times New Roman" w:hAnsi="Times New Roman" w:eastAsia="宋体" w:cs="Times New Roman"/>
                <w:sz w:val="24"/>
                <w:szCs w:val="24"/>
                <w:lang w:eastAsia="zh-CN"/>
              </w:rPr>
              <w:t>监测数据可知，SO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、NO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、PM</w:t>
            </w:r>
            <w:r>
              <w:rPr>
                <w:rFonts w:hint="default" w:ascii="Times New Roman" w:hAnsi="Times New Roman" w:eastAsia="宋体" w:cs="Times New Roman"/>
                <w:sz w:val="24"/>
                <w:szCs w:val="24"/>
                <w:vertAlign w:val="subscript"/>
                <w:lang w:eastAsia="zh-CN"/>
              </w:rPr>
              <w:t>10</w:t>
            </w:r>
            <w:r>
              <w:rPr>
                <w:rFonts w:hint="default" w:ascii="Times New Roman" w:hAnsi="Times New Roman" w:eastAsia="宋体" w:cs="Times New Roman"/>
                <w:sz w:val="24"/>
                <w:szCs w:val="24"/>
                <w:lang w:eastAsia="zh-CN"/>
              </w:rPr>
              <w:t>、PM</w:t>
            </w:r>
            <w:r>
              <w:rPr>
                <w:rFonts w:hint="default" w:ascii="Times New Roman" w:hAnsi="Times New Roman" w:eastAsia="宋体" w:cs="Times New Roman"/>
                <w:sz w:val="24"/>
                <w:szCs w:val="24"/>
                <w:vertAlign w:val="subscript"/>
                <w:lang w:eastAsia="zh-CN"/>
              </w:rPr>
              <w:t>2.5</w:t>
            </w:r>
            <w:r>
              <w:rPr>
                <w:rFonts w:hint="default" w:ascii="Times New Roman" w:hAnsi="Times New Roman" w:eastAsia="宋体" w:cs="Times New Roman"/>
                <w:sz w:val="24"/>
                <w:szCs w:val="24"/>
                <w:lang w:eastAsia="zh-CN"/>
              </w:rPr>
              <w:t>、O</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、CO六项污染物均满足《环境空气质量标准》（GB3095－</w:t>
            </w:r>
            <w:r>
              <w:rPr>
                <w:rFonts w:hint="eastAsia" w:cs="Times New Roman"/>
                <w:sz w:val="24"/>
                <w:szCs w:val="24"/>
                <w:lang w:val="en-US" w:eastAsia="zh-CN"/>
              </w:rPr>
              <w:t>2026</w:t>
            </w:r>
            <w:r>
              <w:rPr>
                <w:rFonts w:hint="default" w:ascii="Times New Roman" w:hAnsi="Times New Roman" w:eastAsia="宋体" w:cs="Times New Roman"/>
                <w:sz w:val="24"/>
                <w:szCs w:val="24"/>
                <w:lang w:eastAsia="zh-CN"/>
              </w:rPr>
              <w:t>）二级标准</w:t>
            </w:r>
            <w:r>
              <w:rPr>
                <w:rFonts w:hint="eastAsia" w:cs="Times New Roman"/>
                <w:sz w:val="24"/>
                <w:szCs w:val="24"/>
                <w:lang w:val="en-US" w:eastAsia="zh-CN"/>
              </w:rPr>
              <w:t>执行过渡阶段浓度限值</w:t>
            </w:r>
            <w:r>
              <w:rPr>
                <w:rFonts w:hint="default" w:ascii="Times New Roman" w:hAnsi="Times New Roman" w:eastAsia="宋体" w:cs="Times New Roman"/>
                <w:sz w:val="24"/>
                <w:szCs w:val="24"/>
                <w:lang w:eastAsia="zh-CN"/>
              </w:rPr>
              <w:t>，项目所在区域为达标区。</w:t>
            </w:r>
          </w:p>
          <w:p w14:paraId="2283D6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②补充监测</w:t>
            </w:r>
          </w:p>
          <w:p w14:paraId="2450CD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eastAsia="宋体" w:cs="Times New Roman"/>
                <w:b/>
                <w:bCs/>
                <w:color w:val="000000"/>
                <w:kern w:val="0"/>
                <w:sz w:val="24"/>
                <w:szCs w:val="24"/>
                <w:lang w:val="en-US" w:eastAsia="zh-CN" w:bidi="ar"/>
              </w:rPr>
            </w:pPr>
            <w:r>
              <w:rPr>
                <w:rFonts w:hint="default" w:ascii="Times New Roman" w:hAnsi="Times New Roman" w:eastAsia="宋体" w:cs="Times New Roman"/>
                <w:sz w:val="24"/>
                <w:szCs w:val="24"/>
              </w:rPr>
              <w:t>根据《建设项目环境影响报告表编制技术指南》（污染影响类）（试行），排放国家、地方环境空气质量标准中有标准限值要求的特征污染物时，引用建设项目周边5km范围内近3年的现有监测数据，项目拟建位置位于云南省玉溪市</w:t>
            </w:r>
            <w:r>
              <w:rPr>
                <w:rFonts w:hint="eastAsia" w:ascii="Times New Roman" w:hAnsi="Times New Roman" w:eastAsia="宋体" w:cs="Times New Roman"/>
                <w:sz w:val="24"/>
                <w:szCs w:val="24"/>
                <w:lang w:val="en-US" w:eastAsia="zh-CN"/>
              </w:rPr>
              <w:t>新平产业园区绿色钢城片区</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因此，</w:t>
            </w:r>
            <w:r>
              <w:rPr>
                <w:rFonts w:hint="default" w:ascii="Times New Roman" w:hAnsi="Times New Roman" w:eastAsia="宋体" w:cs="Times New Roman"/>
                <w:sz w:val="24"/>
                <w:szCs w:val="24"/>
              </w:rPr>
              <w:t>本环评环境空气质量现状补充监测数据</w:t>
            </w:r>
            <w:r>
              <w:rPr>
                <w:rFonts w:hint="eastAsia" w:ascii="Times New Roman" w:hAnsi="Times New Roman" w:eastAsia="宋体" w:cs="Times New Roman"/>
                <w:sz w:val="24"/>
                <w:szCs w:val="24"/>
                <w:lang w:val="en-US" w:eastAsia="zh-CN"/>
              </w:rPr>
              <w:t>引用《</w:t>
            </w:r>
            <w:r>
              <w:rPr>
                <w:rFonts w:hint="default" w:ascii="Times New Roman" w:hAnsi="Times New Roman" w:eastAsia="宋体" w:cs="Times New Roman"/>
                <w:sz w:val="24"/>
                <w:szCs w:val="24"/>
                <w:lang w:val="en-US" w:eastAsia="zh-CN"/>
              </w:rPr>
              <w:t>云南玉溪仙福钢铁（集团）有限公司配套100万吨/年焦化建设项目</w:t>
            </w:r>
            <w:r>
              <w:rPr>
                <w:rFonts w:hint="eastAsia" w:ascii="Times New Roman" w:hAnsi="Times New Roman" w:eastAsia="宋体" w:cs="Times New Roman"/>
                <w:sz w:val="24"/>
                <w:szCs w:val="24"/>
                <w:lang w:val="en-US" w:eastAsia="zh-CN"/>
              </w:rPr>
              <w:t>环境影响报告书》</w:t>
            </w:r>
            <w:r>
              <w:rPr>
                <w:rFonts w:hint="default" w:ascii="Times New Roman" w:hAnsi="Times New Roman" w:eastAsia="宋体" w:cs="Times New Roman"/>
                <w:sz w:val="24"/>
                <w:szCs w:val="24"/>
              </w:rPr>
              <w:t>中环境质量现状调查的监测数据可行</w:t>
            </w:r>
            <w:r>
              <w:rPr>
                <w:rFonts w:hint="eastAsia" w:ascii="Times New Roman" w:hAnsi="Times New Roman" w:eastAsia="宋体" w:cs="Times New Roman"/>
                <w:sz w:val="24"/>
                <w:szCs w:val="24"/>
                <w:lang w:eastAsia="zh-CN"/>
              </w:rPr>
              <w:t>。</w:t>
            </w:r>
          </w:p>
          <w:p w14:paraId="074EBE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监测时间：</w:t>
            </w: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rPr>
              <w:t>；</w:t>
            </w:r>
          </w:p>
          <w:p w14:paraId="185F37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监测点：</w:t>
            </w:r>
            <w:r>
              <w:rPr>
                <w:rFonts w:hint="eastAsia" w:ascii="Times New Roman" w:hAnsi="Times New Roman" w:cs="Times New Roman"/>
                <w:color w:val="auto"/>
                <w:sz w:val="24"/>
                <w:lang w:val="en-US" w:eastAsia="zh-CN"/>
              </w:rPr>
              <w:t>拟建厂址</w:t>
            </w:r>
            <w:r>
              <w:rPr>
                <w:rFonts w:hint="default" w:ascii="Times New Roman" w:hAnsi="Times New Roman" w:eastAsia="宋体" w:cs="Times New Roman"/>
                <w:color w:val="auto"/>
                <w:sz w:val="24"/>
                <w:lang w:val="en-US" w:eastAsia="zh-CN"/>
              </w:rPr>
              <w:t>；</w:t>
            </w:r>
          </w:p>
          <w:p w14:paraId="726A01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监测因子：</w:t>
            </w:r>
            <w:r>
              <w:rPr>
                <w:rFonts w:hint="default" w:ascii="Times New Roman" w:hAnsi="Times New Roman" w:eastAsia="宋体" w:cs="Times New Roman"/>
                <w:color w:val="auto"/>
                <w:sz w:val="24"/>
                <w:szCs w:val="24"/>
              </w:rPr>
              <w:t>TSP</w:t>
            </w:r>
            <w:r>
              <w:rPr>
                <w:rFonts w:hint="eastAsia" w:ascii="Times New Roman" w:hAnsi="Times New Roman" w:eastAsia="宋体" w:cs="Times New Roman"/>
                <w:color w:val="auto"/>
                <w:sz w:val="24"/>
                <w:szCs w:val="24"/>
                <w:lang w:eastAsia="zh-CN"/>
              </w:rPr>
              <w:t>、</w:t>
            </w:r>
            <w:r>
              <w:rPr>
                <w:rFonts w:hint="eastAsia"/>
                <w:color w:val="auto"/>
                <w:sz w:val="24"/>
                <w:szCs w:val="24"/>
                <w:lang w:val="en-US" w:eastAsia="zh-CN"/>
              </w:rPr>
              <w:t>NOx、氨</w:t>
            </w:r>
            <w:r>
              <w:rPr>
                <w:rFonts w:hint="default" w:ascii="Times New Roman" w:hAnsi="Times New Roman" w:eastAsia="宋体" w:cs="Times New Roman"/>
                <w:color w:val="auto"/>
                <w:sz w:val="24"/>
                <w:szCs w:val="24"/>
              </w:rPr>
              <w:t>（选取</w:t>
            </w:r>
            <w:r>
              <w:rPr>
                <w:rFonts w:hint="default" w:ascii="Times New Roman" w:hAnsi="Times New Roman" w:eastAsia="宋体" w:cs="Times New Roman"/>
                <w:color w:val="auto"/>
                <w:sz w:val="24"/>
              </w:rPr>
              <w:t>与本项目有关的特征因子）；</w:t>
            </w:r>
          </w:p>
          <w:p w14:paraId="5E464A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采样方法：连续监测7天，取日均值；</w:t>
            </w:r>
          </w:p>
          <w:p w14:paraId="57DE29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sz w:val="24"/>
              </w:rPr>
            </w:pPr>
            <w:r>
              <w:rPr>
                <w:rFonts w:hint="default" w:ascii="Times New Roman" w:hAnsi="Times New Roman" w:eastAsia="宋体" w:cs="Times New Roman"/>
                <w:color w:val="auto"/>
                <w:sz w:val="24"/>
              </w:rPr>
              <w:t>检测结果：详见下表。</w:t>
            </w:r>
          </w:p>
          <w:p w14:paraId="1167791A">
            <w:pPr>
              <w:pStyle w:val="24"/>
              <w:keepNext w:val="0"/>
              <w:keepLines w:val="0"/>
              <w:pageBreakBefore w:val="0"/>
              <w:widowControl w:val="0"/>
              <w:kinsoku/>
              <w:wordWrap/>
              <w:overflowPunct/>
              <w:topLinePunct w:val="0"/>
              <w:autoSpaceDE/>
              <w:autoSpaceDN/>
              <w:bidi w:val="0"/>
              <w:spacing w:line="360" w:lineRule="auto"/>
              <w:textAlignment w:val="auto"/>
              <w:rPr>
                <w:rFonts w:hint="eastAsia" w:ascii="黑体" w:hAnsi="黑体" w:eastAsia="黑体" w:cs="黑体"/>
                <w:b w:val="0"/>
                <w:bCs w:val="0"/>
                <w:color w:val="auto"/>
              </w:rPr>
            </w:pPr>
            <w:r>
              <w:rPr>
                <w:rFonts w:hint="eastAsia" w:ascii="黑体" w:hAnsi="黑体" w:eastAsia="黑体" w:cs="黑体"/>
                <w:b w:val="0"/>
                <w:bCs w:val="0"/>
                <w:color w:val="auto"/>
              </w:rPr>
              <w:t>表3-</w:t>
            </w:r>
            <w:r>
              <w:rPr>
                <w:rFonts w:hint="eastAsia" w:ascii="黑体" w:hAnsi="黑体" w:eastAsia="黑体" w:cs="黑体"/>
                <w:b w:val="0"/>
                <w:bCs w:val="0"/>
                <w:color w:val="auto"/>
                <w:lang w:val="en-US" w:eastAsia="zh-CN"/>
              </w:rPr>
              <w:t>3</w:t>
            </w:r>
            <w:r>
              <w:rPr>
                <w:rFonts w:hint="default" w:ascii="黑体" w:hAnsi="黑体" w:eastAsia="黑体" w:cs="黑体"/>
                <w:b w:val="0"/>
                <w:bCs w:val="0"/>
                <w:color w:val="auto"/>
                <w:lang w:val="en-US" w:eastAsia="zh-CN"/>
              </w:rPr>
              <w:t>云南玉溪仙福钢铁（集团）有限公司配套100万吨/年焦化建设项目</w:t>
            </w:r>
            <w:r>
              <w:rPr>
                <w:rFonts w:hint="eastAsia" w:ascii="黑体" w:hAnsi="黑体" w:eastAsia="黑体" w:cs="黑体"/>
                <w:b w:val="0"/>
                <w:bCs w:val="0"/>
                <w:color w:val="auto"/>
              </w:rPr>
              <w:t>环境空气质量监测数据  单位：</w:t>
            </w:r>
            <w:r>
              <w:rPr>
                <w:rFonts w:hint="eastAsia" w:ascii="黑体" w:hAnsi="黑体" w:eastAsia="黑体" w:cs="黑体"/>
                <w:b w:val="0"/>
                <w:bCs w:val="0"/>
                <w:color w:val="auto"/>
                <w:lang w:val="en-US" w:eastAsia="zh-CN"/>
              </w:rPr>
              <w:t>u</w:t>
            </w:r>
            <w:r>
              <w:rPr>
                <w:rFonts w:hint="eastAsia" w:ascii="黑体" w:hAnsi="黑体" w:eastAsia="黑体" w:cs="黑体"/>
                <w:b w:val="0"/>
                <w:bCs w:val="0"/>
                <w:color w:val="auto"/>
              </w:rPr>
              <w:t>g/m³</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39"/>
              <w:gridCol w:w="1447"/>
              <w:gridCol w:w="2287"/>
              <w:gridCol w:w="674"/>
              <w:gridCol w:w="581"/>
              <w:gridCol w:w="632"/>
            </w:tblGrid>
            <w:tr w14:paraId="3DBB95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16" w:type="pct"/>
                  <w:tcBorders>
                    <w:tl2br w:val="nil"/>
                    <w:tr2bl w:val="nil"/>
                  </w:tcBorders>
                  <w:noWrap w:val="0"/>
                  <w:vAlign w:val="center"/>
                </w:tcPr>
                <w:p w14:paraId="49BD734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采样点</w:t>
                  </w:r>
                </w:p>
              </w:tc>
              <w:tc>
                <w:tcPr>
                  <w:tcW w:w="486" w:type="pct"/>
                  <w:tcBorders>
                    <w:tl2br w:val="nil"/>
                    <w:tr2bl w:val="nil"/>
                  </w:tcBorders>
                  <w:noWrap w:val="0"/>
                  <w:vAlign w:val="center"/>
                </w:tcPr>
                <w:p w14:paraId="46EEEBD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监测因子</w:t>
                  </w:r>
                </w:p>
              </w:tc>
              <w:tc>
                <w:tcPr>
                  <w:tcW w:w="2454" w:type="pct"/>
                  <w:gridSpan w:val="2"/>
                  <w:tcBorders>
                    <w:tl2br w:val="nil"/>
                    <w:tr2bl w:val="nil"/>
                  </w:tcBorders>
                  <w:noWrap w:val="0"/>
                  <w:vAlign w:val="center"/>
                </w:tcPr>
                <w:p w14:paraId="0560B23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采样日期</w:t>
                  </w:r>
                </w:p>
              </w:tc>
              <w:tc>
                <w:tcPr>
                  <w:tcW w:w="443" w:type="pct"/>
                  <w:tcBorders>
                    <w:tl2br w:val="nil"/>
                    <w:tr2bl w:val="nil"/>
                  </w:tcBorders>
                  <w:noWrap w:val="0"/>
                  <w:vAlign w:val="center"/>
                </w:tcPr>
                <w:p w14:paraId="012C662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监测结果</w:t>
                  </w:r>
                </w:p>
              </w:tc>
              <w:tc>
                <w:tcPr>
                  <w:tcW w:w="382" w:type="pct"/>
                  <w:tcBorders>
                    <w:tl2br w:val="nil"/>
                    <w:tr2bl w:val="nil"/>
                  </w:tcBorders>
                  <w:noWrap w:val="0"/>
                  <w:vAlign w:val="center"/>
                </w:tcPr>
                <w:p w14:paraId="2248B09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标准值</w:t>
                  </w:r>
                </w:p>
              </w:tc>
              <w:tc>
                <w:tcPr>
                  <w:tcW w:w="415" w:type="pct"/>
                  <w:tcBorders>
                    <w:tl2br w:val="nil"/>
                    <w:tr2bl w:val="nil"/>
                  </w:tcBorders>
                  <w:noWrap w:val="0"/>
                  <w:vAlign w:val="center"/>
                </w:tcPr>
                <w:p w14:paraId="25B8943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达标情况</w:t>
                  </w:r>
                </w:p>
              </w:tc>
            </w:tr>
            <w:tr w14:paraId="0271C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pct"/>
                  <w:vMerge w:val="restart"/>
                  <w:tcBorders>
                    <w:tl2br w:val="nil"/>
                    <w:tr2bl w:val="nil"/>
                  </w:tcBorders>
                  <w:noWrap w:val="0"/>
                  <w:vAlign w:val="center"/>
                </w:tcPr>
                <w:p w14:paraId="0D91171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云南玉溪仙福钢铁（集团）有限公司配套100万吨/年焦化建设项目拟建厂址</w:t>
                  </w:r>
                </w:p>
              </w:tc>
              <w:tc>
                <w:tcPr>
                  <w:tcW w:w="486" w:type="pct"/>
                  <w:vMerge w:val="restart"/>
                  <w:tcBorders>
                    <w:tl2br w:val="nil"/>
                    <w:tr2bl w:val="nil"/>
                  </w:tcBorders>
                  <w:noWrap w:val="0"/>
                  <w:vAlign w:val="center"/>
                </w:tcPr>
                <w:p w14:paraId="563CF84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TS</w:t>
                  </w:r>
                  <w:r>
                    <w:rPr>
                      <w:rFonts w:hint="eastAsia" w:ascii="Times New Roman" w:hAnsi="Times New Roman" w:cs="Times New Roman"/>
                      <w:color w:val="auto"/>
                      <w:sz w:val="18"/>
                      <w:szCs w:val="18"/>
                      <w:lang w:val="en-US" w:eastAsia="zh-CN"/>
                    </w:rPr>
                    <w:t>P</w:t>
                  </w:r>
                </w:p>
              </w:tc>
              <w:tc>
                <w:tcPr>
                  <w:tcW w:w="2454" w:type="pct"/>
                  <w:gridSpan w:val="2"/>
                  <w:tcBorders>
                    <w:tl2br w:val="nil"/>
                    <w:tr2bl w:val="nil"/>
                  </w:tcBorders>
                  <w:noWrap w:val="0"/>
                  <w:vAlign w:val="center"/>
                </w:tcPr>
                <w:p w14:paraId="253C067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06</w:t>
                  </w:r>
                  <w:r>
                    <w:rPr>
                      <w:rFonts w:hint="eastAsia" w:ascii="Times New Roman" w:hAnsi="Times New Roman" w:eastAsia="黑体" w:cs="Times New Roman"/>
                      <w:color w:val="000000"/>
                      <w:kern w:val="0"/>
                      <w:sz w:val="18"/>
                      <w:szCs w:val="18"/>
                      <w:lang w:val="en-US" w:eastAsia="zh-CN" w:bidi="ar"/>
                    </w:rPr>
                    <w:t>（0</w:t>
                  </w:r>
                  <w:r>
                    <w:rPr>
                      <w:rFonts w:hint="default" w:ascii="Times New Roman" w:hAnsi="Times New Roman" w:eastAsia="黑体" w:cs="Times New Roman"/>
                      <w:color w:val="000000"/>
                      <w:kern w:val="0"/>
                      <w:sz w:val="18"/>
                      <w:szCs w:val="18"/>
                      <w:lang w:val="en-US" w:eastAsia="zh-CN" w:bidi="ar"/>
                    </w:rPr>
                    <w:t>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47</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47</w:t>
                  </w:r>
                  <w:r>
                    <w:rPr>
                      <w:rFonts w:hint="eastAsia" w:ascii="Times New Roman" w:hAnsi="Times New Roman" w:eastAsia="黑体" w:cs="Times New Roman"/>
                      <w:color w:val="000000"/>
                      <w:kern w:val="0"/>
                      <w:sz w:val="18"/>
                      <w:szCs w:val="18"/>
                      <w:lang w:val="en-US" w:eastAsia="zh-CN" w:bidi="ar"/>
                    </w:rPr>
                    <w:t>）</w:t>
                  </w:r>
                </w:p>
              </w:tc>
              <w:tc>
                <w:tcPr>
                  <w:tcW w:w="443" w:type="pct"/>
                  <w:tcBorders>
                    <w:tl2br w:val="nil"/>
                    <w:tr2bl w:val="nil"/>
                  </w:tcBorders>
                  <w:noWrap w:val="0"/>
                  <w:vAlign w:val="center"/>
                </w:tcPr>
                <w:p w14:paraId="284D5A1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105</w:t>
                  </w:r>
                </w:p>
              </w:tc>
              <w:tc>
                <w:tcPr>
                  <w:tcW w:w="382" w:type="pct"/>
                  <w:vMerge w:val="restart"/>
                  <w:tcBorders>
                    <w:tl2br w:val="nil"/>
                    <w:tr2bl w:val="nil"/>
                  </w:tcBorders>
                  <w:noWrap w:val="0"/>
                  <w:vAlign w:val="center"/>
                </w:tcPr>
                <w:p w14:paraId="72E1E31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15" w:type="pct"/>
                  <w:tcBorders>
                    <w:tl2br w:val="nil"/>
                    <w:tr2bl w:val="nil"/>
                  </w:tcBorders>
                  <w:noWrap w:val="0"/>
                  <w:vAlign w:val="center"/>
                </w:tcPr>
                <w:p w14:paraId="502A76C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2747A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pct"/>
                  <w:vMerge w:val="continue"/>
                  <w:tcBorders>
                    <w:tl2br w:val="nil"/>
                    <w:tr2bl w:val="nil"/>
                  </w:tcBorders>
                  <w:noWrap w:val="0"/>
                  <w:vAlign w:val="center"/>
                </w:tcPr>
                <w:p w14:paraId="774B56A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20A049B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315982D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12</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12</w:t>
                  </w:r>
                  <w:r>
                    <w:rPr>
                      <w:rFonts w:hint="eastAsia" w:ascii="Times New Roman" w:hAnsi="Times New Roman" w:eastAsia="黑体" w:cs="Times New Roman"/>
                      <w:color w:val="000000"/>
                      <w:kern w:val="0"/>
                      <w:sz w:val="18"/>
                      <w:szCs w:val="18"/>
                      <w:lang w:val="en-US" w:eastAsia="zh-CN" w:bidi="ar"/>
                    </w:rPr>
                    <w:t>）</w:t>
                  </w:r>
                </w:p>
              </w:tc>
              <w:tc>
                <w:tcPr>
                  <w:tcW w:w="443" w:type="pct"/>
                  <w:tcBorders>
                    <w:tl2br w:val="nil"/>
                    <w:tr2bl w:val="nil"/>
                  </w:tcBorders>
                  <w:noWrap w:val="0"/>
                  <w:vAlign w:val="center"/>
                </w:tcPr>
                <w:p w14:paraId="465C0CC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w:t>
                  </w:r>
                </w:p>
              </w:tc>
              <w:tc>
                <w:tcPr>
                  <w:tcW w:w="382" w:type="pct"/>
                  <w:vMerge w:val="continue"/>
                  <w:tcBorders>
                    <w:tl2br w:val="nil"/>
                    <w:tr2bl w:val="nil"/>
                  </w:tcBorders>
                  <w:noWrap w:val="0"/>
                  <w:vAlign w:val="center"/>
                </w:tcPr>
                <w:p w14:paraId="7512BEE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0E55A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5FB1BA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6" w:type="pct"/>
                  <w:vMerge w:val="continue"/>
                  <w:tcBorders>
                    <w:tl2br w:val="nil"/>
                    <w:tr2bl w:val="nil"/>
                  </w:tcBorders>
                  <w:noWrap w:val="0"/>
                  <w:vAlign w:val="center"/>
                </w:tcPr>
                <w:p w14:paraId="7E49A3F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31A3AD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033382B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：31）</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2024.07.09（09：31）</w:t>
                  </w:r>
                </w:p>
              </w:tc>
              <w:tc>
                <w:tcPr>
                  <w:tcW w:w="443" w:type="pct"/>
                  <w:tcBorders>
                    <w:tl2br w:val="nil"/>
                    <w:tr2bl w:val="nil"/>
                  </w:tcBorders>
                  <w:noWrap w:val="0"/>
                  <w:vAlign w:val="center"/>
                </w:tcPr>
                <w:p w14:paraId="2A4D8E7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w:t>
                  </w:r>
                </w:p>
              </w:tc>
              <w:tc>
                <w:tcPr>
                  <w:tcW w:w="382" w:type="pct"/>
                  <w:vMerge w:val="continue"/>
                  <w:tcBorders>
                    <w:tl2br w:val="nil"/>
                    <w:tr2bl w:val="nil"/>
                  </w:tcBorders>
                  <w:noWrap w:val="0"/>
                  <w:vAlign w:val="center"/>
                </w:tcPr>
                <w:p w14:paraId="758C843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6477BE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329DB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16" w:type="pct"/>
                  <w:vMerge w:val="continue"/>
                  <w:tcBorders>
                    <w:tl2br w:val="nil"/>
                    <w:tr2bl w:val="nil"/>
                  </w:tcBorders>
                  <w:noWrap w:val="0"/>
                  <w:vAlign w:val="center"/>
                </w:tcPr>
                <w:p w14:paraId="4E2FC6A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E709A2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65A4383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：55）</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2024.07.10（09：55）</w:t>
                  </w:r>
                </w:p>
              </w:tc>
              <w:tc>
                <w:tcPr>
                  <w:tcW w:w="443" w:type="pct"/>
                  <w:tcBorders>
                    <w:tl2br w:val="nil"/>
                    <w:tr2bl w:val="nil"/>
                  </w:tcBorders>
                  <w:noWrap w:val="0"/>
                  <w:vAlign w:val="center"/>
                </w:tcPr>
                <w:p w14:paraId="2CC329E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108</w:t>
                  </w:r>
                </w:p>
              </w:tc>
              <w:tc>
                <w:tcPr>
                  <w:tcW w:w="382" w:type="pct"/>
                  <w:vMerge w:val="continue"/>
                  <w:tcBorders>
                    <w:tl2br w:val="nil"/>
                    <w:tr2bl w:val="nil"/>
                  </w:tcBorders>
                  <w:noWrap w:val="0"/>
                  <w:vAlign w:val="center"/>
                </w:tcPr>
                <w:p w14:paraId="7F7A8EF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84F0CF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050B65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16" w:type="pct"/>
                  <w:vMerge w:val="continue"/>
                  <w:tcBorders>
                    <w:tl2br w:val="nil"/>
                    <w:tr2bl w:val="nil"/>
                  </w:tcBorders>
                  <w:noWrap w:val="0"/>
                  <w:vAlign w:val="center"/>
                </w:tcPr>
                <w:p w14:paraId="10DB14E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1116DC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7DBC12E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3</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w:t>
                  </w:r>
                  <w:r>
                    <w:rPr>
                      <w:rFonts w:hint="eastAsia" w:ascii="Times New Roman" w:hAnsi="Times New Roman" w:eastAsia="黑体" w:cs="Times New Roman"/>
                      <w:color w:val="000000"/>
                      <w:kern w:val="0"/>
                      <w:sz w:val="18"/>
                      <w:szCs w:val="18"/>
                      <w:lang w:val="en-US" w:eastAsia="zh-CN" w:bidi="ar"/>
                    </w:rPr>
                    <w:t>1（</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13</w:t>
                  </w:r>
                  <w:r>
                    <w:rPr>
                      <w:rFonts w:hint="eastAsia" w:ascii="Times New Roman" w:hAnsi="Times New Roman" w:eastAsia="黑体" w:cs="Times New Roman"/>
                      <w:color w:val="000000"/>
                      <w:kern w:val="0"/>
                      <w:sz w:val="18"/>
                      <w:szCs w:val="18"/>
                      <w:lang w:val="en-US" w:eastAsia="zh-CN" w:bidi="ar"/>
                    </w:rPr>
                    <w:t>）</w:t>
                  </w:r>
                </w:p>
              </w:tc>
              <w:tc>
                <w:tcPr>
                  <w:tcW w:w="443" w:type="pct"/>
                  <w:tcBorders>
                    <w:tl2br w:val="nil"/>
                    <w:tr2bl w:val="nil"/>
                  </w:tcBorders>
                  <w:noWrap w:val="0"/>
                  <w:vAlign w:val="center"/>
                </w:tcPr>
                <w:p w14:paraId="1AC0B4F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106</w:t>
                  </w:r>
                </w:p>
              </w:tc>
              <w:tc>
                <w:tcPr>
                  <w:tcW w:w="382" w:type="pct"/>
                  <w:vMerge w:val="continue"/>
                  <w:tcBorders>
                    <w:tl2br w:val="nil"/>
                    <w:tr2bl w:val="nil"/>
                  </w:tcBorders>
                  <w:noWrap w:val="0"/>
                  <w:vAlign w:val="center"/>
                </w:tcPr>
                <w:p w14:paraId="1475DA7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4A922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32E5AE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9A18F1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B0146E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378D4AC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07.11</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：29）</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2024.07.12（10：29）</w:t>
                  </w:r>
                </w:p>
              </w:tc>
              <w:tc>
                <w:tcPr>
                  <w:tcW w:w="443" w:type="pct"/>
                  <w:tcBorders>
                    <w:tl2br w:val="nil"/>
                    <w:tr2bl w:val="nil"/>
                  </w:tcBorders>
                  <w:noWrap w:val="0"/>
                  <w:vAlign w:val="center"/>
                </w:tcPr>
                <w:p w14:paraId="3CC9F1D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108</w:t>
                  </w:r>
                </w:p>
              </w:tc>
              <w:tc>
                <w:tcPr>
                  <w:tcW w:w="382" w:type="pct"/>
                  <w:vMerge w:val="continue"/>
                  <w:tcBorders>
                    <w:tl2br w:val="nil"/>
                    <w:tr2bl w:val="nil"/>
                  </w:tcBorders>
                  <w:noWrap w:val="0"/>
                  <w:vAlign w:val="center"/>
                </w:tcPr>
                <w:p w14:paraId="60F30EF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6A5FE9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4CA0D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D9C593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AC7CAF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0CB8CDE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2024.07.12</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38</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13</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：38）</w:t>
                  </w:r>
                </w:p>
              </w:tc>
              <w:tc>
                <w:tcPr>
                  <w:tcW w:w="443" w:type="pct"/>
                  <w:tcBorders>
                    <w:tl2br w:val="nil"/>
                    <w:tr2bl w:val="nil"/>
                  </w:tcBorders>
                  <w:noWrap w:val="0"/>
                  <w:vAlign w:val="center"/>
                </w:tcPr>
                <w:p w14:paraId="3DB254C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w:t>
                  </w:r>
                </w:p>
              </w:tc>
              <w:tc>
                <w:tcPr>
                  <w:tcW w:w="382" w:type="pct"/>
                  <w:vMerge w:val="continue"/>
                  <w:tcBorders>
                    <w:tl2br w:val="nil"/>
                    <w:tr2bl w:val="nil"/>
                  </w:tcBorders>
                  <w:noWrap w:val="0"/>
                  <w:vAlign w:val="center"/>
                </w:tcPr>
                <w:p w14:paraId="46821D4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6B3AD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EB0CC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0F1F29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restart"/>
                  <w:tcBorders>
                    <w:tl2br w:val="nil"/>
                    <w:tr2bl w:val="nil"/>
                  </w:tcBorders>
                  <w:noWrap w:val="0"/>
                  <w:vAlign w:val="center"/>
                </w:tcPr>
                <w:p w14:paraId="2414A01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NOx</w:t>
                  </w:r>
                  <w:r>
                    <w:rPr>
                      <w:rFonts w:hint="eastAsia" w:cs="Times New Roman"/>
                      <w:color w:val="auto"/>
                      <w:sz w:val="18"/>
                      <w:szCs w:val="18"/>
                      <w:lang w:val="en-US" w:eastAsia="zh-CN"/>
                    </w:rPr>
                    <w:t>（日均值）</w:t>
                  </w:r>
                </w:p>
              </w:tc>
              <w:tc>
                <w:tcPr>
                  <w:tcW w:w="2454" w:type="pct"/>
                  <w:gridSpan w:val="2"/>
                  <w:tcBorders>
                    <w:tl2br w:val="nil"/>
                    <w:tr2bl w:val="nil"/>
                  </w:tcBorders>
                  <w:noWrap w:val="0"/>
                  <w:vAlign w:val="center"/>
                </w:tcPr>
                <w:p w14:paraId="64A7276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06</w:t>
                  </w:r>
                  <w:r>
                    <w:rPr>
                      <w:rFonts w:hint="eastAsia" w:ascii="Times New Roman" w:hAnsi="Times New Roman" w:eastAsia="黑体" w:cs="Times New Roman"/>
                      <w:color w:val="000000"/>
                      <w:kern w:val="0"/>
                      <w:sz w:val="18"/>
                      <w:szCs w:val="18"/>
                      <w:lang w:val="en-US" w:eastAsia="zh-CN" w:bidi="ar"/>
                    </w:rPr>
                    <w:t>（0</w:t>
                  </w:r>
                  <w:r>
                    <w:rPr>
                      <w:rFonts w:hint="default" w:ascii="Times New Roman" w:hAnsi="Times New Roman" w:eastAsia="黑体" w:cs="Times New Roman"/>
                      <w:color w:val="000000"/>
                      <w:kern w:val="0"/>
                      <w:sz w:val="18"/>
                      <w:szCs w:val="18"/>
                      <w:lang w:val="en-US" w:eastAsia="zh-CN" w:bidi="ar"/>
                    </w:rPr>
                    <w:t>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47</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47</w:t>
                  </w:r>
                  <w:r>
                    <w:rPr>
                      <w:rFonts w:hint="eastAsia" w:ascii="Times New Roman" w:hAnsi="Times New Roman" w:eastAsia="黑体" w:cs="Times New Roman"/>
                      <w:color w:val="000000"/>
                      <w:kern w:val="0"/>
                      <w:sz w:val="18"/>
                      <w:szCs w:val="18"/>
                      <w:lang w:val="en-US" w:eastAsia="zh-CN" w:bidi="ar"/>
                    </w:rPr>
                    <w:t>）</w:t>
                  </w:r>
                </w:p>
              </w:tc>
              <w:tc>
                <w:tcPr>
                  <w:tcW w:w="443" w:type="pct"/>
                  <w:tcBorders>
                    <w:tl2br w:val="nil"/>
                    <w:tr2bl w:val="nil"/>
                  </w:tcBorders>
                  <w:noWrap w:val="0"/>
                  <w:vAlign w:val="center"/>
                </w:tcPr>
                <w:p w14:paraId="3AB29A0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35</w:t>
                  </w:r>
                </w:p>
              </w:tc>
              <w:tc>
                <w:tcPr>
                  <w:tcW w:w="382" w:type="pct"/>
                  <w:vMerge w:val="restart"/>
                  <w:tcBorders>
                    <w:tl2br w:val="nil"/>
                    <w:tr2bl w:val="nil"/>
                  </w:tcBorders>
                  <w:noWrap w:val="0"/>
                  <w:vAlign w:val="center"/>
                </w:tcPr>
                <w:p w14:paraId="126566A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415" w:type="pct"/>
                  <w:tcBorders>
                    <w:tl2br w:val="nil"/>
                    <w:tr2bl w:val="nil"/>
                  </w:tcBorders>
                  <w:noWrap w:val="0"/>
                  <w:vAlign w:val="center"/>
                </w:tcPr>
                <w:p w14:paraId="45EF33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C632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B004DA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349083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3D1D0B1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12</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12</w:t>
                  </w:r>
                  <w:r>
                    <w:rPr>
                      <w:rFonts w:hint="eastAsia" w:ascii="Times New Roman" w:hAnsi="Times New Roman" w:eastAsia="黑体" w:cs="Times New Roman"/>
                      <w:color w:val="000000"/>
                      <w:kern w:val="0"/>
                      <w:sz w:val="18"/>
                      <w:szCs w:val="18"/>
                      <w:lang w:val="en-US" w:eastAsia="zh-CN" w:bidi="ar"/>
                    </w:rPr>
                    <w:t>）</w:t>
                  </w:r>
                </w:p>
              </w:tc>
              <w:tc>
                <w:tcPr>
                  <w:tcW w:w="443" w:type="pct"/>
                  <w:tcBorders>
                    <w:tl2br w:val="nil"/>
                    <w:tr2bl w:val="nil"/>
                  </w:tcBorders>
                  <w:noWrap w:val="0"/>
                  <w:vAlign w:val="center"/>
                </w:tcPr>
                <w:p w14:paraId="7C52F1B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35</w:t>
                  </w:r>
                </w:p>
              </w:tc>
              <w:tc>
                <w:tcPr>
                  <w:tcW w:w="382" w:type="pct"/>
                  <w:vMerge w:val="continue"/>
                  <w:tcBorders>
                    <w:tl2br w:val="nil"/>
                    <w:tr2bl w:val="nil"/>
                  </w:tcBorders>
                  <w:noWrap w:val="0"/>
                  <w:vAlign w:val="center"/>
                </w:tcPr>
                <w:p w14:paraId="6B971AD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2CA52D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E60F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28A0198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98DB2F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35D791A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：31）</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2024.07.09（09：31）</w:t>
                  </w:r>
                </w:p>
              </w:tc>
              <w:tc>
                <w:tcPr>
                  <w:tcW w:w="443" w:type="pct"/>
                  <w:tcBorders>
                    <w:tl2br w:val="nil"/>
                    <w:tr2bl w:val="nil"/>
                  </w:tcBorders>
                  <w:noWrap w:val="0"/>
                  <w:vAlign w:val="center"/>
                </w:tcPr>
                <w:p w14:paraId="3136FF8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w:t>
                  </w:r>
                </w:p>
              </w:tc>
              <w:tc>
                <w:tcPr>
                  <w:tcW w:w="382" w:type="pct"/>
                  <w:vMerge w:val="continue"/>
                  <w:tcBorders>
                    <w:tl2br w:val="nil"/>
                    <w:tr2bl w:val="nil"/>
                  </w:tcBorders>
                  <w:noWrap w:val="0"/>
                  <w:vAlign w:val="center"/>
                </w:tcPr>
                <w:p w14:paraId="3F12CDB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6FA55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BB9F1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EC6A4D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9242D4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1B156E2D">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：55）</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2024.07.10（09：55）</w:t>
                  </w:r>
                </w:p>
              </w:tc>
              <w:tc>
                <w:tcPr>
                  <w:tcW w:w="443" w:type="pct"/>
                  <w:tcBorders>
                    <w:tl2br w:val="nil"/>
                    <w:tr2bl w:val="nil"/>
                  </w:tcBorders>
                  <w:noWrap w:val="0"/>
                  <w:vAlign w:val="center"/>
                </w:tcPr>
                <w:p w14:paraId="5642030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w:t>
                  </w:r>
                </w:p>
              </w:tc>
              <w:tc>
                <w:tcPr>
                  <w:tcW w:w="382" w:type="pct"/>
                  <w:vMerge w:val="continue"/>
                  <w:tcBorders>
                    <w:tl2br w:val="nil"/>
                    <w:tr2bl w:val="nil"/>
                  </w:tcBorders>
                  <w:noWrap w:val="0"/>
                  <w:vAlign w:val="center"/>
                </w:tcPr>
                <w:p w14:paraId="679C309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7F261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9D22A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83B12E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00C5B9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3ABAA2FC">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3</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w:t>
                  </w:r>
                  <w:r>
                    <w:rPr>
                      <w:rFonts w:hint="eastAsia" w:ascii="Times New Roman" w:hAnsi="Times New Roman" w:eastAsia="黑体" w:cs="Times New Roman"/>
                      <w:color w:val="000000"/>
                      <w:kern w:val="0"/>
                      <w:sz w:val="18"/>
                      <w:szCs w:val="18"/>
                      <w:lang w:val="en-US" w:eastAsia="zh-CN" w:bidi="ar"/>
                    </w:rPr>
                    <w:t>1（</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13</w:t>
                  </w:r>
                  <w:r>
                    <w:rPr>
                      <w:rFonts w:hint="eastAsia" w:ascii="Times New Roman" w:hAnsi="Times New Roman" w:eastAsia="黑体" w:cs="Times New Roman"/>
                      <w:color w:val="000000"/>
                      <w:kern w:val="0"/>
                      <w:sz w:val="18"/>
                      <w:szCs w:val="18"/>
                      <w:lang w:val="en-US" w:eastAsia="zh-CN" w:bidi="ar"/>
                    </w:rPr>
                    <w:t>）</w:t>
                  </w:r>
                </w:p>
              </w:tc>
              <w:tc>
                <w:tcPr>
                  <w:tcW w:w="443" w:type="pct"/>
                  <w:tcBorders>
                    <w:tl2br w:val="nil"/>
                    <w:tr2bl w:val="nil"/>
                  </w:tcBorders>
                  <w:noWrap w:val="0"/>
                  <w:vAlign w:val="center"/>
                </w:tcPr>
                <w:p w14:paraId="33F6730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w:t>
                  </w:r>
                </w:p>
              </w:tc>
              <w:tc>
                <w:tcPr>
                  <w:tcW w:w="382" w:type="pct"/>
                  <w:vMerge w:val="continue"/>
                  <w:tcBorders>
                    <w:tl2br w:val="nil"/>
                    <w:tr2bl w:val="nil"/>
                  </w:tcBorders>
                  <w:noWrap w:val="0"/>
                  <w:vAlign w:val="center"/>
                </w:tcPr>
                <w:p w14:paraId="422468D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87E18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639ED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393EB1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31CC0D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2DB8F76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07.11</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：29）</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2024.07.12（10：29）</w:t>
                  </w:r>
                </w:p>
              </w:tc>
              <w:tc>
                <w:tcPr>
                  <w:tcW w:w="443" w:type="pct"/>
                  <w:tcBorders>
                    <w:tl2br w:val="nil"/>
                    <w:tr2bl w:val="nil"/>
                  </w:tcBorders>
                  <w:noWrap w:val="0"/>
                  <w:vAlign w:val="center"/>
                </w:tcPr>
                <w:p w14:paraId="3278860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w:t>
                  </w:r>
                </w:p>
              </w:tc>
              <w:tc>
                <w:tcPr>
                  <w:tcW w:w="382" w:type="pct"/>
                  <w:vMerge w:val="continue"/>
                  <w:tcBorders>
                    <w:tl2br w:val="nil"/>
                    <w:tr2bl w:val="nil"/>
                  </w:tcBorders>
                  <w:noWrap w:val="0"/>
                  <w:vAlign w:val="center"/>
                </w:tcPr>
                <w:p w14:paraId="1880269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3519C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57DA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6DEC59D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368E64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454" w:type="pct"/>
                  <w:gridSpan w:val="2"/>
                  <w:tcBorders>
                    <w:tl2br w:val="nil"/>
                    <w:tr2bl w:val="nil"/>
                  </w:tcBorders>
                  <w:noWrap w:val="0"/>
                  <w:vAlign w:val="center"/>
                </w:tcPr>
                <w:p w14:paraId="19BB3D7C">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2024.07.12</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38</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13</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：38）</w:t>
                  </w:r>
                </w:p>
              </w:tc>
              <w:tc>
                <w:tcPr>
                  <w:tcW w:w="443" w:type="pct"/>
                  <w:tcBorders>
                    <w:tl2br w:val="nil"/>
                    <w:tr2bl w:val="nil"/>
                  </w:tcBorders>
                  <w:noWrap w:val="0"/>
                  <w:vAlign w:val="center"/>
                </w:tcPr>
                <w:p w14:paraId="2A8408E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38</w:t>
                  </w:r>
                </w:p>
              </w:tc>
              <w:tc>
                <w:tcPr>
                  <w:tcW w:w="382" w:type="pct"/>
                  <w:vMerge w:val="continue"/>
                  <w:tcBorders>
                    <w:tl2br w:val="nil"/>
                    <w:tr2bl w:val="nil"/>
                  </w:tcBorders>
                  <w:noWrap w:val="0"/>
                  <w:vAlign w:val="center"/>
                </w:tcPr>
                <w:p w14:paraId="038D935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F5C49F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33293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30BAF0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restart"/>
                  <w:tcBorders>
                    <w:tl2br w:val="nil"/>
                    <w:tr2bl w:val="nil"/>
                  </w:tcBorders>
                  <w:noWrap w:val="0"/>
                  <w:vAlign w:val="center"/>
                </w:tcPr>
                <w:p w14:paraId="14987C9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NOx</w:t>
                  </w:r>
                  <w:r>
                    <w:rPr>
                      <w:rFonts w:hint="eastAsia" w:cs="Times New Roman"/>
                      <w:color w:val="auto"/>
                      <w:sz w:val="18"/>
                      <w:szCs w:val="18"/>
                      <w:lang w:val="en-US" w:eastAsia="zh-CN"/>
                    </w:rPr>
                    <w:t>（小时均值）</w:t>
                  </w:r>
                </w:p>
              </w:tc>
              <w:tc>
                <w:tcPr>
                  <w:tcW w:w="951" w:type="pct"/>
                  <w:vMerge w:val="restart"/>
                  <w:tcBorders>
                    <w:tl2br w:val="nil"/>
                    <w:tr2bl w:val="nil"/>
                  </w:tcBorders>
                  <w:noWrap w:val="0"/>
                  <w:vAlign w:val="center"/>
                </w:tcPr>
                <w:p w14:paraId="201B12F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2024.07.07</w:t>
                  </w:r>
                </w:p>
              </w:tc>
              <w:tc>
                <w:tcPr>
                  <w:tcW w:w="1503" w:type="pct"/>
                  <w:tcBorders>
                    <w:tl2br w:val="nil"/>
                    <w:tr2bl w:val="nil"/>
                  </w:tcBorders>
                  <w:noWrap w:val="0"/>
                  <w:vAlign w:val="center"/>
                </w:tcPr>
                <w:p w14:paraId="4310833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3F122E3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21</w:t>
                  </w:r>
                </w:p>
              </w:tc>
              <w:tc>
                <w:tcPr>
                  <w:tcW w:w="382" w:type="pct"/>
                  <w:vMerge w:val="restart"/>
                  <w:tcBorders>
                    <w:tl2br w:val="nil"/>
                    <w:tr2bl w:val="nil"/>
                  </w:tcBorders>
                  <w:noWrap w:val="0"/>
                  <w:vAlign w:val="center"/>
                </w:tcPr>
                <w:p w14:paraId="54FA7FD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p>
              </w:tc>
              <w:tc>
                <w:tcPr>
                  <w:tcW w:w="415" w:type="pct"/>
                  <w:tcBorders>
                    <w:tl2br w:val="nil"/>
                    <w:tr2bl w:val="nil"/>
                  </w:tcBorders>
                  <w:noWrap w:val="0"/>
                  <w:vAlign w:val="center"/>
                </w:tcPr>
                <w:p w14:paraId="365DFE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BFC81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D1A63A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4B28E8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6631773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FA35E1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2A2E443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37</w:t>
                  </w:r>
                </w:p>
              </w:tc>
              <w:tc>
                <w:tcPr>
                  <w:tcW w:w="382" w:type="pct"/>
                  <w:vMerge w:val="continue"/>
                  <w:tcBorders>
                    <w:tl2br w:val="nil"/>
                    <w:tr2bl w:val="nil"/>
                  </w:tcBorders>
                  <w:noWrap w:val="0"/>
                  <w:vAlign w:val="center"/>
                </w:tcPr>
                <w:p w14:paraId="0BFAB65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70BD4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4C640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30BCB87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C961AB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756A4B6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4A28D6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067CFC5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37</w:t>
                  </w:r>
                </w:p>
              </w:tc>
              <w:tc>
                <w:tcPr>
                  <w:tcW w:w="382" w:type="pct"/>
                  <w:vMerge w:val="continue"/>
                  <w:tcBorders>
                    <w:tl2br w:val="nil"/>
                    <w:tr2bl w:val="nil"/>
                  </w:tcBorders>
                  <w:noWrap w:val="0"/>
                  <w:vAlign w:val="center"/>
                </w:tcPr>
                <w:p w14:paraId="321EFBB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C16EF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F9CD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799A4B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D86379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537A097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4A94CA6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083355F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20</w:t>
                  </w:r>
                </w:p>
              </w:tc>
              <w:tc>
                <w:tcPr>
                  <w:tcW w:w="382" w:type="pct"/>
                  <w:vMerge w:val="continue"/>
                  <w:tcBorders>
                    <w:tl2br w:val="nil"/>
                    <w:tr2bl w:val="nil"/>
                  </w:tcBorders>
                  <w:noWrap w:val="0"/>
                  <w:vAlign w:val="center"/>
                </w:tcPr>
                <w:p w14:paraId="77BB5E5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EE6622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96EED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F0D1B3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66F0CE6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3B93114C">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2024.07.08</w:t>
                  </w:r>
                </w:p>
              </w:tc>
              <w:tc>
                <w:tcPr>
                  <w:tcW w:w="1503" w:type="pct"/>
                  <w:tcBorders>
                    <w:tl2br w:val="nil"/>
                    <w:tr2bl w:val="nil"/>
                  </w:tcBorders>
                  <w:noWrap w:val="0"/>
                  <w:vAlign w:val="center"/>
                </w:tcPr>
                <w:p w14:paraId="5BA86098">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58369F3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w:t>
                  </w:r>
                </w:p>
              </w:tc>
              <w:tc>
                <w:tcPr>
                  <w:tcW w:w="382" w:type="pct"/>
                  <w:vMerge w:val="continue"/>
                  <w:tcBorders>
                    <w:tl2br w:val="nil"/>
                    <w:tr2bl w:val="nil"/>
                  </w:tcBorders>
                  <w:noWrap w:val="0"/>
                  <w:vAlign w:val="center"/>
                </w:tcPr>
                <w:p w14:paraId="31D3ACF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23221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0B33C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1815FF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5465DD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72EE1648">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47B683A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67840B6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35</w:t>
                  </w:r>
                </w:p>
              </w:tc>
              <w:tc>
                <w:tcPr>
                  <w:tcW w:w="382" w:type="pct"/>
                  <w:vMerge w:val="continue"/>
                  <w:tcBorders>
                    <w:tl2br w:val="nil"/>
                    <w:tr2bl w:val="nil"/>
                  </w:tcBorders>
                  <w:noWrap w:val="0"/>
                  <w:vAlign w:val="center"/>
                </w:tcPr>
                <w:p w14:paraId="0845A2A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203ADF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4364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26E86A5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C64941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4F31AFB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4A364D89">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3B37F70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39</w:t>
                  </w:r>
                </w:p>
              </w:tc>
              <w:tc>
                <w:tcPr>
                  <w:tcW w:w="382" w:type="pct"/>
                  <w:vMerge w:val="continue"/>
                  <w:tcBorders>
                    <w:tl2br w:val="nil"/>
                    <w:tr2bl w:val="nil"/>
                  </w:tcBorders>
                  <w:noWrap w:val="0"/>
                  <w:vAlign w:val="center"/>
                </w:tcPr>
                <w:p w14:paraId="588809A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6A8F7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46F46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43B8CC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F042C2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73BFC64B">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1FEA9DF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338C337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21</w:t>
                  </w:r>
                </w:p>
              </w:tc>
              <w:tc>
                <w:tcPr>
                  <w:tcW w:w="382" w:type="pct"/>
                  <w:vMerge w:val="continue"/>
                  <w:tcBorders>
                    <w:tl2br w:val="nil"/>
                    <w:tr2bl w:val="nil"/>
                  </w:tcBorders>
                  <w:noWrap w:val="0"/>
                  <w:vAlign w:val="center"/>
                </w:tcPr>
                <w:p w14:paraId="7073585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501ED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BCF7B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602213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B26715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42AACA29">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2024.07.09</w:t>
                  </w:r>
                </w:p>
              </w:tc>
              <w:tc>
                <w:tcPr>
                  <w:tcW w:w="1503" w:type="pct"/>
                  <w:tcBorders>
                    <w:tl2br w:val="nil"/>
                    <w:tr2bl w:val="nil"/>
                  </w:tcBorders>
                  <w:noWrap w:val="0"/>
                  <w:vAlign w:val="center"/>
                </w:tcPr>
                <w:p w14:paraId="6B9D897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62D4CFE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w:t>
                  </w:r>
                </w:p>
              </w:tc>
              <w:tc>
                <w:tcPr>
                  <w:tcW w:w="382" w:type="pct"/>
                  <w:vMerge w:val="continue"/>
                  <w:tcBorders>
                    <w:tl2br w:val="nil"/>
                    <w:tr2bl w:val="nil"/>
                  </w:tcBorders>
                  <w:noWrap w:val="0"/>
                  <w:vAlign w:val="center"/>
                </w:tcPr>
                <w:p w14:paraId="4FA6931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44DA2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1935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7A967C1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1B9569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2DF5E9F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2ACC79C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71C3F4E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39</w:t>
                  </w:r>
                </w:p>
              </w:tc>
              <w:tc>
                <w:tcPr>
                  <w:tcW w:w="382" w:type="pct"/>
                  <w:vMerge w:val="continue"/>
                  <w:tcBorders>
                    <w:tl2br w:val="nil"/>
                    <w:tr2bl w:val="nil"/>
                  </w:tcBorders>
                  <w:noWrap w:val="0"/>
                  <w:vAlign w:val="center"/>
                </w:tcPr>
                <w:p w14:paraId="22094A0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483F0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1630E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310590B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47E910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2757333D">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17DEA45">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34D5F4F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40</w:t>
                  </w:r>
                </w:p>
              </w:tc>
              <w:tc>
                <w:tcPr>
                  <w:tcW w:w="382" w:type="pct"/>
                  <w:vMerge w:val="continue"/>
                  <w:tcBorders>
                    <w:tl2br w:val="nil"/>
                    <w:tr2bl w:val="nil"/>
                  </w:tcBorders>
                  <w:noWrap w:val="0"/>
                  <w:vAlign w:val="center"/>
                </w:tcPr>
                <w:p w14:paraId="5EC1174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CD702F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B65E9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34A7B07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E69243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2339B7A7">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5CAA255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6A919F9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w:t>
                  </w:r>
                </w:p>
              </w:tc>
              <w:tc>
                <w:tcPr>
                  <w:tcW w:w="382" w:type="pct"/>
                  <w:vMerge w:val="continue"/>
                  <w:tcBorders>
                    <w:tl2br w:val="nil"/>
                    <w:tr2bl w:val="nil"/>
                  </w:tcBorders>
                  <w:noWrap w:val="0"/>
                  <w:vAlign w:val="center"/>
                </w:tcPr>
                <w:p w14:paraId="284C23B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4C70D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12F46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E95016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1DDB56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34D410D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2024.07.10</w:t>
                  </w:r>
                </w:p>
              </w:tc>
              <w:tc>
                <w:tcPr>
                  <w:tcW w:w="1503" w:type="pct"/>
                  <w:tcBorders>
                    <w:tl2br w:val="nil"/>
                    <w:tr2bl w:val="nil"/>
                  </w:tcBorders>
                  <w:noWrap w:val="0"/>
                  <w:vAlign w:val="center"/>
                </w:tcPr>
                <w:p w14:paraId="4FBA3A2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5FB3A35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p>
              </w:tc>
              <w:tc>
                <w:tcPr>
                  <w:tcW w:w="382" w:type="pct"/>
                  <w:vMerge w:val="continue"/>
                  <w:tcBorders>
                    <w:tl2br w:val="nil"/>
                    <w:tr2bl w:val="nil"/>
                  </w:tcBorders>
                  <w:noWrap w:val="0"/>
                  <w:vAlign w:val="center"/>
                </w:tcPr>
                <w:p w14:paraId="2F7B336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D42D2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3462F1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D2E6D4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1FE9B2D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010189E5">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C961D77">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22D930E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39</w:t>
                  </w:r>
                </w:p>
              </w:tc>
              <w:tc>
                <w:tcPr>
                  <w:tcW w:w="382" w:type="pct"/>
                  <w:vMerge w:val="continue"/>
                  <w:tcBorders>
                    <w:tl2br w:val="nil"/>
                    <w:tr2bl w:val="nil"/>
                  </w:tcBorders>
                  <w:noWrap w:val="0"/>
                  <w:vAlign w:val="center"/>
                </w:tcPr>
                <w:p w14:paraId="46E70DA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618B0A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B8B2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2DDACE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94EE92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5D5CBA0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662FA695">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3F63B18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39</w:t>
                  </w:r>
                </w:p>
              </w:tc>
              <w:tc>
                <w:tcPr>
                  <w:tcW w:w="382" w:type="pct"/>
                  <w:vMerge w:val="continue"/>
                  <w:tcBorders>
                    <w:tl2br w:val="nil"/>
                    <w:tr2bl w:val="nil"/>
                  </w:tcBorders>
                  <w:noWrap w:val="0"/>
                  <w:vAlign w:val="center"/>
                </w:tcPr>
                <w:p w14:paraId="3B4273F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541AD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30ACF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373A953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9FDC63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1C1F02F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FF296E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1BCD9F0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p>
              </w:tc>
              <w:tc>
                <w:tcPr>
                  <w:tcW w:w="382" w:type="pct"/>
                  <w:vMerge w:val="continue"/>
                  <w:tcBorders>
                    <w:tl2br w:val="nil"/>
                    <w:tr2bl w:val="nil"/>
                  </w:tcBorders>
                  <w:noWrap w:val="0"/>
                  <w:vAlign w:val="center"/>
                </w:tcPr>
                <w:p w14:paraId="30BCE69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F6455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1CC95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CD6B74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D88623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0F63489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2024.07.11</w:t>
                  </w:r>
                </w:p>
              </w:tc>
              <w:tc>
                <w:tcPr>
                  <w:tcW w:w="1503" w:type="pct"/>
                  <w:tcBorders>
                    <w:tl2br w:val="nil"/>
                    <w:tr2bl w:val="nil"/>
                  </w:tcBorders>
                  <w:noWrap w:val="0"/>
                  <w:vAlign w:val="center"/>
                </w:tcPr>
                <w:p w14:paraId="7B07FC1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704927E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17</w:t>
                  </w:r>
                </w:p>
              </w:tc>
              <w:tc>
                <w:tcPr>
                  <w:tcW w:w="382" w:type="pct"/>
                  <w:vMerge w:val="continue"/>
                  <w:tcBorders>
                    <w:tl2br w:val="nil"/>
                    <w:tr2bl w:val="nil"/>
                  </w:tcBorders>
                  <w:noWrap w:val="0"/>
                  <w:vAlign w:val="center"/>
                </w:tcPr>
                <w:p w14:paraId="0AC21CF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4A453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17C37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777E57D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6C83CEF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6076EB7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5A89A1A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2487B40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33</w:t>
                  </w:r>
                </w:p>
              </w:tc>
              <w:tc>
                <w:tcPr>
                  <w:tcW w:w="382" w:type="pct"/>
                  <w:vMerge w:val="continue"/>
                  <w:tcBorders>
                    <w:tl2br w:val="nil"/>
                    <w:tr2bl w:val="nil"/>
                  </w:tcBorders>
                  <w:noWrap w:val="0"/>
                  <w:vAlign w:val="center"/>
                </w:tcPr>
                <w:p w14:paraId="3D29EDF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84809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41835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756A779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AE661B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094462B7">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2E38CAF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3CAD938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38</w:t>
                  </w:r>
                </w:p>
              </w:tc>
              <w:tc>
                <w:tcPr>
                  <w:tcW w:w="382" w:type="pct"/>
                  <w:vMerge w:val="continue"/>
                  <w:tcBorders>
                    <w:tl2br w:val="nil"/>
                    <w:tr2bl w:val="nil"/>
                  </w:tcBorders>
                  <w:noWrap w:val="0"/>
                  <w:vAlign w:val="center"/>
                </w:tcPr>
                <w:p w14:paraId="24A6C06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440D05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D33FE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49F405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4A19EB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15E150B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7FC09E6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35FF4FE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20</w:t>
                  </w:r>
                </w:p>
              </w:tc>
              <w:tc>
                <w:tcPr>
                  <w:tcW w:w="382" w:type="pct"/>
                  <w:vMerge w:val="continue"/>
                  <w:tcBorders>
                    <w:tl2br w:val="nil"/>
                    <w:tr2bl w:val="nil"/>
                  </w:tcBorders>
                  <w:noWrap w:val="0"/>
                  <w:vAlign w:val="center"/>
                </w:tcPr>
                <w:p w14:paraId="426D7BA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42FA56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A5E49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2CB9F3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BE7BC4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00F8B3D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2024.07.12</w:t>
                  </w:r>
                </w:p>
              </w:tc>
              <w:tc>
                <w:tcPr>
                  <w:tcW w:w="1503" w:type="pct"/>
                  <w:tcBorders>
                    <w:tl2br w:val="nil"/>
                    <w:tr2bl w:val="nil"/>
                  </w:tcBorders>
                  <w:noWrap w:val="0"/>
                  <w:vAlign w:val="center"/>
                </w:tcPr>
                <w:p w14:paraId="3752ACF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18B753B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19</w:t>
                  </w:r>
                </w:p>
              </w:tc>
              <w:tc>
                <w:tcPr>
                  <w:tcW w:w="382" w:type="pct"/>
                  <w:vMerge w:val="continue"/>
                  <w:tcBorders>
                    <w:tl2br w:val="nil"/>
                    <w:tr2bl w:val="nil"/>
                  </w:tcBorders>
                  <w:noWrap w:val="0"/>
                  <w:vAlign w:val="center"/>
                </w:tcPr>
                <w:p w14:paraId="6B2DC2D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9FF69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30036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E941BF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16CC13E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1E9CB85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1755EED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5562A36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37</w:t>
                  </w:r>
                </w:p>
              </w:tc>
              <w:tc>
                <w:tcPr>
                  <w:tcW w:w="382" w:type="pct"/>
                  <w:vMerge w:val="continue"/>
                  <w:tcBorders>
                    <w:tl2br w:val="nil"/>
                    <w:tr2bl w:val="nil"/>
                  </w:tcBorders>
                  <w:noWrap w:val="0"/>
                  <w:vAlign w:val="center"/>
                </w:tcPr>
                <w:p w14:paraId="0DD4380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2F04B89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3AB070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2A6DA45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1FBE683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1B2F6B19">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5AC179F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17C0413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34</w:t>
                  </w:r>
                </w:p>
              </w:tc>
              <w:tc>
                <w:tcPr>
                  <w:tcW w:w="382" w:type="pct"/>
                  <w:vMerge w:val="continue"/>
                  <w:tcBorders>
                    <w:tl2br w:val="nil"/>
                    <w:tr2bl w:val="nil"/>
                  </w:tcBorders>
                  <w:noWrap w:val="0"/>
                  <w:vAlign w:val="center"/>
                </w:tcPr>
                <w:p w14:paraId="581C7AF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9EEEB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F33AD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2027EB7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FA811D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6F02B577">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1FBB220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4F4C2DA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16</w:t>
                  </w:r>
                </w:p>
              </w:tc>
              <w:tc>
                <w:tcPr>
                  <w:tcW w:w="382" w:type="pct"/>
                  <w:vMerge w:val="continue"/>
                  <w:tcBorders>
                    <w:tl2br w:val="nil"/>
                    <w:tr2bl w:val="nil"/>
                  </w:tcBorders>
                  <w:noWrap w:val="0"/>
                  <w:vAlign w:val="center"/>
                </w:tcPr>
                <w:p w14:paraId="07CD90A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40348B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E74F0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CB5A0C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B862BB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2CD392A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2024.07.13</w:t>
                  </w:r>
                </w:p>
              </w:tc>
              <w:tc>
                <w:tcPr>
                  <w:tcW w:w="1503" w:type="pct"/>
                  <w:tcBorders>
                    <w:tl2br w:val="nil"/>
                    <w:tr2bl w:val="nil"/>
                  </w:tcBorders>
                  <w:noWrap w:val="0"/>
                  <w:vAlign w:val="center"/>
                </w:tcPr>
                <w:p w14:paraId="2C7A326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682E52A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17</w:t>
                  </w:r>
                </w:p>
              </w:tc>
              <w:tc>
                <w:tcPr>
                  <w:tcW w:w="382" w:type="pct"/>
                  <w:vMerge w:val="continue"/>
                  <w:tcBorders>
                    <w:tl2br w:val="nil"/>
                    <w:tr2bl w:val="nil"/>
                  </w:tcBorders>
                  <w:noWrap w:val="0"/>
                  <w:vAlign w:val="center"/>
                </w:tcPr>
                <w:p w14:paraId="23AB7D0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B890D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6DDCE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664ED27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FC48FC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4BE0CE9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420F0298">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1A9C6A6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36</w:t>
                  </w:r>
                </w:p>
              </w:tc>
              <w:tc>
                <w:tcPr>
                  <w:tcW w:w="382" w:type="pct"/>
                  <w:vMerge w:val="continue"/>
                  <w:tcBorders>
                    <w:tl2br w:val="nil"/>
                    <w:tr2bl w:val="nil"/>
                  </w:tcBorders>
                  <w:noWrap w:val="0"/>
                  <w:vAlign w:val="center"/>
                </w:tcPr>
                <w:p w14:paraId="389E37A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E3E24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401E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1431FE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2A72726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37AC48A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28D89D4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5A58C9D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39</w:t>
                  </w:r>
                </w:p>
              </w:tc>
              <w:tc>
                <w:tcPr>
                  <w:tcW w:w="382" w:type="pct"/>
                  <w:vMerge w:val="continue"/>
                  <w:tcBorders>
                    <w:tl2br w:val="nil"/>
                    <w:tr2bl w:val="nil"/>
                  </w:tcBorders>
                  <w:noWrap w:val="0"/>
                  <w:vAlign w:val="center"/>
                </w:tcPr>
                <w:p w14:paraId="7DC0348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22C58B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1547C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085DEB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DA4147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318ED24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42402F2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10CA564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19</w:t>
                  </w:r>
                </w:p>
              </w:tc>
              <w:tc>
                <w:tcPr>
                  <w:tcW w:w="382" w:type="pct"/>
                  <w:vMerge w:val="continue"/>
                  <w:tcBorders>
                    <w:tl2br w:val="nil"/>
                    <w:tr2bl w:val="nil"/>
                  </w:tcBorders>
                  <w:noWrap w:val="0"/>
                  <w:vAlign w:val="center"/>
                </w:tcPr>
                <w:p w14:paraId="501D690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CAB84D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CD4FF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3FA4E47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restart"/>
                  <w:tcBorders>
                    <w:tl2br w:val="nil"/>
                    <w:tr2bl w:val="nil"/>
                  </w:tcBorders>
                  <w:noWrap w:val="0"/>
                  <w:vAlign w:val="center"/>
                </w:tcPr>
                <w:p w14:paraId="566EAE4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951" w:type="pct"/>
                  <w:vMerge w:val="restart"/>
                  <w:tcBorders>
                    <w:tl2br w:val="nil"/>
                    <w:tr2bl w:val="nil"/>
                  </w:tcBorders>
                  <w:noWrap w:val="0"/>
                  <w:vAlign w:val="center"/>
                </w:tcPr>
                <w:p w14:paraId="396E356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2024.07.07</w:t>
                  </w:r>
                </w:p>
              </w:tc>
              <w:tc>
                <w:tcPr>
                  <w:tcW w:w="1503" w:type="pct"/>
                  <w:tcBorders>
                    <w:tl2br w:val="nil"/>
                    <w:tr2bl w:val="nil"/>
                  </w:tcBorders>
                  <w:noWrap w:val="0"/>
                  <w:vAlign w:val="center"/>
                </w:tcPr>
                <w:p w14:paraId="4B10E8F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08E8178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restart"/>
                  <w:tcBorders>
                    <w:tl2br w:val="nil"/>
                    <w:tr2bl w:val="nil"/>
                  </w:tcBorders>
                  <w:noWrap w:val="0"/>
                  <w:vAlign w:val="center"/>
                </w:tcPr>
                <w:p w14:paraId="2AAAF53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w:t>
                  </w:r>
                </w:p>
              </w:tc>
              <w:tc>
                <w:tcPr>
                  <w:tcW w:w="415" w:type="pct"/>
                  <w:tcBorders>
                    <w:tl2br w:val="nil"/>
                    <w:tr2bl w:val="nil"/>
                  </w:tcBorders>
                  <w:noWrap w:val="0"/>
                  <w:vAlign w:val="center"/>
                </w:tcPr>
                <w:p w14:paraId="36613C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1862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66AA1B3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09C58E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676EE99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1822644D">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4E7A141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53AC0FE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A5E85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EECD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217ABDB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BE1186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27DAE3D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6EEC57B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7EE45AD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70</w:t>
                  </w:r>
                </w:p>
              </w:tc>
              <w:tc>
                <w:tcPr>
                  <w:tcW w:w="382" w:type="pct"/>
                  <w:vMerge w:val="continue"/>
                  <w:tcBorders>
                    <w:tl2br w:val="nil"/>
                    <w:tr2bl w:val="nil"/>
                  </w:tcBorders>
                  <w:noWrap w:val="0"/>
                  <w:vAlign w:val="center"/>
                </w:tcPr>
                <w:p w14:paraId="2D8440F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DDCCF4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8C2C6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27BC50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569296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7E90FEFC">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3CC32C3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5A5BAD0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3EADE46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E2A00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62910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D82B9E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4A63CF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shd w:val="clear" w:color="auto" w:fill="auto"/>
                  <w:noWrap w:val="0"/>
                  <w:vAlign w:val="center"/>
                </w:tcPr>
                <w:p w14:paraId="5A722889">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2024.07.08</w:t>
                  </w:r>
                </w:p>
              </w:tc>
              <w:tc>
                <w:tcPr>
                  <w:tcW w:w="1503" w:type="pct"/>
                  <w:tcBorders>
                    <w:tl2br w:val="nil"/>
                    <w:tr2bl w:val="nil"/>
                  </w:tcBorders>
                  <w:noWrap w:val="0"/>
                  <w:vAlign w:val="center"/>
                </w:tcPr>
                <w:p w14:paraId="3EDDAEF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70E64D6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00D3141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F2719E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22A5D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7533E76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194419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shd w:val="clear" w:color="auto" w:fill="auto"/>
                  <w:noWrap w:val="0"/>
                  <w:vAlign w:val="center"/>
                </w:tcPr>
                <w:p w14:paraId="1D3F909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674FFD7">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2DB423E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40</w:t>
                  </w:r>
                </w:p>
              </w:tc>
              <w:tc>
                <w:tcPr>
                  <w:tcW w:w="382" w:type="pct"/>
                  <w:vMerge w:val="continue"/>
                  <w:tcBorders>
                    <w:tl2br w:val="nil"/>
                    <w:tr2bl w:val="nil"/>
                  </w:tcBorders>
                  <w:noWrap w:val="0"/>
                  <w:vAlign w:val="center"/>
                </w:tcPr>
                <w:p w14:paraId="5C72DED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58D79B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15DEE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9D850D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79D688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5EE642BD">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52131BB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1B95BE5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70</w:t>
                  </w:r>
                </w:p>
              </w:tc>
              <w:tc>
                <w:tcPr>
                  <w:tcW w:w="382" w:type="pct"/>
                  <w:vMerge w:val="continue"/>
                  <w:tcBorders>
                    <w:tl2br w:val="nil"/>
                    <w:tr2bl w:val="nil"/>
                  </w:tcBorders>
                  <w:noWrap w:val="0"/>
                  <w:vAlign w:val="center"/>
                </w:tcPr>
                <w:p w14:paraId="02742BD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2E69B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C2DA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455820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8A55B9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646BB9B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26EC6BF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307F3B5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70</w:t>
                  </w:r>
                </w:p>
              </w:tc>
              <w:tc>
                <w:tcPr>
                  <w:tcW w:w="382" w:type="pct"/>
                  <w:vMerge w:val="continue"/>
                  <w:tcBorders>
                    <w:tl2br w:val="nil"/>
                    <w:tr2bl w:val="nil"/>
                  </w:tcBorders>
                  <w:noWrap w:val="0"/>
                  <w:vAlign w:val="center"/>
                </w:tcPr>
                <w:p w14:paraId="79D072D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2E63C8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C19CB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68DBCFC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D7882B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257849C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2024.07.09</w:t>
                  </w:r>
                </w:p>
              </w:tc>
              <w:tc>
                <w:tcPr>
                  <w:tcW w:w="1503" w:type="pct"/>
                  <w:tcBorders>
                    <w:tl2br w:val="nil"/>
                    <w:tr2bl w:val="nil"/>
                  </w:tcBorders>
                  <w:noWrap w:val="0"/>
                  <w:vAlign w:val="center"/>
                </w:tcPr>
                <w:p w14:paraId="5E53F44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51DA984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6FF404F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709118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9C6F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1632A7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543C98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0E631200">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2CA0FE85">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03D5633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513F458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98D6A9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2A4D6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4667B6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6389A6F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515C284C">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7470BA3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3F954EE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5DD89A4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F8FF75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F865D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AFA659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4479A5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180C3AD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F6BB6C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24C6F45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1DEA32F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67FD8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D599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33408C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2D4621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620B1DE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2024.07.10</w:t>
                  </w:r>
                </w:p>
              </w:tc>
              <w:tc>
                <w:tcPr>
                  <w:tcW w:w="1503" w:type="pct"/>
                  <w:tcBorders>
                    <w:tl2br w:val="nil"/>
                    <w:tr2bl w:val="nil"/>
                  </w:tcBorders>
                  <w:noWrap w:val="0"/>
                  <w:vAlign w:val="center"/>
                </w:tcPr>
                <w:p w14:paraId="78EAA06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731FCE5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13A7783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02962BC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747C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324BF21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2BF972D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4756242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73EC22C9">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1ABA003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671AAC55">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1613C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8360B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23D421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7B79EF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7EB89CDC">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33D6937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2542E21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37EC3D7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F3A2E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D98C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0A77CA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60F6A3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320BA95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167094EB">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6E7B766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72D0763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220D28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8BCD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E85FE5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2940C79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70EF11FB">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2024.07.11</w:t>
                  </w:r>
                </w:p>
              </w:tc>
              <w:tc>
                <w:tcPr>
                  <w:tcW w:w="1503" w:type="pct"/>
                  <w:tcBorders>
                    <w:tl2br w:val="nil"/>
                    <w:tr2bl w:val="nil"/>
                  </w:tcBorders>
                  <w:noWrap w:val="0"/>
                  <w:vAlign w:val="center"/>
                </w:tcPr>
                <w:p w14:paraId="7A6D797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6ABD714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702BB9B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638831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91ED8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7B1940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629D1F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3822E76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6A5875D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10C1430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72C3E697">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8EA556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F8382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CCD481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8389F9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566A919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4550CF7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4972BD3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50A02E3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B2563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3BA5D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16035CC">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DFDE3A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3F3074E8">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3690E65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5762548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29349DB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1FDBD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3A3FE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A282EF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5422830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2B4F1197">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2024.07.12</w:t>
                  </w:r>
                </w:p>
              </w:tc>
              <w:tc>
                <w:tcPr>
                  <w:tcW w:w="1503" w:type="pct"/>
                  <w:tcBorders>
                    <w:tl2br w:val="nil"/>
                    <w:tr2bl w:val="nil"/>
                  </w:tcBorders>
                  <w:noWrap w:val="0"/>
                  <w:vAlign w:val="center"/>
                </w:tcPr>
                <w:p w14:paraId="192A5926">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4F7819D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2B03ED2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067798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6C5A1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8127480">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D55E63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0FE1607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78CAA83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415BE011">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6FA26679">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4E30AAC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4A4F16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4CD91F8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242C439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2F14703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796EBDE">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0C9BCC7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70</w:t>
                  </w:r>
                </w:p>
              </w:tc>
              <w:tc>
                <w:tcPr>
                  <w:tcW w:w="382" w:type="pct"/>
                  <w:vMerge w:val="continue"/>
                  <w:tcBorders>
                    <w:tl2br w:val="nil"/>
                    <w:tr2bl w:val="nil"/>
                  </w:tcBorders>
                  <w:noWrap w:val="0"/>
                  <w:vAlign w:val="center"/>
                </w:tcPr>
                <w:p w14:paraId="54091EFA">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DB9237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14BE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897BFB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6D6876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0B458C6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7CAD577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1AA96F4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2381D2C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5D84EB5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BCDE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1B512508">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08F5D47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restart"/>
                  <w:tcBorders>
                    <w:tl2br w:val="nil"/>
                    <w:tr2bl w:val="nil"/>
                  </w:tcBorders>
                  <w:noWrap w:val="0"/>
                  <w:vAlign w:val="center"/>
                </w:tcPr>
                <w:p w14:paraId="505DB08B">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eastAsia="黑体" w:cs="Times New Roman"/>
                      <w:color w:val="000000"/>
                      <w:kern w:val="0"/>
                      <w:sz w:val="18"/>
                      <w:szCs w:val="18"/>
                      <w:lang w:val="en-US" w:eastAsia="zh-CN" w:bidi="ar"/>
                    </w:rPr>
                    <w:t>2024.07.13</w:t>
                  </w:r>
                </w:p>
              </w:tc>
              <w:tc>
                <w:tcPr>
                  <w:tcW w:w="1503" w:type="pct"/>
                  <w:tcBorders>
                    <w:tl2br w:val="nil"/>
                    <w:tr2bl w:val="nil"/>
                  </w:tcBorders>
                  <w:noWrap w:val="0"/>
                  <w:vAlign w:val="center"/>
                </w:tcPr>
                <w:p w14:paraId="2892C1F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19D0516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64C0CD92">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6A16269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3F962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0EC78E8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4135D0A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71222F0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023AEC4A">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02：00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03：00</w:t>
                  </w:r>
                </w:p>
              </w:tc>
              <w:tc>
                <w:tcPr>
                  <w:tcW w:w="443" w:type="pct"/>
                  <w:tcBorders>
                    <w:tl2br w:val="nil"/>
                    <w:tr2bl w:val="nil"/>
                  </w:tcBorders>
                  <w:noWrap w:val="0"/>
                  <w:vAlign w:val="center"/>
                </w:tcPr>
                <w:p w14:paraId="7F11C66D">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60</w:t>
                  </w:r>
                </w:p>
              </w:tc>
              <w:tc>
                <w:tcPr>
                  <w:tcW w:w="382" w:type="pct"/>
                  <w:vMerge w:val="continue"/>
                  <w:tcBorders>
                    <w:tl2br w:val="nil"/>
                    <w:tr2bl w:val="nil"/>
                  </w:tcBorders>
                  <w:noWrap w:val="0"/>
                  <w:vAlign w:val="center"/>
                </w:tcPr>
                <w:p w14:paraId="5ADCA35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379CD0C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41C7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578A6E36">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7334221F">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465B9263">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3BBB220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08：00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09：00</w:t>
                  </w:r>
                </w:p>
              </w:tc>
              <w:tc>
                <w:tcPr>
                  <w:tcW w:w="443" w:type="pct"/>
                  <w:tcBorders>
                    <w:tl2br w:val="nil"/>
                    <w:tr2bl w:val="nil"/>
                  </w:tcBorders>
                  <w:noWrap w:val="0"/>
                  <w:vAlign w:val="center"/>
                </w:tcPr>
                <w:p w14:paraId="76CD7DF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64C0895E">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13DE41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2253B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16" w:type="pct"/>
                  <w:vMerge w:val="continue"/>
                  <w:tcBorders>
                    <w:tl2br w:val="nil"/>
                    <w:tr2bl w:val="nil"/>
                  </w:tcBorders>
                  <w:noWrap w:val="0"/>
                  <w:vAlign w:val="center"/>
                </w:tcPr>
                <w:p w14:paraId="6F5E2F0B">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486" w:type="pct"/>
                  <w:vMerge w:val="continue"/>
                  <w:tcBorders>
                    <w:tl2br w:val="nil"/>
                    <w:tr2bl w:val="nil"/>
                  </w:tcBorders>
                  <w:noWrap w:val="0"/>
                  <w:vAlign w:val="center"/>
                </w:tcPr>
                <w:p w14:paraId="30A92F7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951" w:type="pct"/>
                  <w:vMerge w:val="continue"/>
                  <w:tcBorders>
                    <w:tl2br w:val="nil"/>
                    <w:tr2bl w:val="nil"/>
                  </w:tcBorders>
                  <w:noWrap w:val="0"/>
                  <w:vAlign w:val="center"/>
                </w:tcPr>
                <w:p w14:paraId="0C82D72F">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p>
              </w:tc>
              <w:tc>
                <w:tcPr>
                  <w:tcW w:w="1503" w:type="pct"/>
                  <w:tcBorders>
                    <w:tl2br w:val="nil"/>
                    <w:tr2bl w:val="nil"/>
                  </w:tcBorders>
                  <w:noWrap w:val="0"/>
                  <w:vAlign w:val="center"/>
                </w:tcPr>
                <w:p w14:paraId="7F1971ED">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eastAsia" w:ascii="Times New Roman" w:hAnsi="Times New Roman" w:eastAsia="黑体" w:cs="Times New Roman"/>
                      <w:color w:val="000000"/>
                      <w:kern w:val="0"/>
                      <w:sz w:val="18"/>
                      <w:szCs w:val="18"/>
                      <w:lang w:val="en-US" w:eastAsia="zh-CN" w:bidi="ar"/>
                    </w:rPr>
                    <w:t>20：00</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21：00</w:t>
                  </w:r>
                </w:p>
              </w:tc>
              <w:tc>
                <w:tcPr>
                  <w:tcW w:w="443" w:type="pct"/>
                  <w:tcBorders>
                    <w:tl2br w:val="nil"/>
                    <w:tr2bl w:val="nil"/>
                  </w:tcBorders>
                  <w:noWrap w:val="0"/>
                  <w:vAlign w:val="center"/>
                </w:tcPr>
                <w:p w14:paraId="5680B0E3">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w:t>
                  </w:r>
                </w:p>
              </w:tc>
              <w:tc>
                <w:tcPr>
                  <w:tcW w:w="382" w:type="pct"/>
                  <w:vMerge w:val="continue"/>
                  <w:tcBorders>
                    <w:tl2br w:val="nil"/>
                    <w:tr2bl w:val="nil"/>
                  </w:tcBorders>
                  <w:noWrap w:val="0"/>
                  <w:vAlign w:val="center"/>
                </w:tcPr>
                <w:p w14:paraId="220925E4">
                  <w:pPr>
                    <w:pStyle w:val="32"/>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415" w:type="pct"/>
                  <w:tcBorders>
                    <w:tl2br w:val="nil"/>
                    <w:tr2bl w:val="nil"/>
                  </w:tcBorders>
                  <w:noWrap w:val="0"/>
                  <w:vAlign w:val="center"/>
                </w:tcPr>
                <w:p w14:paraId="7C5985A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bl>
          <w:p w14:paraId="3F97C8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根据上表结果，</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sz w:val="24"/>
                <w:szCs w:val="24"/>
              </w:rPr>
              <w:t>区TSP</w:t>
            </w:r>
            <w:r>
              <w:rPr>
                <w:rFonts w:hint="eastAsia" w:ascii="Times New Roman" w:hAnsi="Times New Roman" w:cs="Times New Roman"/>
                <w:sz w:val="24"/>
                <w:szCs w:val="24"/>
                <w:lang w:val="en-US" w:eastAsia="zh-CN"/>
              </w:rPr>
              <w:t>和</w:t>
            </w:r>
            <w:r>
              <w:rPr>
                <w:rFonts w:hint="eastAsia"/>
                <w:color w:val="auto"/>
                <w:sz w:val="24"/>
                <w:szCs w:val="24"/>
                <w:lang w:val="en-US" w:eastAsia="zh-CN"/>
              </w:rPr>
              <w:t>NOx</w:t>
            </w:r>
            <w:r>
              <w:rPr>
                <w:rFonts w:hint="default" w:ascii="Times New Roman" w:hAnsi="Times New Roman" w:eastAsia="宋体" w:cs="Times New Roman"/>
                <w:sz w:val="24"/>
                <w:szCs w:val="24"/>
              </w:rPr>
              <w:t>能够达到《环境空气质量标准》（GB3095-</w:t>
            </w:r>
            <w:r>
              <w:rPr>
                <w:rFonts w:hint="eastAsia" w:cs="Times New Roman"/>
                <w:sz w:val="24"/>
                <w:szCs w:val="24"/>
                <w:lang w:val="en-US" w:eastAsia="zh-CN"/>
              </w:rPr>
              <w:t>2026</w:t>
            </w:r>
            <w:r>
              <w:rPr>
                <w:rFonts w:hint="default" w:ascii="Times New Roman" w:hAnsi="Times New Roman" w:eastAsia="宋体" w:cs="Times New Roman"/>
                <w:sz w:val="24"/>
                <w:szCs w:val="24"/>
              </w:rPr>
              <w:t>）中的二级标准</w:t>
            </w:r>
            <w:r>
              <w:rPr>
                <w:rFonts w:hint="eastAsia" w:cs="Times New Roman"/>
                <w:sz w:val="24"/>
                <w:szCs w:val="24"/>
                <w:lang w:val="en-US" w:eastAsia="zh-CN"/>
              </w:rPr>
              <w:t>浓度限值</w:t>
            </w:r>
            <w:r>
              <w:rPr>
                <w:rFonts w:hint="eastAsia" w:cs="Times New Roman"/>
                <w:sz w:val="24"/>
                <w:szCs w:val="24"/>
                <w:lang w:eastAsia="zh-CN"/>
              </w:rPr>
              <w:t>，</w:t>
            </w:r>
            <w:r>
              <w:rPr>
                <w:rFonts w:hint="eastAsia" w:cs="Times New Roman"/>
                <w:sz w:val="24"/>
                <w:szCs w:val="24"/>
                <w:lang w:val="en-US" w:eastAsia="zh-CN"/>
              </w:rPr>
              <w:t>氨能达到</w:t>
            </w:r>
            <w:r>
              <w:rPr>
                <w:rFonts w:hint="default" w:ascii="Times New Roman" w:hAnsi="Times New Roman" w:cs="Times New Roman"/>
                <w:color w:val="auto"/>
                <w:sz w:val="24"/>
                <w:highlight w:val="none"/>
              </w:rPr>
              <w:t>《环境影响评价技术导则 大气环境》（HJ2.2-2018）附录D参考限值</w:t>
            </w:r>
            <w:r>
              <w:rPr>
                <w:rFonts w:hint="default" w:ascii="Times New Roman" w:hAnsi="Times New Roman" w:eastAsia="宋体" w:cs="Times New Roman"/>
                <w:sz w:val="24"/>
                <w:szCs w:val="24"/>
              </w:rPr>
              <w:t>。项目所在区域环境空气质量良好。</w:t>
            </w:r>
          </w:p>
          <w:p w14:paraId="27B8AD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eastAsia="宋体"/>
                <w:lang w:val="en-US" w:eastAsia="zh-CN"/>
              </w:rPr>
            </w:pPr>
            <w:r>
              <w:rPr>
                <w:rFonts w:hint="default" w:ascii="Times New Roman" w:hAnsi="Times New Roman" w:eastAsia="宋体" w:cs="Times New Roman"/>
                <w:sz w:val="24"/>
                <w:szCs w:val="24"/>
              </w:rPr>
              <w:t>综上所述，项目区域常规污染物和特征污染物均满足要求，所处区域属于环境空气质量现状达标区。</w:t>
            </w:r>
          </w:p>
          <w:p w14:paraId="5315787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3.2</w:t>
            </w:r>
            <w:r>
              <w:rPr>
                <w:rFonts w:hint="eastAsia" w:ascii="Times New Roman" w:hAnsi="Times New Roman" w:eastAsia="宋体" w:cs="Times New Roman"/>
                <w:b/>
                <w:bCs/>
                <w:color w:val="000000"/>
                <w:kern w:val="0"/>
                <w:sz w:val="24"/>
                <w:szCs w:val="24"/>
                <w:lang w:val="en-US" w:eastAsia="zh-CN" w:bidi="ar"/>
              </w:rPr>
              <w:t>地表水环境</w:t>
            </w:r>
          </w:p>
          <w:p w14:paraId="5789A5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3.2.1</w:t>
            </w:r>
            <w:r>
              <w:rPr>
                <w:rFonts w:hint="eastAsia" w:ascii="Times New Roman" w:hAnsi="Times New Roman" w:eastAsia="宋体" w:cs="Times New Roman"/>
                <w:b/>
                <w:bCs/>
                <w:color w:val="000000"/>
                <w:kern w:val="0"/>
                <w:sz w:val="24"/>
                <w:szCs w:val="24"/>
                <w:lang w:val="en-US" w:eastAsia="zh-CN" w:bidi="ar"/>
              </w:rPr>
              <w:t>地表水环境执行标准</w:t>
            </w:r>
          </w:p>
          <w:p w14:paraId="52C04B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auto"/>
                <w:sz w:val="24"/>
                <w:highlight w:val="none"/>
              </w:rPr>
              <w:t>项目东侧</w:t>
            </w:r>
            <w:r>
              <w:rPr>
                <w:rFonts w:hint="eastAsia" w:cs="Times New Roman"/>
                <w:color w:val="auto"/>
                <w:sz w:val="24"/>
                <w:highlight w:val="none"/>
                <w:lang w:val="en-US" w:eastAsia="zh-CN"/>
              </w:rPr>
              <w:t>430</w:t>
            </w:r>
            <w:r>
              <w:rPr>
                <w:rFonts w:hint="default" w:ascii="Times New Roman" w:hAnsi="Times New Roman" w:eastAsia="宋体" w:cs="Times New Roman"/>
                <w:color w:val="auto"/>
                <w:sz w:val="24"/>
                <w:highlight w:val="none"/>
              </w:rPr>
              <w:t>m为平甸河大开门下游，项目东北侧</w:t>
            </w:r>
            <w:r>
              <w:rPr>
                <w:rFonts w:hint="eastAsia" w:cs="Times New Roman"/>
                <w:color w:val="auto"/>
                <w:sz w:val="24"/>
                <w:highlight w:val="none"/>
                <w:lang w:val="en-US" w:eastAsia="zh-CN"/>
              </w:rPr>
              <w:t>490</w:t>
            </w:r>
            <w:r>
              <w:rPr>
                <w:rFonts w:hint="default" w:ascii="Times New Roman" w:hAnsi="Times New Roman" w:eastAsia="宋体" w:cs="Times New Roman"/>
                <w:color w:val="auto"/>
                <w:sz w:val="24"/>
                <w:highlight w:val="none"/>
              </w:rPr>
              <w:t>m为化念河，平甸河及化念河在项目区东侧汇合，汇合后</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rPr>
              <w:t>小河底河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小河底河经石屏进入元江</w:t>
            </w:r>
            <w:r>
              <w:rPr>
                <w:rFonts w:hint="default" w:ascii="Times New Roman" w:hAnsi="Times New Roman" w:eastAsia="宋体" w:cs="Times New Roman"/>
                <w:color w:val="auto"/>
                <w:sz w:val="24"/>
                <w:highlight w:val="none"/>
              </w:rPr>
              <w:t>，根据《云南省水功能区划（2014年修订）》，</w:t>
            </w:r>
            <w:r>
              <w:rPr>
                <w:rFonts w:hint="default" w:ascii="Times New Roman" w:hAnsi="Times New Roman" w:eastAsia="宋体" w:cs="Times New Roman"/>
                <w:color w:val="auto"/>
                <w:sz w:val="24"/>
                <w:highlight w:val="none"/>
                <w:lang w:val="en-US" w:eastAsia="zh-CN"/>
              </w:rPr>
              <w:t>本项目属于</w:t>
            </w:r>
            <w:r>
              <w:rPr>
                <w:rFonts w:hint="default" w:ascii="Times New Roman" w:hAnsi="Times New Roman" w:eastAsia="宋体" w:cs="Times New Roman"/>
                <w:color w:val="auto"/>
                <w:sz w:val="24"/>
                <w:highlight w:val="none"/>
              </w:rPr>
              <w:t>小河底河新平</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元江保留区</w:t>
            </w:r>
            <w:r>
              <w:rPr>
                <w:rFonts w:hint="default" w:ascii="Times New Roman" w:hAnsi="Times New Roman" w:eastAsia="宋体" w:cs="Times New Roman"/>
                <w:color w:val="auto"/>
                <w:sz w:val="24"/>
                <w:highlight w:val="none"/>
                <w:lang w:val="en-US" w:eastAsia="zh-CN"/>
              </w:rPr>
              <w:t>，该用水区由新平县大开门至元江县入元江口，全长115.5km，自北向东南流经新平、石屏，2020年水质目标为</w:t>
            </w:r>
            <w:r>
              <w:rPr>
                <w:rFonts w:hint="default" w:ascii="Times New Roman" w:hAnsi="Times New Roman" w:eastAsia="宋体" w:cs="Times New Roman"/>
                <w:color w:val="auto"/>
                <w:sz w:val="24"/>
                <w:highlight w:val="none"/>
              </w:rPr>
              <w:t>Ⅲ</w:t>
            </w:r>
            <w:r>
              <w:rPr>
                <w:rFonts w:hint="default" w:ascii="Times New Roman" w:hAnsi="Times New Roman" w:eastAsia="宋体" w:cs="Times New Roman"/>
                <w:color w:val="auto"/>
                <w:sz w:val="24"/>
                <w:highlight w:val="none"/>
                <w:lang w:val="en-US" w:eastAsia="zh-CN"/>
              </w:rPr>
              <w:t>类，</w:t>
            </w:r>
            <w:r>
              <w:rPr>
                <w:rFonts w:hint="default" w:ascii="Times New Roman" w:hAnsi="Times New Roman" w:eastAsia="宋体" w:cs="Times New Roman"/>
                <w:color w:val="auto"/>
                <w:sz w:val="24"/>
                <w:highlight w:val="none"/>
                <w:lang w:val="zh-CN"/>
              </w:rPr>
              <w:t>规划水平年</w:t>
            </w:r>
            <w:r>
              <w:rPr>
                <w:rFonts w:hint="default" w:ascii="Times New Roman" w:hAnsi="Times New Roman" w:eastAsia="宋体" w:cs="Times New Roman"/>
                <w:color w:val="auto"/>
                <w:sz w:val="24"/>
                <w:highlight w:val="none"/>
                <w:lang w:val="en-US" w:eastAsia="zh-CN"/>
              </w:rPr>
              <w:t>2030年水质目标</w:t>
            </w:r>
            <w:r>
              <w:rPr>
                <w:rFonts w:hint="default" w:ascii="Times New Roman" w:hAnsi="Times New Roman" w:eastAsia="宋体" w:cs="Times New Roman"/>
                <w:color w:val="auto"/>
                <w:sz w:val="24"/>
                <w:highlight w:val="none"/>
              </w:rPr>
              <w:t>Ⅲ</w:t>
            </w:r>
            <w:r>
              <w:rPr>
                <w:rFonts w:hint="default" w:ascii="Times New Roman" w:hAnsi="Times New Roman" w:eastAsia="宋体" w:cs="Times New Roman"/>
                <w:color w:val="auto"/>
                <w:sz w:val="24"/>
                <w:highlight w:val="none"/>
                <w:lang w:val="en-US" w:eastAsia="zh-CN"/>
              </w:rPr>
              <w:t>类。本项目水环境</w:t>
            </w:r>
            <w:r>
              <w:rPr>
                <w:rFonts w:hint="default" w:ascii="Times New Roman" w:hAnsi="Times New Roman" w:eastAsia="宋体" w:cs="Times New Roman"/>
                <w:color w:val="auto"/>
                <w:sz w:val="24"/>
                <w:highlight w:val="none"/>
              </w:rPr>
              <w:t>执行《地表水环境质量标准》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GB3838-2002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III类标准。标准限值见</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p>
          <w:p w14:paraId="1457D781">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4</w:t>
            </w:r>
            <w:r>
              <w:rPr>
                <w:rFonts w:hint="default" w:ascii="黑体" w:hAnsi="黑体" w:eastAsia="黑体" w:cs="黑体"/>
                <w:b w:val="0"/>
                <w:bCs w:val="0"/>
                <w:color w:val="000000"/>
                <w:kern w:val="0"/>
                <w:sz w:val="21"/>
                <w:szCs w:val="21"/>
                <w:lang w:val="en-US" w:eastAsia="zh-CN" w:bidi="ar"/>
              </w:rPr>
              <w:t xml:space="preserve"> </w:t>
            </w:r>
            <w:r>
              <w:rPr>
                <w:rFonts w:hint="eastAsia" w:ascii="黑体" w:hAnsi="黑体" w:eastAsia="黑体" w:cs="黑体"/>
                <w:b w:val="0"/>
                <w:bCs w:val="0"/>
                <w:color w:val="000000"/>
                <w:kern w:val="0"/>
                <w:sz w:val="21"/>
                <w:szCs w:val="21"/>
                <w:lang w:val="en-US" w:eastAsia="zh-CN" w:bidi="ar"/>
              </w:rPr>
              <w:t>《地表水环境质量标准》</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075"/>
              <w:gridCol w:w="2134"/>
              <w:gridCol w:w="775"/>
              <w:gridCol w:w="1488"/>
              <w:gridCol w:w="1532"/>
            </w:tblGrid>
            <w:tr w14:paraId="758D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67D24C15">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序号</w:t>
                  </w:r>
                </w:p>
              </w:tc>
              <w:tc>
                <w:tcPr>
                  <w:tcW w:w="1075" w:type="dxa"/>
                  <w:vAlign w:val="center"/>
                </w:tcPr>
                <w:p w14:paraId="148CCE3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w:t>
                  </w:r>
                </w:p>
              </w:tc>
              <w:tc>
                <w:tcPr>
                  <w:tcW w:w="2134" w:type="dxa"/>
                  <w:vAlign w:val="center"/>
                </w:tcPr>
                <w:p w14:paraId="071C9F9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标准值</w:t>
                  </w:r>
                </w:p>
              </w:tc>
              <w:tc>
                <w:tcPr>
                  <w:tcW w:w="775" w:type="dxa"/>
                  <w:vAlign w:val="center"/>
                </w:tcPr>
                <w:p w14:paraId="561C9D66">
                  <w:pPr>
                    <w:pStyle w:val="27"/>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序号</w:t>
                  </w:r>
                </w:p>
              </w:tc>
              <w:tc>
                <w:tcPr>
                  <w:tcW w:w="1488" w:type="dxa"/>
                  <w:vAlign w:val="center"/>
                </w:tcPr>
                <w:p w14:paraId="636B4B23">
                  <w:pPr>
                    <w:pStyle w:val="27"/>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w:t>
                  </w:r>
                </w:p>
              </w:tc>
              <w:tc>
                <w:tcPr>
                  <w:tcW w:w="1532" w:type="dxa"/>
                  <w:tcBorders>
                    <w:right w:val="nil"/>
                  </w:tcBorders>
                  <w:vAlign w:val="center"/>
                </w:tcPr>
                <w:p w14:paraId="7BC76C8E">
                  <w:pPr>
                    <w:pStyle w:val="27"/>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标准值</w:t>
                  </w:r>
                </w:p>
              </w:tc>
            </w:tr>
            <w:tr w14:paraId="4A95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659E9E7A">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075" w:type="dxa"/>
                  <w:vAlign w:val="center"/>
                </w:tcPr>
                <w:p w14:paraId="1D7F6B24">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水温</w:t>
                  </w:r>
                </w:p>
              </w:tc>
              <w:tc>
                <w:tcPr>
                  <w:tcW w:w="2134" w:type="dxa"/>
                  <w:vAlign w:val="center"/>
                </w:tcPr>
                <w:p w14:paraId="29989942">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人为造成的环境水温变化应限制在：周平均最大温升≤</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，周平均最大温降≤</w:t>
                  </w:r>
                  <w:r>
                    <w:rPr>
                      <w:rFonts w:hint="default" w:ascii="Times New Roman" w:hAnsi="Times New Roman" w:cs="Times New Roman"/>
                      <w:color w:val="auto"/>
                      <w:lang w:val="en-US" w:eastAsia="zh-CN"/>
                    </w:rPr>
                    <w:t>2</w:t>
                  </w:r>
                </w:p>
              </w:tc>
              <w:tc>
                <w:tcPr>
                  <w:tcW w:w="775" w:type="dxa"/>
                  <w:vAlign w:val="center"/>
                </w:tcPr>
                <w:p w14:paraId="2D2CB95D">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488" w:type="dxa"/>
                  <w:vAlign w:val="center"/>
                </w:tcPr>
                <w:p w14:paraId="4143DAF4">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pH值</w:t>
                  </w:r>
                </w:p>
              </w:tc>
              <w:tc>
                <w:tcPr>
                  <w:tcW w:w="1532" w:type="dxa"/>
                  <w:tcBorders>
                    <w:right w:val="nil"/>
                  </w:tcBorders>
                  <w:vAlign w:val="center"/>
                </w:tcPr>
                <w:p w14:paraId="6B2F0BC1">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9</w:t>
                  </w:r>
                </w:p>
              </w:tc>
            </w:tr>
            <w:tr w14:paraId="41AE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631ED424">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075" w:type="dxa"/>
                  <w:vAlign w:val="center"/>
                </w:tcPr>
                <w:p w14:paraId="52FD4C95">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溶解氧</w:t>
                  </w:r>
                </w:p>
              </w:tc>
              <w:tc>
                <w:tcPr>
                  <w:tcW w:w="2134" w:type="dxa"/>
                  <w:vAlign w:val="center"/>
                </w:tcPr>
                <w:p w14:paraId="61E1569A">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5</w:t>
                  </w:r>
                </w:p>
              </w:tc>
              <w:tc>
                <w:tcPr>
                  <w:tcW w:w="775" w:type="dxa"/>
                  <w:vAlign w:val="center"/>
                </w:tcPr>
                <w:p w14:paraId="48890C10">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1488" w:type="dxa"/>
                  <w:vAlign w:val="center"/>
                </w:tcPr>
                <w:p w14:paraId="57F1268E">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高</w:t>
                  </w:r>
                  <w:r>
                    <w:rPr>
                      <w:rFonts w:hint="eastAsia" w:cs="Times New Roman"/>
                      <w:color w:val="auto"/>
                      <w:lang w:val="en-US" w:eastAsia="zh-CN"/>
                    </w:rPr>
                    <w:t>锰</w:t>
                  </w:r>
                  <w:r>
                    <w:rPr>
                      <w:rFonts w:hint="eastAsia" w:ascii="Times New Roman" w:hAnsi="Times New Roman" w:cs="Times New Roman"/>
                      <w:color w:val="auto"/>
                      <w:lang w:val="en-US" w:eastAsia="zh-CN"/>
                    </w:rPr>
                    <w:t>酸盐指数</w:t>
                  </w:r>
                </w:p>
              </w:tc>
              <w:tc>
                <w:tcPr>
                  <w:tcW w:w="1532" w:type="dxa"/>
                  <w:tcBorders>
                    <w:right w:val="nil"/>
                  </w:tcBorders>
                  <w:vAlign w:val="center"/>
                </w:tcPr>
                <w:p w14:paraId="2926656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6</w:t>
                  </w:r>
                </w:p>
              </w:tc>
            </w:tr>
            <w:tr w14:paraId="651B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64B38854">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1075" w:type="dxa"/>
                  <w:vAlign w:val="center"/>
                </w:tcPr>
                <w:p w14:paraId="54953402">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r>
                    <w:rPr>
                      <w:rFonts w:hint="default" w:ascii="Times New Roman" w:hAnsi="Times New Roman" w:cs="Times New Roman"/>
                      <w:color w:val="auto"/>
                      <w:vertAlign w:val="subscript"/>
                      <w:lang w:val="en-US" w:eastAsia="zh-CN"/>
                    </w:rPr>
                    <w:t>Cr</w:t>
                  </w:r>
                </w:p>
              </w:tc>
              <w:tc>
                <w:tcPr>
                  <w:tcW w:w="2134" w:type="dxa"/>
                  <w:vAlign w:val="center"/>
                </w:tcPr>
                <w:p w14:paraId="78E91BB4">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775" w:type="dxa"/>
                  <w:vAlign w:val="center"/>
                </w:tcPr>
                <w:p w14:paraId="473158D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1488" w:type="dxa"/>
                  <w:vAlign w:val="center"/>
                </w:tcPr>
                <w:p w14:paraId="47679DC0">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w:t>
                  </w:r>
                </w:p>
              </w:tc>
              <w:tc>
                <w:tcPr>
                  <w:tcW w:w="1532" w:type="dxa"/>
                  <w:tcBorders>
                    <w:right w:val="nil"/>
                  </w:tcBorders>
                  <w:vAlign w:val="center"/>
                </w:tcPr>
                <w:p w14:paraId="4436B3DC">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r>
            <w:tr w14:paraId="2CFE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15B69C0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075" w:type="dxa"/>
                  <w:vAlign w:val="center"/>
                </w:tcPr>
                <w:p w14:paraId="175587C3">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TP</w:t>
                  </w:r>
                </w:p>
              </w:tc>
              <w:tc>
                <w:tcPr>
                  <w:tcW w:w="2134" w:type="dxa"/>
                  <w:vAlign w:val="center"/>
                </w:tcPr>
                <w:p w14:paraId="7B86EF0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w:t>
                  </w:r>
                  <w:r>
                    <w:rPr>
                      <w:rFonts w:hint="eastAsia" w:ascii="Times New Roman" w:hAnsi="Times New Roman" w:cs="Times New Roman"/>
                      <w:color w:val="auto"/>
                      <w:lang w:val="en-US" w:eastAsia="zh-CN"/>
                    </w:rPr>
                    <w:t>（湖、库</w:t>
                  </w:r>
                  <w:r>
                    <w:rPr>
                      <w:rFonts w:hint="default" w:ascii="Times New Roman" w:hAnsi="Times New Roman" w:cs="Times New Roman"/>
                      <w:color w:val="auto"/>
                      <w:lang w:val="en-US" w:eastAsia="zh-CN"/>
                    </w:rPr>
                    <w:t>0.05</w:t>
                  </w:r>
                  <w:r>
                    <w:rPr>
                      <w:rFonts w:hint="eastAsia" w:ascii="Times New Roman" w:hAnsi="Times New Roman" w:cs="Times New Roman"/>
                      <w:color w:val="auto"/>
                      <w:lang w:val="en-US" w:eastAsia="zh-CN"/>
                    </w:rPr>
                    <w:t>）</w:t>
                  </w:r>
                </w:p>
              </w:tc>
              <w:tc>
                <w:tcPr>
                  <w:tcW w:w="775" w:type="dxa"/>
                  <w:vAlign w:val="center"/>
                </w:tcPr>
                <w:p w14:paraId="1F8DB0C5">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1488" w:type="dxa"/>
                  <w:vAlign w:val="center"/>
                </w:tcPr>
                <w:p w14:paraId="39DF86AE">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TN</w:t>
                  </w:r>
                </w:p>
              </w:tc>
              <w:tc>
                <w:tcPr>
                  <w:tcW w:w="1532" w:type="dxa"/>
                  <w:tcBorders>
                    <w:right w:val="nil"/>
                  </w:tcBorders>
                  <w:vAlign w:val="center"/>
                </w:tcPr>
                <w:p w14:paraId="0EFB3025">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1.0</w:t>
                  </w:r>
                </w:p>
              </w:tc>
            </w:tr>
            <w:tr w14:paraId="0C69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2760BA70">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p>
              </w:tc>
              <w:tc>
                <w:tcPr>
                  <w:tcW w:w="1075" w:type="dxa"/>
                  <w:vAlign w:val="center"/>
                </w:tcPr>
                <w:p w14:paraId="5CF9D74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铜</w:t>
                  </w:r>
                </w:p>
              </w:tc>
              <w:tc>
                <w:tcPr>
                  <w:tcW w:w="2134" w:type="dxa"/>
                  <w:vAlign w:val="center"/>
                </w:tcPr>
                <w:p w14:paraId="66548FFD">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1.0</w:t>
                  </w:r>
                </w:p>
              </w:tc>
              <w:tc>
                <w:tcPr>
                  <w:tcW w:w="775" w:type="dxa"/>
                  <w:vAlign w:val="center"/>
                </w:tcPr>
                <w:p w14:paraId="0B50235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488" w:type="dxa"/>
                  <w:vAlign w:val="center"/>
                </w:tcPr>
                <w:p w14:paraId="069DCC6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锌</w:t>
                  </w:r>
                </w:p>
              </w:tc>
              <w:tc>
                <w:tcPr>
                  <w:tcW w:w="1532" w:type="dxa"/>
                  <w:tcBorders>
                    <w:right w:val="nil"/>
                  </w:tcBorders>
                  <w:vAlign w:val="center"/>
                </w:tcPr>
                <w:p w14:paraId="3D73E23C">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1.0</w:t>
                  </w:r>
                </w:p>
              </w:tc>
            </w:tr>
            <w:tr w14:paraId="47F5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630CBB8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w:t>
                  </w:r>
                </w:p>
              </w:tc>
              <w:tc>
                <w:tcPr>
                  <w:tcW w:w="1075" w:type="dxa"/>
                  <w:vAlign w:val="center"/>
                </w:tcPr>
                <w:p w14:paraId="580BE0F9">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氟化物</w:t>
                  </w:r>
                </w:p>
              </w:tc>
              <w:tc>
                <w:tcPr>
                  <w:tcW w:w="2134" w:type="dxa"/>
                  <w:vAlign w:val="center"/>
                </w:tcPr>
                <w:p w14:paraId="1BCEADE2">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1.0</w:t>
                  </w:r>
                </w:p>
              </w:tc>
              <w:tc>
                <w:tcPr>
                  <w:tcW w:w="775" w:type="dxa"/>
                  <w:vAlign w:val="center"/>
                </w:tcPr>
                <w:p w14:paraId="5E23A09D">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1488" w:type="dxa"/>
                  <w:vAlign w:val="center"/>
                </w:tcPr>
                <w:p w14:paraId="15B670CE">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硒</w:t>
                  </w:r>
                </w:p>
              </w:tc>
              <w:tc>
                <w:tcPr>
                  <w:tcW w:w="1532" w:type="dxa"/>
                  <w:tcBorders>
                    <w:right w:val="nil"/>
                  </w:tcBorders>
                  <w:vAlign w:val="center"/>
                </w:tcPr>
                <w:p w14:paraId="27FF403E">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0.01</w:t>
                  </w:r>
                </w:p>
              </w:tc>
            </w:tr>
            <w:tr w14:paraId="607F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674ED3FE">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13</w:t>
                  </w:r>
                </w:p>
              </w:tc>
              <w:tc>
                <w:tcPr>
                  <w:tcW w:w="1075" w:type="dxa"/>
                  <w:vAlign w:val="center"/>
                </w:tcPr>
                <w:p w14:paraId="30D6014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砷</w:t>
                  </w:r>
                </w:p>
              </w:tc>
              <w:tc>
                <w:tcPr>
                  <w:tcW w:w="2134" w:type="dxa"/>
                  <w:vAlign w:val="center"/>
                </w:tcPr>
                <w:p w14:paraId="60333ED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0.05</w:t>
                  </w:r>
                </w:p>
              </w:tc>
              <w:tc>
                <w:tcPr>
                  <w:tcW w:w="775" w:type="dxa"/>
                  <w:vAlign w:val="center"/>
                </w:tcPr>
                <w:p w14:paraId="7A237C4E">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w:t>
                  </w:r>
                </w:p>
              </w:tc>
              <w:tc>
                <w:tcPr>
                  <w:tcW w:w="1488" w:type="dxa"/>
                  <w:vAlign w:val="center"/>
                </w:tcPr>
                <w:p w14:paraId="657D7B4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汞</w:t>
                  </w:r>
                </w:p>
              </w:tc>
              <w:tc>
                <w:tcPr>
                  <w:tcW w:w="1532" w:type="dxa"/>
                  <w:tcBorders>
                    <w:right w:val="nil"/>
                  </w:tcBorders>
                  <w:vAlign w:val="center"/>
                </w:tcPr>
                <w:p w14:paraId="651E5731">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000</w:t>
                  </w:r>
                  <w:r>
                    <w:rPr>
                      <w:rFonts w:hint="default" w:ascii="Times New Roman" w:hAnsi="Times New Roman" w:cs="Times New Roman"/>
                      <w:color w:val="auto"/>
                      <w:lang w:val="en-US" w:eastAsia="zh-CN"/>
                    </w:rPr>
                    <w:t>1</w:t>
                  </w:r>
                </w:p>
              </w:tc>
            </w:tr>
            <w:tr w14:paraId="7E06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283B9AB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1075" w:type="dxa"/>
                  <w:vAlign w:val="center"/>
                </w:tcPr>
                <w:p w14:paraId="080222E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镉</w:t>
                  </w:r>
                </w:p>
              </w:tc>
              <w:tc>
                <w:tcPr>
                  <w:tcW w:w="2134" w:type="dxa"/>
                  <w:vAlign w:val="center"/>
                </w:tcPr>
                <w:p w14:paraId="0F98C88B">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0</w:t>
                  </w:r>
                  <w:r>
                    <w:rPr>
                      <w:rFonts w:hint="default" w:ascii="Times New Roman" w:hAnsi="Times New Roman" w:cs="Times New Roman"/>
                      <w:color w:val="auto"/>
                      <w:lang w:val="en-US" w:eastAsia="zh-CN"/>
                    </w:rPr>
                    <w:t>5</w:t>
                  </w:r>
                </w:p>
              </w:tc>
              <w:tc>
                <w:tcPr>
                  <w:tcW w:w="775" w:type="dxa"/>
                  <w:vAlign w:val="center"/>
                </w:tcPr>
                <w:p w14:paraId="60A3BD1B">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w:t>
                  </w:r>
                </w:p>
              </w:tc>
              <w:tc>
                <w:tcPr>
                  <w:tcW w:w="1488" w:type="dxa"/>
                  <w:vAlign w:val="center"/>
                </w:tcPr>
                <w:p w14:paraId="5F30319D">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Cr</w:t>
                  </w:r>
                  <w:r>
                    <w:rPr>
                      <w:rFonts w:hint="default" w:ascii="Times New Roman" w:hAnsi="Times New Roman" w:cs="Times New Roman"/>
                      <w:color w:val="auto"/>
                      <w:vertAlign w:val="superscript"/>
                      <w:lang w:val="en-US" w:eastAsia="zh-CN"/>
                    </w:rPr>
                    <w:t>6+</w:t>
                  </w:r>
                </w:p>
              </w:tc>
              <w:tc>
                <w:tcPr>
                  <w:tcW w:w="1532" w:type="dxa"/>
                  <w:tcBorders>
                    <w:right w:val="nil"/>
                  </w:tcBorders>
                  <w:vAlign w:val="center"/>
                </w:tcPr>
                <w:p w14:paraId="412BE96D">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0.05</w:t>
                  </w:r>
                </w:p>
              </w:tc>
            </w:tr>
            <w:tr w14:paraId="7EE8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212839A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17</w:t>
                  </w:r>
                </w:p>
              </w:tc>
              <w:tc>
                <w:tcPr>
                  <w:tcW w:w="1075" w:type="dxa"/>
                  <w:vAlign w:val="center"/>
                </w:tcPr>
                <w:p w14:paraId="4D72818D">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铅</w:t>
                  </w:r>
                </w:p>
              </w:tc>
              <w:tc>
                <w:tcPr>
                  <w:tcW w:w="2134" w:type="dxa"/>
                  <w:vAlign w:val="center"/>
                </w:tcPr>
                <w:p w14:paraId="1FD9AB20">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0.05</w:t>
                  </w:r>
                </w:p>
              </w:tc>
              <w:tc>
                <w:tcPr>
                  <w:tcW w:w="775" w:type="dxa"/>
                  <w:vAlign w:val="center"/>
                </w:tcPr>
                <w:p w14:paraId="7AB3443D">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1488" w:type="dxa"/>
                  <w:vAlign w:val="center"/>
                </w:tcPr>
                <w:p w14:paraId="435B16F0">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氰化物</w:t>
                  </w:r>
                </w:p>
              </w:tc>
              <w:tc>
                <w:tcPr>
                  <w:tcW w:w="1532" w:type="dxa"/>
                  <w:tcBorders>
                    <w:right w:val="nil"/>
                  </w:tcBorders>
                  <w:vAlign w:val="center"/>
                </w:tcPr>
                <w:p w14:paraId="0423F34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w:t>
                  </w:r>
                </w:p>
              </w:tc>
            </w:tr>
            <w:tr w14:paraId="18C2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4971E634">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w:t>
                  </w:r>
                </w:p>
              </w:tc>
              <w:tc>
                <w:tcPr>
                  <w:tcW w:w="1075" w:type="dxa"/>
                  <w:vAlign w:val="center"/>
                </w:tcPr>
                <w:p w14:paraId="1D5FAEE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酚</w:t>
                  </w:r>
                </w:p>
              </w:tc>
              <w:tc>
                <w:tcPr>
                  <w:tcW w:w="2134" w:type="dxa"/>
                  <w:vAlign w:val="center"/>
                </w:tcPr>
                <w:p w14:paraId="7B6443F0">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0</w:t>
                  </w:r>
                  <w:r>
                    <w:rPr>
                      <w:rFonts w:hint="default" w:ascii="Times New Roman" w:hAnsi="Times New Roman" w:cs="Times New Roman"/>
                      <w:color w:val="auto"/>
                      <w:lang w:val="en-US" w:eastAsia="zh-CN"/>
                    </w:rPr>
                    <w:t>5</w:t>
                  </w:r>
                </w:p>
              </w:tc>
              <w:tc>
                <w:tcPr>
                  <w:tcW w:w="775" w:type="dxa"/>
                  <w:vAlign w:val="center"/>
                </w:tcPr>
                <w:p w14:paraId="52200B4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1488" w:type="dxa"/>
                  <w:vAlign w:val="center"/>
                </w:tcPr>
                <w:p w14:paraId="6057A396">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石油类</w:t>
                  </w:r>
                </w:p>
              </w:tc>
              <w:tc>
                <w:tcPr>
                  <w:tcW w:w="1532" w:type="dxa"/>
                  <w:tcBorders>
                    <w:right w:val="nil"/>
                  </w:tcBorders>
                  <w:vAlign w:val="center"/>
                </w:tcPr>
                <w:p w14:paraId="0DF7EC71">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0.05</w:t>
                  </w:r>
                </w:p>
              </w:tc>
            </w:tr>
            <w:tr w14:paraId="4A8B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83" w:type="dxa"/>
                  <w:tcBorders>
                    <w:left w:val="nil"/>
                  </w:tcBorders>
                  <w:vAlign w:val="center"/>
                </w:tcPr>
                <w:p w14:paraId="31276B5C">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075" w:type="dxa"/>
                  <w:vAlign w:val="center"/>
                </w:tcPr>
                <w:p w14:paraId="566ABB32">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阴离子表面活性剂</w:t>
                  </w:r>
                </w:p>
              </w:tc>
              <w:tc>
                <w:tcPr>
                  <w:tcW w:w="2134" w:type="dxa"/>
                  <w:vAlign w:val="center"/>
                </w:tcPr>
                <w:p w14:paraId="4F3F8081">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w:t>
                  </w:r>
                </w:p>
              </w:tc>
              <w:tc>
                <w:tcPr>
                  <w:tcW w:w="775" w:type="dxa"/>
                  <w:vAlign w:val="center"/>
                </w:tcPr>
                <w:p w14:paraId="6742A687">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22</w:t>
                  </w:r>
                </w:p>
              </w:tc>
              <w:tc>
                <w:tcPr>
                  <w:tcW w:w="1488" w:type="dxa"/>
                  <w:vAlign w:val="center"/>
                </w:tcPr>
                <w:p w14:paraId="00D522B7">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硫化物</w:t>
                  </w:r>
                </w:p>
              </w:tc>
              <w:tc>
                <w:tcPr>
                  <w:tcW w:w="1532" w:type="dxa"/>
                  <w:tcBorders>
                    <w:right w:val="nil"/>
                  </w:tcBorders>
                  <w:vAlign w:val="center"/>
                </w:tcPr>
                <w:p w14:paraId="4F71FA11">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w:t>
                  </w:r>
                </w:p>
              </w:tc>
            </w:tr>
            <w:tr w14:paraId="723B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left w:val="nil"/>
                  </w:tcBorders>
                  <w:vAlign w:val="center"/>
                </w:tcPr>
                <w:p w14:paraId="2771FAE0">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w:t>
                  </w:r>
                </w:p>
              </w:tc>
              <w:tc>
                <w:tcPr>
                  <w:tcW w:w="1075" w:type="dxa"/>
                  <w:vAlign w:val="center"/>
                </w:tcPr>
                <w:p w14:paraId="32242B93">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粪大肠菌群</w:t>
                  </w:r>
                </w:p>
              </w:tc>
              <w:tc>
                <w:tcPr>
                  <w:tcW w:w="2134" w:type="dxa"/>
                  <w:vAlign w:val="center"/>
                </w:tcPr>
                <w:p w14:paraId="3DE49296">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10000</w:t>
                  </w:r>
                </w:p>
              </w:tc>
              <w:tc>
                <w:tcPr>
                  <w:tcW w:w="775" w:type="dxa"/>
                  <w:vAlign w:val="center"/>
                </w:tcPr>
                <w:p w14:paraId="0E654C8C">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w:t>
                  </w:r>
                </w:p>
              </w:tc>
              <w:tc>
                <w:tcPr>
                  <w:tcW w:w="1488" w:type="dxa"/>
                  <w:vAlign w:val="center"/>
                </w:tcPr>
                <w:p w14:paraId="58E43588">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锰</w:t>
                  </w:r>
                </w:p>
              </w:tc>
              <w:tc>
                <w:tcPr>
                  <w:tcW w:w="1532" w:type="dxa"/>
                  <w:tcBorders>
                    <w:right w:val="nil"/>
                  </w:tcBorders>
                  <w:vAlign w:val="center"/>
                </w:tcPr>
                <w:p w14:paraId="738FB3FC">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w:t>
                  </w:r>
                </w:p>
              </w:tc>
            </w:tr>
            <w:tr w14:paraId="2F81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7" w:type="dxa"/>
                  <w:gridSpan w:val="6"/>
                  <w:tcBorders>
                    <w:left w:val="nil"/>
                    <w:right w:val="nil"/>
                  </w:tcBorders>
                  <w:vAlign w:val="center"/>
                </w:tcPr>
                <w:p w14:paraId="0B13519F">
                  <w:pPr>
                    <w:pStyle w:val="27"/>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单位：</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PH</w:t>
                  </w:r>
                  <w:r>
                    <w:rPr>
                      <w:rFonts w:hint="eastAsia" w:ascii="Times New Roman" w:hAnsi="Times New Roman" w:cs="Times New Roman"/>
                      <w:color w:val="auto"/>
                      <w:lang w:val="en-US" w:eastAsia="zh-CN"/>
                    </w:rPr>
                    <w:t>无量纲；</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、温度：℃；粪大肠菌群个</w:t>
                  </w:r>
                  <w:r>
                    <w:rPr>
                      <w:rFonts w:hint="default" w:ascii="Times New Roman" w:hAnsi="Times New Roman" w:cs="Times New Roman"/>
                      <w:color w:val="auto"/>
                      <w:lang w:val="en-US" w:eastAsia="zh-CN"/>
                    </w:rPr>
                    <w:t>/L</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、其余</w:t>
                  </w:r>
                  <w:r>
                    <w:rPr>
                      <w:rFonts w:hint="default" w:ascii="Times New Roman" w:hAnsi="Times New Roman" w:cs="Times New Roman"/>
                      <w:color w:val="auto"/>
                      <w:lang w:val="en-US" w:eastAsia="zh-CN"/>
                    </w:rPr>
                    <w:t>mg/L</w:t>
                  </w:r>
                  <w:r>
                    <w:rPr>
                      <w:rFonts w:hint="eastAsia" w:ascii="Times New Roman" w:hAnsi="Times New Roman" w:cs="Times New Roman"/>
                      <w:color w:val="auto"/>
                      <w:lang w:val="en-US" w:eastAsia="zh-CN"/>
                    </w:rPr>
                    <w:t>。</w:t>
                  </w:r>
                </w:p>
              </w:tc>
            </w:tr>
          </w:tbl>
          <w:p w14:paraId="5B4F5C4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3.2.2</w:t>
            </w:r>
            <w:r>
              <w:rPr>
                <w:rFonts w:hint="eastAsia" w:ascii="Times New Roman" w:hAnsi="Times New Roman" w:eastAsia="宋体" w:cs="Times New Roman"/>
                <w:b/>
                <w:bCs/>
                <w:color w:val="000000"/>
                <w:kern w:val="0"/>
                <w:sz w:val="24"/>
                <w:szCs w:val="24"/>
                <w:lang w:val="en-US" w:eastAsia="zh-CN" w:bidi="ar"/>
              </w:rPr>
              <w:t>地表水环境质量现状</w:t>
            </w:r>
          </w:p>
          <w:p w14:paraId="2C61FA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（1）地表水体达标分析</w:t>
            </w:r>
          </w:p>
          <w:p w14:paraId="7D0294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2024年玉溪市生态环境状况公报》，2024年，全市17个河流水质监测断面中，水质状况优符合Ⅰ～Ⅱ类标准的断面12个，占70.6%；水质状况良好符合Ⅲ类标准的断面3个，占17.6%。断面水质优良率88.2%；水质状况轻度污染符合Ⅳ类标准断面2个，占11.8%；无中度、重度污染断面。</w:t>
            </w:r>
          </w:p>
          <w:p w14:paraId="2750BB1E">
            <w:pPr>
              <w:pStyle w:val="9"/>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项目属于嘎洒江</w:t>
            </w:r>
            <w:r>
              <w:rPr>
                <w:rFonts w:hint="eastAsia" w:ascii="Times New Roman" w:hAnsi="Times New Roman" w:eastAsia="宋体" w:cs="Times New Roman"/>
                <w:kern w:val="2"/>
                <w:sz w:val="24"/>
                <w:szCs w:val="24"/>
                <w:lang w:val="en-US" w:eastAsia="zh-CN" w:bidi="ar-SA"/>
              </w:rPr>
              <w:t>（元江）</w:t>
            </w:r>
            <w:r>
              <w:rPr>
                <w:rFonts w:hint="default" w:ascii="Times New Roman" w:hAnsi="Times New Roman" w:eastAsia="宋体" w:cs="Times New Roman"/>
                <w:kern w:val="2"/>
                <w:sz w:val="24"/>
                <w:szCs w:val="24"/>
                <w:lang w:val="en-US" w:eastAsia="zh-CN" w:bidi="ar-SA"/>
              </w:rPr>
              <w:t>水流，根据《2024年玉溪市生态环境状况公报》，项目下游</w:t>
            </w:r>
            <w:r>
              <w:rPr>
                <w:rFonts w:hint="eastAsia" w:ascii="Times New Roman" w:hAnsi="Times New Roman" w:eastAsia="宋体" w:cs="Times New Roman"/>
                <w:kern w:val="2"/>
                <w:sz w:val="24"/>
                <w:szCs w:val="24"/>
                <w:lang w:val="en-US" w:eastAsia="zh-CN" w:bidi="ar-SA"/>
              </w:rPr>
              <w:t>居拉里拉大桥（省控断面）</w:t>
            </w:r>
            <w:r>
              <w:rPr>
                <w:rFonts w:hint="default" w:ascii="Times New Roman" w:hAnsi="Times New Roman" w:eastAsia="宋体" w:cs="Times New Roman"/>
                <w:kern w:val="2"/>
                <w:sz w:val="24"/>
                <w:szCs w:val="24"/>
                <w:lang w:val="en-US" w:eastAsia="zh-CN" w:bidi="ar-SA"/>
              </w:rPr>
              <w:t>水质2024年可满足《地表水环境质量标准》</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GB3838-2002</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Ⅱ类标准</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项目所在区域为地表水环境质量达标区。</w:t>
            </w:r>
          </w:p>
          <w:p w14:paraId="44B036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（2）补充监测</w:t>
            </w:r>
          </w:p>
          <w:p w14:paraId="206DAF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本次地表水环境质量现状监测引用《</w:t>
            </w:r>
            <w:r>
              <w:rPr>
                <w:rFonts w:hint="default" w:ascii="Times New Roman" w:hAnsi="Times New Roman" w:eastAsia="宋体" w:cs="Times New Roman"/>
                <w:color w:val="auto"/>
                <w:sz w:val="24"/>
                <w:highlight w:val="none"/>
                <w:lang w:val="en-US" w:eastAsia="zh-CN"/>
              </w:rPr>
              <w:t>云南玉溪仙福钢铁（集团）有限公司配套100万吨/年焦化建设项目</w:t>
            </w:r>
            <w:r>
              <w:rPr>
                <w:rFonts w:hint="eastAsia" w:ascii="Times New Roman" w:hAnsi="Times New Roman" w:eastAsia="宋体" w:cs="Times New Roman"/>
                <w:color w:val="auto"/>
                <w:sz w:val="24"/>
                <w:szCs w:val="24"/>
                <w:highlight w:val="none"/>
                <w:lang w:val="en-US" w:eastAsia="zh-CN"/>
              </w:rPr>
              <w:t>》数据，点位布设及数据有效性可以满足本次评价要求。</w:t>
            </w:r>
          </w:p>
          <w:p w14:paraId="5BCC80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监测项目：</w:t>
            </w:r>
            <w:r>
              <w:rPr>
                <w:rFonts w:hint="default" w:ascii="Times New Roman" w:hAnsi="Times New Roman" w:eastAsia="宋体" w:cs="Times New Roman"/>
                <w:color w:val="auto"/>
                <w:sz w:val="24"/>
                <w:szCs w:val="24"/>
                <w:highlight w:val="none"/>
                <w:lang w:val="en-US" w:eastAsia="zh-CN"/>
              </w:rPr>
              <w:t>pH、SS、溶解氧、高锰酸盐指数、COD、BOD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、氨氮、总磷、总氮、铜、锌、氟化物、硒、砷、汞、镉、六价铬、铅、氰化物、挥发酚、石油类、硫化物、硫酸盐、硝酸盐、氯化物、铁、锰、苯、</w:t>
            </w:r>
            <w:r>
              <w:rPr>
                <w:rFonts w:hint="default" w:ascii="Times New Roman" w:hAnsi="Times New Roman" w:eastAsia="宋体" w:cs="Times New Roman"/>
                <w:color w:val="auto"/>
                <w:sz w:val="24"/>
                <w:szCs w:val="24"/>
                <w:highlight w:val="none"/>
              </w:rPr>
              <w:t>苯并[a]芘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甲苯、荧蒽、苯并（b）荧蒽、苯并（k）荧蒽、苯并（1,2,3-cd）芘、苯并（g,h,i）苝</w:t>
            </w:r>
            <w:r>
              <w:rPr>
                <w:rFonts w:hint="default" w:ascii="Times New Roman" w:hAnsi="Times New Roman" w:eastAsia="宋体" w:cs="Times New Roman"/>
                <w:color w:val="auto"/>
                <w:sz w:val="24"/>
                <w:szCs w:val="24"/>
                <w:highlight w:val="none"/>
                <w:lang w:val="en-US" w:eastAsia="zh-CN"/>
              </w:rPr>
              <w:t>。</w:t>
            </w:r>
          </w:p>
          <w:p w14:paraId="7133B8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w:t>
            </w:r>
            <w:r>
              <w:rPr>
                <w:rFonts w:hint="default" w:ascii="Times New Roman" w:hAnsi="Times New Roman" w:cs="Times New Roman"/>
                <w:color w:val="auto"/>
                <w:sz w:val="24"/>
                <w:szCs w:val="24"/>
                <w:highlight w:val="none"/>
                <w:lang w:val="en-US" w:eastAsia="zh-CN"/>
              </w:rPr>
              <w:t>断面</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项目区上游500m平甸河断面，项目区上游500m化念河断面，项目区下游500m小河底河断面。</w:t>
            </w:r>
          </w:p>
          <w:p w14:paraId="14BA43F9">
            <w:pPr>
              <w:keepNext w:val="0"/>
              <w:keepLines w:val="0"/>
              <w:pageBreakBefore w:val="0"/>
              <w:widowControl w:val="0"/>
              <w:kinsoku/>
              <w:wordWrap/>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监测频次：监测点的采样方法及样品分析方法均按国家环保总局颁布的技术规范及有关规定执行。采样3天，每天一次，采样时间为20</w:t>
            </w:r>
            <w:r>
              <w:rPr>
                <w:rFonts w:hint="default" w:ascii="Times New Roman" w:hAnsi="Times New Roman" w:cs="Times New Roman"/>
                <w:color w:val="auto"/>
                <w:sz w:val="24"/>
                <w:szCs w:val="24"/>
                <w:highlight w:val="none"/>
                <w:lang w:val="en-US"/>
              </w:rPr>
              <w:t>23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rPr>
              <w:t>5</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rPr>
              <w:t>10</w:t>
            </w:r>
            <w:r>
              <w:rPr>
                <w:rFonts w:hint="default" w:ascii="Times New Roman" w:hAnsi="Times New Roman" w:cs="Times New Roman"/>
                <w:color w:val="auto"/>
                <w:sz w:val="24"/>
                <w:szCs w:val="24"/>
                <w:highlight w:val="none"/>
              </w:rPr>
              <w:t>日至</w:t>
            </w:r>
            <w:r>
              <w:rPr>
                <w:rFonts w:hint="default" w:ascii="Times New Roman" w:hAnsi="Times New Roman" w:cs="Times New Roman"/>
                <w:color w:val="auto"/>
                <w:sz w:val="24"/>
                <w:szCs w:val="24"/>
                <w:highlight w:val="none"/>
                <w:lang w:val="en-US"/>
              </w:rPr>
              <w:t>13</w:t>
            </w:r>
            <w:r>
              <w:rPr>
                <w:rFonts w:hint="default" w:ascii="Times New Roman" w:hAnsi="Times New Roman" w:cs="Times New Roman"/>
                <w:color w:val="auto"/>
                <w:sz w:val="24"/>
                <w:szCs w:val="24"/>
                <w:highlight w:val="none"/>
              </w:rPr>
              <w:t>日，共监测三天。</w:t>
            </w:r>
          </w:p>
          <w:p w14:paraId="54CF5E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highlight w:val="none"/>
              </w:rPr>
              <w:t>评价方法：评价采用导则推荐的单项污染指数法，即：</w:t>
            </w:r>
          </w:p>
          <w:p w14:paraId="54FCA20F">
            <w:pPr>
              <w:keepNext w:val="0"/>
              <w:keepLines w:val="0"/>
              <w:pageBreakBefore w:val="0"/>
              <w:widowControl w:val="0"/>
              <w:kinsoku/>
              <w:wordWrap/>
              <w:autoSpaceDE w:val="0"/>
              <w:autoSpaceDN w:val="0"/>
              <w:bidi w:val="0"/>
              <w:adjustRightInd w:val="0"/>
              <w:snapToGrid w:val="0"/>
              <w:spacing w:line="360" w:lineRule="auto"/>
              <w:ind w:firstLine="3000" w:firstLineChars="125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position w:val="-14"/>
                <w:sz w:val="24"/>
                <w:szCs w:val="24"/>
                <w:highlight w:val="none"/>
              </w:rPr>
              <w:object>
                <v:shape id="_x0000_i1028" o:spt="75" type="#_x0000_t75" style="height:21.75pt;width:65.25pt;" o:ole="t" filled="f" o:preferrelative="t" stroked="f" coordsize="21600,21600">
                  <v:path/>
                  <v:fill on="f" focussize="0,0"/>
                  <v:stroke on="f"/>
                  <v:imagedata r:id="rId20" o:title=""/>
                  <o:lock v:ext="edit" aspectratio="t"/>
                  <w10:wrap type="none"/>
                  <w10:anchorlock/>
                </v:shape>
                <o:OLEObject Type="Embed" ProgID="Equation.3" ShapeID="_x0000_i1028" DrawAspect="Content" ObjectID="_1468075728" r:id="rId19">
                  <o:LockedField>false</o:LockedField>
                </o:OLEObject>
              </w:object>
            </w:r>
          </w:p>
          <w:p w14:paraId="68F0DAA1">
            <w:pPr>
              <w:keepNext w:val="0"/>
              <w:keepLines w:val="0"/>
              <w:pageBreakBefore w:val="0"/>
              <w:widowControl w:val="0"/>
              <w:kinsoku/>
              <w:wordWrap/>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式中：S</w:t>
            </w:r>
            <w:r>
              <w:rPr>
                <w:rFonts w:hint="default" w:ascii="Times New Roman" w:hAnsi="Times New Roman" w:cs="Times New Roman"/>
                <w:color w:val="auto"/>
                <w:kern w:val="0"/>
                <w:sz w:val="24"/>
                <w:szCs w:val="24"/>
                <w:highlight w:val="none"/>
                <w:vertAlign w:val="subscript"/>
              </w:rPr>
              <w:t>ij</w:t>
            </w:r>
            <w:r>
              <w:rPr>
                <w:rFonts w:hint="default" w:ascii="Times New Roman" w:hAnsi="Times New Roman" w:cs="Times New Roman"/>
                <w:color w:val="auto"/>
                <w:kern w:val="0"/>
                <w:sz w:val="24"/>
                <w:szCs w:val="24"/>
                <w:highlight w:val="none"/>
              </w:rPr>
              <w:t>――单因子污染指数；</w:t>
            </w:r>
          </w:p>
          <w:p w14:paraId="1A93D81A">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C</w:t>
            </w:r>
            <w:r>
              <w:rPr>
                <w:rFonts w:hint="default" w:ascii="Times New Roman" w:hAnsi="Times New Roman" w:cs="Times New Roman"/>
                <w:color w:val="auto"/>
                <w:kern w:val="0"/>
                <w:sz w:val="24"/>
                <w:szCs w:val="24"/>
                <w:highlight w:val="none"/>
                <w:vertAlign w:val="subscript"/>
              </w:rPr>
              <w:t>ij</w:t>
            </w:r>
            <w:r>
              <w:rPr>
                <w:rFonts w:hint="default" w:ascii="Times New Roman" w:hAnsi="Times New Roman" w:cs="Times New Roman"/>
                <w:color w:val="auto"/>
                <w:kern w:val="0"/>
                <w:sz w:val="24"/>
                <w:szCs w:val="24"/>
                <w:highlight w:val="none"/>
              </w:rPr>
              <w:t>――污染物浓度实测值，mg/L；</w:t>
            </w:r>
          </w:p>
          <w:p w14:paraId="741A8D5F">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C</w:t>
            </w:r>
            <w:r>
              <w:rPr>
                <w:rFonts w:hint="default" w:ascii="Times New Roman" w:hAnsi="Times New Roman" w:cs="Times New Roman"/>
                <w:color w:val="auto"/>
                <w:kern w:val="0"/>
                <w:sz w:val="24"/>
                <w:szCs w:val="24"/>
                <w:highlight w:val="none"/>
                <w:vertAlign w:val="subscript"/>
              </w:rPr>
              <w:t>sj</w:t>
            </w:r>
            <w:r>
              <w:rPr>
                <w:rFonts w:hint="default" w:ascii="Times New Roman" w:hAnsi="Times New Roman" w:cs="Times New Roman"/>
                <w:color w:val="auto"/>
                <w:kern w:val="0"/>
                <w:sz w:val="24"/>
                <w:szCs w:val="24"/>
                <w:highlight w:val="none"/>
              </w:rPr>
              <w:t>――地表水水质标准，mg/L。</w:t>
            </w:r>
          </w:p>
          <w:p w14:paraId="4DC84C91">
            <w:pPr>
              <w:keepNext w:val="0"/>
              <w:keepLines w:val="0"/>
              <w:pageBreakBefore w:val="0"/>
              <w:widowControl w:val="0"/>
              <w:kinsoku/>
              <w:wordWrap/>
              <w:autoSpaceDE w:val="0"/>
              <w:autoSpaceDN w:val="0"/>
              <w:bidi w:val="0"/>
              <w:adjustRightInd w:val="0"/>
              <w:snapToGrid w:val="0"/>
              <w:spacing w:line="360" w:lineRule="auto"/>
              <w:ind w:firstLine="720" w:firstLineChars="3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pH的标准指数为：</w:t>
            </w:r>
          </w:p>
          <w:p w14:paraId="135D3F20">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position w:val="-14"/>
                <w:sz w:val="24"/>
                <w:szCs w:val="24"/>
                <w:highlight w:val="none"/>
              </w:rPr>
              <w:object>
                <v:shape id="_x0000_i1029" o:spt="75" type="#_x0000_t75" style="height:21pt;width:157.6pt;" o:ole="t" filled="f" o:preferrelative="t" stroked="f" coordsize="21600,21600">
                  <v:path/>
                  <v:fill on="f" focussize="0,0"/>
                  <v:stroke on="f"/>
                  <v:imagedata r:id="rId22" o:title=""/>
                  <o:lock v:ext="edit" aspectratio="t"/>
                  <w10:wrap type="none"/>
                  <w10:anchorlock/>
                </v:shape>
                <o:OLEObject Type="Embed" ProgID="Equation.3" ShapeID="_x0000_i1029" DrawAspect="Content" ObjectID="_1468075729" r:id="rId21">
                  <o:LockedField>false</o:LockedField>
                </o:OLEObject>
              </w:object>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 xml:space="preserve">≤7.0    </w:t>
            </w:r>
          </w:p>
          <w:p w14:paraId="3AF01115">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position w:val="-14"/>
                <w:sz w:val="24"/>
                <w:szCs w:val="24"/>
                <w:highlight w:val="none"/>
              </w:rPr>
              <w:object>
                <v:shape id="_x0000_i1030" o:spt="75" type="#_x0000_t75" style="height:21.75pt;width:157.5pt;" o:ole="t" filled="f" o:preferrelative="t" stroked="f" coordsize="21600,21600">
                  <v:path/>
                  <v:fill on="f" focussize="0,0"/>
                  <v:stroke on="f"/>
                  <v:imagedata r:id="rId24" o:title=""/>
                  <o:lock v:ext="edit" aspectratio="t"/>
                  <w10:wrap type="none"/>
                  <w10:anchorlock/>
                </v:shape>
                <o:OLEObject Type="Embed" ProgID="Equation.3" ShapeID="_x0000_i1030" DrawAspect="Content" ObjectID="_1468075730" r:id="rId23">
                  <o:LockedField>false</o:LockedField>
                </o:OLEObject>
              </w:object>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＞7.0</w:t>
            </w:r>
          </w:p>
          <w:p w14:paraId="687C085C">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S</w:t>
            </w:r>
            <w:r>
              <w:rPr>
                <w:rFonts w:hint="default" w:ascii="Times New Roman" w:hAnsi="Times New Roman" w:cs="Times New Roman"/>
                <w:color w:val="auto"/>
                <w:kern w:val="0"/>
                <w:sz w:val="24"/>
                <w:szCs w:val="24"/>
                <w:highlight w:val="none"/>
                <w:vertAlign w:val="subscript"/>
              </w:rPr>
              <w:t>pHj</w:t>
            </w:r>
            <w:r>
              <w:rPr>
                <w:rFonts w:hint="default" w:ascii="Times New Roman" w:hAnsi="Times New Roman" w:cs="Times New Roman"/>
                <w:color w:val="auto"/>
                <w:kern w:val="0"/>
                <w:sz w:val="24"/>
                <w:szCs w:val="24"/>
                <w:highlight w:val="none"/>
              </w:rPr>
              <w:t>――pH单因子污染指数；</w:t>
            </w:r>
          </w:p>
          <w:p w14:paraId="20C1DD4C">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――pH实测值；</w:t>
            </w:r>
          </w:p>
          <w:p w14:paraId="5A58EB48">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sd</w:t>
            </w:r>
            <w:r>
              <w:rPr>
                <w:rFonts w:hint="default" w:ascii="Times New Roman" w:hAnsi="Times New Roman" w:cs="Times New Roman"/>
                <w:color w:val="auto"/>
                <w:kern w:val="0"/>
                <w:sz w:val="24"/>
                <w:szCs w:val="24"/>
                <w:highlight w:val="none"/>
              </w:rPr>
              <w:t>、pH</w:t>
            </w:r>
            <w:r>
              <w:rPr>
                <w:rFonts w:hint="default" w:ascii="Times New Roman" w:hAnsi="Times New Roman" w:cs="Times New Roman"/>
                <w:color w:val="auto"/>
                <w:kern w:val="0"/>
                <w:sz w:val="24"/>
                <w:szCs w:val="24"/>
                <w:highlight w:val="none"/>
                <w:vertAlign w:val="subscript"/>
              </w:rPr>
              <w:t>su</w:t>
            </w:r>
            <w:r>
              <w:rPr>
                <w:rFonts w:hint="default" w:ascii="Times New Roman" w:hAnsi="Times New Roman" w:cs="Times New Roman"/>
                <w:color w:val="auto"/>
                <w:kern w:val="0"/>
                <w:sz w:val="24"/>
                <w:szCs w:val="24"/>
                <w:highlight w:val="none"/>
              </w:rPr>
              <w:t>――标准上限或下限值。</w:t>
            </w:r>
          </w:p>
          <w:p w14:paraId="4242B709">
            <w:pPr>
              <w:pStyle w:val="6"/>
              <w:keepNext w:val="0"/>
              <w:keepLines w:val="0"/>
              <w:pageBreakBefore w:val="0"/>
              <w:widowControl w:val="0"/>
              <w:tabs>
                <w:tab w:val="left" w:pos="540"/>
              </w:tabs>
              <w:kinsoku/>
              <w:wordWrap/>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 xml:space="preserve">  DO</w:t>
            </w:r>
            <w:r>
              <w:rPr>
                <w:rFonts w:hint="default" w:ascii="Times New Roman" w:hAnsi="Times New Roman" w:cs="Times New Roman"/>
                <w:color w:val="auto"/>
                <w:kern w:val="0"/>
                <w:sz w:val="24"/>
                <w:szCs w:val="24"/>
                <w:highlight w:val="none"/>
              </w:rPr>
              <w:t>的标准指数为：</w:t>
            </w:r>
          </w:p>
          <w:p w14:paraId="1A8C0732">
            <w:pPr>
              <w:pStyle w:val="6"/>
              <w:keepNext w:val="0"/>
              <w:keepLines w:val="0"/>
              <w:pageBreakBefore w:val="0"/>
              <w:widowControl w:val="0"/>
              <w:tabs>
                <w:tab w:val="left" w:pos="540"/>
              </w:tabs>
              <w:kinsoku/>
              <w:wordWrap/>
              <w:bidi w:val="0"/>
              <w:adjustRightInd w:val="0"/>
              <w:snapToGrid w:val="0"/>
              <w:spacing w:line="360" w:lineRule="auto"/>
              <w:ind w:right="400"/>
              <w:jc w:val="center"/>
              <w:textAlignment w:val="auto"/>
              <w:rPr>
                <w:rFonts w:hint="default" w:ascii="Times New Roman" w:hAnsi="Times New Roman" w:cs="Times New Roman"/>
                <w:color w:val="auto"/>
                <w:position w:val="-32"/>
                <w:sz w:val="24"/>
                <w:szCs w:val="24"/>
                <w:highlight w:val="none"/>
              </w:rPr>
            </w:pPr>
            <w:r>
              <w:rPr>
                <w:rFonts w:hint="default" w:ascii="Times New Roman" w:hAnsi="Times New Roman" w:cs="Times New Roman"/>
                <w:color w:val="auto"/>
                <w:position w:val="-32"/>
                <w:sz w:val="24"/>
                <w:szCs w:val="24"/>
                <w:highlight w:val="none"/>
              </w:rPr>
              <w:drawing>
                <wp:inline distT="0" distB="0" distL="114300" distR="114300">
                  <wp:extent cx="2134235" cy="504825"/>
                  <wp:effectExtent l="0" t="0" r="18415" b="889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5"/>
                          <a:stretch>
                            <a:fillRect/>
                          </a:stretch>
                        </pic:blipFill>
                        <pic:spPr>
                          <a:xfrm>
                            <a:off x="0" y="0"/>
                            <a:ext cx="2134235" cy="504825"/>
                          </a:xfrm>
                          <a:prstGeom prst="rect">
                            <a:avLst/>
                          </a:prstGeom>
                          <a:noFill/>
                          <a:ln>
                            <a:noFill/>
                          </a:ln>
                        </pic:spPr>
                      </pic:pic>
                    </a:graphicData>
                  </a:graphic>
                </wp:inline>
              </w:drawing>
            </w:r>
          </w:p>
          <w:p w14:paraId="1EC1D4D4">
            <w:pPr>
              <w:pStyle w:val="6"/>
              <w:keepNext w:val="0"/>
              <w:keepLines w:val="0"/>
              <w:pageBreakBefore w:val="0"/>
              <w:widowControl w:val="0"/>
              <w:tabs>
                <w:tab w:val="left" w:pos="540"/>
              </w:tabs>
              <w:kinsoku/>
              <w:wordWrap/>
              <w:bidi w:val="0"/>
              <w:adjustRightInd w:val="0"/>
              <w:snapToGrid w:val="0"/>
              <w:spacing w:line="360" w:lineRule="auto"/>
              <w:ind w:right="4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30"/>
                <w:sz w:val="24"/>
                <w:szCs w:val="24"/>
                <w:highlight w:val="none"/>
              </w:rPr>
              <w:drawing>
                <wp:inline distT="0" distB="0" distL="114300" distR="114300">
                  <wp:extent cx="2011045" cy="457835"/>
                  <wp:effectExtent l="0" t="0" r="8255" b="1841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2011045" cy="457835"/>
                          </a:xfrm>
                          <a:prstGeom prst="rect">
                            <a:avLst/>
                          </a:prstGeom>
                          <a:noFill/>
                          <a:ln>
                            <a:noFill/>
                          </a:ln>
                        </pic:spPr>
                      </pic:pic>
                    </a:graphicData>
                  </a:graphic>
                </wp:inline>
              </w:drawing>
            </w:r>
          </w:p>
          <w:p w14:paraId="34377723">
            <w:pPr>
              <w:pStyle w:val="6"/>
              <w:keepNext w:val="0"/>
              <w:keepLines w:val="0"/>
              <w:pageBreakBefore w:val="0"/>
              <w:widowControl w:val="0"/>
              <w:tabs>
                <w:tab w:val="left" w:pos="540"/>
              </w:tabs>
              <w:kinsoku/>
              <w:wordWrap/>
              <w:bidi w:val="0"/>
              <w:adjustRightInd w:val="0"/>
              <w:snapToGrid w:val="0"/>
              <w:spacing w:line="360" w:lineRule="auto"/>
              <w:ind w:right="400"/>
              <w:jc w:val="center"/>
              <w:textAlignment w:val="auto"/>
              <w:rPr>
                <w:rFonts w:hint="default" w:ascii="Times New Roman" w:hAnsi="Times New Roman" w:cs="Times New Roman"/>
                <w:color w:val="auto"/>
                <w:position w:val="-14"/>
                <w:sz w:val="24"/>
                <w:szCs w:val="24"/>
                <w:highlight w:val="none"/>
              </w:rPr>
            </w:pPr>
            <w:r>
              <w:rPr>
                <w:rFonts w:hint="default" w:ascii="Times New Roman" w:hAnsi="Times New Roman" w:cs="Times New Roman"/>
                <w:color w:val="auto"/>
                <w:position w:val="-14"/>
                <w:sz w:val="24"/>
                <w:szCs w:val="24"/>
                <w:highlight w:val="none"/>
              </w:rPr>
              <w:drawing>
                <wp:inline distT="0" distB="0" distL="114300" distR="114300">
                  <wp:extent cx="1429385" cy="238760"/>
                  <wp:effectExtent l="0" t="0" r="18415" b="762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7"/>
                          <a:stretch>
                            <a:fillRect/>
                          </a:stretch>
                        </pic:blipFill>
                        <pic:spPr>
                          <a:xfrm>
                            <a:off x="0" y="0"/>
                            <a:ext cx="1429385" cy="238760"/>
                          </a:xfrm>
                          <a:prstGeom prst="rect">
                            <a:avLst/>
                          </a:prstGeom>
                          <a:noFill/>
                          <a:ln>
                            <a:noFill/>
                          </a:ln>
                        </pic:spPr>
                      </pic:pic>
                    </a:graphicData>
                  </a:graphic>
                </wp:inline>
              </w:drawing>
            </w:r>
          </w:p>
          <w:p w14:paraId="78BB978B">
            <w:pPr>
              <w:keepNext w:val="0"/>
              <w:keepLines w:val="0"/>
              <w:pageBreakBefore w:val="0"/>
              <w:widowControl w:val="0"/>
              <w:kinsoku/>
              <w:wordWrap/>
              <w:autoSpaceDE w:val="0"/>
              <w:autoSpaceDN w:val="0"/>
              <w:bidi w:val="0"/>
              <w:adjustRightInd w:val="0"/>
              <w:snapToGrid w:val="0"/>
              <w:spacing w:line="360" w:lineRule="auto"/>
              <w:ind w:firstLine="2640" w:firstLineChars="11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i/>
                <w:iCs/>
                <w:color w:val="auto"/>
                <w:kern w:val="0"/>
                <w:sz w:val="24"/>
                <w:szCs w:val="24"/>
                <w:highlight w:val="none"/>
              </w:rPr>
              <w:t>S</w:t>
            </w:r>
            <w:r>
              <w:rPr>
                <w:rFonts w:hint="default" w:ascii="Times New Roman" w:hAnsi="Times New Roman" w:cs="Times New Roman"/>
                <w:i/>
                <w:iCs/>
                <w:color w:val="auto"/>
                <w:kern w:val="0"/>
                <w:sz w:val="24"/>
                <w:szCs w:val="24"/>
                <w:highlight w:val="none"/>
                <w:vertAlign w:val="subscript"/>
              </w:rPr>
              <w:t>DO,j</w:t>
            </w:r>
            <w:r>
              <w:rPr>
                <w:rFonts w:hint="default" w:ascii="Times New Roman" w:hAnsi="Times New Roman" w:cs="Times New Roman"/>
                <w:color w:val="auto"/>
                <w:kern w:val="0"/>
                <w:sz w:val="24"/>
                <w:szCs w:val="24"/>
                <w:highlight w:val="none"/>
              </w:rPr>
              <w:t>――pH单因子污染指数；</w:t>
            </w:r>
          </w:p>
          <w:p w14:paraId="79FCF27F">
            <w:pPr>
              <w:keepNext w:val="0"/>
              <w:keepLines w:val="0"/>
              <w:pageBreakBefore w:val="0"/>
              <w:widowControl w:val="0"/>
              <w:kinsoku/>
              <w:wordWrap/>
              <w:autoSpaceDE w:val="0"/>
              <w:autoSpaceDN w:val="0"/>
              <w:bidi w:val="0"/>
              <w:adjustRightInd w:val="0"/>
              <w:snapToGrid w:val="0"/>
              <w:spacing w:line="360" w:lineRule="auto"/>
              <w:ind w:firstLine="2640" w:firstLineChars="11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i/>
                <w:iCs/>
                <w:color w:val="auto"/>
                <w:kern w:val="0"/>
                <w:sz w:val="24"/>
                <w:szCs w:val="24"/>
                <w:highlight w:val="none"/>
              </w:rPr>
              <w:t>DO</w:t>
            </w:r>
            <w:r>
              <w:rPr>
                <w:rFonts w:hint="default" w:ascii="Times New Roman" w:hAnsi="Times New Roman" w:cs="Times New Roman"/>
                <w:i/>
                <w:iCs/>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――j点溶解氧的实测值；</w:t>
            </w:r>
          </w:p>
          <w:p w14:paraId="36C38A7C">
            <w:pPr>
              <w:keepNext w:val="0"/>
              <w:keepLines w:val="0"/>
              <w:pageBreakBefore w:val="0"/>
              <w:widowControl w:val="0"/>
              <w:kinsoku/>
              <w:wordWrap/>
              <w:autoSpaceDE w:val="0"/>
              <w:autoSpaceDN w:val="0"/>
              <w:bidi w:val="0"/>
              <w:adjustRightInd w:val="0"/>
              <w:snapToGrid w:val="0"/>
              <w:spacing w:line="360" w:lineRule="auto"/>
              <w:ind w:firstLine="2400" w:firstLineChars="10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i/>
                <w:iCs/>
                <w:color w:val="auto"/>
                <w:kern w:val="0"/>
                <w:sz w:val="24"/>
                <w:szCs w:val="24"/>
                <w:highlight w:val="none"/>
              </w:rPr>
              <w:t>DO</w:t>
            </w:r>
            <w:r>
              <w:rPr>
                <w:rFonts w:hint="default" w:ascii="Times New Roman" w:hAnsi="Times New Roman" w:cs="Times New Roman"/>
                <w:i/>
                <w:iCs/>
                <w:color w:val="auto"/>
                <w:kern w:val="0"/>
                <w:sz w:val="24"/>
                <w:szCs w:val="24"/>
                <w:highlight w:val="none"/>
                <w:vertAlign w:val="subscript"/>
              </w:rPr>
              <w:t>f</w:t>
            </w:r>
            <w:r>
              <w:rPr>
                <w:rFonts w:hint="default" w:ascii="Times New Roman" w:hAnsi="Times New Roman" w:cs="Times New Roman"/>
                <w:color w:val="auto"/>
                <w:kern w:val="0"/>
                <w:sz w:val="24"/>
                <w:szCs w:val="24"/>
                <w:highlight w:val="none"/>
              </w:rPr>
              <w:t>――饱和溶解氧浓度。</w:t>
            </w:r>
          </w:p>
          <w:p w14:paraId="662BCA28">
            <w:pPr>
              <w:pStyle w:val="9"/>
              <w:keepNext w:val="0"/>
              <w:keepLines w:val="0"/>
              <w:pageBreakBefore w:val="0"/>
              <w:widowControl w:val="0"/>
              <w:kinsoku/>
              <w:wordWrap/>
              <w:bidi w:val="0"/>
              <w:adjustRightInd w:val="0"/>
              <w:snapToGrid w:val="0"/>
              <w:ind w:firstLine="2640" w:firstLineChars="1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T――水温，℃</w:t>
            </w:r>
          </w:p>
          <w:p w14:paraId="08574A35">
            <w:pPr>
              <w:pStyle w:val="6"/>
              <w:keepNext w:val="0"/>
              <w:keepLines w:val="0"/>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评价标准：</w:t>
            </w:r>
            <w:r>
              <w:rPr>
                <w:rFonts w:hint="default" w:ascii="Times New Roman" w:hAnsi="Times New Roman" w:cs="Times New Roman"/>
                <w:color w:val="auto"/>
                <w:kern w:val="0"/>
                <w:sz w:val="24"/>
                <w:szCs w:val="24"/>
                <w:highlight w:val="none"/>
              </w:rPr>
              <w:t>《地表水环境质量标准（GB3838-2002）》中规定的Ⅲ类</w:t>
            </w:r>
            <w:r>
              <w:rPr>
                <w:rFonts w:hint="default" w:ascii="Times New Roman" w:hAnsi="Times New Roman" w:cs="Times New Roman"/>
                <w:color w:val="auto"/>
                <w:kern w:val="0"/>
                <w:sz w:val="24"/>
                <w:szCs w:val="24"/>
                <w:highlight w:val="none"/>
                <w:lang w:eastAsia="zh-CN"/>
              </w:rPr>
              <w:t>水质标准</w:t>
            </w:r>
            <w:r>
              <w:rPr>
                <w:rFonts w:hint="default" w:ascii="Times New Roman" w:hAnsi="Times New Roman" w:cs="Times New Roman"/>
                <w:color w:val="auto"/>
                <w:kern w:val="0"/>
                <w:sz w:val="24"/>
                <w:szCs w:val="24"/>
                <w:highlight w:val="none"/>
              </w:rPr>
              <w:t>执行。</w:t>
            </w:r>
          </w:p>
          <w:p w14:paraId="270988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经整理归纳后，主要结果列于</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50F6F52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napToGrid w:val="0"/>
                <w:color w:val="auto"/>
                <w:kern w:val="2"/>
                <w:sz w:val="21"/>
                <w:szCs w:val="21"/>
                <w:highlight w:val="none"/>
                <w:lang w:val="en-US" w:eastAsia="zh-CN" w:bidi="ar-SA"/>
              </w:rPr>
            </w:pPr>
            <w:r>
              <w:rPr>
                <w:rFonts w:hint="eastAsia" w:ascii="黑体" w:hAnsi="黑体" w:eastAsia="黑体" w:cs="黑体"/>
                <w:b w:val="0"/>
                <w:bCs w:val="0"/>
                <w:snapToGrid w:val="0"/>
                <w:color w:val="auto"/>
                <w:kern w:val="2"/>
                <w:sz w:val="21"/>
                <w:szCs w:val="21"/>
                <w:highlight w:val="none"/>
                <w:lang w:val="en-US" w:eastAsia="zh-CN" w:bidi="ar-SA"/>
              </w:rPr>
              <w:t>表3-5  引用地表水监测结果 （注：pH无量纲，其余单位均为：mg/L）</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048"/>
              <w:gridCol w:w="791"/>
              <w:gridCol w:w="793"/>
              <w:gridCol w:w="793"/>
              <w:gridCol w:w="793"/>
              <w:gridCol w:w="793"/>
              <w:gridCol w:w="793"/>
              <w:gridCol w:w="793"/>
              <w:gridCol w:w="341"/>
            </w:tblGrid>
            <w:tr w14:paraId="30F79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tcBorders>
                    <w:tl2br w:val="nil"/>
                    <w:tr2bl w:val="nil"/>
                  </w:tcBorders>
                  <w:vAlign w:val="center"/>
                </w:tcPr>
                <w:p w14:paraId="1B7BCB6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w:t>
                  </w:r>
                </w:p>
              </w:tc>
              <w:tc>
                <w:tcPr>
                  <w:tcW w:w="689" w:type="pct"/>
                  <w:tcBorders>
                    <w:tl2br w:val="nil"/>
                    <w:tr2bl w:val="nil"/>
                  </w:tcBorders>
                  <w:vAlign w:val="center"/>
                </w:tcPr>
                <w:p w14:paraId="080EC86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采样日期</w:t>
                  </w:r>
                </w:p>
              </w:tc>
              <w:tc>
                <w:tcPr>
                  <w:tcW w:w="520" w:type="pct"/>
                  <w:tcBorders>
                    <w:tl2br w:val="nil"/>
                    <w:tr2bl w:val="nil"/>
                  </w:tcBorders>
                  <w:vAlign w:val="center"/>
                </w:tcPr>
                <w:p w14:paraId="4356BAE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项目区上游500m平甸河断面（DB01）</w:t>
                  </w:r>
                </w:p>
              </w:tc>
              <w:tc>
                <w:tcPr>
                  <w:tcW w:w="521" w:type="pct"/>
                  <w:tcBorders>
                    <w:tl2br w:val="nil"/>
                    <w:tr2bl w:val="nil"/>
                  </w:tcBorders>
                  <w:vAlign w:val="center"/>
                </w:tcPr>
                <w:p w14:paraId="70FE1FA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项目区上游500m化念河断面（DB02）</w:t>
                  </w:r>
                </w:p>
              </w:tc>
              <w:tc>
                <w:tcPr>
                  <w:tcW w:w="521" w:type="pct"/>
                  <w:tcBorders>
                    <w:tl2br w:val="nil"/>
                    <w:tr2bl w:val="nil"/>
                  </w:tcBorders>
                  <w:vAlign w:val="center"/>
                </w:tcPr>
                <w:p w14:paraId="469AC58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项目区下游500m小河底河断面（DB03）</w:t>
                  </w:r>
                </w:p>
              </w:tc>
              <w:tc>
                <w:tcPr>
                  <w:tcW w:w="521" w:type="pct"/>
                  <w:tcBorders>
                    <w:tl2br w:val="nil"/>
                    <w:tr2bl w:val="nil"/>
                  </w:tcBorders>
                  <w:vAlign w:val="center"/>
                </w:tcPr>
                <w:p w14:paraId="499E354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top"/>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（GB3838－2002）Ⅲ类</w:t>
                  </w:r>
                </w:p>
              </w:tc>
              <w:tc>
                <w:tcPr>
                  <w:tcW w:w="521" w:type="pct"/>
                  <w:tcBorders>
                    <w:tl2br w:val="nil"/>
                    <w:tr2bl w:val="nil"/>
                  </w:tcBorders>
                  <w:vAlign w:val="center"/>
                </w:tcPr>
                <w:p w14:paraId="5B9B939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（DB01）标准指数</w:t>
                  </w:r>
                </w:p>
              </w:tc>
              <w:tc>
                <w:tcPr>
                  <w:tcW w:w="521" w:type="pct"/>
                  <w:tcBorders>
                    <w:tl2br w:val="nil"/>
                    <w:tr2bl w:val="nil"/>
                  </w:tcBorders>
                  <w:vAlign w:val="center"/>
                </w:tcPr>
                <w:p w14:paraId="28934C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（DB02）标准指数</w:t>
                  </w:r>
                </w:p>
              </w:tc>
              <w:tc>
                <w:tcPr>
                  <w:tcW w:w="521" w:type="pct"/>
                  <w:tcBorders>
                    <w:tl2br w:val="nil"/>
                    <w:tr2bl w:val="nil"/>
                  </w:tcBorders>
                  <w:vAlign w:val="center"/>
                </w:tcPr>
                <w:p w14:paraId="260E6FF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（DB03）标准指数</w:t>
                  </w:r>
                </w:p>
              </w:tc>
              <w:tc>
                <w:tcPr>
                  <w:tcW w:w="224" w:type="pct"/>
                  <w:tcBorders>
                    <w:tl2br w:val="nil"/>
                    <w:tr2bl w:val="nil"/>
                  </w:tcBorders>
                  <w:vAlign w:val="center"/>
                </w:tcPr>
                <w:p w14:paraId="26748D2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达标情况</w:t>
                  </w:r>
                </w:p>
              </w:tc>
            </w:tr>
            <w:tr w14:paraId="3D572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7A5EB2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pH</w:t>
                  </w:r>
                </w:p>
              </w:tc>
              <w:tc>
                <w:tcPr>
                  <w:tcW w:w="689" w:type="pct"/>
                  <w:tcBorders>
                    <w:tl2br w:val="nil"/>
                    <w:tr2bl w:val="nil"/>
                  </w:tcBorders>
                  <w:vAlign w:val="center"/>
                </w:tcPr>
                <w:p w14:paraId="17C2BA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6FE0A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7.73</w:t>
                  </w:r>
                </w:p>
              </w:tc>
              <w:tc>
                <w:tcPr>
                  <w:tcW w:w="521" w:type="pct"/>
                  <w:tcBorders>
                    <w:tl2br w:val="nil"/>
                    <w:tr2bl w:val="nil"/>
                  </w:tcBorders>
                  <w:vAlign w:val="center"/>
                </w:tcPr>
                <w:p w14:paraId="593DBD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7.68</w:t>
                  </w:r>
                </w:p>
              </w:tc>
              <w:tc>
                <w:tcPr>
                  <w:tcW w:w="521" w:type="pct"/>
                  <w:tcBorders>
                    <w:tl2br w:val="nil"/>
                    <w:tr2bl w:val="nil"/>
                  </w:tcBorders>
                  <w:vAlign w:val="center"/>
                </w:tcPr>
                <w:p w14:paraId="7FC6E1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7.72</w:t>
                  </w:r>
                </w:p>
              </w:tc>
              <w:tc>
                <w:tcPr>
                  <w:tcW w:w="521" w:type="pct"/>
                  <w:vMerge w:val="restart"/>
                  <w:tcBorders>
                    <w:tl2br w:val="nil"/>
                    <w:tr2bl w:val="nil"/>
                  </w:tcBorders>
                  <w:vAlign w:val="center"/>
                </w:tcPr>
                <w:p w14:paraId="5FCA96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521" w:type="pct"/>
                  <w:tcBorders>
                    <w:tl2br w:val="nil"/>
                    <w:tr2bl w:val="nil"/>
                  </w:tcBorders>
                  <w:vAlign w:val="center"/>
                </w:tcPr>
                <w:p w14:paraId="5A3751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0.365</w:t>
                  </w:r>
                </w:p>
              </w:tc>
              <w:tc>
                <w:tcPr>
                  <w:tcW w:w="521" w:type="pct"/>
                  <w:tcBorders>
                    <w:tl2br w:val="nil"/>
                    <w:tr2bl w:val="nil"/>
                  </w:tcBorders>
                  <w:vAlign w:val="center"/>
                </w:tcPr>
                <w:p w14:paraId="516EC5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0.34</w:t>
                  </w:r>
                </w:p>
              </w:tc>
              <w:tc>
                <w:tcPr>
                  <w:tcW w:w="521" w:type="pct"/>
                  <w:tcBorders>
                    <w:tl2br w:val="nil"/>
                    <w:tr2bl w:val="nil"/>
                  </w:tcBorders>
                  <w:vAlign w:val="center"/>
                </w:tcPr>
                <w:p w14:paraId="48A4AF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0.36</w:t>
                  </w:r>
                </w:p>
              </w:tc>
              <w:tc>
                <w:tcPr>
                  <w:tcW w:w="224" w:type="pct"/>
                  <w:tcBorders>
                    <w:tl2br w:val="nil"/>
                    <w:tr2bl w:val="nil"/>
                  </w:tcBorders>
                  <w:vAlign w:val="center"/>
                </w:tcPr>
                <w:p w14:paraId="0478FF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5012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03EE99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D7BB1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355872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7.75</w:t>
                  </w:r>
                </w:p>
              </w:tc>
              <w:tc>
                <w:tcPr>
                  <w:tcW w:w="521" w:type="pct"/>
                  <w:tcBorders>
                    <w:tl2br w:val="nil"/>
                    <w:tr2bl w:val="nil"/>
                  </w:tcBorders>
                  <w:vAlign w:val="center"/>
                </w:tcPr>
                <w:p w14:paraId="1936F6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7.66</w:t>
                  </w:r>
                </w:p>
              </w:tc>
              <w:tc>
                <w:tcPr>
                  <w:tcW w:w="521" w:type="pct"/>
                  <w:tcBorders>
                    <w:tl2br w:val="nil"/>
                    <w:tr2bl w:val="nil"/>
                  </w:tcBorders>
                  <w:vAlign w:val="center"/>
                </w:tcPr>
                <w:p w14:paraId="0E1B0B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7.69</w:t>
                  </w:r>
                </w:p>
              </w:tc>
              <w:tc>
                <w:tcPr>
                  <w:tcW w:w="521" w:type="pct"/>
                  <w:vMerge w:val="continue"/>
                  <w:tcBorders>
                    <w:tl2br w:val="nil"/>
                    <w:tr2bl w:val="nil"/>
                  </w:tcBorders>
                  <w:vAlign w:val="center"/>
                </w:tcPr>
                <w:p w14:paraId="35E41C4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B35E6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0.375</w:t>
                  </w:r>
                </w:p>
              </w:tc>
              <w:tc>
                <w:tcPr>
                  <w:tcW w:w="521" w:type="pct"/>
                  <w:tcBorders>
                    <w:tl2br w:val="nil"/>
                    <w:tr2bl w:val="nil"/>
                  </w:tcBorders>
                  <w:vAlign w:val="center"/>
                </w:tcPr>
                <w:p w14:paraId="51FAE2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0.33</w:t>
                  </w:r>
                </w:p>
              </w:tc>
              <w:tc>
                <w:tcPr>
                  <w:tcW w:w="521" w:type="pct"/>
                  <w:tcBorders>
                    <w:tl2br w:val="nil"/>
                    <w:tr2bl w:val="nil"/>
                  </w:tcBorders>
                  <w:vAlign w:val="center"/>
                </w:tcPr>
                <w:p w14:paraId="54E4C8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0.345</w:t>
                  </w:r>
                </w:p>
              </w:tc>
              <w:tc>
                <w:tcPr>
                  <w:tcW w:w="224" w:type="pct"/>
                  <w:tcBorders>
                    <w:tl2br w:val="nil"/>
                    <w:tr2bl w:val="nil"/>
                  </w:tcBorders>
                  <w:vAlign w:val="center"/>
                </w:tcPr>
                <w:p w14:paraId="2C2B3C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A625A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1425C2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AB54C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6DAB56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7.71</w:t>
                  </w:r>
                </w:p>
              </w:tc>
              <w:tc>
                <w:tcPr>
                  <w:tcW w:w="521" w:type="pct"/>
                  <w:tcBorders>
                    <w:tl2br w:val="nil"/>
                    <w:tr2bl w:val="nil"/>
                  </w:tcBorders>
                  <w:vAlign w:val="center"/>
                </w:tcPr>
                <w:p w14:paraId="5C70BC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7.69</w:t>
                  </w:r>
                </w:p>
              </w:tc>
              <w:tc>
                <w:tcPr>
                  <w:tcW w:w="521" w:type="pct"/>
                  <w:tcBorders>
                    <w:tl2br w:val="nil"/>
                    <w:tr2bl w:val="nil"/>
                  </w:tcBorders>
                  <w:vAlign w:val="center"/>
                </w:tcPr>
                <w:p w14:paraId="7E2CB3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7.64</w:t>
                  </w:r>
                </w:p>
              </w:tc>
              <w:tc>
                <w:tcPr>
                  <w:tcW w:w="521" w:type="pct"/>
                  <w:vMerge w:val="continue"/>
                  <w:tcBorders>
                    <w:tl2br w:val="nil"/>
                    <w:tr2bl w:val="nil"/>
                  </w:tcBorders>
                  <w:vAlign w:val="center"/>
                </w:tcPr>
                <w:p w14:paraId="6A76CD7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C9124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0.355</w:t>
                  </w:r>
                </w:p>
              </w:tc>
              <w:tc>
                <w:tcPr>
                  <w:tcW w:w="521" w:type="pct"/>
                  <w:tcBorders>
                    <w:tl2br w:val="nil"/>
                    <w:tr2bl w:val="nil"/>
                  </w:tcBorders>
                  <w:vAlign w:val="center"/>
                </w:tcPr>
                <w:p w14:paraId="2243DA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0.345</w:t>
                  </w:r>
                </w:p>
              </w:tc>
              <w:tc>
                <w:tcPr>
                  <w:tcW w:w="521" w:type="pct"/>
                  <w:tcBorders>
                    <w:tl2br w:val="nil"/>
                    <w:tr2bl w:val="nil"/>
                  </w:tcBorders>
                  <w:vAlign w:val="center"/>
                </w:tcPr>
                <w:p w14:paraId="6B1507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0.32</w:t>
                  </w:r>
                </w:p>
              </w:tc>
              <w:tc>
                <w:tcPr>
                  <w:tcW w:w="224" w:type="pct"/>
                  <w:tcBorders>
                    <w:tl2br w:val="nil"/>
                    <w:tr2bl w:val="nil"/>
                  </w:tcBorders>
                  <w:vAlign w:val="center"/>
                </w:tcPr>
                <w:p w14:paraId="2EAD8E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DA963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04312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悬浮物</w:t>
                  </w:r>
                </w:p>
              </w:tc>
              <w:tc>
                <w:tcPr>
                  <w:tcW w:w="689" w:type="pct"/>
                  <w:tcBorders>
                    <w:tl2br w:val="nil"/>
                    <w:tr2bl w:val="nil"/>
                  </w:tcBorders>
                  <w:vAlign w:val="center"/>
                </w:tcPr>
                <w:p w14:paraId="63213D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581BB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539F80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521" w:type="pct"/>
                  <w:tcBorders>
                    <w:tl2br w:val="nil"/>
                    <w:tr2bl w:val="nil"/>
                  </w:tcBorders>
                  <w:vAlign w:val="center"/>
                </w:tcPr>
                <w:p w14:paraId="7834C1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521" w:type="pct"/>
                  <w:vMerge w:val="restart"/>
                  <w:tcBorders>
                    <w:tl2br w:val="nil"/>
                    <w:tr2bl w:val="nil"/>
                  </w:tcBorders>
                  <w:vAlign w:val="center"/>
                </w:tcPr>
                <w:p w14:paraId="08B585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7A0AE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A61E8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428BCF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2DCD10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BE7C7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30ECAB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9B998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4B62A6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521" w:type="pct"/>
                  <w:tcBorders>
                    <w:tl2br w:val="nil"/>
                    <w:tr2bl w:val="nil"/>
                  </w:tcBorders>
                  <w:vAlign w:val="center"/>
                </w:tcPr>
                <w:p w14:paraId="2F3470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21" w:type="pct"/>
                  <w:tcBorders>
                    <w:tl2br w:val="nil"/>
                    <w:tr2bl w:val="nil"/>
                  </w:tcBorders>
                  <w:vAlign w:val="center"/>
                </w:tcPr>
                <w:p w14:paraId="3534FF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521" w:type="pct"/>
                  <w:vMerge w:val="continue"/>
                  <w:tcBorders>
                    <w:tl2br w:val="nil"/>
                    <w:tr2bl w:val="nil"/>
                  </w:tcBorders>
                  <w:vAlign w:val="center"/>
                </w:tcPr>
                <w:p w14:paraId="0E408E1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BCF1D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07859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764C7C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400592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DC64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6B4A7B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4643B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33D61F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521" w:type="pct"/>
                  <w:tcBorders>
                    <w:tl2br w:val="nil"/>
                    <w:tr2bl w:val="nil"/>
                  </w:tcBorders>
                  <w:vAlign w:val="center"/>
                </w:tcPr>
                <w:p w14:paraId="4690604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521" w:type="pct"/>
                  <w:tcBorders>
                    <w:tl2br w:val="nil"/>
                    <w:tr2bl w:val="nil"/>
                  </w:tcBorders>
                  <w:vAlign w:val="center"/>
                </w:tcPr>
                <w:p w14:paraId="616A02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521" w:type="pct"/>
                  <w:vMerge w:val="continue"/>
                  <w:tcBorders>
                    <w:tl2br w:val="nil"/>
                    <w:tr2bl w:val="nil"/>
                  </w:tcBorders>
                  <w:vAlign w:val="center"/>
                </w:tcPr>
                <w:p w14:paraId="4FAFB7B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4E966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34B8A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1902C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5B4EED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5FE63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6DDB8E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溶解氧</w:t>
                  </w:r>
                </w:p>
              </w:tc>
              <w:tc>
                <w:tcPr>
                  <w:tcW w:w="689" w:type="pct"/>
                  <w:tcBorders>
                    <w:tl2br w:val="nil"/>
                    <w:tr2bl w:val="nil"/>
                  </w:tcBorders>
                  <w:vAlign w:val="center"/>
                </w:tcPr>
                <w:p w14:paraId="5637DF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4BA8CD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13.33</w:t>
                  </w:r>
                </w:p>
              </w:tc>
              <w:tc>
                <w:tcPr>
                  <w:tcW w:w="521" w:type="pct"/>
                  <w:tcBorders>
                    <w:tl2br w:val="nil"/>
                    <w:tr2bl w:val="nil"/>
                  </w:tcBorders>
                  <w:vAlign w:val="center"/>
                </w:tcPr>
                <w:p w14:paraId="29E3DB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13.17</w:t>
                  </w:r>
                </w:p>
              </w:tc>
              <w:tc>
                <w:tcPr>
                  <w:tcW w:w="521" w:type="pct"/>
                  <w:tcBorders>
                    <w:tl2br w:val="nil"/>
                    <w:tr2bl w:val="nil"/>
                  </w:tcBorders>
                  <w:vAlign w:val="center"/>
                </w:tcPr>
                <w:p w14:paraId="66EDF5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13.42</w:t>
                  </w:r>
                </w:p>
              </w:tc>
              <w:tc>
                <w:tcPr>
                  <w:tcW w:w="521" w:type="pct"/>
                  <w:vMerge w:val="restart"/>
                  <w:tcBorders>
                    <w:tl2br w:val="nil"/>
                    <w:tr2bl w:val="nil"/>
                  </w:tcBorders>
                  <w:vAlign w:val="center"/>
                </w:tcPr>
                <w:p w14:paraId="19C8D3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21" w:type="pct"/>
                  <w:tcBorders>
                    <w:tl2br w:val="nil"/>
                    <w:tr2bl w:val="nil"/>
                  </w:tcBorders>
                  <w:vAlign w:val="center"/>
                </w:tcPr>
                <w:p w14:paraId="3B4EE9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5D747C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544A62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224" w:type="pct"/>
                  <w:tcBorders>
                    <w:tl2br w:val="nil"/>
                    <w:tr2bl w:val="nil"/>
                  </w:tcBorders>
                  <w:vAlign w:val="center"/>
                </w:tcPr>
                <w:p w14:paraId="52C1B4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6559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2F4837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4586C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ACE6A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13.12</w:t>
                  </w:r>
                </w:p>
              </w:tc>
              <w:tc>
                <w:tcPr>
                  <w:tcW w:w="521" w:type="pct"/>
                  <w:tcBorders>
                    <w:tl2br w:val="nil"/>
                    <w:tr2bl w:val="nil"/>
                  </w:tcBorders>
                  <w:vAlign w:val="center"/>
                </w:tcPr>
                <w:p w14:paraId="0649C9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13.26</w:t>
                  </w:r>
                </w:p>
              </w:tc>
              <w:tc>
                <w:tcPr>
                  <w:tcW w:w="521" w:type="pct"/>
                  <w:tcBorders>
                    <w:tl2br w:val="nil"/>
                    <w:tr2bl w:val="nil"/>
                  </w:tcBorders>
                  <w:vAlign w:val="center"/>
                </w:tcPr>
                <w:p w14:paraId="13A4BB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13.45</w:t>
                  </w:r>
                </w:p>
              </w:tc>
              <w:tc>
                <w:tcPr>
                  <w:tcW w:w="521" w:type="pct"/>
                  <w:vMerge w:val="continue"/>
                  <w:tcBorders>
                    <w:tl2br w:val="nil"/>
                    <w:tr2bl w:val="nil"/>
                  </w:tcBorders>
                  <w:vAlign w:val="center"/>
                </w:tcPr>
                <w:p w14:paraId="3408027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6B4B4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7347D7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42B8AF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224" w:type="pct"/>
                  <w:tcBorders>
                    <w:tl2br w:val="nil"/>
                    <w:tr2bl w:val="nil"/>
                  </w:tcBorders>
                  <w:vAlign w:val="center"/>
                </w:tcPr>
                <w:p w14:paraId="651FD1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6D12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239921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9EA2F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74C2769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13.25</w:t>
                  </w:r>
                </w:p>
              </w:tc>
              <w:tc>
                <w:tcPr>
                  <w:tcW w:w="521" w:type="pct"/>
                  <w:tcBorders>
                    <w:tl2br w:val="nil"/>
                    <w:tr2bl w:val="nil"/>
                  </w:tcBorders>
                  <w:vAlign w:val="center"/>
                </w:tcPr>
                <w:p w14:paraId="5843E1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13.19</w:t>
                  </w:r>
                </w:p>
              </w:tc>
              <w:tc>
                <w:tcPr>
                  <w:tcW w:w="521" w:type="pct"/>
                  <w:tcBorders>
                    <w:tl2br w:val="nil"/>
                    <w:tr2bl w:val="nil"/>
                  </w:tcBorders>
                  <w:vAlign w:val="center"/>
                </w:tcPr>
                <w:p w14:paraId="2AFD89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13.48</w:t>
                  </w:r>
                </w:p>
              </w:tc>
              <w:tc>
                <w:tcPr>
                  <w:tcW w:w="521" w:type="pct"/>
                  <w:vMerge w:val="continue"/>
                  <w:tcBorders>
                    <w:tl2br w:val="nil"/>
                    <w:tr2bl w:val="nil"/>
                  </w:tcBorders>
                  <w:vAlign w:val="center"/>
                </w:tcPr>
                <w:p w14:paraId="1C509FD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B85D7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226013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237F15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224" w:type="pct"/>
                  <w:tcBorders>
                    <w:tl2br w:val="nil"/>
                    <w:tr2bl w:val="nil"/>
                  </w:tcBorders>
                  <w:vAlign w:val="center"/>
                </w:tcPr>
                <w:p w14:paraId="44842D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6478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0052A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高锰酸盐指数</w:t>
                  </w:r>
                </w:p>
              </w:tc>
              <w:tc>
                <w:tcPr>
                  <w:tcW w:w="689" w:type="pct"/>
                  <w:tcBorders>
                    <w:tl2br w:val="nil"/>
                    <w:tr2bl w:val="nil"/>
                  </w:tcBorders>
                  <w:vAlign w:val="center"/>
                </w:tcPr>
                <w:p w14:paraId="1D219D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B2A34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521" w:type="pct"/>
                  <w:tcBorders>
                    <w:tl2br w:val="nil"/>
                    <w:tr2bl w:val="nil"/>
                  </w:tcBorders>
                  <w:vAlign w:val="center"/>
                </w:tcPr>
                <w:p w14:paraId="3EC729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521" w:type="pct"/>
                  <w:tcBorders>
                    <w:tl2br w:val="nil"/>
                    <w:tr2bl w:val="nil"/>
                  </w:tcBorders>
                  <w:vAlign w:val="center"/>
                </w:tcPr>
                <w:p w14:paraId="69FE6B1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521" w:type="pct"/>
                  <w:vMerge w:val="restart"/>
                  <w:tcBorders>
                    <w:tl2br w:val="nil"/>
                    <w:tr2bl w:val="nil"/>
                  </w:tcBorders>
                  <w:vAlign w:val="center"/>
                </w:tcPr>
                <w:p w14:paraId="5847891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521" w:type="pct"/>
                  <w:tcBorders>
                    <w:tl2br w:val="nil"/>
                    <w:tr2bl w:val="nil"/>
                  </w:tcBorders>
                  <w:vAlign w:val="center"/>
                </w:tcPr>
                <w:p w14:paraId="61F1DA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0.63</w:t>
                  </w:r>
                </w:p>
              </w:tc>
              <w:tc>
                <w:tcPr>
                  <w:tcW w:w="521" w:type="pct"/>
                  <w:tcBorders>
                    <w:tl2br w:val="nil"/>
                    <w:tr2bl w:val="nil"/>
                  </w:tcBorders>
                  <w:vAlign w:val="center"/>
                </w:tcPr>
                <w:p w14:paraId="5C1463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2096BC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0.50</w:t>
                  </w:r>
                </w:p>
              </w:tc>
              <w:tc>
                <w:tcPr>
                  <w:tcW w:w="224" w:type="pct"/>
                  <w:tcBorders>
                    <w:tl2br w:val="nil"/>
                    <w:tr2bl w:val="nil"/>
                  </w:tcBorders>
                  <w:vAlign w:val="center"/>
                </w:tcPr>
                <w:p w14:paraId="0BDDE1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DDB0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AF0B59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8BEE7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0F29CD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521" w:type="pct"/>
                  <w:tcBorders>
                    <w:tl2br w:val="nil"/>
                    <w:tr2bl w:val="nil"/>
                  </w:tcBorders>
                  <w:vAlign w:val="center"/>
                </w:tcPr>
                <w:p w14:paraId="549471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521" w:type="pct"/>
                  <w:tcBorders>
                    <w:tl2br w:val="nil"/>
                    <w:tr2bl w:val="nil"/>
                  </w:tcBorders>
                  <w:vAlign w:val="center"/>
                </w:tcPr>
                <w:p w14:paraId="102CE5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521" w:type="pct"/>
                  <w:vMerge w:val="continue"/>
                  <w:tcBorders>
                    <w:tl2br w:val="nil"/>
                    <w:tr2bl w:val="nil"/>
                  </w:tcBorders>
                  <w:vAlign w:val="center"/>
                </w:tcPr>
                <w:p w14:paraId="01DA561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6DEF6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0.68</w:t>
                  </w:r>
                </w:p>
              </w:tc>
              <w:tc>
                <w:tcPr>
                  <w:tcW w:w="521" w:type="pct"/>
                  <w:tcBorders>
                    <w:tl2br w:val="nil"/>
                    <w:tr2bl w:val="nil"/>
                  </w:tcBorders>
                  <w:vAlign w:val="center"/>
                </w:tcPr>
                <w:p w14:paraId="79F14F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521" w:type="pct"/>
                  <w:tcBorders>
                    <w:tl2br w:val="nil"/>
                    <w:tr2bl w:val="nil"/>
                  </w:tcBorders>
                  <w:vAlign w:val="center"/>
                </w:tcPr>
                <w:p w14:paraId="0B1F7D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224" w:type="pct"/>
                  <w:tcBorders>
                    <w:tl2br w:val="nil"/>
                    <w:tr2bl w:val="nil"/>
                  </w:tcBorders>
                  <w:vAlign w:val="center"/>
                </w:tcPr>
                <w:p w14:paraId="4985DF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DFE1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F5112D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9A1D0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2E7FFF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521" w:type="pct"/>
                  <w:tcBorders>
                    <w:tl2br w:val="nil"/>
                    <w:tr2bl w:val="nil"/>
                  </w:tcBorders>
                  <w:vAlign w:val="center"/>
                </w:tcPr>
                <w:p w14:paraId="760A4C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521" w:type="pct"/>
                  <w:tcBorders>
                    <w:tl2br w:val="nil"/>
                    <w:tr2bl w:val="nil"/>
                  </w:tcBorders>
                  <w:vAlign w:val="center"/>
                </w:tcPr>
                <w:p w14:paraId="130661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521" w:type="pct"/>
                  <w:vMerge w:val="continue"/>
                  <w:tcBorders>
                    <w:tl2br w:val="nil"/>
                    <w:tr2bl w:val="nil"/>
                  </w:tcBorders>
                  <w:vAlign w:val="center"/>
                </w:tcPr>
                <w:p w14:paraId="2C0DBDE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99370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521" w:type="pct"/>
                  <w:tcBorders>
                    <w:tl2br w:val="nil"/>
                    <w:tr2bl w:val="nil"/>
                  </w:tcBorders>
                  <w:vAlign w:val="center"/>
                </w:tcPr>
                <w:p w14:paraId="4CE8E1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521" w:type="pct"/>
                  <w:tcBorders>
                    <w:tl2br w:val="nil"/>
                    <w:tr2bl w:val="nil"/>
                  </w:tcBorders>
                  <w:vAlign w:val="center"/>
                </w:tcPr>
                <w:p w14:paraId="75A22A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224" w:type="pct"/>
                  <w:tcBorders>
                    <w:tl2br w:val="nil"/>
                    <w:tr2bl w:val="nil"/>
                  </w:tcBorders>
                  <w:vAlign w:val="center"/>
                </w:tcPr>
                <w:p w14:paraId="4A7EBC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7CB4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287FF4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化学需氧量</w:t>
                  </w:r>
                </w:p>
              </w:tc>
              <w:tc>
                <w:tcPr>
                  <w:tcW w:w="689" w:type="pct"/>
                  <w:tcBorders>
                    <w:tl2br w:val="nil"/>
                    <w:tr2bl w:val="nil"/>
                  </w:tcBorders>
                  <w:vAlign w:val="center"/>
                </w:tcPr>
                <w:p w14:paraId="1B5248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A7F2C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1" w:type="pct"/>
                  <w:tcBorders>
                    <w:tl2br w:val="nil"/>
                    <w:tr2bl w:val="nil"/>
                  </w:tcBorders>
                  <w:vAlign w:val="center"/>
                </w:tcPr>
                <w:p w14:paraId="1E1202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1" w:type="pct"/>
                  <w:tcBorders>
                    <w:tl2br w:val="nil"/>
                    <w:tr2bl w:val="nil"/>
                  </w:tcBorders>
                  <w:vAlign w:val="center"/>
                </w:tcPr>
                <w:p w14:paraId="60E58E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vMerge w:val="restart"/>
                  <w:tcBorders>
                    <w:tl2br w:val="nil"/>
                    <w:tr2bl w:val="nil"/>
                  </w:tcBorders>
                  <w:vAlign w:val="center"/>
                </w:tcPr>
                <w:p w14:paraId="6114BA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521" w:type="pct"/>
                  <w:tcBorders>
                    <w:tl2br w:val="nil"/>
                    <w:tr2bl w:val="nil"/>
                  </w:tcBorders>
                  <w:vAlign w:val="center"/>
                </w:tcPr>
                <w:p w14:paraId="4134A9B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521" w:type="pct"/>
                  <w:tcBorders>
                    <w:tl2br w:val="nil"/>
                    <w:tr2bl w:val="nil"/>
                  </w:tcBorders>
                  <w:vAlign w:val="center"/>
                </w:tcPr>
                <w:p w14:paraId="769E6D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521" w:type="pct"/>
                  <w:tcBorders>
                    <w:tl2br w:val="nil"/>
                    <w:tr2bl w:val="nil"/>
                  </w:tcBorders>
                  <w:vAlign w:val="center"/>
                </w:tcPr>
                <w:p w14:paraId="4C34162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224" w:type="pct"/>
                  <w:tcBorders>
                    <w:tl2br w:val="nil"/>
                    <w:tr2bl w:val="nil"/>
                  </w:tcBorders>
                  <w:vAlign w:val="center"/>
                </w:tcPr>
                <w:p w14:paraId="6FA17D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D875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9487E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71CBC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5DB05C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1" w:type="pct"/>
                  <w:tcBorders>
                    <w:tl2br w:val="nil"/>
                    <w:tr2bl w:val="nil"/>
                  </w:tcBorders>
                  <w:vAlign w:val="center"/>
                </w:tcPr>
                <w:p w14:paraId="3454EA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21" w:type="pct"/>
                  <w:tcBorders>
                    <w:tl2br w:val="nil"/>
                    <w:tr2bl w:val="nil"/>
                  </w:tcBorders>
                  <w:vAlign w:val="center"/>
                </w:tcPr>
                <w:p w14:paraId="7B5ED7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21" w:type="pct"/>
                  <w:vMerge w:val="continue"/>
                  <w:tcBorders>
                    <w:tl2br w:val="nil"/>
                    <w:tr2bl w:val="nil"/>
                  </w:tcBorders>
                  <w:vAlign w:val="center"/>
                </w:tcPr>
                <w:p w14:paraId="6C08229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0DEB17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521" w:type="pct"/>
                  <w:tcBorders>
                    <w:tl2br w:val="nil"/>
                    <w:tr2bl w:val="nil"/>
                  </w:tcBorders>
                  <w:vAlign w:val="center"/>
                </w:tcPr>
                <w:p w14:paraId="47B388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521" w:type="pct"/>
                  <w:tcBorders>
                    <w:tl2br w:val="nil"/>
                    <w:tr2bl w:val="nil"/>
                  </w:tcBorders>
                  <w:vAlign w:val="center"/>
                </w:tcPr>
                <w:p w14:paraId="4EA112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224" w:type="pct"/>
                  <w:tcBorders>
                    <w:tl2br w:val="nil"/>
                    <w:tr2bl w:val="nil"/>
                  </w:tcBorders>
                  <w:vAlign w:val="center"/>
                </w:tcPr>
                <w:p w14:paraId="2CE78B2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DAD8D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FE50F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F1B19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47F75C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521" w:type="pct"/>
                  <w:tcBorders>
                    <w:tl2br w:val="nil"/>
                    <w:tr2bl w:val="nil"/>
                  </w:tcBorders>
                  <w:vAlign w:val="center"/>
                </w:tcPr>
                <w:p w14:paraId="379A3A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1" w:type="pct"/>
                  <w:tcBorders>
                    <w:tl2br w:val="nil"/>
                    <w:tr2bl w:val="nil"/>
                  </w:tcBorders>
                  <w:vAlign w:val="center"/>
                </w:tcPr>
                <w:p w14:paraId="0DA8C2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vMerge w:val="continue"/>
                  <w:tcBorders>
                    <w:tl2br w:val="nil"/>
                    <w:tr2bl w:val="nil"/>
                  </w:tcBorders>
                  <w:vAlign w:val="center"/>
                </w:tcPr>
                <w:p w14:paraId="58B0B5D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5E477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0.8</w:t>
                  </w:r>
                </w:p>
              </w:tc>
              <w:tc>
                <w:tcPr>
                  <w:tcW w:w="521" w:type="pct"/>
                  <w:tcBorders>
                    <w:tl2br w:val="nil"/>
                    <w:tr2bl w:val="nil"/>
                  </w:tcBorders>
                  <w:vAlign w:val="center"/>
                </w:tcPr>
                <w:p w14:paraId="6597A9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521" w:type="pct"/>
                  <w:tcBorders>
                    <w:tl2br w:val="nil"/>
                    <w:tr2bl w:val="nil"/>
                  </w:tcBorders>
                  <w:vAlign w:val="center"/>
                </w:tcPr>
                <w:p w14:paraId="2355D5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224" w:type="pct"/>
                  <w:tcBorders>
                    <w:tl2br w:val="nil"/>
                    <w:tr2bl w:val="nil"/>
                  </w:tcBorders>
                  <w:vAlign w:val="center"/>
                </w:tcPr>
                <w:p w14:paraId="7EC36C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705E6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62C6BB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五日生化需氧量</w:t>
                  </w:r>
                </w:p>
              </w:tc>
              <w:tc>
                <w:tcPr>
                  <w:tcW w:w="689" w:type="pct"/>
                  <w:tcBorders>
                    <w:tl2br w:val="nil"/>
                    <w:tr2bl w:val="nil"/>
                  </w:tcBorders>
                  <w:vAlign w:val="center"/>
                </w:tcPr>
                <w:p w14:paraId="7C378C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74346D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521" w:type="pct"/>
                  <w:tcBorders>
                    <w:tl2br w:val="nil"/>
                    <w:tr2bl w:val="nil"/>
                  </w:tcBorders>
                  <w:vAlign w:val="center"/>
                </w:tcPr>
                <w:p w14:paraId="54C552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521" w:type="pct"/>
                  <w:tcBorders>
                    <w:tl2br w:val="nil"/>
                    <w:tr2bl w:val="nil"/>
                  </w:tcBorders>
                  <w:vAlign w:val="center"/>
                </w:tcPr>
                <w:p w14:paraId="25580F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521" w:type="pct"/>
                  <w:vMerge w:val="restart"/>
                  <w:tcBorders>
                    <w:tl2br w:val="nil"/>
                    <w:tr2bl w:val="nil"/>
                  </w:tcBorders>
                  <w:vAlign w:val="center"/>
                </w:tcPr>
                <w:p w14:paraId="1CEF10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521" w:type="pct"/>
                  <w:tcBorders>
                    <w:tl2br w:val="nil"/>
                    <w:tr2bl w:val="nil"/>
                  </w:tcBorders>
                  <w:vAlign w:val="center"/>
                </w:tcPr>
                <w:p w14:paraId="546D5A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521" w:type="pct"/>
                  <w:tcBorders>
                    <w:tl2br w:val="nil"/>
                    <w:tr2bl w:val="nil"/>
                  </w:tcBorders>
                  <w:vAlign w:val="center"/>
                </w:tcPr>
                <w:p w14:paraId="6098B2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521" w:type="pct"/>
                  <w:tcBorders>
                    <w:tl2br w:val="nil"/>
                    <w:tr2bl w:val="nil"/>
                  </w:tcBorders>
                  <w:vAlign w:val="center"/>
                </w:tcPr>
                <w:p w14:paraId="4C7C40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0.475</w:t>
                  </w:r>
                </w:p>
              </w:tc>
              <w:tc>
                <w:tcPr>
                  <w:tcW w:w="224" w:type="pct"/>
                  <w:tcBorders>
                    <w:tl2br w:val="nil"/>
                    <w:tr2bl w:val="nil"/>
                  </w:tcBorders>
                  <w:vAlign w:val="center"/>
                </w:tcPr>
                <w:p w14:paraId="1C5967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FDDA6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7ADBC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EDCC5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6E65C1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521" w:type="pct"/>
                  <w:tcBorders>
                    <w:tl2br w:val="nil"/>
                    <w:tr2bl w:val="nil"/>
                  </w:tcBorders>
                  <w:vAlign w:val="center"/>
                </w:tcPr>
                <w:p w14:paraId="21A90D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521" w:type="pct"/>
                  <w:tcBorders>
                    <w:tl2br w:val="nil"/>
                    <w:tr2bl w:val="nil"/>
                  </w:tcBorders>
                  <w:vAlign w:val="center"/>
                </w:tcPr>
                <w:p w14:paraId="57006A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521" w:type="pct"/>
                  <w:vMerge w:val="continue"/>
                  <w:tcBorders>
                    <w:tl2br w:val="nil"/>
                    <w:tr2bl w:val="nil"/>
                  </w:tcBorders>
                  <w:vAlign w:val="center"/>
                </w:tcPr>
                <w:p w14:paraId="5CBB24A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9751E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521" w:type="pct"/>
                  <w:tcBorders>
                    <w:tl2br w:val="nil"/>
                    <w:tr2bl w:val="nil"/>
                  </w:tcBorders>
                  <w:vAlign w:val="center"/>
                </w:tcPr>
                <w:p w14:paraId="59BE12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0.575</w:t>
                  </w:r>
                </w:p>
              </w:tc>
              <w:tc>
                <w:tcPr>
                  <w:tcW w:w="521" w:type="pct"/>
                  <w:tcBorders>
                    <w:tl2br w:val="nil"/>
                    <w:tr2bl w:val="nil"/>
                  </w:tcBorders>
                  <w:vAlign w:val="center"/>
                </w:tcPr>
                <w:p w14:paraId="30FF94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0.525</w:t>
                  </w:r>
                </w:p>
              </w:tc>
              <w:tc>
                <w:tcPr>
                  <w:tcW w:w="224" w:type="pct"/>
                  <w:tcBorders>
                    <w:tl2br w:val="nil"/>
                    <w:tr2bl w:val="nil"/>
                  </w:tcBorders>
                  <w:vAlign w:val="center"/>
                </w:tcPr>
                <w:p w14:paraId="39D158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1E32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12E87C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E9E78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118C91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521" w:type="pct"/>
                  <w:tcBorders>
                    <w:tl2br w:val="nil"/>
                    <w:tr2bl w:val="nil"/>
                  </w:tcBorders>
                  <w:vAlign w:val="center"/>
                </w:tcPr>
                <w:p w14:paraId="624446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521" w:type="pct"/>
                  <w:tcBorders>
                    <w:tl2br w:val="nil"/>
                    <w:tr2bl w:val="nil"/>
                  </w:tcBorders>
                  <w:vAlign w:val="center"/>
                </w:tcPr>
                <w:p w14:paraId="336525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21" w:type="pct"/>
                  <w:vMerge w:val="continue"/>
                  <w:tcBorders>
                    <w:tl2br w:val="nil"/>
                    <w:tr2bl w:val="nil"/>
                  </w:tcBorders>
                  <w:vAlign w:val="center"/>
                </w:tcPr>
                <w:p w14:paraId="69A116E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FCFE4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521" w:type="pct"/>
                  <w:tcBorders>
                    <w:tl2br w:val="nil"/>
                    <w:tr2bl w:val="nil"/>
                  </w:tcBorders>
                  <w:vAlign w:val="center"/>
                </w:tcPr>
                <w:p w14:paraId="63AC51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521" w:type="pct"/>
                  <w:tcBorders>
                    <w:tl2br w:val="nil"/>
                    <w:tr2bl w:val="nil"/>
                  </w:tcBorders>
                  <w:vAlign w:val="center"/>
                </w:tcPr>
                <w:p w14:paraId="2FE1E6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224" w:type="pct"/>
                  <w:tcBorders>
                    <w:tl2br w:val="nil"/>
                    <w:tr2bl w:val="nil"/>
                  </w:tcBorders>
                  <w:vAlign w:val="center"/>
                </w:tcPr>
                <w:p w14:paraId="2F8A52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DEB1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40B028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氨氮</w:t>
                  </w:r>
                </w:p>
              </w:tc>
              <w:tc>
                <w:tcPr>
                  <w:tcW w:w="689" w:type="pct"/>
                  <w:tcBorders>
                    <w:tl2br w:val="nil"/>
                    <w:tr2bl w:val="nil"/>
                  </w:tcBorders>
                  <w:vAlign w:val="center"/>
                </w:tcPr>
                <w:p w14:paraId="7B19EF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181377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0.144</w:t>
                  </w:r>
                </w:p>
              </w:tc>
              <w:tc>
                <w:tcPr>
                  <w:tcW w:w="521" w:type="pct"/>
                  <w:tcBorders>
                    <w:tl2br w:val="nil"/>
                    <w:tr2bl w:val="nil"/>
                  </w:tcBorders>
                  <w:vAlign w:val="center"/>
                </w:tcPr>
                <w:p w14:paraId="7F09B0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0.077</w:t>
                  </w:r>
                </w:p>
              </w:tc>
              <w:tc>
                <w:tcPr>
                  <w:tcW w:w="521" w:type="pct"/>
                  <w:tcBorders>
                    <w:tl2br w:val="nil"/>
                    <w:tr2bl w:val="nil"/>
                  </w:tcBorders>
                  <w:vAlign w:val="center"/>
                </w:tcPr>
                <w:p w14:paraId="13A844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0.117</w:t>
                  </w:r>
                </w:p>
              </w:tc>
              <w:tc>
                <w:tcPr>
                  <w:tcW w:w="521" w:type="pct"/>
                  <w:vMerge w:val="restart"/>
                  <w:tcBorders>
                    <w:tl2br w:val="nil"/>
                    <w:tr2bl w:val="nil"/>
                  </w:tcBorders>
                  <w:vAlign w:val="center"/>
                </w:tcPr>
                <w:p w14:paraId="2E5894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7219E9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0.144</w:t>
                  </w:r>
                </w:p>
              </w:tc>
              <w:tc>
                <w:tcPr>
                  <w:tcW w:w="521" w:type="pct"/>
                  <w:tcBorders>
                    <w:tl2br w:val="nil"/>
                    <w:tr2bl w:val="nil"/>
                  </w:tcBorders>
                  <w:vAlign w:val="center"/>
                </w:tcPr>
                <w:p w14:paraId="0877861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0.077</w:t>
                  </w:r>
                </w:p>
              </w:tc>
              <w:tc>
                <w:tcPr>
                  <w:tcW w:w="521" w:type="pct"/>
                  <w:tcBorders>
                    <w:tl2br w:val="nil"/>
                    <w:tr2bl w:val="nil"/>
                  </w:tcBorders>
                  <w:vAlign w:val="center"/>
                </w:tcPr>
                <w:p w14:paraId="762F3F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0.117</w:t>
                  </w:r>
                </w:p>
              </w:tc>
              <w:tc>
                <w:tcPr>
                  <w:tcW w:w="224" w:type="pct"/>
                  <w:tcBorders>
                    <w:tl2br w:val="nil"/>
                    <w:tr2bl w:val="nil"/>
                  </w:tcBorders>
                  <w:vAlign w:val="center"/>
                </w:tcPr>
                <w:p w14:paraId="69605C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B084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A0E15E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B8A3B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1D94D4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521" w:type="pct"/>
                  <w:tcBorders>
                    <w:tl2br w:val="nil"/>
                    <w:tr2bl w:val="nil"/>
                  </w:tcBorders>
                  <w:vAlign w:val="center"/>
                </w:tcPr>
                <w:p w14:paraId="3C2CF1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0.086</w:t>
                  </w:r>
                </w:p>
              </w:tc>
              <w:tc>
                <w:tcPr>
                  <w:tcW w:w="521" w:type="pct"/>
                  <w:tcBorders>
                    <w:tl2br w:val="nil"/>
                    <w:tr2bl w:val="nil"/>
                  </w:tcBorders>
                  <w:vAlign w:val="center"/>
                </w:tcPr>
                <w:p w14:paraId="67DC3B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521" w:type="pct"/>
                  <w:vMerge w:val="continue"/>
                  <w:tcBorders>
                    <w:tl2br w:val="nil"/>
                    <w:tr2bl w:val="nil"/>
                  </w:tcBorders>
                  <w:vAlign w:val="center"/>
                </w:tcPr>
                <w:p w14:paraId="05C7BA2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4A518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521" w:type="pct"/>
                  <w:tcBorders>
                    <w:tl2br w:val="nil"/>
                    <w:tr2bl w:val="nil"/>
                  </w:tcBorders>
                  <w:vAlign w:val="center"/>
                </w:tcPr>
                <w:p w14:paraId="472268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0.086</w:t>
                  </w:r>
                </w:p>
              </w:tc>
              <w:tc>
                <w:tcPr>
                  <w:tcW w:w="521" w:type="pct"/>
                  <w:tcBorders>
                    <w:tl2br w:val="nil"/>
                    <w:tr2bl w:val="nil"/>
                  </w:tcBorders>
                  <w:vAlign w:val="center"/>
                </w:tcPr>
                <w:p w14:paraId="7667C8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224" w:type="pct"/>
                  <w:tcBorders>
                    <w:tl2br w:val="nil"/>
                    <w:tr2bl w:val="nil"/>
                  </w:tcBorders>
                  <w:vAlign w:val="center"/>
                </w:tcPr>
                <w:p w14:paraId="13B0E0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5CEB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779716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5BA8E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5F3F0D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0.158</w:t>
                  </w:r>
                </w:p>
              </w:tc>
              <w:tc>
                <w:tcPr>
                  <w:tcW w:w="521" w:type="pct"/>
                  <w:tcBorders>
                    <w:tl2br w:val="nil"/>
                    <w:tr2bl w:val="nil"/>
                  </w:tcBorders>
                  <w:vAlign w:val="center"/>
                </w:tcPr>
                <w:p w14:paraId="714A55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0.068</w:t>
                  </w:r>
                </w:p>
              </w:tc>
              <w:tc>
                <w:tcPr>
                  <w:tcW w:w="521" w:type="pct"/>
                  <w:tcBorders>
                    <w:tl2br w:val="nil"/>
                    <w:tr2bl w:val="nil"/>
                  </w:tcBorders>
                  <w:vAlign w:val="center"/>
                </w:tcPr>
                <w:p w14:paraId="3C2164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0.112</w:t>
                  </w:r>
                </w:p>
              </w:tc>
              <w:tc>
                <w:tcPr>
                  <w:tcW w:w="521" w:type="pct"/>
                  <w:vMerge w:val="continue"/>
                  <w:tcBorders>
                    <w:tl2br w:val="nil"/>
                    <w:tr2bl w:val="nil"/>
                  </w:tcBorders>
                  <w:vAlign w:val="center"/>
                </w:tcPr>
                <w:p w14:paraId="508C8F6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F4C8E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0.158</w:t>
                  </w:r>
                </w:p>
              </w:tc>
              <w:tc>
                <w:tcPr>
                  <w:tcW w:w="521" w:type="pct"/>
                  <w:tcBorders>
                    <w:tl2br w:val="nil"/>
                    <w:tr2bl w:val="nil"/>
                  </w:tcBorders>
                  <w:vAlign w:val="center"/>
                </w:tcPr>
                <w:p w14:paraId="5DC543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0.068</w:t>
                  </w:r>
                </w:p>
              </w:tc>
              <w:tc>
                <w:tcPr>
                  <w:tcW w:w="521" w:type="pct"/>
                  <w:tcBorders>
                    <w:tl2br w:val="nil"/>
                    <w:tr2bl w:val="nil"/>
                  </w:tcBorders>
                  <w:vAlign w:val="center"/>
                </w:tcPr>
                <w:p w14:paraId="6ADAF1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0.112</w:t>
                  </w:r>
                </w:p>
              </w:tc>
              <w:tc>
                <w:tcPr>
                  <w:tcW w:w="224" w:type="pct"/>
                  <w:tcBorders>
                    <w:tl2br w:val="nil"/>
                    <w:tr2bl w:val="nil"/>
                  </w:tcBorders>
                  <w:vAlign w:val="center"/>
                </w:tcPr>
                <w:p w14:paraId="6DEC26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60FBB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643524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总磷</w:t>
                  </w:r>
                </w:p>
              </w:tc>
              <w:tc>
                <w:tcPr>
                  <w:tcW w:w="689" w:type="pct"/>
                  <w:tcBorders>
                    <w:tl2br w:val="nil"/>
                    <w:tr2bl w:val="nil"/>
                  </w:tcBorders>
                  <w:vAlign w:val="center"/>
                </w:tcPr>
                <w:p w14:paraId="18D3BD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A006F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5ABA7C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521" w:type="pct"/>
                  <w:tcBorders>
                    <w:tl2br w:val="nil"/>
                    <w:tr2bl w:val="nil"/>
                  </w:tcBorders>
                  <w:vAlign w:val="center"/>
                </w:tcPr>
                <w:p w14:paraId="6CFB17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521" w:type="pct"/>
                  <w:vMerge w:val="restart"/>
                  <w:tcBorders>
                    <w:tl2br w:val="nil"/>
                    <w:tr2bl w:val="nil"/>
                  </w:tcBorders>
                  <w:vAlign w:val="center"/>
                </w:tcPr>
                <w:p w14:paraId="2038A3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0B5E40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0.25</w:t>
                  </w:r>
                </w:p>
              </w:tc>
              <w:tc>
                <w:tcPr>
                  <w:tcW w:w="521" w:type="pct"/>
                  <w:tcBorders>
                    <w:tl2br w:val="nil"/>
                    <w:tr2bl w:val="nil"/>
                  </w:tcBorders>
                  <w:vAlign w:val="center"/>
                </w:tcPr>
                <w:p w14:paraId="23AA46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521" w:type="pct"/>
                  <w:tcBorders>
                    <w:tl2br w:val="nil"/>
                    <w:tr2bl w:val="nil"/>
                  </w:tcBorders>
                  <w:vAlign w:val="center"/>
                </w:tcPr>
                <w:p w14:paraId="67E457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0.15</w:t>
                  </w:r>
                </w:p>
              </w:tc>
              <w:tc>
                <w:tcPr>
                  <w:tcW w:w="224" w:type="pct"/>
                  <w:tcBorders>
                    <w:tl2br w:val="nil"/>
                    <w:tr2bl w:val="nil"/>
                  </w:tcBorders>
                  <w:vAlign w:val="center"/>
                </w:tcPr>
                <w:p w14:paraId="3CB459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B6C29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0DFB894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EB6D24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166C8D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w:t>
                  </w:r>
                </w:p>
              </w:tc>
              <w:tc>
                <w:tcPr>
                  <w:tcW w:w="521" w:type="pct"/>
                  <w:tcBorders>
                    <w:tl2br w:val="nil"/>
                    <w:tr2bl w:val="nil"/>
                  </w:tcBorders>
                  <w:vAlign w:val="center"/>
                </w:tcPr>
                <w:p w14:paraId="2141E6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0.13</w:t>
                  </w:r>
                </w:p>
              </w:tc>
              <w:tc>
                <w:tcPr>
                  <w:tcW w:w="521" w:type="pct"/>
                  <w:tcBorders>
                    <w:tl2br w:val="nil"/>
                    <w:tr2bl w:val="nil"/>
                  </w:tcBorders>
                  <w:vAlign w:val="center"/>
                </w:tcPr>
                <w:p w14:paraId="7C0C3A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521" w:type="pct"/>
                  <w:vMerge w:val="continue"/>
                  <w:tcBorders>
                    <w:tl2br w:val="nil"/>
                    <w:tr2bl w:val="nil"/>
                  </w:tcBorders>
                  <w:vAlign w:val="center"/>
                </w:tcPr>
                <w:p w14:paraId="5ECFA4F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9EE9F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0.35</w:t>
                  </w:r>
                </w:p>
              </w:tc>
              <w:tc>
                <w:tcPr>
                  <w:tcW w:w="521" w:type="pct"/>
                  <w:tcBorders>
                    <w:tl2br w:val="nil"/>
                    <w:tr2bl w:val="nil"/>
                  </w:tcBorders>
                  <w:vAlign w:val="center"/>
                </w:tcPr>
                <w:p w14:paraId="00F571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521" w:type="pct"/>
                  <w:tcBorders>
                    <w:tl2br w:val="nil"/>
                    <w:tr2bl w:val="nil"/>
                  </w:tcBorders>
                  <w:vAlign w:val="center"/>
                </w:tcPr>
                <w:p w14:paraId="5E951E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224" w:type="pct"/>
                  <w:tcBorders>
                    <w:tl2br w:val="nil"/>
                    <w:tr2bl w:val="nil"/>
                  </w:tcBorders>
                  <w:vAlign w:val="center"/>
                </w:tcPr>
                <w:p w14:paraId="739CD7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718AE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2B0C3D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35655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2F11FF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713A3C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521" w:type="pct"/>
                  <w:tcBorders>
                    <w:tl2br w:val="nil"/>
                    <w:tr2bl w:val="nil"/>
                  </w:tcBorders>
                  <w:vAlign w:val="center"/>
                </w:tcPr>
                <w:p w14:paraId="6ADE62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521" w:type="pct"/>
                  <w:vMerge w:val="continue"/>
                  <w:tcBorders>
                    <w:tl2br w:val="nil"/>
                    <w:tr2bl w:val="nil"/>
                  </w:tcBorders>
                  <w:vAlign w:val="center"/>
                </w:tcPr>
                <w:p w14:paraId="4603AAD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058FF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0.25</w:t>
                  </w:r>
                </w:p>
              </w:tc>
              <w:tc>
                <w:tcPr>
                  <w:tcW w:w="521" w:type="pct"/>
                  <w:tcBorders>
                    <w:tl2br w:val="nil"/>
                    <w:tr2bl w:val="nil"/>
                  </w:tcBorders>
                  <w:vAlign w:val="center"/>
                </w:tcPr>
                <w:p w14:paraId="19A857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521" w:type="pct"/>
                  <w:tcBorders>
                    <w:tl2br w:val="nil"/>
                    <w:tr2bl w:val="nil"/>
                  </w:tcBorders>
                  <w:vAlign w:val="center"/>
                </w:tcPr>
                <w:p w14:paraId="4BE9CD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224" w:type="pct"/>
                  <w:tcBorders>
                    <w:tl2br w:val="nil"/>
                    <w:tr2bl w:val="nil"/>
                  </w:tcBorders>
                  <w:vAlign w:val="center"/>
                </w:tcPr>
                <w:p w14:paraId="1D6A96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D2789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66BF64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总氮</w:t>
                  </w:r>
                </w:p>
              </w:tc>
              <w:tc>
                <w:tcPr>
                  <w:tcW w:w="689" w:type="pct"/>
                  <w:tcBorders>
                    <w:tl2br w:val="nil"/>
                    <w:tr2bl w:val="nil"/>
                  </w:tcBorders>
                  <w:vAlign w:val="center"/>
                </w:tcPr>
                <w:p w14:paraId="24E514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70B745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521" w:type="pct"/>
                  <w:tcBorders>
                    <w:tl2br w:val="nil"/>
                    <w:tr2bl w:val="nil"/>
                  </w:tcBorders>
                  <w:vAlign w:val="center"/>
                </w:tcPr>
                <w:p w14:paraId="202519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521" w:type="pct"/>
                  <w:tcBorders>
                    <w:tl2br w:val="nil"/>
                    <w:tr2bl w:val="nil"/>
                  </w:tcBorders>
                  <w:vAlign w:val="center"/>
                </w:tcPr>
                <w:p w14:paraId="695B9D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0.86</w:t>
                  </w:r>
                </w:p>
              </w:tc>
              <w:tc>
                <w:tcPr>
                  <w:tcW w:w="521" w:type="pct"/>
                  <w:vMerge w:val="restart"/>
                  <w:tcBorders>
                    <w:tl2br w:val="nil"/>
                    <w:tr2bl w:val="nil"/>
                  </w:tcBorders>
                  <w:vAlign w:val="center"/>
                </w:tcPr>
                <w:p w14:paraId="254AE2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76F088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521" w:type="pct"/>
                  <w:tcBorders>
                    <w:tl2br w:val="nil"/>
                    <w:tr2bl w:val="nil"/>
                  </w:tcBorders>
                  <w:vAlign w:val="center"/>
                </w:tcPr>
                <w:p w14:paraId="118677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521" w:type="pct"/>
                  <w:tcBorders>
                    <w:tl2br w:val="nil"/>
                    <w:tr2bl w:val="nil"/>
                  </w:tcBorders>
                  <w:vAlign w:val="center"/>
                </w:tcPr>
                <w:p w14:paraId="67091E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0.86</w:t>
                  </w:r>
                </w:p>
              </w:tc>
              <w:tc>
                <w:tcPr>
                  <w:tcW w:w="224" w:type="pct"/>
                  <w:tcBorders>
                    <w:tl2br w:val="nil"/>
                    <w:tr2bl w:val="nil"/>
                  </w:tcBorders>
                  <w:vAlign w:val="center"/>
                </w:tcPr>
                <w:p w14:paraId="71664F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A4BA9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987A04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2D399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373E71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0.91</w:t>
                  </w:r>
                </w:p>
              </w:tc>
              <w:tc>
                <w:tcPr>
                  <w:tcW w:w="521" w:type="pct"/>
                  <w:tcBorders>
                    <w:tl2br w:val="nil"/>
                    <w:tr2bl w:val="nil"/>
                  </w:tcBorders>
                  <w:vAlign w:val="center"/>
                </w:tcPr>
                <w:p w14:paraId="3A9D81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0.82</w:t>
                  </w:r>
                </w:p>
              </w:tc>
              <w:tc>
                <w:tcPr>
                  <w:tcW w:w="521" w:type="pct"/>
                  <w:tcBorders>
                    <w:tl2br w:val="nil"/>
                    <w:tr2bl w:val="nil"/>
                  </w:tcBorders>
                  <w:vAlign w:val="center"/>
                </w:tcPr>
                <w:p w14:paraId="6EA591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521" w:type="pct"/>
                  <w:vMerge w:val="continue"/>
                  <w:tcBorders>
                    <w:tl2br w:val="nil"/>
                    <w:tr2bl w:val="nil"/>
                  </w:tcBorders>
                  <w:vAlign w:val="center"/>
                </w:tcPr>
                <w:p w14:paraId="1C68FAF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C966D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0.91</w:t>
                  </w:r>
                </w:p>
              </w:tc>
              <w:tc>
                <w:tcPr>
                  <w:tcW w:w="521" w:type="pct"/>
                  <w:tcBorders>
                    <w:tl2br w:val="nil"/>
                    <w:tr2bl w:val="nil"/>
                  </w:tcBorders>
                  <w:vAlign w:val="center"/>
                </w:tcPr>
                <w:p w14:paraId="25F0E2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0.82</w:t>
                  </w:r>
                </w:p>
              </w:tc>
              <w:tc>
                <w:tcPr>
                  <w:tcW w:w="521" w:type="pct"/>
                  <w:tcBorders>
                    <w:tl2br w:val="nil"/>
                    <w:tr2bl w:val="nil"/>
                  </w:tcBorders>
                  <w:vAlign w:val="center"/>
                </w:tcPr>
                <w:p w14:paraId="7A96D4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224" w:type="pct"/>
                  <w:tcBorders>
                    <w:tl2br w:val="nil"/>
                    <w:tr2bl w:val="nil"/>
                  </w:tcBorders>
                  <w:vAlign w:val="center"/>
                </w:tcPr>
                <w:p w14:paraId="79D041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A99F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36D56D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846A2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5DA71E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0.93</w:t>
                  </w:r>
                </w:p>
              </w:tc>
              <w:tc>
                <w:tcPr>
                  <w:tcW w:w="521" w:type="pct"/>
                  <w:tcBorders>
                    <w:tl2br w:val="nil"/>
                    <w:tr2bl w:val="nil"/>
                  </w:tcBorders>
                  <w:vAlign w:val="center"/>
                </w:tcPr>
                <w:p w14:paraId="7BA72F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0.79</w:t>
                  </w:r>
                </w:p>
              </w:tc>
              <w:tc>
                <w:tcPr>
                  <w:tcW w:w="521" w:type="pct"/>
                  <w:tcBorders>
                    <w:tl2br w:val="nil"/>
                    <w:tr2bl w:val="nil"/>
                  </w:tcBorders>
                  <w:vAlign w:val="center"/>
                </w:tcPr>
                <w:p w14:paraId="51E8EF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521" w:type="pct"/>
                  <w:vMerge w:val="continue"/>
                  <w:tcBorders>
                    <w:tl2br w:val="nil"/>
                    <w:tr2bl w:val="nil"/>
                  </w:tcBorders>
                  <w:vAlign w:val="center"/>
                </w:tcPr>
                <w:p w14:paraId="3E24416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1AAF5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0.93</w:t>
                  </w:r>
                </w:p>
              </w:tc>
              <w:tc>
                <w:tcPr>
                  <w:tcW w:w="521" w:type="pct"/>
                  <w:tcBorders>
                    <w:tl2br w:val="nil"/>
                    <w:tr2bl w:val="nil"/>
                  </w:tcBorders>
                  <w:vAlign w:val="center"/>
                </w:tcPr>
                <w:p w14:paraId="22F90F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0.79</w:t>
                  </w:r>
                </w:p>
              </w:tc>
              <w:tc>
                <w:tcPr>
                  <w:tcW w:w="521" w:type="pct"/>
                  <w:tcBorders>
                    <w:tl2br w:val="nil"/>
                    <w:tr2bl w:val="nil"/>
                  </w:tcBorders>
                  <w:vAlign w:val="center"/>
                </w:tcPr>
                <w:p w14:paraId="779325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224" w:type="pct"/>
                  <w:tcBorders>
                    <w:tl2br w:val="nil"/>
                    <w:tr2bl w:val="nil"/>
                  </w:tcBorders>
                  <w:vAlign w:val="center"/>
                </w:tcPr>
                <w:p w14:paraId="660B2A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D2C4A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F25CC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铜</w:t>
                  </w:r>
                </w:p>
              </w:tc>
              <w:tc>
                <w:tcPr>
                  <w:tcW w:w="689" w:type="pct"/>
                  <w:tcBorders>
                    <w:tl2br w:val="nil"/>
                    <w:tr2bl w:val="nil"/>
                  </w:tcBorders>
                  <w:vAlign w:val="center"/>
                </w:tcPr>
                <w:p w14:paraId="3B99F0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06F656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67CA2C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770FF4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vMerge w:val="restart"/>
                  <w:tcBorders>
                    <w:tl2br w:val="nil"/>
                    <w:tr2bl w:val="nil"/>
                  </w:tcBorders>
                  <w:vAlign w:val="center"/>
                </w:tcPr>
                <w:p w14:paraId="6A34B8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3C61A8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F5AA4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1FB60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BACEB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EE827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CAC03E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C4C06F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1DC2A3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792698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266E1B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vMerge w:val="continue"/>
                  <w:tcBorders>
                    <w:tl2br w:val="nil"/>
                    <w:tr2bl w:val="nil"/>
                  </w:tcBorders>
                  <w:vAlign w:val="center"/>
                </w:tcPr>
                <w:p w14:paraId="0034DED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92156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85613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3E333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213608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FE277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26DD02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CC05F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536B3D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2D3FA8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171E45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vMerge w:val="continue"/>
                  <w:tcBorders>
                    <w:tl2br w:val="nil"/>
                    <w:tr2bl w:val="nil"/>
                  </w:tcBorders>
                  <w:vAlign w:val="center"/>
                </w:tcPr>
                <w:p w14:paraId="0A9F891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05E58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D54B5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7A767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491C55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CE3D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7B47DA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锌</w:t>
                  </w:r>
                </w:p>
              </w:tc>
              <w:tc>
                <w:tcPr>
                  <w:tcW w:w="689" w:type="pct"/>
                  <w:tcBorders>
                    <w:tl2br w:val="nil"/>
                    <w:tr2bl w:val="nil"/>
                  </w:tcBorders>
                  <w:vAlign w:val="center"/>
                </w:tcPr>
                <w:p w14:paraId="22F1BE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7C7490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0DB7A3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76FA2C9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vMerge w:val="restart"/>
                  <w:tcBorders>
                    <w:tl2br w:val="nil"/>
                    <w:tr2bl w:val="nil"/>
                  </w:tcBorders>
                  <w:vAlign w:val="center"/>
                </w:tcPr>
                <w:p w14:paraId="5DE79B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70ADD2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F8230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0772D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7135FE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349B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3A8EE4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3859A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3E0B7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5EE6AF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6E72CB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vMerge w:val="continue"/>
                  <w:tcBorders>
                    <w:tl2br w:val="nil"/>
                    <w:tr2bl w:val="nil"/>
                  </w:tcBorders>
                  <w:vAlign w:val="center"/>
                </w:tcPr>
                <w:p w14:paraId="5E89D17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8FECD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7B1EE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3EFE0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734A57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C0F2E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67417A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B8B4F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ACC05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777BF4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tcBorders>
                    <w:tl2br w:val="nil"/>
                    <w:tr2bl w:val="nil"/>
                  </w:tcBorders>
                  <w:vAlign w:val="center"/>
                </w:tcPr>
                <w:p w14:paraId="2D0CBD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521" w:type="pct"/>
                  <w:vMerge w:val="continue"/>
                  <w:tcBorders>
                    <w:tl2br w:val="nil"/>
                    <w:tr2bl w:val="nil"/>
                  </w:tcBorders>
                  <w:vAlign w:val="center"/>
                </w:tcPr>
                <w:p w14:paraId="7956FDD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AAFA0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5C0D9CC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64BEA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677805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B849C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4072C5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氟化物</w:t>
                  </w:r>
                </w:p>
              </w:tc>
              <w:tc>
                <w:tcPr>
                  <w:tcW w:w="689" w:type="pct"/>
                  <w:tcBorders>
                    <w:tl2br w:val="nil"/>
                    <w:tr2bl w:val="nil"/>
                  </w:tcBorders>
                  <w:vAlign w:val="center"/>
                </w:tcPr>
                <w:p w14:paraId="002C8E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038A3A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7087D1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521" w:type="pct"/>
                  <w:tcBorders>
                    <w:tl2br w:val="nil"/>
                    <w:tr2bl w:val="nil"/>
                  </w:tcBorders>
                  <w:vAlign w:val="center"/>
                </w:tcPr>
                <w:p w14:paraId="3F3889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521" w:type="pct"/>
                  <w:vMerge w:val="restart"/>
                  <w:tcBorders>
                    <w:tl2br w:val="nil"/>
                    <w:tr2bl w:val="nil"/>
                  </w:tcBorders>
                  <w:vAlign w:val="center"/>
                </w:tcPr>
                <w:p w14:paraId="663A22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44A04D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19F80F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521" w:type="pct"/>
                  <w:tcBorders>
                    <w:tl2br w:val="nil"/>
                    <w:tr2bl w:val="nil"/>
                  </w:tcBorders>
                  <w:vAlign w:val="center"/>
                </w:tcPr>
                <w:p w14:paraId="6A9B4A3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224" w:type="pct"/>
                  <w:tcBorders>
                    <w:tl2br w:val="nil"/>
                    <w:tr2bl w:val="nil"/>
                  </w:tcBorders>
                  <w:vAlign w:val="center"/>
                </w:tcPr>
                <w:p w14:paraId="519114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972CB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24C8E8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6A890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5D0C18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521" w:type="pct"/>
                  <w:tcBorders>
                    <w:tl2br w:val="nil"/>
                    <w:tr2bl w:val="nil"/>
                  </w:tcBorders>
                  <w:vAlign w:val="center"/>
                </w:tcPr>
                <w:p w14:paraId="2C812C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31D104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0.43</w:t>
                  </w:r>
                </w:p>
              </w:tc>
              <w:tc>
                <w:tcPr>
                  <w:tcW w:w="521" w:type="pct"/>
                  <w:vMerge w:val="continue"/>
                  <w:tcBorders>
                    <w:tl2br w:val="nil"/>
                    <w:tr2bl w:val="nil"/>
                  </w:tcBorders>
                  <w:vAlign w:val="center"/>
                </w:tcPr>
                <w:p w14:paraId="632CF2F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6D585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521" w:type="pct"/>
                  <w:tcBorders>
                    <w:tl2br w:val="nil"/>
                    <w:tr2bl w:val="nil"/>
                  </w:tcBorders>
                  <w:vAlign w:val="center"/>
                </w:tcPr>
                <w:p w14:paraId="7E474A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704E94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0.43</w:t>
                  </w:r>
                </w:p>
              </w:tc>
              <w:tc>
                <w:tcPr>
                  <w:tcW w:w="224" w:type="pct"/>
                  <w:tcBorders>
                    <w:tl2br w:val="nil"/>
                    <w:tr2bl w:val="nil"/>
                  </w:tcBorders>
                  <w:vAlign w:val="center"/>
                </w:tcPr>
                <w:p w14:paraId="1F38C3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56D32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2ABCEF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8D77E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6C82B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4F7FB8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521" w:type="pct"/>
                  <w:tcBorders>
                    <w:tl2br w:val="nil"/>
                    <w:tr2bl w:val="nil"/>
                  </w:tcBorders>
                  <w:vAlign w:val="center"/>
                </w:tcPr>
                <w:p w14:paraId="660D37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521" w:type="pct"/>
                  <w:vMerge w:val="continue"/>
                  <w:tcBorders>
                    <w:tl2br w:val="nil"/>
                    <w:tr2bl w:val="nil"/>
                  </w:tcBorders>
                  <w:vAlign w:val="center"/>
                </w:tcPr>
                <w:p w14:paraId="0189C10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93735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521" w:type="pct"/>
                  <w:tcBorders>
                    <w:tl2br w:val="nil"/>
                    <w:tr2bl w:val="nil"/>
                  </w:tcBorders>
                  <w:vAlign w:val="center"/>
                </w:tcPr>
                <w:p w14:paraId="4809CC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521" w:type="pct"/>
                  <w:tcBorders>
                    <w:tl2br w:val="nil"/>
                    <w:tr2bl w:val="nil"/>
                  </w:tcBorders>
                  <w:vAlign w:val="center"/>
                </w:tcPr>
                <w:p w14:paraId="7F8591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224" w:type="pct"/>
                  <w:tcBorders>
                    <w:tl2br w:val="nil"/>
                    <w:tr2bl w:val="nil"/>
                  </w:tcBorders>
                  <w:vAlign w:val="center"/>
                </w:tcPr>
                <w:p w14:paraId="5890EC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750B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11B79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硒</w:t>
                  </w:r>
                </w:p>
              </w:tc>
              <w:tc>
                <w:tcPr>
                  <w:tcW w:w="689" w:type="pct"/>
                  <w:tcBorders>
                    <w:tl2br w:val="nil"/>
                    <w:tr2bl w:val="nil"/>
                  </w:tcBorders>
                  <w:vAlign w:val="center"/>
                </w:tcPr>
                <w:p w14:paraId="184643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641E53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tcBorders>
                    <w:tl2br w:val="nil"/>
                    <w:tr2bl w:val="nil"/>
                  </w:tcBorders>
                  <w:vAlign w:val="center"/>
                </w:tcPr>
                <w:p w14:paraId="2E5D2C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tcBorders>
                    <w:tl2br w:val="nil"/>
                    <w:tr2bl w:val="nil"/>
                  </w:tcBorders>
                  <w:vAlign w:val="center"/>
                </w:tcPr>
                <w:p w14:paraId="6FACBF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vMerge w:val="restart"/>
                  <w:tcBorders>
                    <w:tl2br w:val="nil"/>
                    <w:tr2bl w:val="nil"/>
                  </w:tcBorders>
                  <w:vAlign w:val="center"/>
                </w:tcPr>
                <w:p w14:paraId="1BD34F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21" w:type="pct"/>
                  <w:tcBorders>
                    <w:tl2br w:val="nil"/>
                    <w:tr2bl w:val="nil"/>
                  </w:tcBorders>
                  <w:vAlign w:val="center"/>
                </w:tcPr>
                <w:p w14:paraId="1BD586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70338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7E198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26DC95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FDFAF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CFEBCD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B3D9E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40C01A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tcBorders>
                    <w:tl2br w:val="nil"/>
                    <w:tr2bl w:val="nil"/>
                  </w:tcBorders>
                  <w:vAlign w:val="center"/>
                </w:tcPr>
                <w:p w14:paraId="78381B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tcBorders>
                    <w:tl2br w:val="nil"/>
                    <w:tr2bl w:val="nil"/>
                  </w:tcBorders>
                  <w:vAlign w:val="center"/>
                </w:tcPr>
                <w:p w14:paraId="75144A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vMerge w:val="continue"/>
                  <w:tcBorders>
                    <w:tl2br w:val="nil"/>
                    <w:tr2bl w:val="nil"/>
                  </w:tcBorders>
                  <w:vAlign w:val="center"/>
                </w:tcPr>
                <w:p w14:paraId="10DAAF4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0F811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5DE36F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559665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1D90AA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77D1A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F4B1BE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4C0F4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55308B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tcBorders>
                    <w:tl2br w:val="nil"/>
                    <w:tr2bl w:val="nil"/>
                  </w:tcBorders>
                  <w:vAlign w:val="center"/>
                </w:tcPr>
                <w:p w14:paraId="67880E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tcBorders>
                    <w:tl2br w:val="nil"/>
                    <w:tr2bl w:val="nil"/>
                  </w:tcBorders>
                  <w:vAlign w:val="center"/>
                </w:tcPr>
                <w:p w14:paraId="352EF3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521" w:type="pct"/>
                  <w:vMerge w:val="continue"/>
                  <w:tcBorders>
                    <w:tl2br w:val="nil"/>
                    <w:tr2bl w:val="nil"/>
                  </w:tcBorders>
                  <w:vAlign w:val="center"/>
                </w:tcPr>
                <w:p w14:paraId="43EE579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CB38E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258CF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C43A4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99AAF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4778A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69CAEC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砷</w:t>
                  </w:r>
                </w:p>
              </w:tc>
              <w:tc>
                <w:tcPr>
                  <w:tcW w:w="689" w:type="pct"/>
                  <w:tcBorders>
                    <w:tl2br w:val="nil"/>
                    <w:tr2bl w:val="nil"/>
                  </w:tcBorders>
                  <w:vAlign w:val="center"/>
                </w:tcPr>
                <w:p w14:paraId="106A1B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12C0E2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0.0016</w:t>
                  </w:r>
                </w:p>
              </w:tc>
              <w:tc>
                <w:tcPr>
                  <w:tcW w:w="521" w:type="pct"/>
                  <w:tcBorders>
                    <w:tl2br w:val="nil"/>
                    <w:tr2bl w:val="nil"/>
                  </w:tcBorders>
                  <w:vAlign w:val="center"/>
                </w:tcPr>
                <w:p w14:paraId="7C7F54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0.0016</w:t>
                  </w:r>
                </w:p>
              </w:tc>
              <w:tc>
                <w:tcPr>
                  <w:tcW w:w="521" w:type="pct"/>
                  <w:tcBorders>
                    <w:tl2br w:val="nil"/>
                    <w:tr2bl w:val="nil"/>
                  </w:tcBorders>
                  <w:vAlign w:val="center"/>
                </w:tcPr>
                <w:p w14:paraId="5BA814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0.0009</w:t>
                  </w:r>
                </w:p>
              </w:tc>
              <w:tc>
                <w:tcPr>
                  <w:tcW w:w="521" w:type="pct"/>
                  <w:vMerge w:val="restart"/>
                  <w:tcBorders>
                    <w:tl2br w:val="nil"/>
                    <w:tr2bl w:val="nil"/>
                  </w:tcBorders>
                  <w:vAlign w:val="center"/>
                </w:tcPr>
                <w:p w14:paraId="7389A6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197FC4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0.032</w:t>
                  </w:r>
                </w:p>
              </w:tc>
              <w:tc>
                <w:tcPr>
                  <w:tcW w:w="521" w:type="pct"/>
                  <w:tcBorders>
                    <w:tl2br w:val="nil"/>
                    <w:tr2bl w:val="nil"/>
                  </w:tcBorders>
                  <w:vAlign w:val="center"/>
                </w:tcPr>
                <w:p w14:paraId="711913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0.032</w:t>
                  </w:r>
                </w:p>
              </w:tc>
              <w:tc>
                <w:tcPr>
                  <w:tcW w:w="521" w:type="pct"/>
                  <w:tcBorders>
                    <w:tl2br w:val="nil"/>
                    <w:tr2bl w:val="nil"/>
                  </w:tcBorders>
                  <w:vAlign w:val="center"/>
                </w:tcPr>
                <w:p w14:paraId="1B1530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0.018</w:t>
                  </w:r>
                </w:p>
              </w:tc>
              <w:tc>
                <w:tcPr>
                  <w:tcW w:w="224" w:type="pct"/>
                  <w:tcBorders>
                    <w:tl2br w:val="nil"/>
                    <w:tr2bl w:val="nil"/>
                  </w:tcBorders>
                  <w:vAlign w:val="center"/>
                </w:tcPr>
                <w:p w14:paraId="1E8715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1A39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63AC0F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83BF7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0F9805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0.0015</w:t>
                  </w:r>
                </w:p>
              </w:tc>
              <w:tc>
                <w:tcPr>
                  <w:tcW w:w="521" w:type="pct"/>
                  <w:tcBorders>
                    <w:tl2br w:val="nil"/>
                    <w:tr2bl w:val="nil"/>
                  </w:tcBorders>
                  <w:vAlign w:val="center"/>
                </w:tcPr>
                <w:p w14:paraId="715C02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0.0015</w:t>
                  </w:r>
                </w:p>
              </w:tc>
              <w:tc>
                <w:tcPr>
                  <w:tcW w:w="521" w:type="pct"/>
                  <w:tcBorders>
                    <w:tl2br w:val="nil"/>
                    <w:tr2bl w:val="nil"/>
                  </w:tcBorders>
                  <w:vAlign w:val="center"/>
                </w:tcPr>
                <w:p w14:paraId="3AEF67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w:t>
                  </w:r>
                </w:p>
              </w:tc>
              <w:tc>
                <w:tcPr>
                  <w:tcW w:w="521" w:type="pct"/>
                  <w:vMerge w:val="continue"/>
                  <w:tcBorders>
                    <w:tl2br w:val="nil"/>
                    <w:tr2bl w:val="nil"/>
                  </w:tcBorders>
                  <w:vAlign w:val="center"/>
                </w:tcPr>
                <w:p w14:paraId="165094F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FB734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521" w:type="pct"/>
                  <w:tcBorders>
                    <w:tl2br w:val="nil"/>
                    <w:tr2bl w:val="nil"/>
                  </w:tcBorders>
                  <w:vAlign w:val="center"/>
                </w:tcPr>
                <w:p w14:paraId="55404A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521" w:type="pct"/>
                  <w:tcBorders>
                    <w:tl2br w:val="nil"/>
                    <w:tr2bl w:val="nil"/>
                  </w:tcBorders>
                  <w:vAlign w:val="center"/>
                </w:tcPr>
                <w:p w14:paraId="07FE6F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224" w:type="pct"/>
                  <w:tcBorders>
                    <w:tl2br w:val="nil"/>
                    <w:tr2bl w:val="nil"/>
                  </w:tcBorders>
                  <w:vAlign w:val="center"/>
                </w:tcPr>
                <w:p w14:paraId="12AC35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AC72F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29AC61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57CE2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45357C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0.0017</w:t>
                  </w:r>
                </w:p>
              </w:tc>
              <w:tc>
                <w:tcPr>
                  <w:tcW w:w="521" w:type="pct"/>
                  <w:tcBorders>
                    <w:tl2br w:val="nil"/>
                    <w:tr2bl w:val="nil"/>
                  </w:tcBorders>
                  <w:vAlign w:val="center"/>
                </w:tcPr>
                <w:p w14:paraId="3BBEDF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0.0016</w:t>
                  </w:r>
                </w:p>
              </w:tc>
              <w:tc>
                <w:tcPr>
                  <w:tcW w:w="521" w:type="pct"/>
                  <w:tcBorders>
                    <w:tl2br w:val="nil"/>
                    <w:tr2bl w:val="nil"/>
                  </w:tcBorders>
                  <w:vAlign w:val="center"/>
                </w:tcPr>
                <w:p w14:paraId="5669A3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0.0008</w:t>
                  </w:r>
                </w:p>
              </w:tc>
              <w:tc>
                <w:tcPr>
                  <w:tcW w:w="521" w:type="pct"/>
                  <w:vMerge w:val="continue"/>
                  <w:tcBorders>
                    <w:tl2br w:val="nil"/>
                    <w:tr2bl w:val="nil"/>
                  </w:tcBorders>
                  <w:vAlign w:val="center"/>
                </w:tcPr>
                <w:p w14:paraId="7F984E9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55AF89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0.034</w:t>
                  </w:r>
                </w:p>
              </w:tc>
              <w:tc>
                <w:tcPr>
                  <w:tcW w:w="521" w:type="pct"/>
                  <w:tcBorders>
                    <w:tl2br w:val="nil"/>
                    <w:tr2bl w:val="nil"/>
                  </w:tcBorders>
                  <w:vAlign w:val="center"/>
                </w:tcPr>
                <w:p w14:paraId="6993B4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0.032</w:t>
                  </w:r>
                </w:p>
              </w:tc>
              <w:tc>
                <w:tcPr>
                  <w:tcW w:w="521" w:type="pct"/>
                  <w:tcBorders>
                    <w:tl2br w:val="nil"/>
                    <w:tr2bl w:val="nil"/>
                  </w:tcBorders>
                  <w:vAlign w:val="center"/>
                </w:tcPr>
                <w:p w14:paraId="74E3B6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0.016</w:t>
                  </w:r>
                </w:p>
              </w:tc>
              <w:tc>
                <w:tcPr>
                  <w:tcW w:w="224" w:type="pct"/>
                  <w:tcBorders>
                    <w:tl2br w:val="nil"/>
                    <w:tr2bl w:val="nil"/>
                  </w:tcBorders>
                  <w:vAlign w:val="center"/>
                </w:tcPr>
                <w:p w14:paraId="492B15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6C744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3904E7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汞</w:t>
                  </w:r>
                </w:p>
              </w:tc>
              <w:tc>
                <w:tcPr>
                  <w:tcW w:w="689" w:type="pct"/>
                  <w:tcBorders>
                    <w:tl2br w:val="nil"/>
                    <w:tr2bl w:val="nil"/>
                  </w:tcBorders>
                  <w:vAlign w:val="center"/>
                </w:tcPr>
                <w:p w14:paraId="3B251E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F6650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tcBorders>
                    <w:tl2br w:val="nil"/>
                    <w:tr2bl w:val="nil"/>
                  </w:tcBorders>
                  <w:vAlign w:val="center"/>
                </w:tcPr>
                <w:p w14:paraId="12C8C9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tcBorders>
                    <w:tl2br w:val="nil"/>
                    <w:tr2bl w:val="nil"/>
                  </w:tcBorders>
                  <w:vAlign w:val="center"/>
                </w:tcPr>
                <w:p w14:paraId="51BDA5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vMerge w:val="restart"/>
                  <w:tcBorders>
                    <w:tl2br w:val="nil"/>
                    <w:tr2bl w:val="nil"/>
                  </w:tcBorders>
                  <w:vAlign w:val="center"/>
                </w:tcPr>
                <w:p w14:paraId="4332F1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≤0.0001</w:t>
                  </w:r>
                </w:p>
              </w:tc>
              <w:tc>
                <w:tcPr>
                  <w:tcW w:w="521" w:type="pct"/>
                  <w:tcBorders>
                    <w:tl2br w:val="nil"/>
                    <w:tr2bl w:val="nil"/>
                  </w:tcBorders>
                  <w:vAlign w:val="center"/>
                </w:tcPr>
                <w:p w14:paraId="7C3824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46FB1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AB9844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3E46432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8788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30BFFB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0C093B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52B517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tcBorders>
                    <w:tl2br w:val="nil"/>
                    <w:tr2bl w:val="nil"/>
                  </w:tcBorders>
                  <w:vAlign w:val="center"/>
                </w:tcPr>
                <w:p w14:paraId="311014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tcBorders>
                    <w:tl2br w:val="nil"/>
                    <w:tr2bl w:val="nil"/>
                  </w:tcBorders>
                  <w:vAlign w:val="center"/>
                </w:tcPr>
                <w:p w14:paraId="468F9B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vMerge w:val="continue"/>
                  <w:tcBorders>
                    <w:tl2br w:val="nil"/>
                    <w:tr2bl w:val="nil"/>
                  </w:tcBorders>
                  <w:vAlign w:val="center"/>
                </w:tcPr>
                <w:p w14:paraId="58C491B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2405B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C4DA5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29172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7A1EF4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3C887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B75D89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9CC5C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7D55E8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tcBorders>
                    <w:tl2br w:val="nil"/>
                    <w:tr2bl w:val="nil"/>
                  </w:tcBorders>
                  <w:vAlign w:val="center"/>
                </w:tcPr>
                <w:p w14:paraId="444055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tcBorders>
                    <w:tl2br w:val="nil"/>
                    <w:tr2bl w:val="nil"/>
                  </w:tcBorders>
                  <w:vAlign w:val="center"/>
                </w:tcPr>
                <w:p w14:paraId="7F15CB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521" w:type="pct"/>
                  <w:vMerge w:val="continue"/>
                  <w:tcBorders>
                    <w:tl2br w:val="nil"/>
                    <w:tr2bl w:val="nil"/>
                  </w:tcBorders>
                  <w:vAlign w:val="center"/>
                </w:tcPr>
                <w:p w14:paraId="6BAA36B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93B3D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88ED6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3209B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660A6E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7FC74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16174E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镉</w:t>
                  </w:r>
                </w:p>
              </w:tc>
              <w:tc>
                <w:tcPr>
                  <w:tcW w:w="689" w:type="pct"/>
                  <w:tcBorders>
                    <w:tl2br w:val="nil"/>
                    <w:tr2bl w:val="nil"/>
                  </w:tcBorders>
                  <w:vAlign w:val="center"/>
                </w:tcPr>
                <w:p w14:paraId="5CDDC7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1B9981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c>
                <w:tcPr>
                  <w:tcW w:w="521" w:type="pct"/>
                  <w:tcBorders>
                    <w:tl2br w:val="nil"/>
                    <w:tr2bl w:val="nil"/>
                  </w:tcBorders>
                  <w:vAlign w:val="center"/>
                </w:tcPr>
                <w:p w14:paraId="583D0D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0.0005</w:t>
                  </w:r>
                </w:p>
              </w:tc>
              <w:tc>
                <w:tcPr>
                  <w:tcW w:w="521" w:type="pct"/>
                  <w:tcBorders>
                    <w:tl2br w:val="nil"/>
                    <w:tr2bl w:val="nil"/>
                  </w:tcBorders>
                  <w:vAlign w:val="center"/>
                </w:tcPr>
                <w:p w14:paraId="5FC96D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0.0007</w:t>
                  </w:r>
                </w:p>
              </w:tc>
              <w:tc>
                <w:tcPr>
                  <w:tcW w:w="521" w:type="pct"/>
                  <w:vMerge w:val="restart"/>
                  <w:tcBorders>
                    <w:tl2br w:val="nil"/>
                    <w:tr2bl w:val="nil"/>
                  </w:tcBorders>
                  <w:vAlign w:val="center"/>
                </w:tcPr>
                <w:p w14:paraId="181B8A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≤0.005</w:t>
                  </w:r>
                </w:p>
              </w:tc>
              <w:tc>
                <w:tcPr>
                  <w:tcW w:w="521" w:type="pct"/>
                  <w:tcBorders>
                    <w:tl2br w:val="nil"/>
                    <w:tr2bl w:val="nil"/>
                  </w:tcBorders>
                  <w:vAlign w:val="center"/>
                </w:tcPr>
                <w:p w14:paraId="4B6451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521" w:type="pct"/>
                  <w:tcBorders>
                    <w:tl2br w:val="nil"/>
                    <w:tr2bl w:val="nil"/>
                  </w:tcBorders>
                  <w:vAlign w:val="center"/>
                </w:tcPr>
                <w:p w14:paraId="78B734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21" w:type="pct"/>
                  <w:tcBorders>
                    <w:tl2br w:val="nil"/>
                    <w:tr2bl w:val="nil"/>
                  </w:tcBorders>
                  <w:vAlign w:val="center"/>
                </w:tcPr>
                <w:p w14:paraId="10DBB0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w:t>
                  </w:r>
                </w:p>
              </w:tc>
              <w:tc>
                <w:tcPr>
                  <w:tcW w:w="224" w:type="pct"/>
                  <w:tcBorders>
                    <w:tl2br w:val="nil"/>
                    <w:tr2bl w:val="nil"/>
                  </w:tcBorders>
                  <w:vAlign w:val="center"/>
                </w:tcPr>
                <w:p w14:paraId="5B647A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F4861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58DAEB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37EA4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6CC5C3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c>
                <w:tcPr>
                  <w:tcW w:w="521" w:type="pct"/>
                  <w:tcBorders>
                    <w:tl2br w:val="nil"/>
                    <w:tr2bl w:val="nil"/>
                  </w:tcBorders>
                  <w:vAlign w:val="center"/>
                </w:tcPr>
                <w:p w14:paraId="2BBE34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0.0005</w:t>
                  </w:r>
                </w:p>
              </w:tc>
              <w:tc>
                <w:tcPr>
                  <w:tcW w:w="521" w:type="pct"/>
                  <w:tcBorders>
                    <w:tl2br w:val="nil"/>
                    <w:tr2bl w:val="nil"/>
                  </w:tcBorders>
                  <w:vAlign w:val="center"/>
                </w:tcPr>
                <w:p w14:paraId="5996EE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0.0007</w:t>
                  </w:r>
                </w:p>
              </w:tc>
              <w:tc>
                <w:tcPr>
                  <w:tcW w:w="521" w:type="pct"/>
                  <w:vMerge w:val="continue"/>
                  <w:tcBorders>
                    <w:tl2br w:val="nil"/>
                    <w:tr2bl w:val="nil"/>
                  </w:tcBorders>
                  <w:vAlign w:val="center"/>
                </w:tcPr>
                <w:p w14:paraId="42E9453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4347A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521" w:type="pct"/>
                  <w:tcBorders>
                    <w:tl2br w:val="nil"/>
                    <w:tr2bl w:val="nil"/>
                  </w:tcBorders>
                  <w:vAlign w:val="center"/>
                </w:tcPr>
                <w:p w14:paraId="250EC6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21" w:type="pct"/>
                  <w:tcBorders>
                    <w:tl2br w:val="nil"/>
                    <w:tr2bl w:val="nil"/>
                  </w:tcBorders>
                  <w:vAlign w:val="center"/>
                </w:tcPr>
                <w:p w14:paraId="300527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w:t>
                  </w:r>
                </w:p>
              </w:tc>
              <w:tc>
                <w:tcPr>
                  <w:tcW w:w="224" w:type="pct"/>
                  <w:tcBorders>
                    <w:tl2br w:val="nil"/>
                    <w:tr2bl w:val="nil"/>
                  </w:tcBorders>
                  <w:vAlign w:val="center"/>
                </w:tcPr>
                <w:p w14:paraId="4B1CAC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B29FE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82E260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FC33B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1791CD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c>
                <w:tcPr>
                  <w:tcW w:w="521" w:type="pct"/>
                  <w:tcBorders>
                    <w:tl2br w:val="nil"/>
                    <w:tr2bl w:val="nil"/>
                  </w:tcBorders>
                  <w:vAlign w:val="center"/>
                </w:tcPr>
                <w:p w14:paraId="1D501A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0.0005</w:t>
                  </w:r>
                </w:p>
              </w:tc>
              <w:tc>
                <w:tcPr>
                  <w:tcW w:w="521" w:type="pct"/>
                  <w:tcBorders>
                    <w:tl2br w:val="nil"/>
                    <w:tr2bl w:val="nil"/>
                  </w:tcBorders>
                  <w:vAlign w:val="center"/>
                </w:tcPr>
                <w:p w14:paraId="46953F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0.0007</w:t>
                  </w:r>
                </w:p>
              </w:tc>
              <w:tc>
                <w:tcPr>
                  <w:tcW w:w="521" w:type="pct"/>
                  <w:vMerge w:val="continue"/>
                  <w:tcBorders>
                    <w:tl2br w:val="nil"/>
                    <w:tr2bl w:val="nil"/>
                  </w:tcBorders>
                  <w:vAlign w:val="center"/>
                </w:tcPr>
                <w:p w14:paraId="5023996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567108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521" w:type="pct"/>
                  <w:tcBorders>
                    <w:tl2br w:val="nil"/>
                    <w:tr2bl w:val="nil"/>
                  </w:tcBorders>
                  <w:vAlign w:val="center"/>
                </w:tcPr>
                <w:p w14:paraId="438DAE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21" w:type="pct"/>
                  <w:tcBorders>
                    <w:tl2br w:val="nil"/>
                    <w:tr2bl w:val="nil"/>
                  </w:tcBorders>
                  <w:vAlign w:val="center"/>
                </w:tcPr>
                <w:p w14:paraId="569868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w:t>
                  </w:r>
                </w:p>
              </w:tc>
              <w:tc>
                <w:tcPr>
                  <w:tcW w:w="224" w:type="pct"/>
                  <w:tcBorders>
                    <w:tl2br w:val="nil"/>
                    <w:tr2bl w:val="nil"/>
                  </w:tcBorders>
                  <w:vAlign w:val="center"/>
                </w:tcPr>
                <w:p w14:paraId="29E8DE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C7DDF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108515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六价铬</w:t>
                  </w:r>
                </w:p>
              </w:tc>
              <w:tc>
                <w:tcPr>
                  <w:tcW w:w="689" w:type="pct"/>
                  <w:tcBorders>
                    <w:tl2br w:val="nil"/>
                    <w:tr2bl w:val="nil"/>
                  </w:tcBorders>
                  <w:vAlign w:val="center"/>
                </w:tcPr>
                <w:p w14:paraId="7801A2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556FF1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70410A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47F985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vMerge w:val="restart"/>
                  <w:tcBorders>
                    <w:tl2br w:val="nil"/>
                    <w:tr2bl w:val="nil"/>
                  </w:tcBorders>
                  <w:vAlign w:val="center"/>
                </w:tcPr>
                <w:p w14:paraId="113B0E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706599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FD56C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650D2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7C9ECB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8BACD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0943F0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237B7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5656F6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30A3EC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3723483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vMerge w:val="continue"/>
                  <w:tcBorders>
                    <w:tl2br w:val="nil"/>
                    <w:tr2bl w:val="nil"/>
                  </w:tcBorders>
                  <w:vAlign w:val="center"/>
                </w:tcPr>
                <w:p w14:paraId="0B2E0EA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FF6F9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84923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CA55E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43C934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5C2E6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3BCF38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88941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026C7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1E1524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305F48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vMerge w:val="continue"/>
                  <w:tcBorders>
                    <w:tl2br w:val="nil"/>
                    <w:tr2bl w:val="nil"/>
                  </w:tcBorders>
                  <w:vAlign w:val="center"/>
                </w:tcPr>
                <w:p w14:paraId="253A5AC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5C2A2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745FA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10E99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133210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40AB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5BB3F5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铅</w:t>
                  </w:r>
                </w:p>
              </w:tc>
              <w:tc>
                <w:tcPr>
                  <w:tcW w:w="689" w:type="pct"/>
                  <w:tcBorders>
                    <w:tl2br w:val="nil"/>
                    <w:tr2bl w:val="nil"/>
                  </w:tcBorders>
                  <w:vAlign w:val="center"/>
                </w:tcPr>
                <w:p w14:paraId="1421FA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5B9BA4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tcBorders>
                    <w:tl2br w:val="nil"/>
                    <w:tr2bl w:val="nil"/>
                  </w:tcBorders>
                  <w:vAlign w:val="center"/>
                </w:tcPr>
                <w:p w14:paraId="07E4D7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tcBorders>
                    <w:tl2br w:val="nil"/>
                    <w:tr2bl w:val="nil"/>
                  </w:tcBorders>
                  <w:vAlign w:val="center"/>
                </w:tcPr>
                <w:p w14:paraId="475016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vMerge w:val="restart"/>
                  <w:tcBorders>
                    <w:tl2br w:val="nil"/>
                    <w:tr2bl w:val="nil"/>
                  </w:tcBorders>
                  <w:vAlign w:val="center"/>
                </w:tcPr>
                <w:p w14:paraId="4AD422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597538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2AB4A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01AAD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741A5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5785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ABC4E8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F08AE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6E3705F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tcBorders>
                    <w:tl2br w:val="nil"/>
                    <w:tr2bl w:val="nil"/>
                  </w:tcBorders>
                  <w:vAlign w:val="center"/>
                </w:tcPr>
                <w:p w14:paraId="4E3D42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tcBorders>
                    <w:tl2br w:val="nil"/>
                    <w:tr2bl w:val="nil"/>
                  </w:tcBorders>
                  <w:vAlign w:val="center"/>
                </w:tcPr>
                <w:p w14:paraId="621138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vMerge w:val="continue"/>
                  <w:tcBorders>
                    <w:tl2br w:val="nil"/>
                    <w:tr2bl w:val="nil"/>
                  </w:tcBorders>
                  <w:vAlign w:val="center"/>
                </w:tcPr>
                <w:p w14:paraId="7796905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47D86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541675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68EA1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3AE28E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3830B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C180A8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05256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7EAF19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tcBorders>
                    <w:tl2br w:val="nil"/>
                    <w:tr2bl w:val="nil"/>
                  </w:tcBorders>
                  <w:vAlign w:val="center"/>
                </w:tcPr>
                <w:p w14:paraId="388A03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tcBorders>
                    <w:tl2br w:val="nil"/>
                    <w:tr2bl w:val="nil"/>
                  </w:tcBorders>
                  <w:vAlign w:val="center"/>
                </w:tcPr>
                <w:p w14:paraId="507641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521" w:type="pct"/>
                  <w:vMerge w:val="continue"/>
                  <w:tcBorders>
                    <w:tl2br w:val="nil"/>
                    <w:tr2bl w:val="nil"/>
                  </w:tcBorders>
                  <w:vAlign w:val="center"/>
                </w:tcPr>
                <w:p w14:paraId="39E51C8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97B0E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AA7DC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A4119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05A035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FECA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7E98DA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氰化物</w:t>
                  </w:r>
                </w:p>
              </w:tc>
              <w:tc>
                <w:tcPr>
                  <w:tcW w:w="689" w:type="pct"/>
                  <w:tcBorders>
                    <w:tl2br w:val="nil"/>
                    <w:tr2bl w:val="nil"/>
                  </w:tcBorders>
                  <w:vAlign w:val="center"/>
                </w:tcPr>
                <w:p w14:paraId="7BF48B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162B1A2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43570C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31028B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vMerge w:val="restart"/>
                  <w:tcBorders>
                    <w:tl2br w:val="nil"/>
                    <w:tr2bl w:val="nil"/>
                  </w:tcBorders>
                  <w:vAlign w:val="center"/>
                </w:tcPr>
                <w:p w14:paraId="6F8724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32641A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EDBBD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9120E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1909D0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2DBF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5ABD10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A3055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42970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028535F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659646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vMerge w:val="continue"/>
                  <w:tcBorders>
                    <w:tl2br w:val="nil"/>
                    <w:tr2bl w:val="nil"/>
                  </w:tcBorders>
                  <w:vAlign w:val="center"/>
                </w:tcPr>
                <w:p w14:paraId="5FD4F46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5D11A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EA1B3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7473F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276B2E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A8DEC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E832DD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8742B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5C1098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77B99F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tcBorders>
                    <w:tl2br w:val="nil"/>
                    <w:tr2bl w:val="nil"/>
                  </w:tcBorders>
                  <w:vAlign w:val="center"/>
                </w:tcPr>
                <w:p w14:paraId="5FCFA6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521" w:type="pct"/>
                  <w:vMerge w:val="continue"/>
                  <w:tcBorders>
                    <w:tl2br w:val="nil"/>
                    <w:tr2bl w:val="nil"/>
                  </w:tcBorders>
                  <w:vAlign w:val="center"/>
                </w:tcPr>
                <w:p w14:paraId="0B6D86D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E2FAF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CBDBB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6E576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3BFE80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91BE4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1C1335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挥发酚</w:t>
                  </w:r>
                </w:p>
              </w:tc>
              <w:tc>
                <w:tcPr>
                  <w:tcW w:w="689" w:type="pct"/>
                  <w:tcBorders>
                    <w:tl2br w:val="nil"/>
                    <w:tr2bl w:val="nil"/>
                  </w:tcBorders>
                  <w:vAlign w:val="center"/>
                </w:tcPr>
                <w:p w14:paraId="7F77AE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0E0138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0.0012</w:t>
                  </w:r>
                </w:p>
              </w:tc>
              <w:tc>
                <w:tcPr>
                  <w:tcW w:w="521" w:type="pct"/>
                  <w:tcBorders>
                    <w:tl2br w:val="nil"/>
                    <w:tr2bl w:val="nil"/>
                  </w:tcBorders>
                  <w:vAlign w:val="center"/>
                </w:tcPr>
                <w:p w14:paraId="2C145B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0.0021</w:t>
                  </w:r>
                </w:p>
              </w:tc>
              <w:tc>
                <w:tcPr>
                  <w:tcW w:w="521" w:type="pct"/>
                  <w:tcBorders>
                    <w:tl2br w:val="nil"/>
                    <w:tr2bl w:val="nil"/>
                  </w:tcBorders>
                  <w:vAlign w:val="center"/>
                </w:tcPr>
                <w:p w14:paraId="2F7987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0.0014</w:t>
                  </w:r>
                </w:p>
              </w:tc>
              <w:tc>
                <w:tcPr>
                  <w:tcW w:w="521" w:type="pct"/>
                  <w:vMerge w:val="restart"/>
                  <w:tcBorders>
                    <w:tl2br w:val="nil"/>
                    <w:tr2bl w:val="nil"/>
                  </w:tcBorders>
                  <w:vAlign w:val="center"/>
                </w:tcPr>
                <w:p w14:paraId="14A6E9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≤0.005</w:t>
                  </w:r>
                </w:p>
              </w:tc>
              <w:tc>
                <w:tcPr>
                  <w:tcW w:w="521" w:type="pct"/>
                  <w:tcBorders>
                    <w:tl2br w:val="nil"/>
                    <w:tr2bl w:val="nil"/>
                  </w:tcBorders>
                  <w:vAlign w:val="center"/>
                </w:tcPr>
                <w:p w14:paraId="00A3864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0.24</w:t>
                  </w:r>
                </w:p>
              </w:tc>
              <w:tc>
                <w:tcPr>
                  <w:tcW w:w="521" w:type="pct"/>
                  <w:tcBorders>
                    <w:tl2br w:val="nil"/>
                    <w:tr2bl w:val="nil"/>
                  </w:tcBorders>
                  <w:vAlign w:val="center"/>
                </w:tcPr>
                <w:p w14:paraId="508631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0.42</w:t>
                  </w:r>
                </w:p>
              </w:tc>
              <w:tc>
                <w:tcPr>
                  <w:tcW w:w="521" w:type="pct"/>
                  <w:tcBorders>
                    <w:tl2br w:val="nil"/>
                    <w:tr2bl w:val="nil"/>
                  </w:tcBorders>
                  <w:vAlign w:val="center"/>
                </w:tcPr>
                <w:p w14:paraId="2426CC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0.28</w:t>
                  </w:r>
                </w:p>
              </w:tc>
              <w:tc>
                <w:tcPr>
                  <w:tcW w:w="224" w:type="pct"/>
                  <w:tcBorders>
                    <w:tl2br w:val="nil"/>
                    <w:tr2bl w:val="nil"/>
                  </w:tcBorders>
                  <w:vAlign w:val="center"/>
                </w:tcPr>
                <w:p w14:paraId="209AC1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8B22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FBD17F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6F9AF4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396F11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w:t>
                  </w:r>
                </w:p>
              </w:tc>
              <w:tc>
                <w:tcPr>
                  <w:tcW w:w="521" w:type="pct"/>
                  <w:tcBorders>
                    <w:tl2br w:val="nil"/>
                    <w:tr2bl w:val="nil"/>
                  </w:tcBorders>
                  <w:vAlign w:val="center"/>
                </w:tcPr>
                <w:p w14:paraId="0C0D87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0.002</w:t>
                  </w:r>
                </w:p>
              </w:tc>
              <w:tc>
                <w:tcPr>
                  <w:tcW w:w="521" w:type="pct"/>
                  <w:tcBorders>
                    <w:tl2br w:val="nil"/>
                    <w:tr2bl w:val="nil"/>
                  </w:tcBorders>
                  <w:vAlign w:val="center"/>
                </w:tcPr>
                <w:p w14:paraId="0B29FB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0.0013</w:t>
                  </w:r>
                </w:p>
              </w:tc>
              <w:tc>
                <w:tcPr>
                  <w:tcW w:w="521" w:type="pct"/>
                  <w:vMerge w:val="continue"/>
                  <w:tcBorders>
                    <w:tl2br w:val="nil"/>
                    <w:tr2bl w:val="nil"/>
                  </w:tcBorders>
                  <w:vAlign w:val="center"/>
                </w:tcPr>
                <w:p w14:paraId="249B7DA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06947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4ADF08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521" w:type="pct"/>
                  <w:tcBorders>
                    <w:tl2br w:val="nil"/>
                    <w:tr2bl w:val="nil"/>
                  </w:tcBorders>
                  <w:vAlign w:val="center"/>
                </w:tcPr>
                <w:p w14:paraId="799D91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0.26</w:t>
                  </w:r>
                </w:p>
              </w:tc>
              <w:tc>
                <w:tcPr>
                  <w:tcW w:w="224" w:type="pct"/>
                  <w:tcBorders>
                    <w:tl2br w:val="nil"/>
                    <w:tr2bl w:val="nil"/>
                  </w:tcBorders>
                  <w:vAlign w:val="center"/>
                </w:tcPr>
                <w:p w14:paraId="67FFE6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E42D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8EBF39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63878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72237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0.0011</w:t>
                  </w:r>
                </w:p>
              </w:tc>
              <w:tc>
                <w:tcPr>
                  <w:tcW w:w="521" w:type="pct"/>
                  <w:tcBorders>
                    <w:tl2br w:val="nil"/>
                    <w:tr2bl w:val="nil"/>
                  </w:tcBorders>
                  <w:vAlign w:val="center"/>
                </w:tcPr>
                <w:p w14:paraId="449279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0.0019</w:t>
                  </w:r>
                </w:p>
              </w:tc>
              <w:tc>
                <w:tcPr>
                  <w:tcW w:w="521" w:type="pct"/>
                  <w:tcBorders>
                    <w:tl2br w:val="nil"/>
                    <w:tr2bl w:val="nil"/>
                  </w:tcBorders>
                  <w:vAlign w:val="center"/>
                </w:tcPr>
                <w:p w14:paraId="4062F6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0.0015</w:t>
                  </w:r>
                </w:p>
              </w:tc>
              <w:tc>
                <w:tcPr>
                  <w:tcW w:w="521" w:type="pct"/>
                  <w:vMerge w:val="continue"/>
                  <w:tcBorders>
                    <w:tl2br w:val="nil"/>
                    <w:tr2bl w:val="nil"/>
                  </w:tcBorders>
                  <w:vAlign w:val="center"/>
                </w:tcPr>
                <w:p w14:paraId="1EF5AE0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DD7F3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0.22</w:t>
                  </w:r>
                </w:p>
              </w:tc>
              <w:tc>
                <w:tcPr>
                  <w:tcW w:w="521" w:type="pct"/>
                  <w:tcBorders>
                    <w:tl2br w:val="nil"/>
                    <w:tr2bl w:val="nil"/>
                  </w:tcBorders>
                  <w:vAlign w:val="center"/>
                </w:tcPr>
                <w:p w14:paraId="3584AE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521" w:type="pct"/>
                  <w:tcBorders>
                    <w:tl2br w:val="nil"/>
                    <w:tr2bl w:val="nil"/>
                  </w:tcBorders>
                  <w:vAlign w:val="center"/>
                </w:tcPr>
                <w:p w14:paraId="012212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224" w:type="pct"/>
                  <w:tcBorders>
                    <w:tl2br w:val="nil"/>
                    <w:tr2bl w:val="nil"/>
                  </w:tcBorders>
                  <w:vAlign w:val="center"/>
                </w:tcPr>
                <w:p w14:paraId="4BD5EA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0D2FB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511575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石油类</w:t>
                  </w:r>
                </w:p>
              </w:tc>
              <w:tc>
                <w:tcPr>
                  <w:tcW w:w="689" w:type="pct"/>
                  <w:tcBorders>
                    <w:tl2br w:val="nil"/>
                    <w:tr2bl w:val="nil"/>
                  </w:tcBorders>
                  <w:vAlign w:val="center"/>
                </w:tcPr>
                <w:p w14:paraId="35F008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68B813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21" w:type="pct"/>
                  <w:tcBorders>
                    <w:tl2br w:val="nil"/>
                    <w:tr2bl w:val="nil"/>
                  </w:tcBorders>
                  <w:vAlign w:val="center"/>
                </w:tcPr>
                <w:p w14:paraId="3F4A40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21" w:type="pct"/>
                  <w:tcBorders>
                    <w:tl2br w:val="nil"/>
                    <w:tr2bl w:val="nil"/>
                  </w:tcBorders>
                  <w:vAlign w:val="center"/>
                </w:tcPr>
                <w:p w14:paraId="389E54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21" w:type="pct"/>
                  <w:vMerge w:val="restart"/>
                  <w:tcBorders>
                    <w:tl2br w:val="nil"/>
                    <w:tr2bl w:val="nil"/>
                  </w:tcBorders>
                  <w:vAlign w:val="center"/>
                </w:tcPr>
                <w:p w14:paraId="2F9A75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693D47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6803DF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69E47F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224" w:type="pct"/>
                  <w:tcBorders>
                    <w:tl2br w:val="nil"/>
                    <w:tr2bl w:val="nil"/>
                  </w:tcBorders>
                  <w:vAlign w:val="center"/>
                </w:tcPr>
                <w:p w14:paraId="6093C1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56F0D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F0A6B0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71C13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37887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521" w:type="pct"/>
                  <w:tcBorders>
                    <w:tl2br w:val="nil"/>
                    <w:tr2bl w:val="nil"/>
                  </w:tcBorders>
                  <w:vAlign w:val="center"/>
                </w:tcPr>
                <w:p w14:paraId="002D05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521" w:type="pct"/>
                  <w:tcBorders>
                    <w:tl2br w:val="nil"/>
                    <w:tr2bl w:val="nil"/>
                  </w:tcBorders>
                  <w:vAlign w:val="center"/>
                </w:tcPr>
                <w:p w14:paraId="5FC34D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21" w:type="pct"/>
                  <w:vMerge w:val="continue"/>
                  <w:tcBorders>
                    <w:tl2br w:val="nil"/>
                    <w:tr2bl w:val="nil"/>
                  </w:tcBorders>
                  <w:vAlign w:val="center"/>
                </w:tcPr>
                <w:p w14:paraId="617A7DC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B144A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521" w:type="pct"/>
                  <w:tcBorders>
                    <w:tl2br w:val="nil"/>
                    <w:tr2bl w:val="nil"/>
                  </w:tcBorders>
                  <w:vAlign w:val="center"/>
                </w:tcPr>
                <w:p w14:paraId="67D33B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521" w:type="pct"/>
                  <w:tcBorders>
                    <w:tl2br w:val="nil"/>
                    <w:tr2bl w:val="nil"/>
                  </w:tcBorders>
                  <w:vAlign w:val="center"/>
                </w:tcPr>
                <w:p w14:paraId="3A8685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224" w:type="pct"/>
                  <w:tcBorders>
                    <w:tl2br w:val="nil"/>
                    <w:tr2bl w:val="nil"/>
                  </w:tcBorders>
                  <w:vAlign w:val="center"/>
                </w:tcPr>
                <w:p w14:paraId="70E083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3595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034A6DA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9D08C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D5D7F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521" w:type="pct"/>
                  <w:tcBorders>
                    <w:tl2br w:val="nil"/>
                    <w:tr2bl w:val="nil"/>
                  </w:tcBorders>
                  <w:vAlign w:val="center"/>
                </w:tcPr>
                <w:p w14:paraId="4B84EB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21" w:type="pct"/>
                  <w:tcBorders>
                    <w:tl2br w:val="nil"/>
                    <w:tr2bl w:val="nil"/>
                  </w:tcBorders>
                  <w:vAlign w:val="center"/>
                </w:tcPr>
                <w:p w14:paraId="264C3F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521" w:type="pct"/>
                  <w:vMerge w:val="continue"/>
                  <w:tcBorders>
                    <w:tl2br w:val="nil"/>
                    <w:tr2bl w:val="nil"/>
                  </w:tcBorders>
                  <w:vAlign w:val="center"/>
                </w:tcPr>
                <w:p w14:paraId="013DFB2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655588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521" w:type="pct"/>
                  <w:tcBorders>
                    <w:tl2br w:val="nil"/>
                    <w:tr2bl w:val="nil"/>
                  </w:tcBorders>
                  <w:vAlign w:val="center"/>
                </w:tcPr>
                <w:p w14:paraId="60A05F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1EB7A3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224" w:type="pct"/>
                  <w:tcBorders>
                    <w:tl2br w:val="nil"/>
                    <w:tr2bl w:val="nil"/>
                  </w:tcBorders>
                  <w:vAlign w:val="center"/>
                </w:tcPr>
                <w:p w14:paraId="6F89E46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6646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70DF7B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硫化物</w:t>
                  </w:r>
                </w:p>
              </w:tc>
              <w:tc>
                <w:tcPr>
                  <w:tcW w:w="689" w:type="pct"/>
                  <w:tcBorders>
                    <w:tl2br w:val="nil"/>
                    <w:tr2bl w:val="nil"/>
                  </w:tcBorders>
                  <w:vAlign w:val="center"/>
                </w:tcPr>
                <w:p w14:paraId="74AE86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66EFE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6EFB91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73A131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vMerge w:val="restart"/>
                  <w:tcBorders>
                    <w:tl2br w:val="nil"/>
                    <w:tr2bl w:val="nil"/>
                  </w:tcBorders>
                  <w:vAlign w:val="center"/>
                </w:tcPr>
                <w:p w14:paraId="7AB8F4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21" w:type="pct"/>
                  <w:tcBorders>
                    <w:tl2br w:val="nil"/>
                    <w:tr2bl w:val="nil"/>
                  </w:tcBorders>
                  <w:vAlign w:val="center"/>
                </w:tcPr>
                <w:p w14:paraId="0FC466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FC1BB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5A4EC7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E6B0A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94A5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CA1768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DDE15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436897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3149F4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6BF653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vMerge w:val="continue"/>
                  <w:tcBorders>
                    <w:tl2br w:val="nil"/>
                    <w:tr2bl w:val="nil"/>
                  </w:tcBorders>
                  <w:vAlign w:val="center"/>
                </w:tcPr>
                <w:p w14:paraId="1AF4F94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82814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96236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6958A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D254A3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B0E8B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BF914B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CEB87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27A20B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031B4F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3B81C9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vMerge w:val="continue"/>
                  <w:tcBorders>
                    <w:tl2br w:val="nil"/>
                    <w:tr2bl w:val="nil"/>
                  </w:tcBorders>
                  <w:vAlign w:val="center"/>
                </w:tcPr>
                <w:p w14:paraId="4032D6E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D1D71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0AF9A5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D2290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1A7423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35609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3E8CD4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硫酸盐</w:t>
                  </w:r>
                </w:p>
              </w:tc>
              <w:tc>
                <w:tcPr>
                  <w:tcW w:w="689" w:type="pct"/>
                  <w:tcBorders>
                    <w:tl2br w:val="nil"/>
                    <w:tr2bl w:val="nil"/>
                  </w:tcBorders>
                  <w:vAlign w:val="center"/>
                </w:tcPr>
                <w:p w14:paraId="172DAD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4468EF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521" w:type="pct"/>
                  <w:tcBorders>
                    <w:tl2br w:val="nil"/>
                    <w:tr2bl w:val="nil"/>
                  </w:tcBorders>
                  <w:vAlign w:val="center"/>
                </w:tcPr>
                <w:p w14:paraId="04285E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86</w:t>
                  </w:r>
                </w:p>
              </w:tc>
              <w:tc>
                <w:tcPr>
                  <w:tcW w:w="521" w:type="pct"/>
                  <w:tcBorders>
                    <w:tl2br w:val="nil"/>
                    <w:tr2bl w:val="nil"/>
                  </w:tcBorders>
                  <w:vAlign w:val="center"/>
                </w:tcPr>
                <w:p w14:paraId="5B1545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521" w:type="pct"/>
                  <w:vMerge w:val="restart"/>
                  <w:tcBorders>
                    <w:tl2br w:val="nil"/>
                    <w:tr2bl w:val="nil"/>
                  </w:tcBorders>
                  <w:vAlign w:val="center"/>
                </w:tcPr>
                <w:p w14:paraId="442BCB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521" w:type="pct"/>
                  <w:tcBorders>
                    <w:tl2br w:val="nil"/>
                    <w:tr2bl w:val="nil"/>
                  </w:tcBorders>
                  <w:vAlign w:val="center"/>
                </w:tcPr>
                <w:p w14:paraId="56A724C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0.304</w:t>
                  </w:r>
                </w:p>
              </w:tc>
              <w:tc>
                <w:tcPr>
                  <w:tcW w:w="521" w:type="pct"/>
                  <w:tcBorders>
                    <w:tl2br w:val="nil"/>
                    <w:tr2bl w:val="nil"/>
                  </w:tcBorders>
                  <w:vAlign w:val="center"/>
                </w:tcPr>
                <w:p w14:paraId="066B75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0.344</w:t>
                  </w:r>
                </w:p>
              </w:tc>
              <w:tc>
                <w:tcPr>
                  <w:tcW w:w="521" w:type="pct"/>
                  <w:tcBorders>
                    <w:tl2br w:val="nil"/>
                    <w:tr2bl w:val="nil"/>
                  </w:tcBorders>
                  <w:vAlign w:val="center"/>
                </w:tcPr>
                <w:p w14:paraId="3F4847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0.164</w:t>
                  </w:r>
                </w:p>
              </w:tc>
              <w:tc>
                <w:tcPr>
                  <w:tcW w:w="224" w:type="pct"/>
                  <w:tcBorders>
                    <w:tl2br w:val="nil"/>
                    <w:tr2bl w:val="nil"/>
                  </w:tcBorders>
                  <w:vAlign w:val="center"/>
                </w:tcPr>
                <w:p w14:paraId="02151C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31FC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B52F6F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6BBFA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00EA56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521" w:type="pct"/>
                  <w:tcBorders>
                    <w:tl2br w:val="nil"/>
                    <w:tr2bl w:val="nil"/>
                  </w:tcBorders>
                  <w:vAlign w:val="center"/>
                </w:tcPr>
                <w:p w14:paraId="18579C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521" w:type="pct"/>
                  <w:tcBorders>
                    <w:tl2br w:val="nil"/>
                    <w:tr2bl w:val="nil"/>
                  </w:tcBorders>
                  <w:vAlign w:val="center"/>
                </w:tcPr>
                <w:p w14:paraId="650793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521" w:type="pct"/>
                  <w:vMerge w:val="continue"/>
                  <w:tcBorders>
                    <w:tl2br w:val="nil"/>
                    <w:tr2bl w:val="nil"/>
                  </w:tcBorders>
                  <w:vAlign w:val="center"/>
                </w:tcPr>
                <w:p w14:paraId="58F3B64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D0C75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0.288</w:t>
                  </w:r>
                </w:p>
              </w:tc>
              <w:tc>
                <w:tcPr>
                  <w:tcW w:w="521" w:type="pct"/>
                  <w:tcBorders>
                    <w:tl2br w:val="nil"/>
                    <w:tr2bl w:val="nil"/>
                  </w:tcBorders>
                  <w:vAlign w:val="center"/>
                </w:tcPr>
                <w:p w14:paraId="6C213B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0.34</w:t>
                  </w:r>
                </w:p>
              </w:tc>
              <w:tc>
                <w:tcPr>
                  <w:tcW w:w="521" w:type="pct"/>
                  <w:tcBorders>
                    <w:tl2br w:val="nil"/>
                    <w:tr2bl w:val="nil"/>
                  </w:tcBorders>
                  <w:vAlign w:val="center"/>
                </w:tcPr>
                <w:p w14:paraId="01BB60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0.18</w:t>
                  </w:r>
                </w:p>
              </w:tc>
              <w:tc>
                <w:tcPr>
                  <w:tcW w:w="224" w:type="pct"/>
                  <w:tcBorders>
                    <w:tl2br w:val="nil"/>
                    <w:tr2bl w:val="nil"/>
                  </w:tcBorders>
                  <w:vAlign w:val="center"/>
                </w:tcPr>
                <w:p w14:paraId="0CA218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749D1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2483B0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9A3A8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64A0C3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w:t>
                  </w:r>
                </w:p>
              </w:tc>
              <w:tc>
                <w:tcPr>
                  <w:tcW w:w="521" w:type="pct"/>
                  <w:tcBorders>
                    <w:tl2br w:val="nil"/>
                    <w:tr2bl w:val="nil"/>
                  </w:tcBorders>
                  <w:vAlign w:val="center"/>
                </w:tcPr>
                <w:p w14:paraId="0C5E73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88</w:t>
                  </w:r>
                </w:p>
              </w:tc>
              <w:tc>
                <w:tcPr>
                  <w:tcW w:w="521" w:type="pct"/>
                  <w:tcBorders>
                    <w:tl2br w:val="nil"/>
                    <w:tr2bl w:val="nil"/>
                  </w:tcBorders>
                  <w:vAlign w:val="center"/>
                </w:tcPr>
                <w:p w14:paraId="1E9268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521" w:type="pct"/>
                  <w:vMerge w:val="continue"/>
                  <w:tcBorders>
                    <w:tl2br w:val="nil"/>
                    <w:tr2bl w:val="nil"/>
                  </w:tcBorders>
                  <w:vAlign w:val="center"/>
                </w:tcPr>
                <w:p w14:paraId="70F49C4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44ED9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0.292</w:t>
                  </w:r>
                </w:p>
              </w:tc>
              <w:tc>
                <w:tcPr>
                  <w:tcW w:w="521" w:type="pct"/>
                  <w:tcBorders>
                    <w:tl2br w:val="nil"/>
                    <w:tr2bl w:val="nil"/>
                  </w:tcBorders>
                  <w:vAlign w:val="center"/>
                </w:tcPr>
                <w:p w14:paraId="6591E9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0.352</w:t>
                  </w:r>
                </w:p>
              </w:tc>
              <w:tc>
                <w:tcPr>
                  <w:tcW w:w="521" w:type="pct"/>
                  <w:tcBorders>
                    <w:tl2br w:val="nil"/>
                    <w:tr2bl w:val="nil"/>
                  </w:tcBorders>
                  <w:vAlign w:val="center"/>
                </w:tcPr>
                <w:p w14:paraId="300D06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0.168</w:t>
                  </w:r>
                </w:p>
              </w:tc>
              <w:tc>
                <w:tcPr>
                  <w:tcW w:w="224" w:type="pct"/>
                  <w:tcBorders>
                    <w:tl2br w:val="nil"/>
                    <w:tr2bl w:val="nil"/>
                  </w:tcBorders>
                  <w:vAlign w:val="center"/>
                </w:tcPr>
                <w:p w14:paraId="66AC80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DB20F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37C8124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亚硝酸盐氮</w:t>
                  </w:r>
                </w:p>
              </w:tc>
              <w:tc>
                <w:tcPr>
                  <w:tcW w:w="689" w:type="pct"/>
                  <w:tcBorders>
                    <w:tl2br w:val="nil"/>
                    <w:tr2bl w:val="nil"/>
                  </w:tcBorders>
                  <w:vAlign w:val="center"/>
                </w:tcPr>
                <w:p w14:paraId="7524E0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5E1FFD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521" w:type="pct"/>
                  <w:tcBorders>
                    <w:tl2br w:val="nil"/>
                    <w:tr2bl w:val="nil"/>
                  </w:tcBorders>
                  <w:vAlign w:val="center"/>
                </w:tcPr>
                <w:p w14:paraId="1F1F73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521" w:type="pct"/>
                  <w:tcBorders>
                    <w:tl2br w:val="nil"/>
                    <w:tr2bl w:val="nil"/>
                  </w:tcBorders>
                  <w:vAlign w:val="center"/>
                </w:tcPr>
                <w:p w14:paraId="0C0462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0.39</w:t>
                  </w:r>
                </w:p>
              </w:tc>
              <w:tc>
                <w:tcPr>
                  <w:tcW w:w="521" w:type="pct"/>
                  <w:vMerge w:val="restart"/>
                  <w:tcBorders>
                    <w:tl2br w:val="nil"/>
                    <w:tr2bl w:val="nil"/>
                  </w:tcBorders>
                  <w:vAlign w:val="center"/>
                </w:tcPr>
                <w:p w14:paraId="5808DE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21" w:type="pct"/>
                  <w:tcBorders>
                    <w:tl2br w:val="nil"/>
                    <w:tr2bl w:val="nil"/>
                  </w:tcBorders>
                  <w:vAlign w:val="center"/>
                </w:tcPr>
                <w:p w14:paraId="200DE2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521" w:type="pct"/>
                  <w:tcBorders>
                    <w:tl2br w:val="nil"/>
                    <w:tr2bl w:val="nil"/>
                  </w:tcBorders>
                  <w:vAlign w:val="center"/>
                </w:tcPr>
                <w:p w14:paraId="1F385F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21" w:type="pct"/>
                  <w:tcBorders>
                    <w:tl2br w:val="nil"/>
                    <w:tr2bl w:val="nil"/>
                  </w:tcBorders>
                  <w:vAlign w:val="center"/>
                </w:tcPr>
                <w:p w14:paraId="1E7EBF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0.039</w:t>
                  </w:r>
                </w:p>
              </w:tc>
              <w:tc>
                <w:tcPr>
                  <w:tcW w:w="224" w:type="pct"/>
                  <w:tcBorders>
                    <w:tl2br w:val="nil"/>
                    <w:tr2bl w:val="nil"/>
                  </w:tcBorders>
                  <w:vAlign w:val="center"/>
                </w:tcPr>
                <w:p w14:paraId="31386A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98A8E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50BA99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7865D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83F91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0.46</w:t>
                  </w:r>
                </w:p>
              </w:tc>
              <w:tc>
                <w:tcPr>
                  <w:tcW w:w="521" w:type="pct"/>
                  <w:tcBorders>
                    <w:tl2br w:val="nil"/>
                    <w:tr2bl w:val="nil"/>
                  </w:tcBorders>
                  <w:vAlign w:val="center"/>
                </w:tcPr>
                <w:p w14:paraId="70929D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521" w:type="pct"/>
                  <w:tcBorders>
                    <w:tl2br w:val="nil"/>
                    <w:tr2bl w:val="nil"/>
                  </w:tcBorders>
                  <w:vAlign w:val="center"/>
                </w:tcPr>
                <w:p w14:paraId="230CF3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521" w:type="pct"/>
                  <w:vMerge w:val="continue"/>
                  <w:tcBorders>
                    <w:tl2br w:val="nil"/>
                    <w:tr2bl w:val="nil"/>
                  </w:tcBorders>
                  <w:vAlign w:val="center"/>
                </w:tcPr>
                <w:p w14:paraId="106A882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0FCCC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0.046</w:t>
                  </w:r>
                </w:p>
              </w:tc>
              <w:tc>
                <w:tcPr>
                  <w:tcW w:w="521" w:type="pct"/>
                  <w:tcBorders>
                    <w:tl2br w:val="nil"/>
                    <w:tr2bl w:val="nil"/>
                  </w:tcBorders>
                  <w:vAlign w:val="center"/>
                </w:tcPr>
                <w:p w14:paraId="2EC8CA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0.048</w:t>
                  </w:r>
                </w:p>
              </w:tc>
              <w:tc>
                <w:tcPr>
                  <w:tcW w:w="521" w:type="pct"/>
                  <w:tcBorders>
                    <w:tl2br w:val="nil"/>
                    <w:tr2bl w:val="nil"/>
                  </w:tcBorders>
                  <w:vAlign w:val="center"/>
                </w:tcPr>
                <w:p w14:paraId="59231E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0.041</w:t>
                  </w:r>
                </w:p>
              </w:tc>
              <w:tc>
                <w:tcPr>
                  <w:tcW w:w="224" w:type="pct"/>
                  <w:tcBorders>
                    <w:tl2br w:val="nil"/>
                    <w:tr2bl w:val="nil"/>
                  </w:tcBorders>
                  <w:vAlign w:val="center"/>
                </w:tcPr>
                <w:p w14:paraId="252784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1FB71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FCD629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A1135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10EF3F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0.44</w:t>
                  </w:r>
                </w:p>
              </w:tc>
              <w:tc>
                <w:tcPr>
                  <w:tcW w:w="521" w:type="pct"/>
                  <w:tcBorders>
                    <w:tl2br w:val="nil"/>
                    <w:tr2bl w:val="nil"/>
                  </w:tcBorders>
                  <w:vAlign w:val="center"/>
                </w:tcPr>
                <w:p w14:paraId="5CA53D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0.51</w:t>
                  </w:r>
                </w:p>
              </w:tc>
              <w:tc>
                <w:tcPr>
                  <w:tcW w:w="521" w:type="pct"/>
                  <w:tcBorders>
                    <w:tl2br w:val="nil"/>
                    <w:tr2bl w:val="nil"/>
                  </w:tcBorders>
                  <w:vAlign w:val="center"/>
                </w:tcPr>
                <w:p w14:paraId="12953E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521" w:type="pct"/>
                  <w:vMerge w:val="continue"/>
                  <w:tcBorders>
                    <w:tl2br w:val="nil"/>
                    <w:tr2bl w:val="nil"/>
                  </w:tcBorders>
                  <w:vAlign w:val="center"/>
                </w:tcPr>
                <w:p w14:paraId="2729CF1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47C36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0.044</w:t>
                  </w:r>
                </w:p>
              </w:tc>
              <w:tc>
                <w:tcPr>
                  <w:tcW w:w="521" w:type="pct"/>
                  <w:tcBorders>
                    <w:tl2br w:val="nil"/>
                    <w:tr2bl w:val="nil"/>
                  </w:tcBorders>
                  <w:vAlign w:val="center"/>
                </w:tcPr>
                <w:p w14:paraId="7F6D9D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0.051</w:t>
                  </w:r>
                </w:p>
              </w:tc>
              <w:tc>
                <w:tcPr>
                  <w:tcW w:w="521" w:type="pct"/>
                  <w:tcBorders>
                    <w:tl2br w:val="nil"/>
                    <w:tr2bl w:val="nil"/>
                  </w:tcBorders>
                  <w:vAlign w:val="center"/>
                </w:tcPr>
                <w:p w14:paraId="1E4325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0.037</w:t>
                  </w:r>
                </w:p>
              </w:tc>
              <w:tc>
                <w:tcPr>
                  <w:tcW w:w="224" w:type="pct"/>
                  <w:tcBorders>
                    <w:tl2br w:val="nil"/>
                    <w:tr2bl w:val="nil"/>
                  </w:tcBorders>
                  <w:vAlign w:val="center"/>
                </w:tcPr>
                <w:p w14:paraId="410173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6C844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4474E5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氯化物</w:t>
                  </w:r>
                </w:p>
              </w:tc>
              <w:tc>
                <w:tcPr>
                  <w:tcW w:w="689" w:type="pct"/>
                  <w:tcBorders>
                    <w:tl2br w:val="nil"/>
                    <w:tr2bl w:val="nil"/>
                  </w:tcBorders>
                  <w:vAlign w:val="center"/>
                </w:tcPr>
                <w:p w14:paraId="6C5BDC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1993D9B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44</w:t>
                  </w:r>
                </w:p>
              </w:tc>
              <w:tc>
                <w:tcPr>
                  <w:tcW w:w="521" w:type="pct"/>
                  <w:tcBorders>
                    <w:tl2br w:val="nil"/>
                    <w:tr2bl w:val="nil"/>
                  </w:tcBorders>
                  <w:vAlign w:val="center"/>
                </w:tcPr>
                <w:p w14:paraId="6FA492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74</w:t>
                  </w:r>
                </w:p>
              </w:tc>
              <w:tc>
                <w:tcPr>
                  <w:tcW w:w="521" w:type="pct"/>
                  <w:tcBorders>
                    <w:tl2br w:val="nil"/>
                    <w:tr2bl w:val="nil"/>
                  </w:tcBorders>
                  <w:vAlign w:val="center"/>
                </w:tcPr>
                <w:p w14:paraId="6294EC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57</w:t>
                  </w:r>
                </w:p>
              </w:tc>
              <w:tc>
                <w:tcPr>
                  <w:tcW w:w="521" w:type="pct"/>
                  <w:vMerge w:val="restart"/>
                  <w:tcBorders>
                    <w:tl2br w:val="nil"/>
                    <w:tr2bl w:val="nil"/>
                  </w:tcBorders>
                  <w:vAlign w:val="center"/>
                </w:tcPr>
                <w:p w14:paraId="507019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521" w:type="pct"/>
                  <w:tcBorders>
                    <w:tl2br w:val="nil"/>
                    <w:tr2bl w:val="nil"/>
                  </w:tcBorders>
                  <w:vAlign w:val="center"/>
                </w:tcPr>
                <w:p w14:paraId="06C24C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0.176</w:t>
                  </w:r>
                </w:p>
              </w:tc>
              <w:tc>
                <w:tcPr>
                  <w:tcW w:w="521" w:type="pct"/>
                  <w:tcBorders>
                    <w:tl2br w:val="nil"/>
                    <w:tr2bl w:val="nil"/>
                  </w:tcBorders>
                  <w:vAlign w:val="center"/>
                </w:tcPr>
                <w:p w14:paraId="56D05C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0.296</w:t>
                  </w:r>
                </w:p>
              </w:tc>
              <w:tc>
                <w:tcPr>
                  <w:tcW w:w="521" w:type="pct"/>
                  <w:tcBorders>
                    <w:tl2br w:val="nil"/>
                    <w:tr2bl w:val="nil"/>
                  </w:tcBorders>
                  <w:vAlign w:val="center"/>
                </w:tcPr>
                <w:p w14:paraId="2475B4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0.228</w:t>
                  </w:r>
                </w:p>
              </w:tc>
              <w:tc>
                <w:tcPr>
                  <w:tcW w:w="224" w:type="pct"/>
                  <w:tcBorders>
                    <w:tl2br w:val="nil"/>
                    <w:tr2bl w:val="nil"/>
                  </w:tcBorders>
                  <w:vAlign w:val="center"/>
                </w:tcPr>
                <w:p w14:paraId="343B52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EDAF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89FD52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68E7D9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69450C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521" w:type="pct"/>
                  <w:tcBorders>
                    <w:tl2br w:val="nil"/>
                    <w:tr2bl w:val="nil"/>
                  </w:tcBorders>
                  <w:vAlign w:val="center"/>
                </w:tcPr>
                <w:p w14:paraId="1C55F2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521" w:type="pct"/>
                  <w:tcBorders>
                    <w:tl2br w:val="nil"/>
                    <w:tr2bl w:val="nil"/>
                  </w:tcBorders>
                  <w:vAlign w:val="center"/>
                </w:tcPr>
                <w:p w14:paraId="32E177C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521" w:type="pct"/>
                  <w:vMerge w:val="continue"/>
                  <w:tcBorders>
                    <w:tl2br w:val="nil"/>
                    <w:tr2bl w:val="nil"/>
                  </w:tcBorders>
                  <w:vAlign w:val="center"/>
                </w:tcPr>
                <w:p w14:paraId="2968B13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72673C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0.168</w:t>
                  </w:r>
                </w:p>
              </w:tc>
              <w:tc>
                <w:tcPr>
                  <w:tcW w:w="521" w:type="pct"/>
                  <w:tcBorders>
                    <w:tl2br w:val="nil"/>
                    <w:tr2bl w:val="nil"/>
                  </w:tcBorders>
                  <w:vAlign w:val="center"/>
                </w:tcPr>
                <w:p w14:paraId="62036B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0.312</w:t>
                  </w:r>
                </w:p>
              </w:tc>
              <w:tc>
                <w:tcPr>
                  <w:tcW w:w="521" w:type="pct"/>
                  <w:tcBorders>
                    <w:tl2br w:val="nil"/>
                    <w:tr2bl w:val="nil"/>
                  </w:tcBorders>
                  <w:vAlign w:val="center"/>
                </w:tcPr>
                <w:p w14:paraId="646ACD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0.24</w:t>
                  </w:r>
                </w:p>
              </w:tc>
              <w:tc>
                <w:tcPr>
                  <w:tcW w:w="224" w:type="pct"/>
                  <w:tcBorders>
                    <w:tl2br w:val="nil"/>
                    <w:tr2bl w:val="nil"/>
                  </w:tcBorders>
                  <w:vAlign w:val="center"/>
                </w:tcPr>
                <w:p w14:paraId="010D29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5E56C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91FD07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9EA30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288355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521" w:type="pct"/>
                  <w:tcBorders>
                    <w:tl2br w:val="nil"/>
                    <w:tr2bl w:val="nil"/>
                  </w:tcBorders>
                  <w:vAlign w:val="center"/>
                </w:tcPr>
                <w:p w14:paraId="58B357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521" w:type="pct"/>
                  <w:tcBorders>
                    <w:tl2br w:val="nil"/>
                    <w:tr2bl w:val="nil"/>
                  </w:tcBorders>
                  <w:vAlign w:val="center"/>
                </w:tcPr>
                <w:p w14:paraId="577C41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54</w:t>
                  </w:r>
                </w:p>
              </w:tc>
              <w:tc>
                <w:tcPr>
                  <w:tcW w:w="521" w:type="pct"/>
                  <w:vMerge w:val="continue"/>
                  <w:tcBorders>
                    <w:tl2br w:val="nil"/>
                    <w:tr2bl w:val="nil"/>
                  </w:tcBorders>
                  <w:vAlign w:val="center"/>
                </w:tcPr>
                <w:p w14:paraId="5206BCC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C58A5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0.18</w:t>
                  </w:r>
                </w:p>
              </w:tc>
              <w:tc>
                <w:tcPr>
                  <w:tcW w:w="521" w:type="pct"/>
                  <w:tcBorders>
                    <w:tl2br w:val="nil"/>
                    <w:tr2bl w:val="nil"/>
                  </w:tcBorders>
                  <w:vAlign w:val="center"/>
                </w:tcPr>
                <w:p w14:paraId="691FF1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0.304</w:t>
                  </w:r>
                </w:p>
              </w:tc>
              <w:tc>
                <w:tcPr>
                  <w:tcW w:w="521" w:type="pct"/>
                  <w:tcBorders>
                    <w:tl2br w:val="nil"/>
                    <w:tr2bl w:val="nil"/>
                  </w:tcBorders>
                  <w:vAlign w:val="center"/>
                </w:tcPr>
                <w:p w14:paraId="0FF499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0.216</w:t>
                  </w:r>
                </w:p>
              </w:tc>
              <w:tc>
                <w:tcPr>
                  <w:tcW w:w="224" w:type="pct"/>
                  <w:tcBorders>
                    <w:tl2br w:val="nil"/>
                    <w:tr2bl w:val="nil"/>
                  </w:tcBorders>
                  <w:vAlign w:val="center"/>
                </w:tcPr>
                <w:p w14:paraId="4C8485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A77D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00C40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铁</w:t>
                  </w:r>
                </w:p>
              </w:tc>
              <w:tc>
                <w:tcPr>
                  <w:tcW w:w="689" w:type="pct"/>
                  <w:tcBorders>
                    <w:tl2br w:val="nil"/>
                    <w:tr2bl w:val="nil"/>
                  </w:tcBorders>
                  <w:vAlign w:val="center"/>
                </w:tcPr>
                <w:p w14:paraId="27C774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7993E1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tcBorders>
                    <w:tl2br w:val="nil"/>
                    <w:tr2bl w:val="nil"/>
                  </w:tcBorders>
                  <w:vAlign w:val="center"/>
                </w:tcPr>
                <w:p w14:paraId="6493C2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tcBorders>
                    <w:tl2br w:val="nil"/>
                    <w:tr2bl w:val="nil"/>
                  </w:tcBorders>
                  <w:vAlign w:val="center"/>
                </w:tcPr>
                <w:p w14:paraId="6DCD79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vMerge w:val="restart"/>
                  <w:tcBorders>
                    <w:tl2br w:val="nil"/>
                    <w:tr2bl w:val="nil"/>
                  </w:tcBorders>
                  <w:vAlign w:val="center"/>
                </w:tcPr>
                <w:p w14:paraId="28DD97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521" w:type="pct"/>
                  <w:tcBorders>
                    <w:tl2br w:val="nil"/>
                    <w:tr2bl w:val="nil"/>
                  </w:tcBorders>
                  <w:vAlign w:val="center"/>
                </w:tcPr>
                <w:p w14:paraId="0ED1226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CF197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60102B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089850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7666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82AA5A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7286A0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1AAFAA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tcBorders>
                    <w:tl2br w:val="nil"/>
                    <w:tr2bl w:val="nil"/>
                  </w:tcBorders>
                  <w:vAlign w:val="center"/>
                </w:tcPr>
                <w:p w14:paraId="1255F1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tcBorders>
                    <w:tl2br w:val="nil"/>
                    <w:tr2bl w:val="nil"/>
                  </w:tcBorders>
                  <w:vAlign w:val="center"/>
                </w:tcPr>
                <w:p w14:paraId="7B6C33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vMerge w:val="continue"/>
                  <w:tcBorders>
                    <w:tl2br w:val="nil"/>
                    <w:tr2bl w:val="nil"/>
                  </w:tcBorders>
                  <w:vAlign w:val="center"/>
                </w:tcPr>
                <w:p w14:paraId="34BDE8C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7868B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3EDB4E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A63A2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4FE236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51F0E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5F82DB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93B42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DE6E2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tcBorders>
                    <w:tl2br w:val="nil"/>
                    <w:tr2bl w:val="nil"/>
                  </w:tcBorders>
                  <w:vAlign w:val="center"/>
                </w:tcPr>
                <w:p w14:paraId="495364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tcBorders>
                    <w:tl2br w:val="nil"/>
                    <w:tr2bl w:val="nil"/>
                  </w:tcBorders>
                  <w:vAlign w:val="center"/>
                </w:tcPr>
                <w:p w14:paraId="1A7181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521" w:type="pct"/>
                  <w:vMerge w:val="continue"/>
                  <w:tcBorders>
                    <w:tl2br w:val="nil"/>
                    <w:tr2bl w:val="nil"/>
                  </w:tcBorders>
                  <w:vAlign w:val="center"/>
                </w:tcPr>
                <w:p w14:paraId="1E17086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336CD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1ADC6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3778E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47B21F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B1643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4BDF4A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锰</w:t>
                  </w:r>
                </w:p>
              </w:tc>
              <w:tc>
                <w:tcPr>
                  <w:tcW w:w="689" w:type="pct"/>
                  <w:tcBorders>
                    <w:tl2br w:val="nil"/>
                    <w:tr2bl w:val="nil"/>
                  </w:tcBorders>
                  <w:vAlign w:val="center"/>
                </w:tcPr>
                <w:p w14:paraId="148E4A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3420BC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42A240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009522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vMerge w:val="restart"/>
                  <w:tcBorders>
                    <w:tl2br w:val="nil"/>
                    <w:tr2bl w:val="nil"/>
                  </w:tcBorders>
                  <w:vAlign w:val="center"/>
                </w:tcPr>
                <w:p w14:paraId="578DE5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21" w:type="pct"/>
                  <w:tcBorders>
                    <w:tl2br w:val="nil"/>
                    <w:tr2bl w:val="nil"/>
                  </w:tcBorders>
                  <w:vAlign w:val="center"/>
                </w:tcPr>
                <w:p w14:paraId="5BA130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52961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3DB44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AD9E9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A584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183E87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68F8BD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A80EA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543243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1BBE21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vMerge w:val="continue"/>
                  <w:tcBorders>
                    <w:tl2br w:val="nil"/>
                    <w:tr2bl w:val="nil"/>
                  </w:tcBorders>
                  <w:vAlign w:val="center"/>
                </w:tcPr>
                <w:p w14:paraId="67DFE59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7F73CF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475B89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7514B2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5D41E8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1D74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0C84DF9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3613F0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85FCE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078C87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tcBorders>
                    <w:tl2br w:val="nil"/>
                    <w:tr2bl w:val="nil"/>
                  </w:tcBorders>
                  <w:vAlign w:val="center"/>
                </w:tcPr>
                <w:p w14:paraId="770463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521" w:type="pct"/>
                  <w:vMerge w:val="continue"/>
                  <w:tcBorders>
                    <w:tl2br w:val="nil"/>
                    <w:tr2bl w:val="nil"/>
                  </w:tcBorders>
                  <w:vAlign w:val="center"/>
                </w:tcPr>
                <w:p w14:paraId="68D16C5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81768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2CADEE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21" w:type="pct"/>
                  <w:tcBorders>
                    <w:tl2br w:val="nil"/>
                    <w:tr2bl w:val="nil"/>
                  </w:tcBorders>
                  <w:vAlign w:val="center"/>
                </w:tcPr>
                <w:p w14:paraId="1AE6CB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24" w:type="pct"/>
                  <w:tcBorders>
                    <w:tl2br w:val="nil"/>
                    <w:tr2bl w:val="nil"/>
                  </w:tcBorders>
                  <w:vAlign w:val="center"/>
                </w:tcPr>
                <w:p w14:paraId="718BA1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F1C2F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B690E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w:t>
                  </w:r>
                </w:p>
              </w:tc>
              <w:tc>
                <w:tcPr>
                  <w:tcW w:w="689" w:type="pct"/>
                  <w:tcBorders>
                    <w:tl2br w:val="nil"/>
                    <w:tr2bl w:val="nil"/>
                  </w:tcBorders>
                  <w:vAlign w:val="center"/>
                </w:tcPr>
                <w:p w14:paraId="5F8707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036413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691493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36B488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vMerge w:val="restart"/>
                  <w:tcBorders>
                    <w:tl2br w:val="nil"/>
                    <w:tr2bl w:val="nil"/>
                  </w:tcBorders>
                  <w:vAlign w:val="center"/>
                </w:tcPr>
                <w:p w14:paraId="473B69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0F137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58EBD6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437EF7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593740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64080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35DDCDC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6BEFA1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5107AE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7DF8BE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54CA8E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vMerge w:val="continue"/>
                  <w:tcBorders>
                    <w:tl2br w:val="nil"/>
                    <w:tr2bl w:val="nil"/>
                  </w:tcBorders>
                  <w:vAlign w:val="center"/>
                </w:tcPr>
                <w:p w14:paraId="3A306D9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CF1AF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345233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E6F51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02813A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6DAD12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F96852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CB93A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7B55CB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075A6B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551920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vMerge w:val="continue"/>
                  <w:tcBorders>
                    <w:tl2br w:val="nil"/>
                    <w:tr2bl w:val="nil"/>
                  </w:tcBorders>
                  <w:vAlign w:val="center"/>
                </w:tcPr>
                <w:p w14:paraId="77980F0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A95AF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75E476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181E5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7A7CB8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F36EC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9E2C6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苯并[a]芘</w:t>
                  </w:r>
                </w:p>
              </w:tc>
              <w:tc>
                <w:tcPr>
                  <w:tcW w:w="689" w:type="pct"/>
                  <w:tcBorders>
                    <w:tl2br w:val="nil"/>
                    <w:tr2bl w:val="nil"/>
                  </w:tcBorders>
                  <w:vAlign w:val="center"/>
                </w:tcPr>
                <w:p w14:paraId="69B519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1F0B6C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0A2CA5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5D5B33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vMerge w:val="restart"/>
                  <w:tcBorders>
                    <w:tl2br w:val="nil"/>
                    <w:tr2bl w:val="nil"/>
                  </w:tcBorders>
                  <w:vAlign w:val="center"/>
                </w:tcPr>
                <w:p w14:paraId="6CA290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D05A0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3B37E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514E7E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3DC754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20F22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22F0AC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55643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1EABF9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555270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43D3CF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vMerge w:val="continue"/>
                  <w:tcBorders>
                    <w:tl2br w:val="nil"/>
                    <w:tr2bl w:val="nil"/>
                  </w:tcBorders>
                  <w:vAlign w:val="center"/>
                </w:tcPr>
                <w:p w14:paraId="7D087A0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46EEE2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42D069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562161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318FBF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2C52FF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6212BA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46375D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43D400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597EE4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29C284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vMerge w:val="continue"/>
                  <w:tcBorders>
                    <w:tl2br w:val="nil"/>
                    <w:tr2bl w:val="nil"/>
                  </w:tcBorders>
                  <w:vAlign w:val="center"/>
                </w:tcPr>
                <w:p w14:paraId="5727FE8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50B03C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A537D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38F5A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05D6D3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6E303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35033F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689" w:type="pct"/>
                  <w:tcBorders>
                    <w:tl2br w:val="nil"/>
                    <w:tr2bl w:val="nil"/>
                  </w:tcBorders>
                  <w:vAlign w:val="center"/>
                </w:tcPr>
                <w:p w14:paraId="4FB1EF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48F6E3B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28AFCF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18C6AF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vMerge w:val="restart"/>
                  <w:tcBorders>
                    <w:tl2br w:val="nil"/>
                    <w:tr2bl w:val="nil"/>
                  </w:tcBorders>
                  <w:vAlign w:val="center"/>
                </w:tcPr>
                <w:p w14:paraId="157547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9FB3F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72A2BB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65188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6095FA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28CD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B9A274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6CFA17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70F40F1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1B797C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6718F6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vMerge w:val="continue"/>
                  <w:tcBorders>
                    <w:tl2br w:val="nil"/>
                    <w:tr2bl w:val="nil"/>
                  </w:tcBorders>
                  <w:vAlign w:val="center"/>
                </w:tcPr>
                <w:p w14:paraId="0ACF60E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8B5B0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DC48D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EC005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6A0562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3D1F76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3D619D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12CF7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6294A0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0484FB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tcBorders>
                    <w:tl2br w:val="nil"/>
                    <w:tr2bl w:val="nil"/>
                  </w:tcBorders>
                  <w:vAlign w:val="center"/>
                </w:tcPr>
                <w:p w14:paraId="13E17D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521" w:type="pct"/>
                  <w:vMerge w:val="continue"/>
                  <w:tcBorders>
                    <w:tl2br w:val="nil"/>
                    <w:tr2bl w:val="nil"/>
                  </w:tcBorders>
                  <w:vAlign w:val="center"/>
                </w:tcPr>
                <w:p w14:paraId="64C72F0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A7BA7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3789B3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E3109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3A577A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5D13BF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741F64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荧蒽</w:t>
                  </w:r>
                </w:p>
              </w:tc>
              <w:tc>
                <w:tcPr>
                  <w:tcW w:w="689" w:type="pct"/>
                  <w:tcBorders>
                    <w:tl2br w:val="nil"/>
                    <w:tr2bl w:val="nil"/>
                  </w:tcBorders>
                  <w:vAlign w:val="center"/>
                </w:tcPr>
                <w:p w14:paraId="21BA18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5F736A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tcBorders>
                    <w:tl2br w:val="nil"/>
                    <w:tr2bl w:val="nil"/>
                  </w:tcBorders>
                  <w:vAlign w:val="center"/>
                </w:tcPr>
                <w:p w14:paraId="16E3B9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tcBorders>
                    <w:tl2br w:val="nil"/>
                    <w:tr2bl w:val="nil"/>
                  </w:tcBorders>
                  <w:vAlign w:val="center"/>
                </w:tcPr>
                <w:p w14:paraId="3D1C03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vMerge w:val="restart"/>
                  <w:tcBorders>
                    <w:tl2br w:val="nil"/>
                    <w:tr2bl w:val="nil"/>
                  </w:tcBorders>
                  <w:vAlign w:val="center"/>
                </w:tcPr>
                <w:p w14:paraId="2662AC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3E588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D2C2C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402F7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26653E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2287C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4FF864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54467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5EF4CA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tcBorders>
                    <w:tl2br w:val="nil"/>
                    <w:tr2bl w:val="nil"/>
                  </w:tcBorders>
                  <w:vAlign w:val="center"/>
                </w:tcPr>
                <w:p w14:paraId="5230B3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tcBorders>
                    <w:tl2br w:val="nil"/>
                    <w:tr2bl w:val="nil"/>
                  </w:tcBorders>
                  <w:vAlign w:val="center"/>
                </w:tcPr>
                <w:p w14:paraId="7A42FD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vMerge w:val="continue"/>
                  <w:tcBorders>
                    <w:tl2br w:val="nil"/>
                    <w:tr2bl w:val="nil"/>
                  </w:tcBorders>
                  <w:vAlign w:val="center"/>
                </w:tcPr>
                <w:p w14:paraId="5CF4F3E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CEFA3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D7A68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27F79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073E3D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1C782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3EF560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37D52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13F606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tcBorders>
                    <w:tl2br w:val="nil"/>
                    <w:tr2bl w:val="nil"/>
                  </w:tcBorders>
                  <w:vAlign w:val="center"/>
                </w:tcPr>
                <w:p w14:paraId="56D4CC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tcBorders>
                    <w:tl2br w:val="nil"/>
                    <w:tr2bl w:val="nil"/>
                  </w:tcBorders>
                  <w:vAlign w:val="center"/>
                </w:tcPr>
                <w:p w14:paraId="065B24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521" w:type="pct"/>
                  <w:vMerge w:val="continue"/>
                  <w:tcBorders>
                    <w:tl2br w:val="nil"/>
                    <w:tr2bl w:val="nil"/>
                  </w:tcBorders>
                  <w:vAlign w:val="center"/>
                </w:tcPr>
                <w:p w14:paraId="2DAEB3C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72105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7A6356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5693A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197D8F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6648A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0DBA4E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苯并（b）荧蒽</w:t>
                  </w:r>
                </w:p>
              </w:tc>
              <w:tc>
                <w:tcPr>
                  <w:tcW w:w="689" w:type="pct"/>
                  <w:tcBorders>
                    <w:tl2br w:val="nil"/>
                    <w:tr2bl w:val="nil"/>
                  </w:tcBorders>
                  <w:vAlign w:val="center"/>
                </w:tcPr>
                <w:p w14:paraId="1CFCF2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10AAF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tcBorders>
                    <w:tl2br w:val="nil"/>
                    <w:tr2bl w:val="nil"/>
                  </w:tcBorders>
                  <w:vAlign w:val="center"/>
                </w:tcPr>
                <w:p w14:paraId="08C141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tcBorders>
                    <w:tl2br w:val="nil"/>
                    <w:tr2bl w:val="nil"/>
                  </w:tcBorders>
                  <w:vAlign w:val="center"/>
                </w:tcPr>
                <w:p w14:paraId="79117B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vMerge w:val="restart"/>
                  <w:tcBorders>
                    <w:tl2br w:val="nil"/>
                    <w:tr2bl w:val="nil"/>
                  </w:tcBorders>
                  <w:vAlign w:val="center"/>
                </w:tcPr>
                <w:p w14:paraId="02DA8D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41FE55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7E6BE3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4858A7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4B2EE4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76803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170C986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721A0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6550A0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tcBorders>
                    <w:tl2br w:val="nil"/>
                    <w:tr2bl w:val="nil"/>
                  </w:tcBorders>
                  <w:vAlign w:val="center"/>
                </w:tcPr>
                <w:p w14:paraId="6CFE5E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tcBorders>
                    <w:tl2br w:val="nil"/>
                    <w:tr2bl w:val="nil"/>
                  </w:tcBorders>
                  <w:vAlign w:val="center"/>
                </w:tcPr>
                <w:p w14:paraId="5B3CD0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vMerge w:val="continue"/>
                  <w:tcBorders>
                    <w:tl2br w:val="nil"/>
                    <w:tr2bl w:val="nil"/>
                  </w:tcBorders>
                  <w:vAlign w:val="center"/>
                </w:tcPr>
                <w:p w14:paraId="46B6EAB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07903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3FD1D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8964E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71D395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333887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4AAD8AE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6460C6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3D58FA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tcBorders>
                    <w:tl2br w:val="nil"/>
                    <w:tr2bl w:val="nil"/>
                  </w:tcBorders>
                  <w:vAlign w:val="center"/>
                </w:tcPr>
                <w:p w14:paraId="59E4B0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tcBorders>
                    <w:tl2br w:val="nil"/>
                    <w:tr2bl w:val="nil"/>
                  </w:tcBorders>
                  <w:vAlign w:val="center"/>
                </w:tcPr>
                <w:p w14:paraId="5DDB15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521" w:type="pct"/>
                  <w:vMerge w:val="continue"/>
                  <w:tcBorders>
                    <w:tl2br w:val="nil"/>
                    <w:tr2bl w:val="nil"/>
                  </w:tcBorders>
                  <w:vAlign w:val="center"/>
                </w:tcPr>
                <w:p w14:paraId="406EE84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0837A5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48E495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5DF456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3936BC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50C5C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54CEF6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苯并（k）荧蒽</w:t>
                  </w:r>
                </w:p>
              </w:tc>
              <w:tc>
                <w:tcPr>
                  <w:tcW w:w="689" w:type="pct"/>
                  <w:tcBorders>
                    <w:tl2br w:val="nil"/>
                    <w:tr2bl w:val="nil"/>
                  </w:tcBorders>
                  <w:vAlign w:val="center"/>
                </w:tcPr>
                <w:p w14:paraId="72E62A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201304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tcBorders>
                    <w:tl2br w:val="nil"/>
                    <w:tr2bl w:val="nil"/>
                  </w:tcBorders>
                  <w:vAlign w:val="center"/>
                </w:tcPr>
                <w:p w14:paraId="274717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tcBorders>
                    <w:tl2br w:val="nil"/>
                    <w:tr2bl w:val="nil"/>
                  </w:tcBorders>
                  <w:vAlign w:val="center"/>
                </w:tcPr>
                <w:p w14:paraId="37D98D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vMerge w:val="restart"/>
                  <w:tcBorders>
                    <w:tl2br w:val="nil"/>
                    <w:tr2bl w:val="nil"/>
                  </w:tcBorders>
                  <w:vAlign w:val="center"/>
                </w:tcPr>
                <w:p w14:paraId="5DBC29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FBD9B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A94E4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7F837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3F123C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223EF0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521B27F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139D39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4E14C6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tcBorders>
                    <w:tl2br w:val="nil"/>
                    <w:tr2bl w:val="nil"/>
                  </w:tcBorders>
                  <w:vAlign w:val="center"/>
                </w:tcPr>
                <w:p w14:paraId="2D9D11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tcBorders>
                    <w:tl2br w:val="nil"/>
                    <w:tr2bl w:val="nil"/>
                  </w:tcBorders>
                  <w:vAlign w:val="center"/>
                </w:tcPr>
                <w:p w14:paraId="55345D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vMerge w:val="continue"/>
                  <w:tcBorders>
                    <w:tl2br w:val="nil"/>
                    <w:tr2bl w:val="nil"/>
                  </w:tcBorders>
                  <w:vAlign w:val="center"/>
                </w:tcPr>
                <w:p w14:paraId="1D835A2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AF409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54D1C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B890A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536667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5FC5C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27432AE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56D41C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7791DA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tcBorders>
                    <w:tl2br w:val="nil"/>
                    <w:tr2bl w:val="nil"/>
                  </w:tcBorders>
                  <w:vAlign w:val="center"/>
                </w:tcPr>
                <w:p w14:paraId="5ECF02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tcBorders>
                    <w:tl2br w:val="nil"/>
                    <w:tr2bl w:val="nil"/>
                  </w:tcBorders>
                  <w:vAlign w:val="center"/>
                </w:tcPr>
                <w:p w14:paraId="5FC81B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521" w:type="pct"/>
                  <w:vMerge w:val="continue"/>
                  <w:tcBorders>
                    <w:tl2br w:val="nil"/>
                    <w:tr2bl w:val="nil"/>
                  </w:tcBorders>
                  <w:vAlign w:val="center"/>
                </w:tcPr>
                <w:p w14:paraId="18668CF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6E572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1CA86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00C46F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0106E3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8787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2A6E70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苯并（1,2,3-cd）芘</w:t>
                  </w:r>
                </w:p>
              </w:tc>
              <w:tc>
                <w:tcPr>
                  <w:tcW w:w="689" w:type="pct"/>
                  <w:tcBorders>
                    <w:tl2br w:val="nil"/>
                    <w:tr2bl w:val="nil"/>
                  </w:tcBorders>
                  <w:vAlign w:val="center"/>
                </w:tcPr>
                <w:p w14:paraId="448276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4574AF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tcBorders>
                    <w:tl2br w:val="nil"/>
                    <w:tr2bl w:val="nil"/>
                  </w:tcBorders>
                  <w:vAlign w:val="center"/>
                </w:tcPr>
                <w:p w14:paraId="2F8839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tcBorders>
                    <w:tl2br w:val="nil"/>
                    <w:tr2bl w:val="nil"/>
                  </w:tcBorders>
                  <w:vAlign w:val="center"/>
                </w:tcPr>
                <w:p w14:paraId="424A1E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vMerge w:val="restart"/>
                  <w:tcBorders>
                    <w:tl2br w:val="nil"/>
                    <w:tr2bl w:val="nil"/>
                  </w:tcBorders>
                  <w:vAlign w:val="center"/>
                </w:tcPr>
                <w:p w14:paraId="3941E4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0E3EA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5330F2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E558A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41530D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24C47E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B5BAF5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0AC7B6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2B1043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tcBorders>
                    <w:tl2br w:val="nil"/>
                    <w:tr2bl w:val="nil"/>
                  </w:tcBorders>
                  <w:vAlign w:val="center"/>
                </w:tcPr>
                <w:p w14:paraId="56D0B1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tcBorders>
                    <w:tl2br w:val="nil"/>
                    <w:tr2bl w:val="nil"/>
                  </w:tcBorders>
                  <w:vAlign w:val="center"/>
                </w:tcPr>
                <w:p w14:paraId="24D8D1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vMerge w:val="continue"/>
                  <w:tcBorders>
                    <w:tl2br w:val="nil"/>
                    <w:tr2bl w:val="nil"/>
                  </w:tcBorders>
                  <w:vAlign w:val="center"/>
                </w:tcPr>
                <w:p w14:paraId="104EB6F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3BDE081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8EDF5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9FAF5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0FB8B6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5C81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63E9173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80A95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324E09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tcBorders>
                    <w:tl2br w:val="nil"/>
                    <w:tr2bl w:val="nil"/>
                  </w:tcBorders>
                  <w:vAlign w:val="center"/>
                </w:tcPr>
                <w:p w14:paraId="08FF44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tcBorders>
                    <w:tl2br w:val="nil"/>
                    <w:tr2bl w:val="nil"/>
                  </w:tcBorders>
                  <w:vAlign w:val="center"/>
                </w:tcPr>
                <w:p w14:paraId="3B788B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521" w:type="pct"/>
                  <w:vMerge w:val="continue"/>
                  <w:tcBorders>
                    <w:tl2br w:val="nil"/>
                    <w:tr2bl w:val="nil"/>
                  </w:tcBorders>
                  <w:vAlign w:val="center"/>
                </w:tcPr>
                <w:p w14:paraId="22FE809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28C76E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3B8B3D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373778B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216F23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5DFA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6C6576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苯并（g,h,i）苝</w:t>
                  </w:r>
                </w:p>
              </w:tc>
              <w:tc>
                <w:tcPr>
                  <w:tcW w:w="689" w:type="pct"/>
                  <w:tcBorders>
                    <w:tl2br w:val="nil"/>
                    <w:tr2bl w:val="nil"/>
                  </w:tcBorders>
                  <w:vAlign w:val="center"/>
                </w:tcPr>
                <w:p w14:paraId="5A611E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520" w:type="pct"/>
                  <w:tcBorders>
                    <w:tl2br w:val="nil"/>
                    <w:tr2bl w:val="nil"/>
                  </w:tcBorders>
                  <w:vAlign w:val="center"/>
                </w:tcPr>
                <w:p w14:paraId="69CC36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6DA74F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399D22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vMerge w:val="restart"/>
                  <w:tcBorders>
                    <w:tl2br w:val="nil"/>
                    <w:tr2bl w:val="nil"/>
                  </w:tcBorders>
                  <w:vAlign w:val="center"/>
                </w:tcPr>
                <w:p w14:paraId="436C8B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30BB5A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3BA250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2C22BA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76D10D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729C9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71D7017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1C41B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520" w:type="pct"/>
                  <w:tcBorders>
                    <w:tl2br w:val="nil"/>
                    <w:tr2bl w:val="nil"/>
                  </w:tcBorders>
                  <w:vAlign w:val="center"/>
                </w:tcPr>
                <w:p w14:paraId="6FCE3B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7314A4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30BA65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vMerge w:val="continue"/>
                  <w:tcBorders>
                    <w:tl2br w:val="nil"/>
                    <w:tr2bl w:val="nil"/>
                  </w:tcBorders>
                  <w:vAlign w:val="center"/>
                </w:tcPr>
                <w:p w14:paraId="6430A8C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5FCC93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65E427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86DCF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014F35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A2D30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vMerge w:val="continue"/>
                  <w:tcBorders>
                    <w:tl2br w:val="nil"/>
                    <w:tr2bl w:val="nil"/>
                  </w:tcBorders>
                  <w:vAlign w:val="center"/>
                </w:tcPr>
                <w:p w14:paraId="0BDD681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689" w:type="pct"/>
                  <w:tcBorders>
                    <w:tl2br w:val="nil"/>
                    <w:tr2bl w:val="nil"/>
                  </w:tcBorders>
                  <w:vAlign w:val="center"/>
                </w:tcPr>
                <w:p w14:paraId="250E43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520" w:type="pct"/>
                  <w:tcBorders>
                    <w:tl2br w:val="nil"/>
                    <w:tr2bl w:val="nil"/>
                  </w:tcBorders>
                  <w:vAlign w:val="center"/>
                </w:tcPr>
                <w:p w14:paraId="090983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5C049B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tcBorders>
                    <w:tl2br w:val="nil"/>
                    <w:tr2bl w:val="nil"/>
                  </w:tcBorders>
                  <w:vAlign w:val="center"/>
                </w:tcPr>
                <w:p w14:paraId="4E06CC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521" w:type="pct"/>
                  <w:vMerge w:val="continue"/>
                  <w:tcBorders>
                    <w:tl2br w:val="nil"/>
                    <w:tr2bl w:val="nil"/>
                  </w:tcBorders>
                  <w:vAlign w:val="center"/>
                </w:tcPr>
                <w:p w14:paraId="1DDC2C1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18"/>
                      <w:szCs w:val="18"/>
                      <w:highlight w:val="none"/>
                      <w:vertAlign w:val="baseline"/>
                      <w:lang w:val="en-US" w:eastAsia="zh-CN" w:bidi="ar-SA"/>
                    </w:rPr>
                  </w:pPr>
                </w:p>
              </w:tc>
              <w:tc>
                <w:tcPr>
                  <w:tcW w:w="521" w:type="pct"/>
                  <w:tcBorders>
                    <w:tl2br w:val="nil"/>
                    <w:tr2bl w:val="nil"/>
                  </w:tcBorders>
                  <w:vAlign w:val="center"/>
                </w:tcPr>
                <w:p w14:paraId="1298DB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5284AC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21" w:type="pct"/>
                  <w:tcBorders>
                    <w:tl2br w:val="nil"/>
                    <w:tr2bl w:val="nil"/>
                  </w:tcBorders>
                  <w:vAlign w:val="center"/>
                </w:tcPr>
                <w:p w14:paraId="146299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24" w:type="pct"/>
                  <w:tcBorders>
                    <w:tl2br w:val="nil"/>
                    <w:tr2bl w:val="nil"/>
                  </w:tcBorders>
                  <w:vAlign w:val="center"/>
                </w:tcPr>
                <w:p w14:paraId="21B65C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bl>
          <w:p w14:paraId="1F91890D">
            <w:pP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注：“L”表示低于检测方法的检出限。</w:t>
            </w:r>
          </w:p>
          <w:p w14:paraId="310BC77A">
            <w:pPr>
              <w:pStyle w:val="2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监测结果表明：</w:t>
            </w:r>
            <w:r>
              <w:rPr>
                <w:rFonts w:hint="eastAsia" w:ascii="Times New Roman" w:hAnsi="Times New Roman" w:eastAsia="宋体" w:cs="Times New Roman"/>
                <w:b w:val="0"/>
                <w:bCs w:val="0"/>
                <w:color w:val="000000"/>
                <w:kern w:val="0"/>
                <w:sz w:val="24"/>
                <w:szCs w:val="24"/>
                <w:lang w:val="en-US" w:eastAsia="zh-CN" w:bidi="ar"/>
              </w:rPr>
              <w:t>平甸河大开门段各因子的监测值均满足《地表水环境质量标准》（GB3838-2002）中Ⅲ类标准限值。</w:t>
            </w:r>
          </w:p>
          <w:p w14:paraId="6F1035C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3.3</w:t>
            </w:r>
            <w:r>
              <w:rPr>
                <w:rFonts w:hint="eastAsia" w:ascii="Times New Roman" w:hAnsi="Times New Roman" w:eastAsia="宋体" w:cs="Times New Roman"/>
                <w:b/>
                <w:bCs/>
                <w:color w:val="000000"/>
                <w:kern w:val="0"/>
                <w:sz w:val="24"/>
                <w:szCs w:val="24"/>
                <w:lang w:val="en-US" w:eastAsia="zh-CN" w:bidi="ar"/>
              </w:rPr>
              <w:t>声环境</w:t>
            </w:r>
          </w:p>
          <w:p w14:paraId="5BD8E06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3.3.1</w:t>
            </w:r>
            <w:r>
              <w:rPr>
                <w:rFonts w:hint="eastAsia" w:ascii="Times New Roman" w:hAnsi="Times New Roman" w:eastAsia="宋体" w:cs="Times New Roman"/>
                <w:b/>
                <w:bCs/>
                <w:color w:val="000000"/>
                <w:kern w:val="0"/>
                <w:sz w:val="24"/>
                <w:szCs w:val="24"/>
                <w:lang w:val="en-US" w:eastAsia="zh-CN" w:bidi="ar"/>
              </w:rPr>
              <w:t>声环境质量执行标准</w:t>
            </w:r>
          </w:p>
          <w:p w14:paraId="6165DA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本项目位于云南新平产业园区绿色钢城片区，根据园区规划环评，项目区执行《声环境质量标准》（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类标准，标准值见表</w:t>
            </w:r>
            <w:r>
              <w:rPr>
                <w:rFonts w:hint="default" w:ascii="Times New Roman" w:hAnsi="Times New Roman"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w:t>
            </w:r>
          </w:p>
          <w:p w14:paraId="7D57F72C">
            <w:pPr>
              <w:keepNext w:val="0"/>
              <w:keepLines w:val="0"/>
              <w:widowControl/>
              <w:suppressLineNumbers w:val="0"/>
              <w:jc w:val="center"/>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表3-6 《声环境质量标准》3类标准</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896"/>
              <w:gridCol w:w="1897"/>
              <w:gridCol w:w="1898"/>
            </w:tblGrid>
            <w:tr w14:paraId="7B36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vMerge w:val="restart"/>
                  <w:tcBorders>
                    <w:left w:val="nil"/>
                  </w:tcBorders>
                  <w:vAlign w:val="center"/>
                </w:tcPr>
                <w:p w14:paraId="4C3A568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类别</w:t>
                  </w:r>
                </w:p>
              </w:tc>
              <w:tc>
                <w:tcPr>
                  <w:tcW w:w="1896" w:type="dxa"/>
                  <w:vMerge w:val="restart"/>
                  <w:vAlign w:val="center"/>
                </w:tcPr>
                <w:p w14:paraId="7025485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适用区域</w:t>
                  </w:r>
                </w:p>
              </w:tc>
              <w:tc>
                <w:tcPr>
                  <w:tcW w:w="3795" w:type="dxa"/>
                  <w:gridSpan w:val="2"/>
                  <w:tcBorders>
                    <w:right w:val="nil"/>
                  </w:tcBorders>
                  <w:vAlign w:val="center"/>
                </w:tcPr>
                <w:p w14:paraId="6DB06C6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等效</w:t>
                  </w:r>
                  <w:r>
                    <w:rPr>
                      <w:rFonts w:hint="default" w:ascii="Times New Roman" w:hAnsi="Times New Roman" w:eastAsia="宋体" w:cs="Times New Roman"/>
                      <w:color w:val="auto"/>
                      <w:kern w:val="0"/>
                      <w:sz w:val="18"/>
                      <w:szCs w:val="18"/>
                      <w:highlight w:val="none"/>
                      <w:lang w:val="en-US" w:eastAsia="zh-CN"/>
                    </w:rPr>
                    <w:t>声级</w:t>
                  </w:r>
                  <w:r>
                    <w:rPr>
                      <w:rFonts w:hint="default" w:ascii="Times New Roman" w:hAnsi="Times New Roman" w:eastAsia="微软雅黑" w:cs="Times New Roman"/>
                      <w:color w:val="auto"/>
                      <w:kern w:val="0"/>
                      <w:sz w:val="18"/>
                      <w:szCs w:val="18"/>
                      <w:highlight w:val="none"/>
                      <w:lang w:val="en-US" w:eastAsia="zh-CN"/>
                    </w:rPr>
                    <w:t>〔dB</w:t>
                  </w:r>
                  <w:r>
                    <w:rPr>
                      <w:rFonts w:hint="eastAsia" w:ascii="Times New Roman" w:hAnsi="Times New Roman" w:eastAsia="微软雅黑" w:cs="Times New Roman"/>
                      <w:color w:val="auto"/>
                      <w:kern w:val="0"/>
                      <w:sz w:val="18"/>
                      <w:szCs w:val="18"/>
                      <w:highlight w:val="none"/>
                      <w:lang w:val="en-US" w:eastAsia="zh-CN"/>
                    </w:rPr>
                    <w:t>（</w:t>
                  </w:r>
                  <w:r>
                    <w:rPr>
                      <w:rFonts w:hint="default" w:ascii="Times New Roman" w:hAnsi="Times New Roman" w:eastAsia="微软雅黑" w:cs="Times New Roman"/>
                      <w:color w:val="auto"/>
                      <w:kern w:val="0"/>
                      <w:sz w:val="18"/>
                      <w:szCs w:val="18"/>
                      <w:highlight w:val="none"/>
                      <w:lang w:val="en-US" w:eastAsia="zh-CN"/>
                    </w:rPr>
                    <w:t>A）〕</w:t>
                  </w:r>
                </w:p>
              </w:tc>
            </w:tr>
            <w:tr w14:paraId="0596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vMerge w:val="continue"/>
                  <w:tcBorders>
                    <w:left w:val="nil"/>
                  </w:tcBorders>
                  <w:vAlign w:val="center"/>
                </w:tcPr>
                <w:p w14:paraId="2A2CA50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896" w:type="dxa"/>
                  <w:vMerge w:val="continue"/>
                  <w:vAlign w:val="center"/>
                </w:tcPr>
                <w:p w14:paraId="607EF3A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897" w:type="dxa"/>
                  <w:vAlign w:val="center"/>
                </w:tcPr>
                <w:p w14:paraId="338FAC6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898" w:type="dxa"/>
                  <w:tcBorders>
                    <w:right w:val="nil"/>
                  </w:tcBorders>
                  <w:vAlign w:val="center"/>
                </w:tcPr>
                <w:p w14:paraId="49ED58D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r>
            <w:tr w14:paraId="5581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Borders>
                    <w:left w:val="nil"/>
                  </w:tcBorders>
                  <w:vAlign w:val="center"/>
                </w:tcPr>
                <w:p w14:paraId="6A9ED4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3类</w:t>
                  </w:r>
                </w:p>
              </w:tc>
              <w:tc>
                <w:tcPr>
                  <w:tcW w:w="1896" w:type="dxa"/>
                  <w:vAlign w:val="center"/>
                </w:tcPr>
                <w:p w14:paraId="34EF31A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项目区</w:t>
                  </w:r>
                </w:p>
              </w:tc>
              <w:tc>
                <w:tcPr>
                  <w:tcW w:w="1897" w:type="dxa"/>
                  <w:vAlign w:val="center"/>
                </w:tcPr>
                <w:p w14:paraId="396E817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898" w:type="dxa"/>
                  <w:tcBorders>
                    <w:right w:val="nil"/>
                  </w:tcBorders>
                  <w:vAlign w:val="center"/>
                </w:tcPr>
                <w:p w14:paraId="4112354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r>
          </w:tbl>
          <w:p w14:paraId="3AA9C94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3.3.2</w:t>
            </w:r>
            <w:r>
              <w:rPr>
                <w:rFonts w:hint="eastAsia" w:ascii="Times New Roman" w:hAnsi="Times New Roman" w:eastAsia="宋体" w:cs="Times New Roman"/>
                <w:b/>
                <w:bCs/>
                <w:color w:val="000000"/>
                <w:kern w:val="0"/>
                <w:sz w:val="24"/>
                <w:szCs w:val="24"/>
                <w:lang w:val="en-US" w:eastAsia="zh-CN" w:bidi="ar"/>
              </w:rPr>
              <w:t>声环境质量现状</w:t>
            </w:r>
          </w:p>
          <w:p w14:paraId="0263D1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根据现场踏勘，项目周边</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Times New Roman"/>
                <w:color w:val="000000"/>
                <w:kern w:val="0"/>
                <w:sz w:val="24"/>
                <w:szCs w:val="24"/>
                <w:lang w:val="en-US" w:eastAsia="zh-CN" w:bidi="ar"/>
              </w:rPr>
              <w:t>范围内无医院、学校、机关、科研单位、住宅、自然保护区等声环境保护目标。根据仙福公司</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eastAsia="宋体" w:cs="Times New Roman"/>
                <w:color w:val="000000"/>
                <w:kern w:val="0"/>
                <w:sz w:val="24"/>
                <w:szCs w:val="24"/>
                <w:lang w:val="en-US" w:eastAsia="zh-CN" w:bidi="ar"/>
              </w:rPr>
              <w:t>5年第三、四季度噪声自行监测结果，如下表所示。</w:t>
            </w:r>
          </w:p>
          <w:p w14:paraId="1D9AE9F5">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7</w:t>
            </w:r>
            <w:r>
              <w:rPr>
                <w:rFonts w:hint="default" w:ascii="黑体" w:hAnsi="黑体" w:eastAsia="黑体" w:cs="黑体"/>
                <w:b w:val="0"/>
                <w:bCs w:val="0"/>
                <w:color w:val="000000"/>
                <w:kern w:val="0"/>
                <w:sz w:val="21"/>
                <w:szCs w:val="21"/>
                <w:lang w:val="en-US" w:eastAsia="zh-CN" w:bidi="ar"/>
              </w:rPr>
              <w:t xml:space="preserve"> </w:t>
            </w:r>
            <w:r>
              <w:rPr>
                <w:rFonts w:hint="eastAsia" w:ascii="黑体" w:hAnsi="黑体" w:eastAsia="黑体" w:cs="黑体"/>
                <w:b w:val="0"/>
                <w:bCs w:val="0"/>
                <w:color w:val="000000"/>
                <w:kern w:val="0"/>
                <w:sz w:val="21"/>
                <w:szCs w:val="21"/>
                <w:lang w:val="en-US" w:eastAsia="zh-CN" w:bidi="ar"/>
              </w:rPr>
              <w:t>仙福公司厂界噪声自行监测结果一览表</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4"/>
              <w:gridCol w:w="1264"/>
              <w:gridCol w:w="1265"/>
              <w:gridCol w:w="1265"/>
              <w:gridCol w:w="1265"/>
            </w:tblGrid>
            <w:tr w14:paraId="6120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tcBorders>
                    <w:left w:val="nil"/>
                  </w:tcBorders>
                  <w:vAlign w:val="center"/>
                </w:tcPr>
                <w:p w14:paraId="4D4CA53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时间</w:t>
                  </w:r>
                </w:p>
              </w:tc>
              <w:tc>
                <w:tcPr>
                  <w:tcW w:w="1264" w:type="dxa"/>
                  <w:vAlign w:val="center"/>
                </w:tcPr>
                <w:p w14:paraId="4A30FD9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检测点位</w:t>
                  </w:r>
                </w:p>
              </w:tc>
              <w:tc>
                <w:tcPr>
                  <w:tcW w:w="1264" w:type="dxa"/>
                  <w:vAlign w:val="center"/>
                </w:tcPr>
                <w:p w14:paraId="61E386D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时间</w:t>
                  </w:r>
                </w:p>
              </w:tc>
              <w:tc>
                <w:tcPr>
                  <w:tcW w:w="1265" w:type="dxa"/>
                  <w:vAlign w:val="center"/>
                </w:tcPr>
                <w:p w14:paraId="14EF71D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噪声值Leq</w:t>
                  </w:r>
                </w:p>
              </w:tc>
              <w:tc>
                <w:tcPr>
                  <w:tcW w:w="1265" w:type="dxa"/>
                  <w:vAlign w:val="center"/>
                </w:tcPr>
                <w:p w14:paraId="1FF1339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标准</w:t>
                  </w:r>
                </w:p>
              </w:tc>
              <w:tc>
                <w:tcPr>
                  <w:tcW w:w="1265" w:type="dxa"/>
                  <w:tcBorders>
                    <w:right w:val="nil"/>
                  </w:tcBorders>
                  <w:vAlign w:val="center"/>
                </w:tcPr>
                <w:p w14:paraId="4AB1F15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达标情况</w:t>
                  </w:r>
                </w:p>
              </w:tc>
            </w:tr>
            <w:tr w14:paraId="16BA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264" w:type="dxa"/>
                  <w:vMerge w:val="restart"/>
                  <w:tcBorders>
                    <w:left w:val="nil"/>
                  </w:tcBorders>
                  <w:vAlign w:val="center"/>
                </w:tcPr>
                <w:p w14:paraId="14E185A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第三季度</w:t>
                  </w:r>
                </w:p>
              </w:tc>
              <w:tc>
                <w:tcPr>
                  <w:tcW w:w="1264" w:type="dxa"/>
                  <w:vMerge w:val="restart"/>
                  <w:vAlign w:val="center"/>
                </w:tcPr>
                <w:p w14:paraId="3CC025F2">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厂界1#</w:t>
                  </w:r>
                </w:p>
              </w:tc>
              <w:tc>
                <w:tcPr>
                  <w:tcW w:w="1264" w:type="dxa"/>
                  <w:vAlign w:val="center"/>
                </w:tcPr>
                <w:p w14:paraId="3C1E402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3FE100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7ABF2AE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4DAAB0F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3EA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B2A8C6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60DDFAC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2D8D71D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2C62F7D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1265" w:type="dxa"/>
                  <w:vAlign w:val="center"/>
                </w:tcPr>
                <w:p w14:paraId="0313196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335B5C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1EE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2BB636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79893A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2</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7CA428E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575E6EF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7E39701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512646F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3E8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B2F66F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84E043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7B26DB9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097861A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65EC969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1BA19FE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582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72D166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0A5DDAB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3</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4F235B4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884587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60</w:t>
                  </w:r>
                </w:p>
              </w:tc>
              <w:tc>
                <w:tcPr>
                  <w:tcW w:w="1265" w:type="dxa"/>
                  <w:vAlign w:val="center"/>
                </w:tcPr>
                <w:p w14:paraId="7ABAB85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11EB76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68E1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C5A499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6962CEE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04C1F4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453E7A1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233FB11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62CDC7D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C00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EEC931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6D0F4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4</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EBEA79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76201AB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1265" w:type="dxa"/>
                  <w:vAlign w:val="center"/>
                </w:tcPr>
                <w:p w14:paraId="183EF0B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12C645F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15C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00A7FC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7D245F8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437442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7CB2129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1265" w:type="dxa"/>
                  <w:vAlign w:val="center"/>
                </w:tcPr>
                <w:p w14:paraId="76503A9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0A21531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6F3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BD69D9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39B42C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5</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473C797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F87C22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2E77C73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1C79F50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16C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47FA8F7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FCFC3A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05201BD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2361868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1265" w:type="dxa"/>
                  <w:vAlign w:val="center"/>
                </w:tcPr>
                <w:p w14:paraId="006A8C2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890441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6AA6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869108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7389EDF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6</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74A2CB1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46FF2C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1CB16AE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57E46E5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34F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70BDEC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B56D1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62B30F9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7F8E94F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478942A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583DBA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EC8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1AF79B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AD0729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7</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053681A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C7B463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6313110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38E1F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797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B5DDFF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7C8ECA4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77114E8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4AA364F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1265" w:type="dxa"/>
                  <w:vAlign w:val="center"/>
                </w:tcPr>
                <w:p w14:paraId="6404566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096E106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51A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231E63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4B04D0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8</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5B3810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65B0051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59</w:t>
                  </w:r>
                </w:p>
              </w:tc>
              <w:tc>
                <w:tcPr>
                  <w:tcW w:w="1265" w:type="dxa"/>
                  <w:vAlign w:val="center"/>
                </w:tcPr>
                <w:p w14:paraId="3EB0ED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545078A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060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A14064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2ABBFEB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0678F9F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25673A5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72D5C21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F736F4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F7F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48E899F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01D293E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9</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398B7E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0ABD5BD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266CB9D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0D5AAE2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4E4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680069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6E3F9C1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07C955E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4FBD868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1FAC468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0DED9B9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67C9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F48F1E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7437814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10</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24FE36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3AA505C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59</w:t>
                  </w:r>
                </w:p>
              </w:tc>
              <w:tc>
                <w:tcPr>
                  <w:tcW w:w="1265" w:type="dxa"/>
                  <w:vAlign w:val="center"/>
                </w:tcPr>
                <w:p w14:paraId="26C14F1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6422456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E35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353604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2D45CF6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26881D0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3887535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0C176D1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0FDA8CF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9DA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FAA2FE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8076CC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11</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ECE478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05167C4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0A14DDC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67962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AE9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A6A7A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3EAD077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73D2FA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705D9C3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7F605A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6250F5E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0B8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305C8D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F9EB3D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12</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33B7B1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0E8D79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13011C6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6B38ED7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F2E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788EE2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34DAB37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7643742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042726C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43D90B9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2987476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148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264" w:type="dxa"/>
                  <w:vMerge w:val="continue"/>
                  <w:tcBorders>
                    <w:left w:val="nil"/>
                  </w:tcBorders>
                  <w:vAlign w:val="center"/>
                </w:tcPr>
                <w:p w14:paraId="612BD4D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68306B2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13</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B7F05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79540EF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68DF43E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AABD1E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BA4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C37D2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0415736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0D8DA4A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3064BD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2A11709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77D854C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AEF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4F37DD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5EFE5E8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14</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044B1B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5A98D52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1265" w:type="dxa"/>
                  <w:vAlign w:val="center"/>
                </w:tcPr>
                <w:p w14:paraId="0C5E3FA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0263ED5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668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33B877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37F2D2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2B16ABB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12FB11C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1265" w:type="dxa"/>
                  <w:vAlign w:val="center"/>
                </w:tcPr>
                <w:p w14:paraId="1974BE3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1A92633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320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A6FFB7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0107545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15</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7C381F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1D71E69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45C7A99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0D7A74C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165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16D1AC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28597A3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5D5004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6CAF740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4192546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2EDF97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A22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B59A26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55070B7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16</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48EE753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0DA997D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39E1D16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747C84D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179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45BB32D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6E93D8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0B5A535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33964E1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75152C4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F2F584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AC7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64" w:type="dxa"/>
                  <w:vMerge w:val="continue"/>
                  <w:tcBorders>
                    <w:left w:val="nil"/>
                  </w:tcBorders>
                  <w:vAlign w:val="center"/>
                </w:tcPr>
                <w:p w14:paraId="43C4AFB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01B4D1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17</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4EB40E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33EE95B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59</w:t>
                  </w:r>
                </w:p>
              </w:tc>
              <w:tc>
                <w:tcPr>
                  <w:tcW w:w="1265" w:type="dxa"/>
                  <w:vAlign w:val="center"/>
                </w:tcPr>
                <w:p w14:paraId="5083329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044DB5D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4F1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A7AB44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AF9F8B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B62A39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0A33842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6E5BAAB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5417113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6F1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D7A28F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5CC5028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18</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48F1BF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3306F2B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37DC352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07D149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595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9CCBDE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1AEF350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03D8E81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0C052A2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5B56201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2E738E8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A03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95F0D6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1F0DF4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19</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0A29523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B06DF1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6BC66E2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44E1BC7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845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BFA7FA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71FF4AC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4E660FE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5256360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1265" w:type="dxa"/>
                  <w:vAlign w:val="center"/>
                </w:tcPr>
                <w:p w14:paraId="5AEA8AA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68BAECE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D03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91C28B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1EC1C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20</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422EE7B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0902EF1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388B712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4791204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245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943ACA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7D1999B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17536E5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332F1D1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7E8773F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7576E0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E3E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264" w:type="dxa"/>
                  <w:vMerge w:val="restart"/>
                  <w:tcBorders>
                    <w:left w:val="nil"/>
                  </w:tcBorders>
                  <w:vAlign w:val="center"/>
                </w:tcPr>
                <w:p w14:paraId="076174A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第四季度</w:t>
                  </w:r>
                </w:p>
              </w:tc>
              <w:tc>
                <w:tcPr>
                  <w:tcW w:w="1264" w:type="dxa"/>
                  <w:vMerge w:val="restart"/>
                  <w:vAlign w:val="center"/>
                </w:tcPr>
                <w:p w14:paraId="15FEB368">
                  <w:pPr>
                    <w:keepNext w:val="0"/>
                    <w:keepLines w:val="0"/>
                    <w:widowControl/>
                    <w:suppressLineNumbers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厂界1#</w:t>
                  </w:r>
                </w:p>
              </w:tc>
              <w:tc>
                <w:tcPr>
                  <w:tcW w:w="1264" w:type="dxa"/>
                  <w:vAlign w:val="center"/>
                </w:tcPr>
                <w:p w14:paraId="7269465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3E3AB98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1A1B51A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73D2324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A17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20AACC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81B29A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68ABB2B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6FFEDD4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3073035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641F47B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6F24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3094B9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E1F6A1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2</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9C0940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66281F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55FD674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64D7625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837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42FA806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0E70B5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4B76056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6F0D476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77914FD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5A198FC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480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7B936B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386CC0B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3</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5AF27D5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A2CD7E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1265" w:type="dxa"/>
                  <w:vAlign w:val="center"/>
                </w:tcPr>
                <w:p w14:paraId="391A924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A297D1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8E7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72AD34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48A275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2E9322C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夜间</w:t>
                  </w:r>
                </w:p>
              </w:tc>
              <w:tc>
                <w:tcPr>
                  <w:tcW w:w="1265" w:type="dxa"/>
                  <w:vAlign w:val="center"/>
                </w:tcPr>
                <w:p w14:paraId="7D0136C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0515EA8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0D991EB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6C95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B45E77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376E765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4</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1B7509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3557CF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1265" w:type="dxa"/>
                  <w:vAlign w:val="center"/>
                </w:tcPr>
                <w:p w14:paraId="52F2DA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4F1FF70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FED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0F1191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37F1EF0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17A8400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7C5C13B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3511C74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5B9C491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34C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AF718A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6D92D3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5</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57DF16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0DE97A5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49748BF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2A59BB3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0EE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80361D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6D22F74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48B8DF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00B2B1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473C930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77C6141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D38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E6F070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1F8B8F1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6</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796825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70AC0AA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14E1434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4C7DC54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17F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0D358B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254D303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4ECA9E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519561C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7A5A753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11E84C0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9C0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BB2857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36EB509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7</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5A7BA95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53B80E4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2C289BC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753D06A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8DB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3A0278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6C5CEE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552B2B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1D11887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49F5F8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29E6A61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E77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4C9650F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015D5E5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8</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C50CA9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6F1E05D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20C0414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54A099C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FDF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9FB5A0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1C3F0C0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E27A4D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4B75D67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5EA814F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A34FC2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401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42D679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B5E63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9</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5D4957B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5605DC6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4A8ED07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17B1E9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6678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DA2D1D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15A2668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400B5F6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4FD8853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37C3599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7526A36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69D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4166C97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322110E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10</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1A8A5BB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02D068F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4A2F2D6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68C279D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BFA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F1825C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79256A6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69A3205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0CA4068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51</w:t>
                  </w:r>
                </w:p>
              </w:tc>
              <w:tc>
                <w:tcPr>
                  <w:tcW w:w="1265" w:type="dxa"/>
                  <w:vAlign w:val="center"/>
                </w:tcPr>
                <w:p w14:paraId="1A2CDC4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6FA1E5F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2E8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25377B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5FCF350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11</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788F173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6348C7A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2C8816C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707810E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C8E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3764F6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FC6D7A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B92E8E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47C91A6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38A329F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0A9059E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AF0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37789F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2279789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12</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566968D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609466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112C03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155A244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54E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122EEA8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67310F2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261D18B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59A65DC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53</w:t>
                  </w:r>
                </w:p>
              </w:tc>
              <w:tc>
                <w:tcPr>
                  <w:tcW w:w="1265" w:type="dxa"/>
                  <w:vAlign w:val="center"/>
                </w:tcPr>
                <w:p w14:paraId="76B8EE1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663748C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AAE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9E140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8CE508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13</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E07684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6BD0CB6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3BDDD19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6CE41E7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1C5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76EBF2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07F8388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A77CBB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0180272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51</w:t>
                  </w:r>
                </w:p>
              </w:tc>
              <w:tc>
                <w:tcPr>
                  <w:tcW w:w="1265" w:type="dxa"/>
                  <w:vAlign w:val="center"/>
                </w:tcPr>
                <w:p w14:paraId="7DDBDEE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512140F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663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65150D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6ADF3D2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14</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42F51E9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30B1ABD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7D7FD0A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0F2C606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034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6317E9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E2CB92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1F96F6C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1F156CC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09344C5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4DA59EA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A22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1F6357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3784717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15</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026E8F0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14A85E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0BCE99D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2187E4F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839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871423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77928E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CB1A2C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3BE1E6D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5F9FD23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2AC7186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CE3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271827A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4DBD65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16</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0BC34F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4204AB2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1265" w:type="dxa"/>
                  <w:vAlign w:val="center"/>
                </w:tcPr>
                <w:p w14:paraId="23078BA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39C2E2F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342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CB522E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A9FF31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FBE23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59A0D3D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51</w:t>
                  </w:r>
                </w:p>
              </w:tc>
              <w:tc>
                <w:tcPr>
                  <w:tcW w:w="1265" w:type="dxa"/>
                  <w:vAlign w:val="center"/>
                </w:tcPr>
                <w:p w14:paraId="382273F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4249FF5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E4B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320FA3B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512CC42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17</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511265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7CACFEB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6D6813A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43BD083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D81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E4FDF6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0862FE1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64C6639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0BE1641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2651DB8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16C7E4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195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EFA2E5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44B5B76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18</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2D8B10C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59D7A0A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160ED1A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1FA3001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7EC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A5F9F9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224D502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04CCB2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711D0C8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51</w:t>
                  </w:r>
                </w:p>
              </w:tc>
              <w:tc>
                <w:tcPr>
                  <w:tcW w:w="1265" w:type="dxa"/>
                  <w:vAlign w:val="center"/>
                </w:tcPr>
                <w:p w14:paraId="4A34CA7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3292041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6B8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0EBEFF1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3C6F461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19</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33A3457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75B194A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1265" w:type="dxa"/>
                  <w:vAlign w:val="center"/>
                </w:tcPr>
                <w:p w14:paraId="2E2C4C9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5676DAB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CAF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5AC6135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361E073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3CB3ECB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357730D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51</w:t>
                  </w:r>
                </w:p>
              </w:tc>
              <w:tc>
                <w:tcPr>
                  <w:tcW w:w="1265" w:type="dxa"/>
                  <w:vAlign w:val="center"/>
                </w:tcPr>
                <w:p w14:paraId="2B211F7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1E791FA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722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6D78B18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restart"/>
                  <w:vAlign w:val="center"/>
                </w:tcPr>
                <w:p w14:paraId="71E653A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w:t>
                  </w:r>
                  <w:r>
                    <w:rPr>
                      <w:rFonts w:hint="eastAsia" w:ascii="Times New Roman" w:hAnsi="Times New Roman" w:eastAsia="宋体" w:cs="Times New Roman"/>
                      <w:color w:val="000000"/>
                      <w:kern w:val="0"/>
                      <w:sz w:val="18"/>
                      <w:szCs w:val="18"/>
                      <w:lang w:val="en-US" w:eastAsia="zh-CN" w:bidi="ar"/>
                    </w:rPr>
                    <w:t>20</w:t>
                  </w:r>
                  <w:r>
                    <w:rPr>
                      <w:rFonts w:hint="default" w:ascii="Times New Roman" w:hAnsi="Times New Roman" w:eastAsia="宋体" w:cs="Times New Roman"/>
                      <w:color w:val="000000"/>
                      <w:kern w:val="0"/>
                      <w:sz w:val="18"/>
                      <w:szCs w:val="18"/>
                      <w:lang w:val="en-US" w:eastAsia="zh-CN" w:bidi="ar"/>
                    </w:rPr>
                    <w:t>#</w:t>
                  </w:r>
                </w:p>
              </w:tc>
              <w:tc>
                <w:tcPr>
                  <w:tcW w:w="1264" w:type="dxa"/>
                  <w:vAlign w:val="center"/>
                </w:tcPr>
                <w:p w14:paraId="5E6A30F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昼间</w:t>
                  </w:r>
                </w:p>
              </w:tc>
              <w:tc>
                <w:tcPr>
                  <w:tcW w:w="1265" w:type="dxa"/>
                  <w:vAlign w:val="center"/>
                </w:tcPr>
                <w:p w14:paraId="251925E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1265" w:type="dxa"/>
                  <w:vAlign w:val="center"/>
                </w:tcPr>
                <w:p w14:paraId="09DC787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265" w:type="dxa"/>
                  <w:tcBorders>
                    <w:right w:val="nil"/>
                  </w:tcBorders>
                  <w:vAlign w:val="center"/>
                </w:tcPr>
                <w:p w14:paraId="286F51C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379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390390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2061D3C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Align w:val="center"/>
                </w:tcPr>
                <w:p w14:paraId="51C53FB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1265" w:type="dxa"/>
                  <w:vAlign w:val="center"/>
                </w:tcPr>
                <w:p w14:paraId="2176087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52</w:t>
                  </w:r>
                </w:p>
              </w:tc>
              <w:tc>
                <w:tcPr>
                  <w:tcW w:w="1265" w:type="dxa"/>
                  <w:vAlign w:val="center"/>
                </w:tcPr>
                <w:p w14:paraId="2E3F908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1265" w:type="dxa"/>
                  <w:tcBorders>
                    <w:right w:val="nil"/>
                  </w:tcBorders>
                  <w:vAlign w:val="center"/>
                </w:tcPr>
                <w:p w14:paraId="17C0417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bl>
          <w:p w14:paraId="59CF28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根据厂界噪声监测结果，仙福公司厂界昼间、夜间噪声值均满足《声环境质量标准》（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类标准。</w:t>
            </w:r>
          </w:p>
          <w:p w14:paraId="420DEDB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3.4</w:t>
            </w:r>
            <w:r>
              <w:rPr>
                <w:rFonts w:hint="eastAsia" w:ascii="Times New Roman" w:hAnsi="Times New Roman" w:eastAsia="宋体" w:cs="Times New Roman"/>
                <w:b/>
                <w:bCs/>
                <w:color w:val="000000"/>
                <w:kern w:val="0"/>
                <w:sz w:val="24"/>
                <w:szCs w:val="24"/>
                <w:lang w:val="en-US" w:eastAsia="zh-CN" w:bidi="ar"/>
              </w:rPr>
              <w:t>生态环境</w:t>
            </w:r>
          </w:p>
          <w:p w14:paraId="083982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pacing w:val="0"/>
                <w:kern w:val="21"/>
                <w:sz w:val="24"/>
                <w:szCs w:val="24"/>
                <w:vertAlign w:val="baseline"/>
                <w:lang w:eastAsia="zh-CN"/>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在云南玉溪仙福钢铁（集团）有限公司厂区内空地建设，</w:t>
            </w:r>
            <w:r>
              <w:rPr>
                <w:rFonts w:hint="eastAsia" w:ascii="Times New Roman" w:hAnsi="Times New Roman" w:eastAsia="宋体" w:cs="Times New Roman"/>
                <w:color w:val="000000"/>
                <w:kern w:val="0"/>
                <w:sz w:val="24"/>
                <w:szCs w:val="24"/>
                <w:lang w:val="en-US" w:eastAsia="zh-CN" w:bidi="ar"/>
              </w:rPr>
              <w:t>不新增用地，根据现场踏勘，项目区域植被主要是天然车桑子、云南松、桉树、杂灌及人工种植的芒果等。区域范围内未发现国家和省级珍稀、濒危生物物种分布。</w:t>
            </w:r>
          </w:p>
        </w:tc>
      </w:tr>
      <w:tr w14:paraId="606B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D9E5905">
            <w:pPr>
              <w:pStyle w:val="12"/>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pacing w:val="0"/>
                <w:kern w:val="21"/>
                <w:sz w:val="24"/>
                <w:szCs w:val="24"/>
                <w:vertAlign w:val="baseline"/>
                <w:lang w:val="en-US" w:eastAsia="zh-CN"/>
              </w:rPr>
            </w:pPr>
            <w:r>
              <w:rPr>
                <w:rFonts w:hint="eastAsia" w:ascii="Times New Roman" w:hAnsi="Times New Roman" w:eastAsia="宋体" w:cs="Times New Roman"/>
                <w:spacing w:val="0"/>
                <w:kern w:val="21"/>
                <w:sz w:val="24"/>
                <w:szCs w:val="24"/>
                <w:vertAlign w:val="baseline"/>
                <w:lang w:val="en-US" w:eastAsia="zh-CN"/>
              </w:rPr>
              <w:t>保护目标</w:t>
            </w:r>
          </w:p>
        </w:tc>
        <w:tc>
          <w:tcPr>
            <w:tcW w:w="7818" w:type="dxa"/>
          </w:tcPr>
          <w:p w14:paraId="30868B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根据《建设项目环境影响报告表编制技术指南（试行）》及现场踏勘，发电项目厂界外</w:t>
            </w:r>
            <w:r>
              <w:rPr>
                <w:rFonts w:hint="default" w:ascii="Times New Roman" w:hAnsi="Times New Roman" w:eastAsia="宋体" w:cs="Times New Roman"/>
                <w:color w:val="000000"/>
                <w:kern w:val="0"/>
                <w:sz w:val="24"/>
                <w:szCs w:val="24"/>
                <w:lang w:val="en-US" w:eastAsia="zh-CN" w:bidi="ar"/>
              </w:rPr>
              <w:t>500m</w:t>
            </w:r>
            <w:r>
              <w:rPr>
                <w:rFonts w:hint="eastAsia" w:ascii="Times New Roman" w:hAnsi="Times New Roman" w:eastAsia="宋体" w:cs="Times New Roman"/>
                <w:color w:val="000000"/>
                <w:kern w:val="0"/>
                <w:sz w:val="24"/>
                <w:szCs w:val="24"/>
                <w:lang w:val="en-US" w:eastAsia="zh-CN" w:bidi="ar"/>
              </w:rPr>
              <w:t>范围内无自然保护区、风景名胜区、居住区、文化区等环境保护目标，</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Times New Roman"/>
                <w:color w:val="000000"/>
                <w:kern w:val="0"/>
                <w:sz w:val="24"/>
                <w:szCs w:val="24"/>
                <w:lang w:val="en-US" w:eastAsia="zh-CN" w:bidi="ar"/>
              </w:rPr>
              <w:t>无噪声保护目标，</w:t>
            </w:r>
            <w:r>
              <w:rPr>
                <w:rFonts w:hint="default" w:ascii="Times New Roman" w:hAnsi="Times New Roman" w:eastAsia="宋体" w:cs="Times New Roman"/>
                <w:color w:val="000000"/>
                <w:kern w:val="0"/>
                <w:sz w:val="24"/>
                <w:szCs w:val="24"/>
                <w:lang w:val="en-US" w:eastAsia="zh-CN" w:bidi="ar"/>
              </w:rPr>
              <w:t>500m</w:t>
            </w:r>
            <w:r>
              <w:rPr>
                <w:rFonts w:hint="eastAsia" w:ascii="Times New Roman" w:hAnsi="Times New Roman" w:eastAsia="宋体" w:cs="Times New Roman"/>
                <w:color w:val="000000"/>
                <w:kern w:val="0"/>
                <w:sz w:val="24"/>
                <w:szCs w:val="24"/>
                <w:lang w:val="en-US" w:eastAsia="zh-CN" w:bidi="ar"/>
              </w:rPr>
              <w:t>范围内无大气保护目标、地下水环境保护目标，不新增用地，无生态环境保护目标。</w:t>
            </w:r>
          </w:p>
          <w:p w14:paraId="4CCB05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本项目主要环境保护目标见下表所示。</w:t>
            </w:r>
          </w:p>
          <w:p w14:paraId="3FE63D84">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表3-8 环境保护目标一览表</w:t>
            </w:r>
          </w:p>
          <w:tbl>
            <w:tblPr>
              <w:tblStyle w:val="18"/>
              <w:tblW w:w="494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981"/>
              <w:gridCol w:w="680"/>
              <w:gridCol w:w="713"/>
              <w:gridCol w:w="912"/>
              <w:gridCol w:w="972"/>
              <w:gridCol w:w="2284"/>
            </w:tblGrid>
            <w:tr w14:paraId="68120D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50" w:type="pct"/>
                  <w:vMerge w:val="restart"/>
                  <w:tcBorders>
                    <w:tl2br w:val="nil"/>
                    <w:tr2bl w:val="nil"/>
                  </w:tcBorders>
                  <w:vAlign w:val="center"/>
                </w:tcPr>
                <w:p w14:paraId="793FC0D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环境要素</w:t>
                  </w:r>
                </w:p>
              </w:tc>
              <w:tc>
                <w:tcPr>
                  <w:tcW w:w="652" w:type="pct"/>
                  <w:vMerge w:val="restart"/>
                  <w:tcBorders>
                    <w:tl2br w:val="nil"/>
                    <w:tr2bl w:val="nil"/>
                  </w:tcBorders>
                  <w:vAlign w:val="center"/>
                </w:tcPr>
                <w:p w14:paraId="5E30BD9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保护目标</w:t>
                  </w:r>
                </w:p>
              </w:tc>
              <w:tc>
                <w:tcPr>
                  <w:tcW w:w="926" w:type="pct"/>
                  <w:gridSpan w:val="2"/>
                  <w:tcBorders>
                    <w:tl2br w:val="nil"/>
                    <w:tr2bl w:val="nil"/>
                  </w:tcBorders>
                  <w:vAlign w:val="center"/>
                </w:tcPr>
                <w:p w14:paraId="6ADE416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经纬度</w:t>
                  </w:r>
                </w:p>
              </w:tc>
              <w:tc>
                <w:tcPr>
                  <w:tcW w:w="606" w:type="pct"/>
                  <w:vMerge w:val="restart"/>
                  <w:tcBorders>
                    <w:tl2br w:val="nil"/>
                    <w:tr2bl w:val="nil"/>
                  </w:tcBorders>
                  <w:vAlign w:val="center"/>
                </w:tcPr>
                <w:p w14:paraId="0352D75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方位</w:t>
                  </w:r>
                </w:p>
              </w:tc>
              <w:tc>
                <w:tcPr>
                  <w:tcW w:w="646" w:type="pct"/>
                  <w:vMerge w:val="restart"/>
                  <w:tcBorders>
                    <w:tl2br w:val="nil"/>
                    <w:tr2bl w:val="nil"/>
                  </w:tcBorders>
                  <w:vAlign w:val="center"/>
                </w:tcPr>
                <w:p w14:paraId="41A2556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距离</w:t>
                  </w:r>
                </w:p>
              </w:tc>
              <w:tc>
                <w:tcPr>
                  <w:tcW w:w="1518" w:type="pct"/>
                  <w:vMerge w:val="restart"/>
                  <w:tcBorders>
                    <w:tl2br w:val="nil"/>
                    <w:tr2bl w:val="nil"/>
                  </w:tcBorders>
                  <w:vAlign w:val="center"/>
                </w:tcPr>
                <w:p w14:paraId="1D2BA81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保护级别</w:t>
                  </w:r>
                </w:p>
              </w:tc>
            </w:tr>
            <w:tr w14:paraId="3D92E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vMerge w:val="continue"/>
                  <w:tcBorders>
                    <w:tl2br w:val="nil"/>
                    <w:tr2bl w:val="nil"/>
                  </w:tcBorders>
                  <w:vAlign w:val="center"/>
                </w:tcPr>
                <w:p w14:paraId="323CBEB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652" w:type="pct"/>
                  <w:vMerge w:val="continue"/>
                  <w:tcBorders>
                    <w:tl2br w:val="nil"/>
                    <w:tr2bl w:val="nil"/>
                  </w:tcBorders>
                  <w:vAlign w:val="center"/>
                </w:tcPr>
                <w:p w14:paraId="724A938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452" w:type="pct"/>
                  <w:tcBorders>
                    <w:tl2br w:val="nil"/>
                    <w:tr2bl w:val="nil"/>
                  </w:tcBorders>
                  <w:vAlign w:val="center"/>
                </w:tcPr>
                <w:p w14:paraId="6AF81D3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东经</w:t>
                  </w:r>
                </w:p>
              </w:tc>
              <w:tc>
                <w:tcPr>
                  <w:tcW w:w="474" w:type="pct"/>
                  <w:tcBorders>
                    <w:tl2br w:val="nil"/>
                    <w:tr2bl w:val="nil"/>
                  </w:tcBorders>
                  <w:vAlign w:val="center"/>
                </w:tcPr>
                <w:p w14:paraId="352CD96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北纬</w:t>
                  </w:r>
                </w:p>
              </w:tc>
              <w:tc>
                <w:tcPr>
                  <w:tcW w:w="606" w:type="pct"/>
                  <w:vMerge w:val="continue"/>
                  <w:tcBorders>
                    <w:tl2br w:val="nil"/>
                    <w:tr2bl w:val="nil"/>
                  </w:tcBorders>
                  <w:vAlign w:val="center"/>
                </w:tcPr>
                <w:p w14:paraId="08AB685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646" w:type="pct"/>
                  <w:vMerge w:val="continue"/>
                  <w:tcBorders>
                    <w:tl2br w:val="nil"/>
                    <w:tr2bl w:val="nil"/>
                  </w:tcBorders>
                  <w:vAlign w:val="center"/>
                </w:tcPr>
                <w:p w14:paraId="1F21FF5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518" w:type="pct"/>
                  <w:vMerge w:val="continue"/>
                  <w:tcBorders>
                    <w:tl2br w:val="nil"/>
                    <w:tr2bl w:val="nil"/>
                  </w:tcBorders>
                  <w:vAlign w:val="center"/>
                </w:tcPr>
                <w:p w14:paraId="4C259B9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r>
            <w:tr w14:paraId="21C9B5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vMerge w:val="restart"/>
                  <w:tcBorders>
                    <w:tl2br w:val="nil"/>
                    <w:tr2bl w:val="nil"/>
                  </w:tcBorders>
                  <w:vAlign w:val="center"/>
                </w:tcPr>
                <w:p w14:paraId="12753F2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地表水</w:t>
                  </w:r>
                </w:p>
              </w:tc>
              <w:tc>
                <w:tcPr>
                  <w:tcW w:w="652" w:type="pct"/>
                  <w:tcBorders>
                    <w:tl2br w:val="nil"/>
                    <w:tr2bl w:val="nil"/>
                  </w:tcBorders>
                  <w:vAlign w:val="center"/>
                </w:tcPr>
                <w:p w14:paraId="74EEAAE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小河底河</w:t>
                  </w:r>
                </w:p>
              </w:tc>
              <w:tc>
                <w:tcPr>
                  <w:tcW w:w="926" w:type="pct"/>
                  <w:gridSpan w:val="2"/>
                  <w:tcBorders>
                    <w:tl2br w:val="nil"/>
                    <w:tr2bl w:val="nil"/>
                  </w:tcBorders>
                  <w:vAlign w:val="center"/>
                </w:tcPr>
                <w:p w14:paraId="276C32C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606" w:type="pct"/>
                  <w:tcBorders>
                    <w:tl2br w:val="nil"/>
                    <w:tr2bl w:val="nil"/>
                  </w:tcBorders>
                  <w:vAlign w:val="center"/>
                </w:tcPr>
                <w:p w14:paraId="0CD0462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东侧</w:t>
                  </w:r>
                </w:p>
              </w:tc>
              <w:tc>
                <w:tcPr>
                  <w:tcW w:w="646" w:type="pct"/>
                  <w:tcBorders>
                    <w:tl2br w:val="nil"/>
                    <w:tr2bl w:val="nil"/>
                  </w:tcBorders>
                  <w:vAlign w:val="center"/>
                </w:tcPr>
                <w:p w14:paraId="22FECD3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430m</w:t>
                  </w:r>
                </w:p>
              </w:tc>
              <w:tc>
                <w:tcPr>
                  <w:tcW w:w="1518" w:type="pct"/>
                  <w:vMerge w:val="restart"/>
                  <w:tcBorders>
                    <w:tl2br w:val="nil"/>
                    <w:tr2bl w:val="nil"/>
                  </w:tcBorders>
                  <w:vAlign w:val="center"/>
                </w:tcPr>
                <w:p w14:paraId="7A71F5B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《地表水环境质量标准》（GB3838-2002）III类</w:t>
                  </w:r>
                </w:p>
              </w:tc>
            </w:tr>
            <w:tr w14:paraId="4F0FA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vMerge w:val="continue"/>
                  <w:tcBorders>
                    <w:tl2br w:val="nil"/>
                    <w:tr2bl w:val="nil"/>
                  </w:tcBorders>
                  <w:vAlign w:val="center"/>
                </w:tcPr>
                <w:p w14:paraId="5A4BBA5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652" w:type="pct"/>
                  <w:tcBorders>
                    <w:tl2br w:val="nil"/>
                    <w:tr2bl w:val="nil"/>
                  </w:tcBorders>
                  <w:vAlign w:val="center"/>
                </w:tcPr>
                <w:p w14:paraId="16EBA6F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化念河</w:t>
                  </w:r>
                </w:p>
              </w:tc>
              <w:tc>
                <w:tcPr>
                  <w:tcW w:w="926" w:type="pct"/>
                  <w:gridSpan w:val="2"/>
                  <w:tcBorders>
                    <w:tl2br w:val="nil"/>
                    <w:tr2bl w:val="nil"/>
                  </w:tcBorders>
                  <w:vAlign w:val="center"/>
                </w:tcPr>
                <w:p w14:paraId="568842C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606" w:type="pct"/>
                  <w:tcBorders>
                    <w:tl2br w:val="nil"/>
                    <w:tr2bl w:val="nil"/>
                  </w:tcBorders>
                  <w:vAlign w:val="center"/>
                </w:tcPr>
                <w:p w14:paraId="4459C1B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东北侧</w:t>
                  </w:r>
                </w:p>
              </w:tc>
              <w:tc>
                <w:tcPr>
                  <w:tcW w:w="646" w:type="pct"/>
                  <w:tcBorders>
                    <w:tl2br w:val="nil"/>
                    <w:tr2bl w:val="nil"/>
                  </w:tcBorders>
                  <w:vAlign w:val="center"/>
                </w:tcPr>
                <w:p w14:paraId="1D96030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495</w:t>
                  </w:r>
                </w:p>
              </w:tc>
              <w:tc>
                <w:tcPr>
                  <w:tcW w:w="1518" w:type="pct"/>
                  <w:vMerge w:val="continue"/>
                  <w:tcBorders>
                    <w:tl2br w:val="nil"/>
                    <w:tr2bl w:val="nil"/>
                  </w:tcBorders>
                  <w:vAlign w:val="center"/>
                </w:tcPr>
                <w:p w14:paraId="3E2C78D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r>
            <w:tr w14:paraId="05AED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50" w:type="pct"/>
                  <w:tcBorders>
                    <w:tl2br w:val="nil"/>
                    <w:tr2bl w:val="nil"/>
                  </w:tcBorders>
                  <w:vAlign w:val="center"/>
                </w:tcPr>
                <w:p w14:paraId="39852E2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声环境</w:t>
                  </w:r>
                </w:p>
              </w:tc>
              <w:tc>
                <w:tcPr>
                  <w:tcW w:w="4349" w:type="pct"/>
                  <w:gridSpan w:val="6"/>
                  <w:tcBorders>
                    <w:tl2br w:val="nil"/>
                    <w:tr2bl w:val="nil"/>
                  </w:tcBorders>
                  <w:vAlign w:val="center"/>
                </w:tcPr>
                <w:p w14:paraId="6AF10CF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50m范围内无敏感点</w:t>
                  </w:r>
                </w:p>
              </w:tc>
            </w:tr>
            <w:tr w14:paraId="27525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vAlign w:val="center"/>
                </w:tcPr>
                <w:p w14:paraId="12F0C3F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地下水</w:t>
                  </w:r>
                </w:p>
              </w:tc>
              <w:tc>
                <w:tcPr>
                  <w:tcW w:w="4349" w:type="pct"/>
                  <w:gridSpan w:val="6"/>
                  <w:tcBorders>
                    <w:tl2br w:val="nil"/>
                    <w:tr2bl w:val="nil"/>
                  </w:tcBorders>
                  <w:vAlign w:val="center"/>
                </w:tcPr>
                <w:p w14:paraId="517A124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500m</w:t>
                  </w:r>
                  <w:r>
                    <w:rPr>
                      <w:rFonts w:hint="eastAsia" w:ascii="Times New Roman" w:hAnsi="Times New Roman" w:eastAsia="宋体" w:cs="Times New Roman"/>
                      <w:color w:val="auto"/>
                      <w:kern w:val="0"/>
                      <w:sz w:val="18"/>
                      <w:szCs w:val="18"/>
                      <w:highlight w:val="none"/>
                      <w:lang w:val="en-US" w:eastAsia="zh-CN"/>
                    </w:rPr>
                    <w:t>范围内无地下水集中式饮用水水源和热水、矿泉水、温泉等特殊地下水资源。</w:t>
                  </w:r>
                </w:p>
              </w:tc>
            </w:tr>
            <w:tr w14:paraId="532A7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vAlign w:val="center"/>
                </w:tcPr>
                <w:p w14:paraId="6C45125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生态</w:t>
                  </w:r>
                </w:p>
              </w:tc>
              <w:tc>
                <w:tcPr>
                  <w:tcW w:w="4349" w:type="pct"/>
                  <w:gridSpan w:val="6"/>
                  <w:tcBorders>
                    <w:tl2br w:val="nil"/>
                    <w:tr2bl w:val="nil"/>
                  </w:tcBorders>
                  <w:vAlign w:val="center"/>
                </w:tcPr>
                <w:p w14:paraId="1747ADA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未新增占地，不设置生态环境目标。</w:t>
                  </w:r>
                </w:p>
              </w:tc>
            </w:tr>
          </w:tbl>
          <w:p w14:paraId="2D541D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p>
        </w:tc>
      </w:tr>
      <w:tr w14:paraId="0A60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4E89FFDD">
            <w:pPr>
              <w:pStyle w:val="12"/>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pacing w:val="0"/>
                <w:kern w:val="21"/>
                <w:sz w:val="24"/>
                <w:szCs w:val="24"/>
                <w:vertAlign w:val="baseline"/>
                <w:lang w:val="en-US" w:eastAsia="zh-CN"/>
              </w:rPr>
            </w:pPr>
            <w:r>
              <w:rPr>
                <w:rFonts w:hint="eastAsia" w:ascii="Times New Roman" w:hAnsi="Times New Roman" w:eastAsia="宋体" w:cs="Times New Roman"/>
                <w:spacing w:val="0"/>
                <w:kern w:val="21"/>
                <w:sz w:val="24"/>
                <w:szCs w:val="24"/>
                <w:vertAlign w:val="baseline"/>
                <w:lang w:val="en-US" w:eastAsia="zh-CN"/>
              </w:rPr>
              <w:t>污染物排放控制标准</w:t>
            </w:r>
          </w:p>
        </w:tc>
        <w:tc>
          <w:tcPr>
            <w:tcW w:w="7818" w:type="dxa"/>
          </w:tcPr>
          <w:p w14:paraId="41A5B92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kern w:val="0"/>
                <w:sz w:val="24"/>
                <w:szCs w:val="24"/>
                <w:lang w:val="en-US" w:eastAsia="zh-CN" w:bidi="ar"/>
              </w:rPr>
              <w:t>3.5废气</w:t>
            </w:r>
          </w:p>
          <w:p w14:paraId="202489F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施工期：</w:t>
            </w:r>
            <w:r>
              <w:rPr>
                <w:rFonts w:hint="default" w:ascii="Times New Roman" w:hAnsi="Times New Roman" w:eastAsia="宋体" w:cs="Times New Roman"/>
                <w:color w:val="000000"/>
                <w:kern w:val="0"/>
                <w:sz w:val="24"/>
                <w:szCs w:val="24"/>
                <w:lang w:val="en-US" w:eastAsia="zh-CN" w:bidi="ar"/>
              </w:rPr>
              <w:t>扬尘执行《大气污染物综合排放标准》（GB16297—1996）表2中新污染源大气污染物排放限值中无组织排放浓度监控限值，详见下表3-</w:t>
            </w:r>
            <w:r>
              <w:rPr>
                <w:rFonts w:hint="eastAsia"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w:t>
            </w:r>
          </w:p>
          <w:p w14:paraId="62CB8612">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9 《大气污染物综合排放标准》大气污染物无组织排放标准限值</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5132"/>
            </w:tblGrid>
            <w:tr w14:paraId="4E90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55" w:type="dxa"/>
                  <w:tcBorders>
                    <w:left w:val="nil"/>
                  </w:tcBorders>
                  <w:vAlign w:val="center"/>
                </w:tcPr>
                <w:p w14:paraId="177E90F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污染物名称</w:t>
                  </w:r>
                </w:p>
              </w:tc>
              <w:tc>
                <w:tcPr>
                  <w:tcW w:w="5132" w:type="dxa"/>
                  <w:tcBorders>
                    <w:right w:val="nil"/>
                  </w:tcBorders>
                  <w:vAlign w:val="center"/>
                </w:tcPr>
                <w:p w14:paraId="6F3DC12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周界外浓度最高点无组织排放标准限值</w:t>
                  </w:r>
                </w:p>
              </w:tc>
            </w:tr>
            <w:tr w14:paraId="369C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tcBorders>
                    <w:left w:val="nil"/>
                  </w:tcBorders>
                  <w:vAlign w:val="center"/>
                </w:tcPr>
                <w:p w14:paraId="3DF501A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颗粒物</w:t>
                  </w:r>
                </w:p>
              </w:tc>
              <w:tc>
                <w:tcPr>
                  <w:tcW w:w="5132" w:type="dxa"/>
                  <w:tcBorders>
                    <w:right w:val="nil"/>
                  </w:tcBorders>
                  <w:vAlign w:val="center"/>
                </w:tcPr>
                <w:p w14:paraId="61480BA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≤1.0mg/m</w:t>
                  </w:r>
                  <w:r>
                    <w:rPr>
                      <w:rFonts w:hint="eastAsia" w:ascii="Times New Roman" w:hAnsi="Times New Roman" w:eastAsia="宋体" w:cs="Times New Roman"/>
                      <w:color w:val="auto"/>
                      <w:kern w:val="0"/>
                      <w:sz w:val="18"/>
                      <w:szCs w:val="18"/>
                      <w:highlight w:val="none"/>
                      <w:vertAlign w:val="superscript"/>
                      <w:lang w:val="en-US" w:eastAsia="zh-CN"/>
                    </w:rPr>
                    <w:t>3</w:t>
                  </w:r>
                </w:p>
              </w:tc>
            </w:tr>
          </w:tbl>
          <w:p w14:paraId="16B426E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运营期：</w:t>
            </w:r>
          </w:p>
          <w:p w14:paraId="70632C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本项目为钢铁厂自备电厂，使用高炉煤气、转炉煤气、焦炉煤气发电，</w:t>
            </w:r>
            <w:r>
              <w:rPr>
                <w:rFonts w:hint="eastAsia" w:cs="Times New Roman"/>
                <w:color w:val="000000"/>
                <w:kern w:val="0"/>
                <w:sz w:val="24"/>
                <w:szCs w:val="24"/>
                <w:lang w:val="en-US" w:eastAsia="zh-CN" w:bidi="ar"/>
              </w:rPr>
              <w:t>锅炉采用低氮燃烧技术，锅炉烟气通过SCR+钙基干法脱硫+布袋除尘器处理后，通过1根80m高烟囱排放，</w:t>
            </w:r>
            <w:r>
              <w:rPr>
                <w:rFonts w:hint="eastAsia" w:ascii="Times New Roman" w:hAnsi="Times New Roman" w:eastAsia="宋体" w:cs="Times New Roman"/>
                <w:color w:val="000000"/>
                <w:kern w:val="0"/>
                <w:sz w:val="24"/>
                <w:szCs w:val="24"/>
                <w:lang w:val="en-US" w:eastAsia="zh-CN" w:bidi="ar"/>
              </w:rPr>
              <w:t>灰仓粉尘和锅炉烟气一同处理后通过80m烟囱排放，燃气锅炉废气中烟尘、</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24"/>
                <w:szCs w:val="24"/>
                <w:vertAlign w:val="subscript"/>
                <w:lang w:val="en-US" w:eastAsia="zh-CN" w:bidi="ar"/>
              </w:rPr>
              <w:t>2</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w:t>
            </w:r>
            <w:r>
              <w:rPr>
                <w:rFonts w:hint="eastAsia" w:ascii="Times New Roman" w:hAnsi="Times New Roman" w:eastAsia="宋体" w:cs="Times New Roman"/>
                <w:color w:val="000000"/>
                <w:kern w:val="0"/>
                <w:sz w:val="24"/>
                <w:szCs w:val="24"/>
                <w:lang w:val="en-US" w:eastAsia="zh-CN" w:bidi="ar"/>
              </w:rPr>
              <w:t>x执行《关于推进实施钢铁行业超低排放的意见》（环大气〔</w:t>
            </w:r>
            <w:r>
              <w:rPr>
                <w:rFonts w:hint="default" w:ascii="Times New Roman" w:hAnsi="Times New Roman" w:eastAsia="宋体" w:cs="Times New Roman"/>
                <w:color w:val="000000"/>
                <w:kern w:val="0"/>
                <w:sz w:val="24"/>
                <w:szCs w:val="24"/>
                <w:lang w:val="en-US" w:eastAsia="zh-CN" w:bidi="ar"/>
              </w:rPr>
              <w:t>2019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35</w:t>
            </w:r>
            <w:r>
              <w:rPr>
                <w:rFonts w:hint="eastAsia" w:ascii="Times New Roman" w:hAnsi="Times New Roman" w:eastAsia="宋体" w:cs="Times New Roman"/>
                <w:color w:val="000000"/>
                <w:kern w:val="0"/>
                <w:sz w:val="24"/>
                <w:szCs w:val="24"/>
                <w:lang w:val="en-US" w:eastAsia="zh-CN" w:bidi="ar"/>
              </w:rPr>
              <w:t>号）中附件</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钢铁企业超低排放指标限值（自备电厂）超低排放限值要求，详见下表</w:t>
            </w:r>
            <w:r>
              <w:rPr>
                <w:rFonts w:hint="default" w:ascii="Times New Roman" w:hAnsi="Times New Roman"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lang w:val="en-US" w:eastAsia="zh-CN" w:bidi="ar"/>
              </w:rPr>
              <w:t>。</w:t>
            </w:r>
          </w:p>
          <w:p w14:paraId="0E5411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本项目锅炉</w:t>
            </w:r>
            <w:r>
              <w:rPr>
                <w:rFonts w:hint="eastAsia" w:ascii="Times New Roman" w:hAnsi="Times New Roman" w:eastAsia="宋体" w:cs="Times New Roman"/>
                <w:color w:val="000000"/>
                <w:kern w:val="0"/>
                <w:sz w:val="24"/>
                <w:szCs w:val="24"/>
                <w:lang w:val="en-US" w:eastAsia="zh-CN" w:bidi="ar"/>
              </w:rPr>
              <w:t>烟气</w:t>
            </w:r>
            <w:r>
              <w:rPr>
                <w:rFonts w:hint="eastAsia" w:cs="Times New Roman"/>
                <w:color w:val="000000"/>
                <w:kern w:val="0"/>
                <w:sz w:val="24"/>
                <w:szCs w:val="24"/>
                <w:lang w:val="en-US" w:eastAsia="zh-CN" w:bidi="ar"/>
              </w:rPr>
              <w:t>使用氨水进行</w:t>
            </w:r>
            <w:r>
              <w:rPr>
                <w:rFonts w:hint="eastAsia" w:ascii="Times New Roman" w:hAnsi="Times New Roman" w:eastAsia="宋体" w:cs="Times New Roman"/>
                <w:color w:val="000000"/>
                <w:kern w:val="0"/>
                <w:sz w:val="24"/>
                <w:szCs w:val="24"/>
                <w:lang w:val="en-US" w:eastAsia="zh-CN" w:bidi="ar"/>
              </w:rPr>
              <w:t>脱硝，脱硝过程中排放的氨气执行《恶臭污染物排放标准》（</w:t>
            </w:r>
            <w:r>
              <w:rPr>
                <w:rFonts w:hint="default" w:ascii="Times New Roman" w:hAnsi="Times New Roman" w:eastAsia="宋体" w:cs="Times New Roman"/>
                <w:color w:val="000000"/>
                <w:kern w:val="0"/>
                <w:sz w:val="24"/>
                <w:szCs w:val="24"/>
                <w:lang w:val="en-US" w:eastAsia="zh-CN" w:bidi="ar"/>
              </w:rPr>
              <w:t>GB14554-93</w:t>
            </w:r>
            <w:r>
              <w:rPr>
                <w:rFonts w:hint="eastAsia" w:ascii="Times New Roman" w:hAnsi="Times New Roman" w:eastAsia="宋体" w:cs="Times New Roman"/>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中排放限值，本项目排放高度</w:t>
            </w:r>
            <w:r>
              <w:rPr>
                <w:rFonts w:hint="eastAsia" w:cs="Times New Roman"/>
                <w:color w:val="000000"/>
                <w:kern w:val="0"/>
                <w:sz w:val="24"/>
                <w:szCs w:val="24"/>
                <w:lang w:val="en-US" w:eastAsia="zh-CN" w:bidi="ar"/>
              </w:rPr>
              <w:t>80</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lang w:val="en-US" w:eastAsia="zh-CN" w:bidi="ar"/>
              </w:rPr>
              <w:t>，排放标准执行，详见下表3-</w:t>
            </w:r>
            <w:r>
              <w:rPr>
                <w:rFonts w:hint="eastAsia" w:cs="Times New Roman"/>
                <w:color w:val="000000"/>
                <w:kern w:val="0"/>
                <w:sz w:val="24"/>
                <w:szCs w:val="24"/>
                <w:lang w:val="en-US" w:eastAsia="zh-CN" w:bidi="ar"/>
              </w:rPr>
              <w:t>11</w:t>
            </w:r>
            <w:r>
              <w:rPr>
                <w:rFonts w:hint="eastAsia" w:ascii="Times New Roman" w:hAnsi="Times New Roman" w:eastAsia="宋体" w:cs="Times New Roman"/>
                <w:color w:val="000000"/>
                <w:kern w:val="0"/>
                <w:sz w:val="24"/>
                <w:szCs w:val="24"/>
                <w:lang w:val="en-US" w:eastAsia="zh-CN" w:bidi="ar"/>
              </w:rPr>
              <w:t>。</w:t>
            </w:r>
          </w:p>
          <w:p w14:paraId="4A026F61">
            <w:pPr>
              <w:keepNext w:val="0"/>
              <w:keepLines w:val="0"/>
              <w:widowControl/>
              <w:suppressLineNumbers w:val="0"/>
              <w:jc w:val="center"/>
              <w:rPr>
                <w:rFonts w:hint="default"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10《关于推进实施钢铁行业超低排放的意见》（单位：</w:t>
            </w:r>
            <w:r>
              <w:rPr>
                <w:rFonts w:hint="default" w:ascii="黑体" w:hAnsi="黑体" w:eastAsia="黑体" w:cs="黑体"/>
                <w:b w:val="0"/>
                <w:bCs w:val="0"/>
                <w:color w:val="000000"/>
                <w:kern w:val="0"/>
                <w:sz w:val="21"/>
                <w:szCs w:val="21"/>
                <w:lang w:val="en-US" w:eastAsia="zh-CN" w:bidi="ar"/>
              </w:rPr>
              <w:t>mg/m</w:t>
            </w:r>
            <w:r>
              <w:rPr>
                <w:rFonts w:hint="eastAsia" w:ascii="黑体" w:hAnsi="黑体" w:eastAsia="黑体" w:cs="黑体"/>
                <w:b w:val="0"/>
                <w:bCs w:val="0"/>
                <w:color w:val="000000"/>
                <w:kern w:val="0"/>
                <w:sz w:val="21"/>
                <w:szCs w:val="21"/>
                <w:vertAlign w:val="superscript"/>
                <w:lang w:val="en-US" w:eastAsia="zh-CN" w:bidi="ar"/>
              </w:rPr>
              <w:t>3</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4"/>
              <w:gridCol w:w="1264"/>
              <w:gridCol w:w="1265"/>
              <w:gridCol w:w="1265"/>
              <w:gridCol w:w="1265"/>
            </w:tblGrid>
            <w:tr w14:paraId="0BE1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264" w:type="dxa"/>
                  <w:vMerge w:val="restart"/>
                  <w:tcBorders>
                    <w:left w:val="nil"/>
                  </w:tcBorders>
                  <w:vAlign w:val="center"/>
                </w:tcPr>
                <w:p w14:paraId="12C02C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标准</w:t>
                  </w:r>
                </w:p>
              </w:tc>
              <w:tc>
                <w:tcPr>
                  <w:tcW w:w="1264" w:type="dxa"/>
                  <w:vMerge w:val="restart"/>
                  <w:vAlign w:val="center"/>
                </w:tcPr>
                <w:p w14:paraId="629894F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生产设施</w:t>
                  </w:r>
                </w:p>
              </w:tc>
              <w:tc>
                <w:tcPr>
                  <w:tcW w:w="1264" w:type="dxa"/>
                  <w:vMerge w:val="restart"/>
                  <w:vAlign w:val="center"/>
                </w:tcPr>
                <w:p w14:paraId="0229874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基准含氧量（%）</w:t>
                  </w:r>
                </w:p>
              </w:tc>
              <w:tc>
                <w:tcPr>
                  <w:tcW w:w="3795" w:type="dxa"/>
                  <w:gridSpan w:val="3"/>
                  <w:tcBorders>
                    <w:right w:val="nil"/>
                  </w:tcBorders>
                  <w:vAlign w:val="center"/>
                </w:tcPr>
                <w:p w14:paraId="0213E7A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污染物</w:t>
                  </w:r>
                </w:p>
              </w:tc>
            </w:tr>
            <w:tr w14:paraId="2DC6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vAlign w:val="center"/>
                </w:tcPr>
                <w:p w14:paraId="781CCF1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5E1F7B7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4" w:type="dxa"/>
                  <w:vMerge w:val="continue"/>
                  <w:vAlign w:val="center"/>
                </w:tcPr>
                <w:p w14:paraId="4148D77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265" w:type="dxa"/>
                  <w:vAlign w:val="center"/>
                </w:tcPr>
                <w:p w14:paraId="65B157B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颗粒物</w:t>
                  </w:r>
                </w:p>
              </w:tc>
              <w:tc>
                <w:tcPr>
                  <w:tcW w:w="1265" w:type="dxa"/>
                  <w:vAlign w:val="center"/>
                </w:tcPr>
                <w:p w14:paraId="1EA0BB82">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000000"/>
                      <w:kern w:val="0"/>
                      <w:sz w:val="20"/>
                      <w:szCs w:val="20"/>
                      <w:lang w:val="en-US" w:eastAsia="zh-CN" w:bidi="ar"/>
                    </w:rPr>
                    <w:t>SO</w:t>
                  </w:r>
                  <w:r>
                    <w:rPr>
                      <w:rFonts w:hint="eastAsia" w:ascii="Times New Roman" w:hAnsi="Times New Roman" w:eastAsia="宋体" w:cs="Times New Roman"/>
                      <w:color w:val="000000"/>
                      <w:kern w:val="0"/>
                      <w:sz w:val="20"/>
                      <w:szCs w:val="20"/>
                      <w:vertAlign w:val="subscript"/>
                      <w:lang w:val="en-US" w:eastAsia="zh-CN" w:bidi="ar"/>
                    </w:rPr>
                    <w:t>2</w:t>
                  </w:r>
                </w:p>
              </w:tc>
              <w:tc>
                <w:tcPr>
                  <w:tcW w:w="1265" w:type="dxa"/>
                  <w:tcBorders>
                    <w:right w:val="nil"/>
                  </w:tcBorders>
                  <w:vAlign w:val="center"/>
                </w:tcPr>
                <w:p w14:paraId="3E1B165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NOx</w:t>
                  </w:r>
                </w:p>
              </w:tc>
            </w:tr>
            <w:tr w14:paraId="32F6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tcBorders>
                    <w:left w:val="nil"/>
                  </w:tcBorders>
                  <w:vAlign w:val="center"/>
                </w:tcPr>
                <w:p w14:paraId="3D0F1BC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《关于推进实施钢铁行业超低排放的意见》</w:t>
                  </w:r>
                </w:p>
              </w:tc>
              <w:tc>
                <w:tcPr>
                  <w:tcW w:w="1264" w:type="dxa"/>
                  <w:vAlign w:val="center"/>
                </w:tcPr>
                <w:p w14:paraId="03938E6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燃气锅炉</w:t>
                  </w:r>
                </w:p>
              </w:tc>
              <w:tc>
                <w:tcPr>
                  <w:tcW w:w="1264" w:type="dxa"/>
                  <w:vAlign w:val="center"/>
                </w:tcPr>
                <w:p w14:paraId="767DEDD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w:t>
                  </w:r>
                </w:p>
              </w:tc>
              <w:tc>
                <w:tcPr>
                  <w:tcW w:w="1265" w:type="dxa"/>
                  <w:vAlign w:val="center"/>
                </w:tcPr>
                <w:p w14:paraId="634929A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w:t>
                  </w:r>
                </w:p>
              </w:tc>
              <w:tc>
                <w:tcPr>
                  <w:tcW w:w="1265" w:type="dxa"/>
                  <w:vAlign w:val="center"/>
                </w:tcPr>
                <w:p w14:paraId="7A6F4EF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1265" w:type="dxa"/>
                  <w:tcBorders>
                    <w:right w:val="nil"/>
                  </w:tcBorders>
                  <w:vAlign w:val="center"/>
                </w:tcPr>
                <w:p w14:paraId="248DB00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r>
          </w:tbl>
          <w:p w14:paraId="15DA1E23">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11 《恶臭污染物排放标准》（</w:t>
            </w:r>
            <w:r>
              <w:rPr>
                <w:rFonts w:hint="default" w:ascii="黑体" w:hAnsi="黑体" w:eastAsia="黑体" w:cs="黑体"/>
                <w:b w:val="0"/>
                <w:bCs w:val="0"/>
                <w:color w:val="000000"/>
                <w:kern w:val="0"/>
                <w:sz w:val="21"/>
                <w:szCs w:val="21"/>
                <w:lang w:val="en-US" w:eastAsia="zh-CN" w:bidi="ar"/>
              </w:rPr>
              <w:t>GB14554-93</w:t>
            </w:r>
            <w:r>
              <w:rPr>
                <w:rFonts w:hint="eastAsia" w:ascii="黑体" w:hAnsi="黑体" w:eastAsia="黑体" w:cs="黑体"/>
                <w:b w:val="0"/>
                <w:bCs w:val="0"/>
                <w:color w:val="000000"/>
                <w:kern w:val="0"/>
                <w:sz w:val="21"/>
                <w:szCs w:val="21"/>
                <w:lang w:val="en-US" w:eastAsia="zh-CN" w:bidi="ar"/>
              </w:rPr>
              <w:t>）标准限值</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2529"/>
              <w:gridCol w:w="2529"/>
            </w:tblGrid>
            <w:tr w14:paraId="5E4C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left w:val="nil"/>
                  </w:tcBorders>
                </w:tcPr>
                <w:p w14:paraId="3F1829B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污染物</w:t>
                  </w:r>
                </w:p>
              </w:tc>
              <w:tc>
                <w:tcPr>
                  <w:tcW w:w="2529" w:type="dxa"/>
                </w:tcPr>
                <w:p w14:paraId="1FC8DB4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排放高度（m）</w:t>
                  </w:r>
                </w:p>
              </w:tc>
              <w:tc>
                <w:tcPr>
                  <w:tcW w:w="2529" w:type="dxa"/>
                  <w:tcBorders>
                    <w:right w:val="nil"/>
                  </w:tcBorders>
                </w:tcPr>
                <w:p w14:paraId="319E06F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排放速率（kg/h）</w:t>
                  </w:r>
                </w:p>
              </w:tc>
            </w:tr>
            <w:tr w14:paraId="0E27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529" w:type="dxa"/>
                  <w:tcBorders>
                    <w:left w:val="nil"/>
                  </w:tcBorders>
                </w:tcPr>
                <w:p w14:paraId="66E288E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氨</w:t>
                  </w:r>
                </w:p>
              </w:tc>
              <w:tc>
                <w:tcPr>
                  <w:tcW w:w="2529" w:type="dxa"/>
                </w:tcPr>
                <w:p w14:paraId="1FFB228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80</w:t>
                  </w:r>
                </w:p>
              </w:tc>
              <w:tc>
                <w:tcPr>
                  <w:tcW w:w="2529" w:type="dxa"/>
                  <w:tcBorders>
                    <w:right w:val="nil"/>
                  </w:tcBorders>
                </w:tcPr>
                <w:p w14:paraId="5110A24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75</w:t>
                  </w:r>
                </w:p>
              </w:tc>
            </w:tr>
          </w:tbl>
          <w:p w14:paraId="2D710DA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3.6</w:t>
            </w:r>
            <w:r>
              <w:rPr>
                <w:rFonts w:hint="eastAsia" w:ascii="Times New Roman" w:hAnsi="Times New Roman" w:eastAsia="宋体" w:cs="Times New Roman"/>
                <w:b/>
                <w:bCs/>
                <w:color w:val="000000"/>
                <w:kern w:val="0"/>
                <w:sz w:val="24"/>
                <w:szCs w:val="24"/>
                <w:lang w:val="en-US" w:eastAsia="zh-CN" w:bidi="ar"/>
              </w:rPr>
              <w:t>废水</w:t>
            </w:r>
          </w:p>
          <w:p w14:paraId="6E45C4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施工期：施工期废水主要为施工废水和施工人员生活污水。生活污水依托仙福公司现有生活污水处理设施进行处理后用于绿化。</w:t>
            </w:r>
          </w:p>
          <w:p w14:paraId="1C3EF2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运营期：</w:t>
            </w:r>
          </w:p>
          <w:p w14:paraId="394B3D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（一）生产废水</w:t>
            </w:r>
          </w:p>
          <w:p w14:paraId="70D085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本项目生产废水经全厂中央水处理站处理后厂内回用，不外排，回用水水质执行《城市污水再生利用 工业用水水质标准》（</w:t>
            </w:r>
            <w:r>
              <w:rPr>
                <w:rFonts w:hint="default" w:ascii="Times New Roman" w:hAnsi="Times New Roman" w:eastAsia="宋体" w:cs="Times New Roman"/>
                <w:color w:val="000000"/>
                <w:kern w:val="0"/>
                <w:sz w:val="24"/>
                <w:szCs w:val="24"/>
                <w:lang w:val="en-US" w:eastAsia="zh-CN" w:bidi="ar"/>
              </w:rPr>
              <w:t>GB/T 19923-2024</w:t>
            </w:r>
            <w:r>
              <w:rPr>
                <w:rFonts w:hint="eastAsia" w:ascii="Times New Roman" w:hAnsi="Times New Roman" w:eastAsia="宋体" w:cs="Times New Roman"/>
                <w:color w:val="000000"/>
                <w:kern w:val="0"/>
                <w:sz w:val="24"/>
                <w:szCs w:val="24"/>
                <w:lang w:val="en-US" w:eastAsia="zh-CN" w:bidi="ar"/>
              </w:rPr>
              <w:t>）中的间冷开式循环冷却水补充水、锅炉补给水、工艺用水标准，详见下表。</w:t>
            </w:r>
          </w:p>
          <w:p w14:paraId="030DA826">
            <w:pPr>
              <w:keepNext w:val="0"/>
              <w:keepLines w:val="0"/>
              <w:widowControl/>
              <w:suppressLineNumbers w:val="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12</w:t>
            </w:r>
            <w:r>
              <w:rPr>
                <w:rFonts w:hint="default" w:ascii="黑体" w:hAnsi="黑体" w:eastAsia="黑体" w:cs="黑体"/>
                <w:b w:val="0"/>
                <w:bCs w:val="0"/>
                <w:color w:val="000000"/>
                <w:kern w:val="0"/>
                <w:sz w:val="21"/>
                <w:szCs w:val="21"/>
                <w:lang w:val="en-US" w:eastAsia="zh-CN" w:bidi="ar"/>
              </w:rPr>
              <w:t xml:space="preserve"> </w:t>
            </w:r>
            <w:r>
              <w:rPr>
                <w:rFonts w:hint="eastAsia" w:ascii="黑体" w:hAnsi="黑体" w:eastAsia="黑体" w:cs="黑体"/>
                <w:b w:val="0"/>
                <w:bCs w:val="0"/>
                <w:color w:val="000000"/>
                <w:kern w:val="0"/>
                <w:sz w:val="21"/>
                <w:szCs w:val="21"/>
                <w:lang w:val="en-US" w:eastAsia="zh-CN" w:bidi="ar"/>
              </w:rPr>
              <w:t>《城市污水再生利用 工业用水水质》</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293"/>
              <w:gridCol w:w="4582"/>
            </w:tblGrid>
            <w:tr w14:paraId="27F7C7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8" w:type="pct"/>
                  <w:tcBorders>
                    <w:tl2br w:val="nil"/>
                    <w:tr2bl w:val="nil"/>
                  </w:tcBorders>
                  <w:noWrap w:val="0"/>
                  <w:vAlign w:val="center"/>
                </w:tcPr>
                <w:p w14:paraId="3DCC58D2">
                  <w:pPr>
                    <w:widowControl/>
                    <w:snapToGrid w:val="0"/>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序号</w:t>
                  </w:r>
                </w:p>
              </w:tc>
              <w:tc>
                <w:tcPr>
                  <w:tcW w:w="1508" w:type="pct"/>
                  <w:tcBorders>
                    <w:tl2br w:val="nil"/>
                    <w:tr2bl w:val="nil"/>
                  </w:tcBorders>
                  <w:noWrap w:val="0"/>
                  <w:vAlign w:val="center"/>
                </w:tcPr>
                <w:p w14:paraId="233B0590">
                  <w:pPr>
                    <w:widowControl/>
                    <w:snapToGrid w:val="0"/>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项目指标</w:t>
                  </w:r>
                </w:p>
              </w:tc>
              <w:tc>
                <w:tcPr>
                  <w:tcW w:w="3013" w:type="pct"/>
                  <w:tcBorders>
                    <w:tl2br w:val="nil"/>
                    <w:tr2bl w:val="nil"/>
                  </w:tcBorders>
                  <w:noWrap w:val="0"/>
                  <w:vAlign w:val="center"/>
                </w:tcPr>
                <w:p w14:paraId="2A3B6A14">
                  <w:pPr>
                    <w:widowControl/>
                    <w:ind w:left="0" w:leftChars="0" w:right="0" w:righ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间冷开式循环冷却水补充水、锅炉补给水、工艺用水、产品用水</w:t>
                  </w:r>
                </w:p>
              </w:tc>
            </w:tr>
            <w:tr w14:paraId="546B33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0AFCE940">
                  <w:pPr>
                    <w:widowControl/>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1508" w:type="pct"/>
                  <w:tcBorders>
                    <w:tl2br w:val="nil"/>
                    <w:tr2bl w:val="nil"/>
                  </w:tcBorders>
                  <w:noWrap w:val="0"/>
                  <w:vAlign w:val="center"/>
                </w:tcPr>
                <w:p w14:paraId="474214AC">
                  <w:pPr>
                    <w:widowControl/>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pH</w:t>
                  </w:r>
                  <w:r>
                    <w:rPr>
                      <w:rFonts w:hint="eastAsia" w:eastAsia="宋体" w:cs="Times New Roman"/>
                      <w:color w:val="auto"/>
                      <w:kern w:val="0"/>
                      <w:sz w:val="18"/>
                      <w:szCs w:val="18"/>
                      <w:lang w:eastAsia="zh-CN"/>
                    </w:rPr>
                    <w:t>（</w:t>
                  </w:r>
                  <w:r>
                    <w:rPr>
                      <w:rFonts w:hint="eastAsia" w:eastAsia="宋体" w:cs="Times New Roman"/>
                      <w:color w:val="auto"/>
                      <w:kern w:val="0"/>
                      <w:sz w:val="18"/>
                      <w:szCs w:val="18"/>
                      <w:lang w:val="en-US" w:eastAsia="zh-CN"/>
                    </w:rPr>
                    <w:t>无量纲）</w:t>
                  </w:r>
                </w:p>
              </w:tc>
              <w:tc>
                <w:tcPr>
                  <w:tcW w:w="3013" w:type="pct"/>
                  <w:tcBorders>
                    <w:tl2br w:val="nil"/>
                    <w:tr2bl w:val="nil"/>
                  </w:tcBorders>
                  <w:noWrap w:val="0"/>
                  <w:vAlign w:val="center"/>
                </w:tcPr>
                <w:p w14:paraId="75A6E20B">
                  <w:pPr>
                    <w:widowControl/>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6.0～9.0</w:t>
                  </w:r>
                </w:p>
              </w:tc>
            </w:tr>
            <w:tr w14:paraId="5D923E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7EB8A573">
                  <w:pPr>
                    <w:widowControl/>
                    <w:ind w:left="0" w:leftChars="0" w:right="0" w:rightChars="0" w:firstLine="0" w:firstLineChars="0"/>
                    <w:jc w:val="center"/>
                    <w:rPr>
                      <w:rFonts w:hint="eastAsia" w:ascii="Times New Roman" w:hAnsi="Times New Roman" w:eastAsia="宋体" w:cs="Times New Roman"/>
                      <w:color w:val="auto"/>
                      <w:kern w:val="0"/>
                      <w:sz w:val="18"/>
                      <w:szCs w:val="18"/>
                      <w:lang w:val="en-US" w:eastAsia="zh-CN"/>
                    </w:rPr>
                  </w:pPr>
                  <w:r>
                    <w:rPr>
                      <w:rFonts w:hint="eastAsia" w:eastAsia="宋体" w:cs="Times New Roman"/>
                      <w:color w:val="auto"/>
                      <w:kern w:val="0"/>
                      <w:sz w:val="18"/>
                      <w:szCs w:val="18"/>
                      <w:lang w:val="en-US" w:eastAsia="zh-CN"/>
                    </w:rPr>
                    <w:t>2</w:t>
                  </w:r>
                </w:p>
              </w:tc>
              <w:tc>
                <w:tcPr>
                  <w:tcW w:w="1508" w:type="pct"/>
                  <w:tcBorders>
                    <w:tl2br w:val="nil"/>
                    <w:tr2bl w:val="nil"/>
                  </w:tcBorders>
                  <w:noWrap w:val="0"/>
                  <w:vAlign w:val="center"/>
                </w:tcPr>
                <w:p w14:paraId="273522A6">
                  <w:pPr>
                    <w:widowControl/>
                    <w:ind w:left="0" w:leftChars="0" w:right="0" w:rightChars="0" w:firstLine="0" w:firstLineChars="0"/>
                    <w:jc w:val="center"/>
                    <w:rPr>
                      <w:rFonts w:hint="default" w:ascii="Times New Roman" w:hAnsi="Times New Roman" w:eastAsia="宋体" w:cs="Times New Roman"/>
                      <w:color w:val="auto"/>
                      <w:kern w:val="0"/>
                      <w:sz w:val="18"/>
                      <w:szCs w:val="18"/>
                      <w:lang w:val="en-US"/>
                    </w:rPr>
                  </w:pPr>
                  <w:r>
                    <w:rPr>
                      <w:rFonts w:hint="eastAsia" w:eastAsia="宋体" w:cs="Times New Roman"/>
                      <w:color w:val="auto"/>
                      <w:kern w:val="0"/>
                      <w:sz w:val="18"/>
                      <w:szCs w:val="18"/>
                      <w:lang w:val="en-US" w:eastAsia="zh-CN"/>
                    </w:rPr>
                    <w:t>浊度（NUT）</w:t>
                  </w:r>
                </w:p>
              </w:tc>
              <w:tc>
                <w:tcPr>
                  <w:tcW w:w="3013" w:type="pct"/>
                  <w:tcBorders>
                    <w:tl2br w:val="nil"/>
                    <w:tr2bl w:val="nil"/>
                  </w:tcBorders>
                  <w:noWrap w:val="0"/>
                  <w:vAlign w:val="center"/>
                </w:tcPr>
                <w:p w14:paraId="069512B1">
                  <w:pPr>
                    <w:widowControl/>
                    <w:ind w:left="0" w:leftChars="0" w:right="0" w:rightChars="0" w:firstLine="0" w:firstLineChars="0"/>
                    <w:jc w:val="center"/>
                    <w:rPr>
                      <w:rFonts w:hint="eastAsia" w:ascii="Times New Roman" w:hAnsi="Times New Roman" w:eastAsia="宋体" w:cs="Times New Roman"/>
                      <w:color w:val="auto"/>
                      <w:kern w:val="0"/>
                      <w:sz w:val="18"/>
                      <w:szCs w:val="18"/>
                      <w:lang w:val="en-US" w:eastAsia="zh-CN"/>
                    </w:rPr>
                  </w:pPr>
                  <w:r>
                    <w:rPr>
                      <w:rFonts w:hint="eastAsia" w:eastAsia="宋体" w:cs="Times New Roman"/>
                      <w:color w:val="auto"/>
                      <w:kern w:val="0"/>
                      <w:sz w:val="18"/>
                      <w:szCs w:val="18"/>
                      <w:lang w:val="en-US" w:eastAsia="zh-CN"/>
                    </w:rPr>
                    <w:t>5</w:t>
                  </w:r>
                </w:p>
              </w:tc>
            </w:tr>
            <w:tr w14:paraId="6CEED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45A72B87">
                  <w:pPr>
                    <w:widowControl/>
                    <w:ind w:left="0" w:leftChars="0" w:right="0" w:rightChars="0" w:firstLine="0" w:firstLineChars="0"/>
                    <w:jc w:val="center"/>
                    <w:rPr>
                      <w:rFonts w:hint="eastAsia" w:ascii="Times New Roman" w:hAnsi="Times New Roman" w:eastAsia="宋体" w:cs="Times New Roman"/>
                      <w:kern w:val="0"/>
                      <w:sz w:val="18"/>
                      <w:szCs w:val="18"/>
                      <w:lang w:eastAsia="zh-CN"/>
                    </w:rPr>
                  </w:pPr>
                  <w:r>
                    <w:rPr>
                      <w:rFonts w:hint="eastAsia" w:eastAsia="宋体" w:cs="Times New Roman"/>
                      <w:kern w:val="0"/>
                      <w:sz w:val="18"/>
                      <w:szCs w:val="18"/>
                      <w:lang w:val="en-US" w:eastAsia="zh-CN"/>
                    </w:rPr>
                    <w:t>3</w:t>
                  </w:r>
                </w:p>
              </w:tc>
              <w:tc>
                <w:tcPr>
                  <w:tcW w:w="1508" w:type="pct"/>
                  <w:tcBorders>
                    <w:tl2br w:val="nil"/>
                    <w:tr2bl w:val="nil"/>
                  </w:tcBorders>
                  <w:noWrap w:val="0"/>
                  <w:vAlign w:val="center"/>
                </w:tcPr>
                <w:p w14:paraId="10E96357">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色</w:t>
                  </w:r>
                  <w:r>
                    <w:rPr>
                      <w:rFonts w:hint="eastAsia" w:eastAsia="宋体" w:cs="Times New Roman"/>
                      <w:kern w:val="0"/>
                      <w:sz w:val="18"/>
                      <w:szCs w:val="18"/>
                      <w:lang w:val="en-US" w:eastAsia="zh-CN"/>
                    </w:rPr>
                    <w:t>度</w:t>
                  </w:r>
                  <w:r>
                    <w:rPr>
                      <w:rFonts w:hint="default" w:ascii="Times New Roman" w:hAnsi="Times New Roman" w:eastAsia="宋体" w:cs="Times New Roman"/>
                      <w:kern w:val="0"/>
                      <w:sz w:val="18"/>
                      <w:szCs w:val="18"/>
                    </w:rPr>
                    <w:t>（度）</w:t>
                  </w:r>
                </w:p>
              </w:tc>
              <w:tc>
                <w:tcPr>
                  <w:tcW w:w="3013" w:type="pct"/>
                  <w:tcBorders>
                    <w:tl2br w:val="nil"/>
                    <w:tr2bl w:val="nil"/>
                  </w:tcBorders>
                  <w:noWrap w:val="0"/>
                  <w:vAlign w:val="center"/>
                </w:tcPr>
                <w:p w14:paraId="575671F0">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20</w:t>
                  </w:r>
                </w:p>
              </w:tc>
            </w:tr>
            <w:tr w14:paraId="6571C9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509C647B">
                  <w:pPr>
                    <w:widowControl/>
                    <w:ind w:left="0" w:leftChars="0" w:right="0" w:rightChars="0" w:firstLine="0" w:firstLineChars="0"/>
                    <w:jc w:val="center"/>
                    <w:rPr>
                      <w:rFonts w:hint="eastAsia"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4</w:t>
                  </w:r>
                </w:p>
              </w:tc>
              <w:tc>
                <w:tcPr>
                  <w:tcW w:w="1508" w:type="pct"/>
                  <w:tcBorders>
                    <w:tl2br w:val="nil"/>
                    <w:tr2bl w:val="nil"/>
                  </w:tcBorders>
                  <w:noWrap w:val="0"/>
                  <w:vAlign w:val="center"/>
                </w:tcPr>
                <w:p w14:paraId="2FACE073">
                  <w:pPr>
                    <w:keepNext w:val="0"/>
                    <w:keepLines w:val="0"/>
                    <w:widowControl/>
                    <w:suppressLineNumbers w:val="0"/>
                    <w:ind w:left="0" w:leftChars="0" w:right="0" w:rightChars="0" w:firstLine="0" w:firstLineChars="0"/>
                    <w:jc w:val="center"/>
                    <w:rPr>
                      <w:rFonts w:hint="default" w:ascii="Times New Roman" w:hAnsi="Times New Roman" w:eastAsia="宋体" w:cs="Times New Roman"/>
                      <w:kern w:val="0"/>
                      <w:sz w:val="18"/>
                      <w:szCs w:val="18"/>
                    </w:rPr>
                  </w:pPr>
                  <w:r>
                    <w:rPr>
                      <w:rFonts w:hint="eastAsia" w:ascii="宋体" w:hAnsi="宋体" w:eastAsia="宋体" w:cs="宋体"/>
                      <w:color w:val="000000"/>
                      <w:kern w:val="0"/>
                      <w:sz w:val="20"/>
                      <w:szCs w:val="20"/>
                      <w:lang w:val="en-US" w:eastAsia="zh-CN" w:bidi="ar"/>
                    </w:rPr>
                    <w:t>生化需氧量（</w:t>
                  </w:r>
                  <w:r>
                    <w:rPr>
                      <w:rFonts w:hint="default" w:ascii="Times New Roman" w:hAnsi="Times New Roman" w:eastAsia="宋体" w:cs="Times New Roman"/>
                      <w:color w:val="000000"/>
                      <w:kern w:val="0"/>
                      <w:sz w:val="20"/>
                      <w:szCs w:val="20"/>
                      <w:lang w:val="en-US" w:eastAsia="zh-CN" w:bidi="ar"/>
                    </w:rPr>
                    <w:t>BOD</w:t>
                  </w:r>
                  <w:r>
                    <w:rPr>
                      <w:rFonts w:hint="eastAsia" w:ascii="Times New Roman" w:hAnsi="Times New Roman" w:eastAsia="宋体" w:cs="Times New Roman"/>
                      <w:color w:val="000000"/>
                      <w:kern w:val="0"/>
                      <w:sz w:val="13"/>
                      <w:szCs w:val="13"/>
                      <w:lang w:val="en-US" w:eastAsia="zh-CN" w:bidi="ar"/>
                    </w:rPr>
                    <w:t>5</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48F9BBAA">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10</w:t>
                  </w:r>
                </w:p>
              </w:tc>
            </w:tr>
            <w:tr w14:paraId="0B5EA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633D304F">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5</w:t>
                  </w:r>
                </w:p>
              </w:tc>
              <w:tc>
                <w:tcPr>
                  <w:tcW w:w="1508" w:type="pct"/>
                  <w:tcBorders>
                    <w:tl2br w:val="nil"/>
                    <w:tr2bl w:val="nil"/>
                  </w:tcBorders>
                  <w:noWrap w:val="0"/>
                  <w:vAlign w:val="center"/>
                </w:tcPr>
                <w:p w14:paraId="1B4A3EDE">
                  <w:pPr>
                    <w:keepNext w:val="0"/>
                    <w:keepLines w:val="0"/>
                    <w:widowControl/>
                    <w:suppressLineNumbers w:val="0"/>
                    <w:ind w:left="0" w:leftChars="0" w:right="0" w:rightChars="0" w:firstLine="0" w:firstLineChars="0"/>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化学需氧量（</w:t>
                  </w:r>
                  <w:r>
                    <w:rPr>
                      <w:rFonts w:hint="default" w:ascii="Times New Roman" w:hAnsi="Times New Roman" w:eastAsia="宋体" w:cs="Times New Roman"/>
                      <w:color w:val="000000"/>
                      <w:kern w:val="0"/>
                      <w:sz w:val="20"/>
                      <w:szCs w:val="20"/>
                      <w:lang w:val="en-US" w:eastAsia="zh-CN" w:bidi="ar"/>
                    </w:rPr>
                    <w:t>CODcr</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22E6A65D">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50</w:t>
                  </w:r>
                </w:p>
              </w:tc>
            </w:tr>
            <w:tr w14:paraId="306B16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02EFFA53">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6</w:t>
                  </w:r>
                </w:p>
              </w:tc>
              <w:tc>
                <w:tcPr>
                  <w:tcW w:w="1508" w:type="pct"/>
                  <w:tcBorders>
                    <w:tl2br w:val="nil"/>
                    <w:tr2bl w:val="nil"/>
                  </w:tcBorders>
                  <w:noWrap w:val="0"/>
                  <w:vAlign w:val="center"/>
                </w:tcPr>
                <w:p w14:paraId="2E3FA4D8">
                  <w:pPr>
                    <w:keepNext w:val="0"/>
                    <w:keepLines w:val="0"/>
                    <w:widowControl/>
                    <w:suppressLineNumbers w:val="0"/>
                    <w:ind w:left="0" w:leftChars="0" w:right="0" w:rightChars="0" w:firstLine="0" w:firstLineChars="0"/>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氨氮（以氮计）</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2C7831A3">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5</w:t>
                  </w:r>
                </w:p>
              </w:tc>
            </w:tr>
            <w:tr w14:paraId="70B97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3EFCB83E">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7</w:t>
                  </w:r>
                </w:p>
              </w:tc>
              <w:tc>
                <w:tcPr>
                  <w:tcW w:w="1508" w:type="pct"/>
                  <w:tcBorders>
                    <w:tl2br w:val="nil"/>
                    <w:tr2bl w:val="nil"/>
                  </w:tcBorders>
                  <w:noWrap w:val="0"/>
                  <w:vAlign w:val="center"/>
                </w:tcPr>
                <w:p w14:paraId="217A3E28">
                  <w:pPr>
                    <w:keepNext w:val="0"/>
                    <w:keepLines w:val="0"/>
                    <w:widowControl/>
                    <w:suppressLineNumbers w:val="0"/>
                    <w:ind w:left="0" w:leftChars="0" w:right="0" w:rightChars="0" w:firstLine="0" w:firstLineChars="0"/>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总氮</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1104748D">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15</w:t>
                  </w:r>
                </w:p>
              </w:tc>
            </w:tr>
            <w:tr w14:paraId="507126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7BD21066">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8</w:t>
                  </w:r>
                </w:p>
              </w:tc>
              <w:tc>
                <w:tcPr>
                  <w:tcW w:w="1508" w:type="pct"/>
                  <w:tcBorders>
                    <w:tl2br w:val="nil"/>
                    <w:tr2bl w:val="nil"/>
                  </w:tcBorders>
                  <w:noWrap w:val="0"/>
                  <w:vAlign w:val="center"/>
                </w:tcPr>
                <w:p w14:paraId="6344FD69">
                  <w:pPr>
                    <w:keepNext w:val="0"/>
                    <w:keepLines w:val="0"/>
                    <w:widowControl/>
                    <w:suppressLineNumbers w:val="0"/>
                    <w:ind w:left="0" w:leftChars="0" w:right="0" w:rightChars="0" w:firstLine="0" w:firstLineChars="0"/>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总磷</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1B704EAB">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0.5</w:t>
                  </w:r>
                </w:p>
              </w:tc>
            </w:tr>
            <w:tr w14:paraId="5154BD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60C074CF">
                  <w:pPr>
                    <w:widowControl/>
                    <w:ind w:left="0" w:leftChars="0" w:right="0" w:rightChars="0" w:firstLine="0" w:firstLineChars="0"/>
                    <w:jc w:val="center"/>
                    <w:rPr>
                      <w:rFonts w:hint="eastAsia" w:ascii="Times New Roman" w:hAnsi="Times New Roman" w:eastAsia="宋体" w:cs="Times New Roman"/>
                      <w:kern w:val="0"/>
                      <w:sz w:val="18"/>
                      <w:szCs w:val="18"/>
                      <w:lang w:eastAsia="zh-CN"/>
                    </w:rPr>
                  </w:pPr>
                  <w:r>
                    <w:rPr>
                      <w:rFonts w:hint="eastAsia" w:eastAsia="宋体" w:cs="Times New Roman"/>
                      <w:kern w:val="0"/>
                      <w:sz w:val="18"/>
                      <w:szCs w:val="18"/>
                      <w:lang w:val="en-US" w:eastAsia="zh-CN"/>
                    </w:rPr>
                    <w:t>9</w:t>
                  </w:r>
                </w:p>
              </w:tc>
              <w:tc>
                <w:tcPr>
                  <w:tcW w:w="1508" w:type="pct"/>
                  <w:tcBorders>
                    <w:tl2br w:val="nil"/>
                    <w:tr2bl w:val="nil"/>
                  </w:tcBorders>
                  <w:noWrap w:val="0"/>
                  <w:vAlign w:val="center"/>
                </w:tcPr>
                <w:p w14:paraId="1AD4E612">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阴离子表面活性剂（mg/L）</w:t>
                  </w:r>
                </w:p>
              </w:tc>
              <w:tc>
                <w:tcPr>
                  <w:tcW w:w="3013" w:type="pct"/>
                  <w:tcBorders>
                    <w:tl2br w:val="nil"/>
                    <w:tr2bl w:val="nil"/>
                  </w:tcBorders>
                  <w:noWrap w:val="0"/>
                  <w:vAlign w:val="center"/>
                </w:tcPr>
                <w:p w14:paraId="70A3FC2D">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w:t>
                  </w:r>
                </w:p>
              </w:tc>
            </w:tr>
            <w:tr w14:paraId="644A1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1049F4E3">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10</w:t>
                  </w:r>
                </w:p>
              </w:tc>
              <w:tc>
                <w:tcPr>
                  <w:tcW w:w="1508" w:type="pct"/>
                  <w:tcBorders>
                    <w:tl2br w:val="nil"/>
                    <w:tr2bl w:val="nil"/>
                  </w:tcBorders>
                  <w:noWrap w:val="0"/>
                  <w:vAlign w:val="center"/>
                </w:tcPr>
                <w:p w14:paraId="3A7DF10B">
                  <w:pPr>
                    <w:widowControl/>
                    <w:ind w:left="0" w:leftChars="0" w:right="0" w:rightChars="0" w:firstLine="0" w:firstLineChars="0"/>
                    <w:jc w:val="center"/>
                    <w:rPr>
                      <w:rFonts w:hint="eastAsia"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石油类</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2EC8CE12">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1.0</w:t>
                  </w:r>
                </w:p>
              </w:tc>
            </w:tr>
            <w:tr w14:paraId="33EFA4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1065DDF1">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11</w:t>
                  </w:r>
                </w:p>
              </w:tc>
              <w:tc>
                <w:tcPr>
                  <w:tcW w:w="1508" w:type="pct"/>
                  <w:tcBorders>
                    <w:tl2br w:val="nil"/>
                    <w:tr2bl w:val="nil"/>
                  </w:tcBorders>
                  <w:noWrap w:val="0"/>
                  <w:vAlign w:val="center"/>
                </w:tcPr>
                <w:p w14:paraId="5AEB92AD">
                  <w:pPr>
                    <w:widowControl/>
                    <w:ind w:left="0" w:leftChars="0" w:right="0" w:rightChars="0" w:firstLine="0" w:firstLineChars="0"/>
                    <w:jc w:val="center"/>
                    <w:rPr>
                      <w:rFonts w:hint="eastAsia"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氯化物</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48F1F1B9">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250</w:t>
                  </w:r>
                </w:p>
              </w:tc>
            </w:tr>
            <w:tr w14:paraId="4E5040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4B03E983">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12</w:t>
                  </w:r>
                </w:p>
              </w:tc>
              <w:tc>
                <w:tcPr>
                  <w:tcW w:w="1508" w:type="pct"/>
                  <w:tcBorders>
                    <w:tl2br w:val="nil"/>
                    <w:tr2bl w:val="nil"/>
                  </w:tcBorders>
                  <w:noWrap w:val="0"/>
                  <w:vAlign w:val="center"/>
                </w:tcPr>
                <w:p w14:paraId="076379C6">
                  <w:pPr>
                    <w:widowControl/>
                    <w:ind w:left="0" w:leftChars="0" w:right="0" w:rightChars="0" w:firstLine="0" w:firstLineChars="0"/>
                    <w:jc w:val="center"/>
                    <w:rPr>
                      <w:rFonts w:hint="eastAsia"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硫酸盐</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06BE4923">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250</w:t>
                  </w:r>
                </w:p>
              </w:tc>
            </w:tr>
            <w:tr w14:paraId="193AEC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06B1478E">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13</w:t>
                  </w:r>
                </w:p>
              </w:tc>
              <w:tc>
                <w:tcPr>
                  <w:tcW w:w="1508" w:type="pct"/>
                  <w:tcBorders>
                    <w:tl2br w:val="nil"/>
                    <w:tr2bl w:val="nil"/>
                  </w:tcBorders>
                  <w:noWrap w:val="0"/>
                  <w:vAlign w:val="center"/>
                </w:tcPr>
                <w:p w14:paraId="4FEB72A6">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铁</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220EE6AC">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0.3</w:t>
                  </w:r>
                </w:p>
              </w:tc>
            </w:tr>
            <w:tr w14:paraId="32C8F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43FF3482">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14</w:t>
                  </w:r>
                </w:p>
              </w:tc>
              <w:tc>
                <w:tcPr>
                  <w:tcW w:w="1508" w:type="pct"/>
                  <w:tcBorders>
                    <w:tl2br w:val="nil"/>
                    <w:tr2bl w:val="nil"/>
                  </w:tcBorders>
                  <w:noWrap w:val="0"/>
                  <w:vAlign w:val="center"/>
                </w:tcPr>
                <w:p w14:paraId="313F8A35">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锰</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2B0A1297">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0.1</w:t>
                  </w:r>
                </w:p>
              </w:tc>
            </w:tr>
            <w:tr w14:paraId="218D0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7A27A486">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15</w:t>
                  </w:r>
                </w:p>
              </w:tc>
              <w:tc>
                <w:tcPr>
                  <w:tcW w:w="1508" w:type="pct"/>
                  <w:tcBorders>
                    <w:tl2br w:val="nil"/>
                    <w:tr2bl w:val="nil"/>
                  </w:tcBorders>
                  <w:noWrap w:val="0"/>
                  <w:vAlign w:val="center"/>
                </w:tcPr>
                <w:p w14:paraId="5BD2E6E3">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二氧化硅</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mg/L</w:t>
                  </w:r>
                  <w:r>
                    <w:rPr>
                      <w:rFonts w:hint="eastAsia" w:ascii="宋体" w:hAnsi="宋体" w:eastAsia="宋体" w:cs="宋体"/>
                      <w:color w:val="000000"/>
                      <w:kern w:val="0"/>
                      <w:sz w:val="20"/>
                      <w:szCs w:val="20"/>
                      <w:lang w:val="en-US" w:eastAsia="zh-CN" w:bidi="ar"/>
                    </w:rPr>
                    <w:t>）</w:t>
                  </w:r>
                </w:p>
              </w:tc>
              <w:tc>
                <w:tcPr>
                  <w:tcW w:w="3013" w:type="pct"/>
                  <w:tcBorders>
                    <w:tl2br w:val="nil"/>
                    <w:tr2bl w:val="nil"/>
                  </w:tcBorders>
                  <w:noWrap w:val="0"/>
                  <w:vAlign w:val="center"/>
                </w:tcPr>
                <w:p w14:paraId="7634EAFF">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30</w:t>
                  </w:r>
                </w:p>
              </w:tc>
            </w:tr>
            <w:tr w14:paraId="5F6B2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tcBorders>
                    <w:tl2br w:val="nil"/>
                    <w:tr2bl w:val="nil"/>
                  </w:tcBorders>
                  <w:noWrap w:val="0"/>
                  <w:vAlign w:val="center"/>
                </w:tcPr>
                <w:p w14:paraId="1256E3DE">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16</w:t>
                  </w:r>
                </w:p>
              </w:tc>
              <w:tc>
                <w:tcPr>
                  <w:tcW w:w="1508" w:type="pct"/>
                  <w:tcBorders>
                    <w:tl2br w:val="nil"/>
                    <w:tr2bl w:val="nil"/>
                  </w:tcBorders>
                  <w:noWrap w:val="0"/>
                  <w:vAlign w:val="center"/>
                </w:tcPr>
                <w:p w14:paraId="4FB0D3CB">
                  <w:pPr>
                    <w:widowControl/>
                    <w:ind w:left="0" w:leftChars="0" w:right="0" w:rightChars="0" w:firstLine="0" w:firstLineChars="0"/>
                    <w:jc w:val="center"/>
                    <w:rPr>
                      <w:rFonts w:hint="default" w:eastAsia="宋体" w:cs="Times New Roman"/>
                      <w:kern w:val="0"/>
                      <w:sz w:val="18"/>
                      <w:szCs w:val="18"/>
                      <w:lang w:val="en-US" w:eastAsia="zh-CN"/>
                    </w:rPr>
                  </w:pPr>
                  <w:r>
                    <w:rPr>
                      <w:rFonts w:hint="eastAsia" w:eastAsia="宋体" w:cs="Times New Roman"/>
                      <w:kern w:val="0"/>
                      <w:sz w:val="18"/>
                      <w:szCs w:val="18"/>
                      <w:lang w:val="en-US" w:eastAsia="zh-CN"/>
                    </w:rPr>
                    <w:t>粪大肠菌（个/L）</w:t>
                  </w:r>
                </w:p>
              </w:tc>
              <w:tc>
                <w:tcPr>
                  <w:tcW w:w="3013" w:type="pct"/>
                  <w:tcBorders>
                    <w:tl2br w:val="nil"/>
                    <w:tr2bl w:val="nil"/>
                  </w:tcBorders>
                  <w:noWrap w:val="0"/>
                  <w:vAlign w:val="center"/>
                </w:tcPr>
                <w:p w14:paraId="41E20614">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eastAsia="宋体" w:cs="Times New Roman"/>
                      <w:kern w:val="0"/>
                      <w:sz w:val="18"/>
                      <w:szCs w:val="18"/>
                      <w:lang w:val="en-US" w:eastAsia="zh-CN"/>
                    </w:rPr>
                    <w:t>1000</w:t>
                  </w:r>
                </w:p>
              </w:tc>
            </w:tr>
          </w:tbl>
          <w:p w14:paraId="1B7712E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（二）生活污水</w:t>
            </w:r>
          </w:p>
          <w:p w14:paraId="6EDAB6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本项目工作人员由公司内部调配，无新增生活污水。</w:t>
            </w:r>
          </w:p>
          <w:p w14:paraId="7C94B56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3.7</w:t>
            </w:r>
            <w:r>
              <w:rPr>
                <w:rFonts w:hint="eastAsia" w:ascii="Times New Roman" w:hAnsi="Times New Roman" w:eastAsia="宋体" w:cs="Times New Roman"/>
                <w:b/>
                <w:bCs/>
                <w:color w:val="000000"/>
                <w:kern w:val="0"/>
                <w:sz w:val="24"/>
                <w:szCs w:val="24"/>
                <w:lang w:val="en-US" w:eastAsia="zh-CN" w:bidi="ar"/>
              </w:rPr>
              <w:t>噪声</w:t>
            </w:r>
          </w:p>
          <w:p w14:paraId="7B60AA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施工期：施工期噪声执行《</w:t>
            </w:r>
            <w:r>
              <w:rPr>
                <w:rFonts w:hint="eastAsia" w:cs="Times New Roman"/>
                <w:color w:val="000000"/>
                <w:kern w:val="0"/>
                <w:sz w:val="24"/>
                <w:szCs w:val="24"/>
                <w:lang w:val="en-US" w:eastAsia="zh-CN" w:bidi="ar"/>
              </w:rPr>
              <w:t>建筑施工噪声排放标准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GB12523-20</w:t>
            </w:r>
            <w:r>
              <w:rPr>
                <w:rFonts w:hint="eastAsia" w:cs="Times New Roman"/>
                <w:color w:val="000000"/>
                <w:kern w:val="0"/>
                <w:sz w:val="24"/>
                <w:szCs w:val="24"/>
                <w:lang w:val="en-US" w:eastAsia="zh-CN" w:bidi="ar"/>
              </w:rPr>
              <w:t>25</w:t>
            </w:r>
            <w:r>
              <w:rPr>
                <w:rFonts w:hint="eastAsia" w:ascii="Times New Roman" w:hAnsi="Times New Roman" w:eastAsia="宋体" w:cs="Times New Roman"/>
                <w:color w:val="000000"/>
                <w:kern w:val="0"/>
                <w:sz w:val="24"/>
                <w:szCs w:val="24"/>
                <w:lang w:val="en-US" w:eastAsia="zh-CN" w:bidi="ar"/>
              </w:rPr>
              <w:t>）。</w:t>
            </w:r>
          </w:p>
          <w:p w14:paraId="69036F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表3-13 《建筑施工场界环境噪声排放标准》单位：dB（A）</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3794"/>
            </w:tblGrid>
            <w:tr w14:paraId="730F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tcBorders>
                    <w:left w:val="nil"/>
                  </w:tcBorders>
                  <w:vAlign w:val="center"/>
                </w:tcPr>
                <w:p w14:paraId="79204F6F">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昼间</w:t>
                  </w:r>
                </w:p>
              </w:tc>
              <w:tc>
                <w:tcPr>
                  <w:tcW w:w="3794" w:type="dxa"/>
                  <w:tcBorders>
                    <w:right w:val="nil"/>
                  </w:tcBorders>
                  <w:vAlign w:val="center"/>
                </w:tcPr>
                <w:p w14:paraId="14CC680D">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夜间</w:t>
                  </w:r>
                </w:p>
              </w:tc>
            </w:tr>
            <w:tr w14:paraId="2764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tcBorders>
                    <w:left w:val="nil"/>
                  </w:tcBorders>
                  <w:vAlign w:val="center"/>
                </w:tcPr>
                <w:p w14:paraId="32E6385C">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70</w:t>
                  </w:r>
                </w:p>
              </w:tc>
              <w:tc>
                <w:tcPr>
                  <w:tcW w:w="3794" w:type="dxa"/>
                  <w:tcBorders>
                    <w:right w:val="nil"/>
                  </w:tcBorders>
                  <w:vAlign w:val="center"/>
                </w:tcPr>
                <w:p w14:paraId="0BDE4EE8">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w:t>
                  </w:r>
                </w:p>
              </w:tc>
            </w:tr>
          </w:tbl>
          <w:p w14:paraId="061B51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运营期：仙福钢铁厂界噪声执行《工业企业厂界环境噪声排放标准》（</w:t>
            </w:r>
            <w:r>
              <w:rPr>
                <w:rFonts w:hint="default" w:ascii="Times New Roman" w:hAnsi="Times New Roman" w:eastAsia="宋体" w:cs="Times New Roman"/>
                <w:color w:val="000000"/>
                <w:kern w:val="0"/>
                <w:sz w:val="24"/>
                <w:szCs w:val="24"/>
                <w:lang w:val="en-US" w:eastAsia="zh-CN" w:bidi="ar"/>
              </w:rPr>
              <w:t>GB12348-2008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类</w:t>
            </w:r>
            <w:r>
              <w:rPr>
                <w:rFonts w:hint="eastAsia" w:cs="Times New Roman"/>
                <w:color w:val="000000"/>
                <w:kern w:val="0"/>
                <w:sz w:val="24"/>
                <w:szCs w:val="24"/>
                <w:lang w:val="en-US" w:eastAsia="zh-CN" w:bidi="ar"/>
              </w:rPr>
              <w:t>标准限值</w:t>
            </w:r>
            <w:r>
              <w:rPr>
                <w:rFonts w:hint="eastAsia" w:ascii="Times New Roman" w:hAnsi="Times New Roman" w:eastAsia="宋体" w:cs="Times New Roman"/>
                <w:color w:val="000000"/>
                <w:kern w:val="0"/>
                <w:sz w:val="24"/>
                <w:szCs w:val="24"/>
                <w:lang w:val="en-US" w:eastAsia="zh-CN" w:bidi="ar"/>
              </w:rPr>
              <w:t>。</w:t>
            </w:r>
          </w:p>
          <w:p w14:paraId="1D932F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w:t>
            </w:r>
            <w:r>
              <w:rPr>
                <w:rFonts w:hint="default" w:ascii="黑体" w:hAnsi="黑体" w:eastAsia="黑体" w:cs="黑体"/>
                <w:b w:val="0"/>
                <w:bCs w:val="0"/>
                <w:color w:val="000000"/>
                <w:kern w:val="0"/>
                <w:sz w:val="21"/>
                <w:szCs w:val="21"/>
                <w:lang w:val="en-US" w:eastAsia="zh-CN" w:bidi="ar"/>
              </w:rPr>
              <w:t>3-</w:t>
            </w:r>
            <w:r>
              <w:rPr>
                <w:rFonts w:hint="eastAsia" w:ascii="黑体" w:hAnsi="黑体" w:eastAsia="黑体" w:cs="黑体"/>
                <w:b w:val="0"/>
                <w:bCs w:val="0"/>
                <w:color w:val="000000"/>
                <w:kern w:val="0"/>
                <w:sz w:val="21"/>
                <w:szCs w:val="21"/>
                <w:lang w:val="en-US" w:eastAsia="zh-CN" w:bidi="ar"/>
              </w:rPr>
              <w:t>14</w:t>
            </w:r>
            <w:r>
              <w:rPr>
                <w:rFonts w:hint="default" w:ascii="黑体" w:hAnsi="黑体" w:eastAsia="黑体" w:cs="黑体"/>
                <w:b w:val="0"/>
                <w:bCs w:val="0"/>
                <w:color w:val="000000"/>
                <w:kern w:val="0"/>
                <w:sz w:val="21"/>
                <w:szCs w:val="21"/>
                <w:lang w:val="en-US" w:eastAsia="zh-CN" w:bidi="ar"/>
              </w:rPr>
              <w:t xml:space="preserve"> </w:t>
            </w:r>
            <w:r>
              <w:rPr>
                <w:rFonts w:hint="eastAsia" w:ascii="黑体" w:hAnsi="黑体" w:eastAsia="黑体" w:cs="黑体"/>
                <w:b w:val="0"/>
                <w:bCs w:val="0"/>
                <w:color w:val="000000"/>
                <w:kern w:val="0"/>
                <w:sz w:val="21"/>
                <w:szCs w:val="21"/>
                <w:lang w:val="en-US" w:eastAsia="zh-CN" w:bidi="ar"/>
              </w:rPr>
              <w:t>《工业企业厂界环境噪声排放标准》单位：</w:t>
            </w:r>
            <w:r>
              <w:rPr>
                <w:rFonts w:hint="default" w:ascii="黑体" w:hAnsi="黑体" w:eastAsia="黑体" w:cs="黑体"/>
                <w:b w:val="0"/>
                <w:bCs w:val="0"/>
                <w:color w:val="000000"/>
                <w:kern w:val="0"/>
                <w:sz w:val="21"/>
                <w:szCs w:val="21"/>
                <w:lang w:val="en-US" w:eastAsia="zh-CN" w:bidi="ar"/>
              </w:rPr>
              <w:t>dB</w:t>
            </w:r>
            <w:r>
              <w:rPr>
                <w:rFonts w:hint="eastAsia" w:ascii="黑体" w:hAnsi="黑体" w:eastAsia="黑体" w:cs="黑体"/>
                <w:b w:val="0"/>
                <w:bCs w:val="0"/>
                <w:color w:val="000000"/>
                <w:kern w:val="0"/>
                <w:sz w:val="21"/>
                <w:szCs w:val="21"/>
                <w:lang w:val="en-US" w:eastAsia="zh-CN" w:bidi="ar"/>
              </w:rPr>
              <w:t>（</w:t>
            </w:r>
            <w:r>
              <w:rPr>
                <w:rFonts w:hint="default" w:ascii="黑体" w:hAnsi="黑体" w:eastAsia="黑体" w:cs="黑体"/>
                <w:b w:val="0"/>
                <w:bCs w:val="0"/>
                <w:color w:val="000000"/>
                <w:kern w:val="0"/>
                <w:sz w:val="21"/>
                <w:szCs w:val="21"/>
                <w:lang w:val="en-US" w:eastAsia="zh-CN" w:bidi="ar"/>
              </w:rPr>
              <w:t>A</w:t>
            </w:r>
            <w:r>
              <w:rPr>
                <w:rFonts w:hint="eastAsia" w:ascii="黑体" w:hAnsi="黑体" w:eastAsia="黑体" w:cs="黑体"/>
                <w:b w:val="0"/>
                <w:bCs w:val="0"/>
                <w:color w:val="000000"/>
                <w:kern w:val="0"/>
                <w:sz w:val="21"/>
                <w:szCs w:val="21"/>
                <w:lang w:val="en-US" w:eastAsia="zh-CN" w:bidi="ar"/>
              </w:rPr>
              <w:t>）</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2609"/>
              <w:gridCol w:w="3082"/>
            </w:tblGrid>
            <w:tr w14:paraId="668C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Borders>
                    <w:left w:val="nil"/>
                  </w:tcBorders>
                  <w:vAlign w:val="center"/>
                </w:tcPr>
                <w:p w14:paraId="7451A296">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类别</w:t>
                  </w:r>
                </w:p>
              </w:tc>
              <w:tc>
                <w:tcPr>
                  <w:tcW w:w="2609" w:type="dxa"/>
                  <w:tcBorders>
                    <w:left w:val="nil"/>
                  </w:tcBorders>
                  <w:vAlign w:val="center"/>
                </w:tcPr>
                <w:p w14:paraId="6DB3C3C4">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昼间</w:t>
                  </w:r>
                </w:p>
              </w:tc>
              <w:tc>
                <w:tcPr>
                  <w:tcW w:w="3082" w:type="dxa"/>
                  <w:tcBorders>
                    <w:right w:val="nil"/>
                  </w:tcBorders>
                  <w:vAlign w:val="center"/>
                </w:tcPr>
                <w:p w14:paraId="6C02D36C">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夜间</w:t>
                  </w:r>
                </w:p>
              </w:tc>
            </w:tr>
            <w:tr w14:paraId="6BAA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Borders>
                    <w:left w:val="nil"/>
                  </w:tcBorders>
                  <w:vAlign w:val="center"/>
                </w:tcPr>
                <w:p w14:paraId="43B420B6">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3类</w:t>
                  </w:r>
                </w:p>
              </w:tc>
              <w:tc>
                <w:tcPr>
                  <w:tcW w:w="2609" w:type="dxa"/>
                  <w:tcBorders>
                    <w:left w:val="nil"/>
                  </w:tcBorders>
                  <w:vAlign w:val="center"/>
                </w:tcPr>
                <w:p w14:paraId="78C0E149">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65</w:t>
                  </w:r>
                </w:p>
              </w:tc>
              <w:tc>
                <w:tcPr>
                  <w:tcW w:w="3082" w:type="dxa"/>
                  <w:tcBorders>
                    <w:right w:val="nil"/>
                  </w:tcBorders>
                  <w:vAlign w:val="center"/>
                </w:tcPr>
                <w:p w14:paraId="580F1DAA">
                  <w:pPr>
                    <w:keepNext w:val="0"/>
                    <w:keepLines w:val="0"/>
                    <w:widowControl/>
                    <w:suppressLineNumbers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5</w:t>
                  </w:r>
                </w:p>
              </w:tc>
            </w:tr>
          </w:tbl>
          <w:p w14:paraId="5D6D647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3.8</w:t>
            </w:r>
            <w:r>
              <w:rPr>
                <w:rFonts w:hint="eastAsia" w:ascii="宋体" w:hAnsi="宋体" w:eastAsia="宋体" w:cs="宋体"/>
                <w:b/>
                <w:bCs/>
                <w:color w:val="000000"/>
                <w:kern w:val="0"/>
                <w:sz w:val="24"/>
                <w:szCs w:val="24"/>
                <w:lang w:val="en-US" w:eastAsia="zh-CN" w:bidi="ar"/>
              </w:rPr>
              <w:t>固体废物</w:t>
            </w:r>
          </w:p>
          <w:p w14:paraId="40BC20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一般工业固废执行《一般工业固体废物贮存和填埋污染控制</w:t>
            </w:r>
            <w:r>
              <w:rPr>
                <w:rFonts w:hint="eastAsia" w:cs="Times New Roman"/>
                <w:color w:val="000000"/>
                <w:kern w:val="0"/>
                <w:sz w:val="24"/>
                <w:szCs w:val="24"/>
                <w:lang w:val="en-US" w:eastAsia="zh-CN" w:bidi="ar"/>
              </w:rPr>
              <w:t>标准</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GB18599-2020</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w:t>
            </w:r>
          </w:p>
          <w:p w14:paraId="0F6555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危险废物按《国家危险废物名录（2025年版）》</w:t>
            </w:r>
            <w:r>
              <w:rPr>
                <w:rFonts w:hint="eastAsia" w:ascii="Times New Roman" w:hAnsi="Times New Roman" w:eastAsia="宋体" w:cs="Times New Roman"/>
                <w:color w:val="000000"/>
                <w:kern w:val="0"/>
                <w:sz w:val="24"/>
                <w:szCs w:val="24"/>
                <w:lang w:val="en-US" w:eastAsia="zh-CN" w:bidi="ar"/>
              </w:rPr>
              <w:t>进行分类，其暂存、管理贮存执行《危险废物贮存污染控制标准》（</w:t>
            </w:r>
            <w:r>
              <w:rPr>
                <w:rFonts w:hint="default" w:ascii="Times New Roman" w:hAnsi="Times New Roman" w:eastAsia="宋体" w:cs="Times New Roman"/>
                <w:color w:val="000000"/>
                <w:kern w:val="0"/>
                <w:sz w:val="24"/>
                <w:szCs w:val="24"/>
                <w:lang w:val="en-US" w:eastAsia="zh-CN" w:bidi="ar"/>
              </w:rPr>
              <w:t>GB18597-2023</w:t>
            </w:r>
            <w:r>
              <w:rPr>
                <w:rFonts w:hint="eastAsia" w:ascii="Times New Roman" w:hAnsi="Times New Roman" w:eastAsia="宋体" w:cs="Times New Roman"/>
                <w:color w:val="000000"/>
                <w:kern w:val="0"/>
                <w:sz w:val="24"/>
                <w:szCs w:val="24"/>
                <w:lang w:val="en-US" w:eastAsia="zh-CN" w:bidi="ar"/>
              </w:rPr>
              <w:t>）。</w:t>
            </w:r>
          </w:p>
        </w:tc>
      </w:tr>
      <w:tr w14:paraId="2908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1385C050">
            <w:pPr>
              <w:pStyle w:val="12"/>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pacing w:val="0"/>
                <w:kern w:val="21"/>
                <w:sz w:val="24"/>
                <w:szCs w:val="24"/>
                <w:vertAlign w:val="baseline"/>
                <w:lang w:val="en-US" w:eastAsia="zh-CN"/>
              </w:rPr>
            </w:pPr>
            <w:r>
              <w:rPr>
                <w:rFonts w:hint="eastAsia" w:ascii="Times New Roman" w:hAnsi="Times New Roman" w:eastAsia="宋体" w:cs="Times New Roman"/>
                <w:spacing w:val="0"/>
                <w:kern w:val="21"/>
                <w:sz w:val="24"/>
                <w:szCs w:val="24"/>
                <w:vertAlign w:val="baseline"/>
                <w:lang w:val="en-US" w:eastAsia="zh-CN"/>
              </w:rPr>
              <w:t>总量控制指标</w:t>
            </w:r>
          </w:p>
        </w:tc>
        <w:tc>
          <w:tcPr>
            <w:tcW w:w="7818" w:type="dxa"/>
          </w:tcPr>
          <w:p w14:paraId="0DD597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9</w:t>
            </w:r>
            <w:r>
              <w:rPr>
                <w:rFonts w:hint="eastAsia" w:ascii="宋体" w:hAnsi="宋体" w:cs="宋体"/>
                <w:b/>
                <w:bCs/>
                <w:color w:val="000000"/>
                <w:kern w:val="0"/>
                <w:sz w:val="24"/>
                <w:szCs w:val="24"/>
                <w:lang w:val="en-US" w:eastAsia="zh-CN" w:bidi="ar"/>
              </w:rPr>
              <w:t>排污许可核发总量</w:t>
            </w:r>
          </w:p>
          <w:p w14:paraId="636FF2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本项目为钢铁能源综合利用升级改造项目，仙福公司现有排污许可证于</w:t>
            </w:r>
            <w:r>
              <w:rPr>
                <w:rFonts w:hint="default" w:ascii="Times New Roman" w:hAnsi="Times New Roman" w:eastAsia="宋体" w:cs="Times New Roman"/>
                <w:color w:val="000000"/>
                <w:kern w:val="0"/>
                <w:sz w:val="24"/>
                <w:szCs w:val="24"/>
                <w:lang w:val="en-US" w:eastAsia="zh-CN" w:bidi="ar"/>
              </w:rPr>
              <w:t>202</w:t>
            </w:r>
            <w:r>
              <w:rPr>
                <w:rFonts w:hint="eastAsia"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月</w:t>
            </w:r>
            <w:r>
              <w:rPr>
                <w:rFonts w:hint="eastAsia" w:cs="Times New Roman"/>
                <w:color w:val="000000"/>
                <w:kern w:val="0"/>
                <w:sz w:val="24"/>
                <w:szCs w:val="24"/>
                <w:lang w:val="en-US" w:eastAsia="zh-CN" w:bidi="ar"/>
              </w:rPr>
              <w:t>04</w:t>
            </w:r>
            <w:r>
              <w:rPr>
                <w:rFonts w:hint="eastAsia" w:ascii="Times New Roman" w:hAnsi="Times New Roman" w:eastAsia="宋体" w:cs="Times New Roman"/>
                <w:color w:val="000000"/>
                <w:kern w:val="0"/>
                <w:sz w:val="24"/>
                <w:szCs w:val="24"/>
                <w:lang w:val="en-US" w:eastAsia="zh-CN" w:bidi="ar"/>
              </w:rPr>
              <w:t>日核发，排污证证书编号：</w:t>
            </w:r>
            <w:r>
              <w:rPr>
                <w:rFonts w:hint="default" w:ascii="Times New Roman" w:hAnsi="Times New Roman" w:eastAsia="宋体" w:cs="Times New Roman"/>
                <w:color w:val="000000"/>
                <w:kern w:val="0"/>
                <w:sz w:val="24"/>
                <w:szCs w:val="24"/>
                <w:lang w:val="en-US" w:eastAsia="zh-CN" w:bidi="ar"/>
              </w:rPr>
              <w:t>915304277312003489001P</w:t>
            </w:r>
            <w:r>
              <w:rPr>
                <w:rFonts w:hint="eastAsia" w:ascii="Times New Roman" w:hAnsi="Times New Roman" w:eastAsia="宋体" w:cs="Times New Roman"/>
                <w:color w:val="000000"/>
                <w:kern w:val="0"/>
                <w:sz w:val="24"/>
                <w:szCs w:val="24"/>
                <w:lang w:val="en-US" w:eastAsia="zh-CN" w:bidi="ar"/>
              </w:rPr>
              <w:t>，有效日期至</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31</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月</w:t>
            </w:r>
            <w:r>
              <w:rPr>
                <w:rFonts w:hint="eastAsia" w:cs="Times New Roman"/>
                <w:color w:val="000000"/>
                <w:kern w:val="0"/>
                <w:sz w:val="24"/>
                <w:szCs w:val="24"/>
                <w:lang w:val="en-US" w:eastAsia="zh-CN" w:bidi="ar"/>
              </w:rPr>
              <w:t>03</w:t>
            </w:r>
            <w:r>
              <w:rPr>
                <w:rFonts w:hint="eastAsia" w:ascii="Times New Roman" w:hAnsi="Times New Roman" w:eastAsia="宋体" w:cs="Times New Roman"/>
                <w:color w:val="000000"/>
                <w:kern w:val="0"/>
                <w:sz w:val="24"/>
                <w:szCs w:val="24"/>
                <w:lang w:val="en-US" w:eastAsia="zh-CN" w:bidi="ar"/>
              </w:rPr>
              <w:t>日。排污许可证核发总量如下表所示。</w:t>
            </w:r>
          </w:p>
          <w:p w14:paraId="3C4EF79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kern w:val="0"/>
                <w:sz w:val="24"/>
                <w:szCs w:val="24"/>
                <w:lang w:val="en-US" w:eastAsia="zh-CN" w:bidi="ar"/>
              </w:rPr>
            </w:pPr>
            <w:r>
              <w:rPr>
                <w:rFonts w:hint="eastAsia" w:ascii="黑体" w:hAnsi="黑体" w:eastAsia="黑体" w:cs="黑体"/>
                <w:color w:val="000000"/>
                <w:kern w:val="0"/>
                <w:sz w:val="21"/>
                <w:szCs w:val="21"/>
                <w:lang w:val="en-US" w:eastAsia="zh-CN" w:bidi="ar"/>
              </w:rPr>
              <w:t>表3-15现有排污许可证核发总量</w:t>
            </w:r>
          </w:p>
          <w:tbl>
            <w:tblPr>
              <w:tblStyle w:val="18"/>
              <w:tblW w:w="759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400"/>
              <w:gridCol w:w="1500"/>
              <w:gridCol w:w="1457"/>
              <w:gridCol w:w="1436"/>
            </w:tblGrid>
            <w:tr w14:paraId="4A583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8" w:type="dxa"/>
                  <w:gridSpan w:val="2"/>
                  <w:vMerge w:val="restart"/>
                  <w:tcBorders>
                    <w:tl2br w:val="nil"/>
                    <w:tr2bl w:val="nil"/>
                  </w:tcBorders>
                  <w:vAlign w:val="center"/>
                </w:tcPr>
                <w:p w14:paraId="7DC40118">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类别</w:t>
                  </w:r>
                </w:p>
              </w:tc>
              <w:tc>
                <w:tcPr>
                  <w:tcW w:w="4393" w:type="dxa"/>
                  <w:gridSpan w:val="3"/>
                  <w:tcBorders>
                    <w:tl2br w:val="nil"/>
                    <w:tr2bl w:val="nil"/>
                  </w:tcBorders>
                  <w:vAlign w:val="center"/>
                </w:tcPr>
                <w:p w14:paraId="771F4A05">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污染物（t/a）</w:t>
                  </w:r>
                </w:p>
              </w:tc>
            </w:tr>
            <w:tr w14:paraId="6C12A6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8" w:type="dxa"/>
                  <w:gridSpan w:val="2"/>
                  <w:vMerge w:val="continue"/>
                  <w:tcBorders>
                    <w:tl2br w:val="nil"/>
                    <w:tr2bl w:val="nil"/>
                  </w:tcBorders>
                  <w:vAlign w:val="center"/>
                </w:tcPr>
                <w:p w14:paraId="11A4E6F5">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p>
              </w:tc>
              <w:tc>
                <w:tcPr>
                  <w:tcW w:w="1500" w:type="dxa"/>
                  <w:tcBorders>
                    <w:tl2br w:val="nil"/>
                    <w:tr2bl w:val="nil"/>
                  </w:tcBorders>
                  <w:vAlign w:val="center"/>
                </w:tcPr>
                <w:p w14:paraId="6CAE56C2">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颗粒物</w:t>
                  </w:r>
                </w:p>
              </w:tc>
              <w:tc>
                <w:tcPr>
                  <w:tcW w:w="1457" w:type="dxa"/>
                  <w:tcBorders>
                    <w:tl2br w:val="nil"/>
                    <w:tr2bl w:val="nil"/>
                  </w:tcBorders>
                  <w:vAlign w:val="center"/>
                </w:tcPr>
                <w:p w14:paraId="7B3E19C7">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二氧化硫</w:t>
                  </w:r>
                </w:p>
              </w:tc>
              <w:tc>
                <w:tcPr>
                  <w:tcW w:w="1436" w:type="dxa"/>
                  <w:tcBorders>
                    <w:tl2br w:val="nil"/>
                    <w:tr2bl w:val="nil"/>
                  </w:tcBorders>
                  <w:vAlign w:val="center"/>
                </w:tcPr>
                <w:p w14:paraId="355032BA">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氮氧化物</w:t>
                  </w:r>
                </w:p>
              </w:tc>
            </w:tr>
            <w:tr w14:paraId="391FC4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dxa"/>
                  <w:vMerge w:val="restart"/>
                  <w:tcBorders>
                    <w:tl2br w:val="nil"/>
                    <w:tr2bl w:val="nil"/>
                  </w:tcBorders>
                  <w:vAlign w:val="center"/>
                </w:tcPr>
                <w:p w14:paraId="14C8F483">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废气</w:t>
                  </w:r>
                </w:p>
              </w:tc>
              <w:tc>
                <w:tcPr>
                  <w:tcW w:w="2400" w:type="dxa"/>
                  <w:tcBorders>
                    <w:tl2br w:val="nil"/>
                    <w:tr2bl w:val="nil"/>
                  </w:tcBorders>
                  <w:vAlign w:val="center"/>
                </w:tcPr>
                <w:p w14:paraId="55087CF4">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全厂有组织排放总计</w:t>
                  </w:r>
                </w:p>
              </w:tc>
              <w:tc>
                <w:tcPr>
                  <w:tcW w:w="1500" w:type="dxa"/>
                  <w:tcBorders>
                    <w:tl2br w:val="nil"/>
                    <w:tr2bl w:val="nil"/>
                  </w:tcBorders>
                  <w:vAlign w:val="center"/>
                </w:tcPr>
                <w:p w14:paraId="20C3FAEC">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441.414</w:t>
                  </w:r>
                </w:p>
              </w:tc>
              <w:tc>
                <w:tcPr>
                  <w:tcW w:w="1457" w:type="dxa"/>
                  <w:tcBorders>
                    <w:tl2br w:val="nil"/>
                    <w:tr2bl w:val="nil"/>
                  </w:tcBorders>
                  <w:vAlign w:val="center"/>
                </w:tcPr>
                <w:p w14:paraId="54CD0292">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965.183</w:t>
                  </w:r>
                </w:p>
              </w:tc>
              <w:tc>
                <w:tcPr>
                  <w:tcW w:w="1436" w:type="dxa"/>
                  <w:tcBorders>
                    <w:tl2br w:val="nil"/>
                    <w:tr2bl w:val="nil"/>
                  </w:tcBorders>
                  <w:vAlign w:val="center"/>
                </w:tcPr>
                <w:p w14:paraId="1AE97811">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1697.92</w:t>
                  </w:r>
                </w:p>
              </w:tc>
            </w:tr>
            <w:tr w14:paraId="619235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dxa"/>
                  <w:vMerge w:val="continue"/>
                  <w:tcBorders>
                    <w:tl2br w:val="nil"/>
                    <w:tr2bl w:val="nil"/>
                  </w:tcBorders>
                  <w:vAlign w:val="center"/>
                </w:tcPr>
                <w:p w14:paraId="72763A77">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p>
              </w:tc>
              <w:tc>
                <w:tcPr>
                  <w:tcW w:w="2400" w:type="dxa"/>
                  <w:tcBorders>
                    <w:tl2br w:val="nil"/>
                    <w:tr2bl w:val="nil"/>
                  </w:tcBorders>
                  <w:vAlign w:val="center"/>
                </w:tcPr>
                <w:p w14:paraId="01968605">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全厂无组织排放总计</w:t>
                  </w:r>
                </w:p>
              </w:tc>
              <w:tc>
                <w:tcPr>
                  <w:tcW w:w="1500" w:type="dxa"/>
                  <w:tcBorders>
                    <w:tl2br w:val="nil"/>
                    <w:tr2bl w:val="nil"/>
                  </w:tcBorders>
                  <w:vAlign w:val="center"/>
                </w:tcPr>
                <w:p w14:paraId="743B97DF">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757.499</w:t>
                  </w:r>
                </w:p>
              </w:tc>
              <w:tc>
                <w:tcPr>
                  <w:tcW w:w="1457" w:type="dxa"/>
                  <w:tcBorders>
                    <w:tl2br w:val="nil"/>
                    <w:tr2bl w:val="nil"/>
                  </w:tcBorders>
                  <w:vAlign w:val="center"/>
                </w:tcPr>
                <w:p w14:paraId="7E067390">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w:t>
                  </w:r>
                </w:p>
              </w:tc>
              <w:tc>
                <w:tcPr>
                  <w:tcW w:w="1436" w:type="dxa"/>
                  <w:tcBorders>
                    <w:tl2br w:val="nil"/>
                    <w:tr2bl w:val="nil"/>
                  </w:tcBorders>
                  <w:vAlign w:val="center"/>
                </w:tcPr>
                <w:p w14:paraId="0A1E95B2">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w:t>
                  </w:r>
                </w:p>
              </w:tc>
            </w:tr>
            <w:tr w14:paraId="3CFA3E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dxa"/>
                  <w:vMerge w:val="continue"/>
                  <w:tcBorders>
                    <w:tl2br w:val="nil"/>
                    <w:tr2bl w:val="nil"/>
                  </w:tcBorders>
                  <w:vAlign w:val="center"/>
                </w:tcPr>
                <w:p w14:paraId="275311A3">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p>
              </w:tc>
              <w:tc>
                <w:tcPr>
                  <w:tcW w:w="2400" w:type="dxa"/>
                  <w:tcBorders>
                    <w:tl2br w:val="nil"/>
                    <w:tr2bl w:val="nil"/>
                  </w:tcBorders>
                  <w:vAlign w:val="center"/>
                </w:tcPr>
                <w:p w14:paraId="7451EB01">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合计</w:t>
                  </w:r>
                </w:p>
              </w:tc>
              <w:tc>
                <w:tcPr>
                  <w:tcW w:w="1500" w:type="dxa"/>
                  <w:tcBorders>
                    <w:tl2br w:val="nil"/>
                    <w:tr2bl w:val="nil"/>
                  </w:tcBorders>
                  <w:vAlign w:val="center"/>
                </w:tcPr>
                <w:p w14:paraId="394AD8F2">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1198.914</w:t>
                  </w:r>
                </w:p>
              </w:tc>
              <w:tc>
                <w:tcPr>
                  <w:tcW w:w="1457" w:type="dxa"/>
                  <w:tcBorders>
                    <w:tl2br w:val="nil"/>
                    <w:tr2bl w:val="nil"/>
                  </w:tcBorders>
                  <w:vAlign w:val="center"/>
                </w:tcPr>
                <w:p w14:paraId="78929296">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r>
                    <w:rPr>
                      <w:rFonts w:hint="eastAsia" w:cs="Times New Roman"/>
                      <w:lang w:val="en-US" w:eastAsia="zh-CN"/>
                    </w:rPr>
                    <w:t>965.183</w:t>
                  </w:r>
                </w:p>
              </w:tc>
              <w:tc>
                <w:tcPr>
                  <w:tcW w:w="1436" w:type="dxa"/>
                  <w:tcBorders>
                    <w:tl2br w:val="nil"/>
                    <w:tr2bl w:val="nil"/>
                  </w:tcBorders>
                  <w:vAlign w:val="center"/>
                </w:tcPr>
                <w:p w14:paraId="28C641BA">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r>
                    <w:rPr>
                      <w:rFonts w:hint="eastAsia" w:cs="Times New Roman"/>
                      <w:lang w:val="en-US" w:eastAsia="zh-CN"/>
                    </w:rPr>
                    <w:t>1697.92</w:t>
                  </w:r>
                </w:p>
              </w:tc>
            </w:tr>
            <w:tr w14:paraId="5333C3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dxa"/>
                  <w:tcBorders>
                    <w:tl2br w:val="nil"/>
                    <w:tr2bl w:val="nil"/>
                  </w:tcBorders>
                  <w:vAlign w:val="center"/>
                </w:tcPr>
                <w:p w14:paraId="0242A76B">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废水</w:t>
                  </w:r>
                </w:p>
              </w:tc>
              <w:tc>
                <w:tcPr>
                  <w:tcW w:w="2400" w:type="dxa"/>
                  <w:tcBorders>
                    <w:tl2br w:val="nil"/>
                    <w:tr2bl w:val="nil"/>
                  </w:tcBorders>
                  <w:vAlign w:val="center"/>
                </w:tcPr>
                <w:p w14:paraId="20645DC7">
                  <w:pPr>
                    <w:keepNext w:val="0"/>
                    <w:keepLines w:val="0"/>
                    <w:widowControl/>
                    <w:suppressLineNumbers w:val="0"/>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w:t>
                  </w:r>
                </w:p>
              </w:tc>
              <w:tc>
                <w:tcPr>
                  <w:tcW w:w="1500" w:type="dxa"/>
                  <w:tcBorders>
                    <w:tl2br w:val="nil"/>
                    <w:tr2bl w:val="nil"/>
                  </w:tcBorders>
                  <w:vAlign w:val="center"/>
                </w:tcPr>
                <w:p w14:paraId="0E0A989D">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r>
                    <w:rPr>
                      <w:rFonts w:hint="eastAsia" w:cs="Times New Roman"/>
                      <w:lang w:val="en-US" w:eastAsia="zh-CN"/>
                    </w:rPr>
                    <w:t>/</w:t>
                  </w:r>
                </w:p>
              </w:tc>
              <w:tc>
                <w:tcPr>
                  <w:tcW w:w="1457" w:type="dxa"/>
                  <w:tcBorders>
                    <w:tl2br w:val="nil"/>
                    <w:tr2bl w:val="nil"/>
                  </w:tcBorders>
                  <w:vAlign w:val="center"/>
                </w:tcPr>
                <w:p w14:paraId="00F433C7">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r>
                    <w:rPr>
                      <w:rFonts w:hint="eastAsia" w:cs="Times New Roman"/>
                      <w:lang w:val="en-US" w:eastAsia="zh-CN"/>
                    </w:rPr>
                    <w:t>/</w:t>
                  </w:r>
                </w:p>
              </w:tc>
              <w:tc>
                <w:tcPr>
                  <w:tcW w:w="1436" w:type="dxa"/>
                  <w:tcBorders>
                    <w:tl2br w:val="nil"/>
                    <w:tr2bl w:val="nil"/>
                  </w:tcBorders>
                  <w:vAlign w:val="center"/>
                </w:tcPr>
                <w:p w14:paraId="6F36D1A4">
                  <w:pPr>
                    <w:keepNext w:val="0"/>
                    <w:keepLines w:val="0"/>
                    <w:widowControl/>
                    <w:suppressLineNumbers w:val="0"/>
                    <w:ind w:left="0" w:leftChars="0" w:right="0" w:rightChars="0" w:firstLine="0" w:firstLineChars="0"/>
                    <w:jc w:val="center"/>
                    <w:rPr>
                      <w:rFonts w:hint="eastAsia" w:ascii="Times New Roman" w:hAnsi="Times New Roman" w:eastAsia="宋体" w:cs="Times New Roman"/>
                      <w:lang w:val="en-US" w:eastAsia="zh-CN"/>
                    </w:rPr>
                  </w:pPr>
                  <w:r>
                    <w:rPr>
                      <w:rFonts w:hint="eastAsia" w:cs="Times New Roman"/>
                      <w:lang w:val="en-US" w:eastAsia="zh-CN"/>
                    </w:rPr>
                    <w:t>/</w:t>
                  </w:r>
                </w:p>
              </w:tc>
            </w:tr>
          </w:tbl>
          <w:p w14:paraId="11D559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待本项目投产前对排污许可证申请变更。</w:t>
            </w:r>
          </w:p>
          <w:p w14:paraId="57E9094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10本项目建议总量控制指标</w:t>
            </w:r>
          </w:p>
          <w:p w14:paraId="37B853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kern w:val="0"/>
                <w:sz w:val="24"/>
                <w:szCs w:val="24"/>
                <w:lang w:val="en-US" w:eastAsia="zh-CN" w:bidi="ar"/>
              </w:rPr>
              <w:t>废气：本项目废气主要是颗粒物、</w:t>
            </w: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24"/>
                <w:szCs w:val="24"/>
                <w:vertAlign w:val="subscript"/>
                <w:lang w:val="en-US" w:eastAsia="zh-CN" w:bidi="ar"/>
              </w:rPr>
              <w:t>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NO</w:t>
            </w:r>
            <w:r>
              <w:rPr>
                <w:rFonts w:hint="eastAsia" w:cs="Times New Roman"/>
                <w:color w:val="auto"/>
                <w:kern w:val="0"/>
                <w:sz w:val="24"/>
                <w:szCs w:val="24"/>
                <w:lang w:val="en-US" w:eastAsia="zh-CN" w:bidi="ar"/>
              </w:rPr>
              <w:t>x</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排放总量为颗粒物0.880t/a，</w:t>
            </w: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24"/>
                <w:szCs w:val="24"/>
                <w:vertAlign w:val="subscript"/>
                <w:lang w:val="en-US" w:eastAsia="zh-CN" w:bidi="ar"/>
              </w:rPr>
              <w:t>2</w:t>
            </w:r>
            <w:r>
              <w:rPr>
                <w:rFonts w:hint="eastAsia" w:cs="Times New Roman"/>
                <w:color w:val="auto"/>
                <w:kern w:val="0"/>
                <w:sz w:val="24"/>
                <w:szCs w:val="24"/>
                <w:vertAlign w:val="baseline"/>
                <w:lang w:val="en-US" w:eastAsia="zh-CN" w:bidi="ar"/>
              </w:rPr>
              <w:t>31.424</w:t>
            </w:r>
            <w:r>
              <w:rPr>
                <w:rFonts w:hint="eastAsia" w:cs="Times New Roman"/>
                <w:color w:val="auto"/>
                <w:kern w:val="0"/>
                <w:sz w:val="24"/>
                <w:szCs w:val="24"/>
                <w:lang w:val="en-US" w:eastAsia="zh-CN" w:bidi="ar"/>
              </w:rPr>
              <w:t>t/a，</w:t>
            </w:r>
            <w:r>
              <w:rPr>
                <w:rFonts w:hint="default" w:ascii="Times New Roman" w:hAnsi="Times New Roman" w:eastAsia="宋体" w:cs="Times New Roman"/>
                <w:color w:val="auto"/>
                <w:kern w:val="0"/>
                <w:sz w:val="24"/>
                <w:szCs w:val="24"/>
                <w:lang w:val="en-US" w:eastAsia="zh-CN" w:bidi="ar"/>
              </w:rPr>
              <w:t>NO</w:t>
            </w:r>
            <w:r>
              <w:rPr>
                <w:rFonts w:hint="eastAsia" w:cs="Times New Roman"/>
                <w:color w:val="auto"/>
                <w:kern w:val="0"/>
                <w:sz w:val="24"/>
                <w:szCs w:val="24"/>
                <w:lang w:val="en-US" w:eastAsia="zh-CN" w:bidi="ar"/>
              </w:rPr>
              <w:t>x42.167t/a，氨5.544t/a，</w:t>
            </w:r>
            <w:r>
              <w:rPr>
                <w:rFonts w:hint="eastAsia"/>
                <w:color w:val="auto"/>
                <w:sz w:val="24"/>
                <w:szCs w:val="24"/>
                <w:highlight w:val="none"/>
              </w:rPr>
              <w:t>根据核算，项目不新增大气污染物排放量</w:t>
            </w:r>
            <w:r>
              <w:rPr>
                <w:rFonts w:hint="default"/>
                <w:color w:val="auto"/>
                <w:sz w:val="24"/>
                <w:szCs w:val="24"/>
                <w:highlight w:val="none"/>
              </w:rPr>
              <w:t>。</w:t>
            </w:r>
          </w:p>
          <w:p w14:paraId="44E7D4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废水：本项目无废水外排，不</w:t>
            </w:r>
            <w:r>
              <w:rPr>
                <w:rFonts w:hint="eastAsia" w:ascii="Times New Roman" w:hAnsi="Times New Roman" w:eastAsia="宋体" w:cs="Times New Roman"/>
                <w:color w:val="000000"/>
                <w:kern w:val="0"/>
                <w:sz w:val="24"/>
                <w:szCs w:val="24"/>
                <w:lang w:val="en-US" w:eastAsia="zh-CN" w:bidi="ar"/>
              </w:rPr>
              <w:t>设废水污染物总量控制指标。</w:t>
            </w:r>
          </w:p>
          <w:p w14:paraId="609338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固废：固体废物处置率</w:t>
            </w:r>
            <w:r>
              <w:rPr>
                <w:rFonts w:hint="default" w:ascii="Times New Roman" w:hAnsi="Times New Roman" w:eastAsia="宋体" w:cs="Times New Roman"/>
                <w:color w:val="000000"/>
                <w:kern w:val="0"/>
                <w:sz w:val="24"/>
                <w:szCs w:val="24"/>
                <w:lang w:val="en-US" w:eastAsia="zh-CN" w:bidi="ar"/>
              </w:rPr>
              <w:t>100%</w:t>
            </w:r>
            <w:r>
              <w:rPr>
                <w:rFonts w:hint="eastAsia" w:ascii="Times New Roman" w:hAnsi="Times New Roman" w:eastAsia="宋体" w:cs="Times New Roman"/>
                <w:color w:val="000000"/>
                <w:kern w:val="0"/>
                <w:sz w:val="24"/>
                <w:szCs w:val="24"/>
                <w:lang w:val="en-US" w:eastAsia="zh-CN" w:bidi="ar"/>
              </w:rPr>
              <w:t>。</w:t>
            </w:r>
          </w:p>
          <w:p w14:paraId="0A2F1268">
            <w:pPr>
              <w:pStyle w:val="21"/>
              <w:ind w:left="0" w:leftChars="0" w:firstLine="0" w:firstLineChars="0"/>
              <w:jc w:val="both"/>
              <w:rPr>
                <w:rFonts w:hint="default"/>
                <w:lang w:val="en-US" w:eastAsia="zh-CN"/>
              </w:rPr>
            </w:pPr>
          </w:p>
        </w:tc>
      </w:tr>
    </w:tbl>
    <w:p w14:paraId="0144E15D">
      <w:pPr>
        <w:pStyle w:val="2"/>
        <w:keepNext w:val="0"/>
        <w:keepLines w:val="0"/>
        <w:pageBreakBefore/>
        <w:widowControl w:val="0"/>
        <w:kinsoku/>
        <w:wordWrap/>
        <w:overflowPunct/>
        <w:topLinePunct w:val="0"/>
        <w:autoSpaceDE/>
        <w:autoSpaceDN/>
        <w:bidi w:val="0"/>
        <w:adjustRightInd/>
        <w:snapToGrid/>
        <w:textAlignment w:val="auto"/>
        <w:outlineLvl w:val="0"/>
        <w:rPr>
          <w:rFonts w:hint="default" w:ascii="Times New Roman" w:hAnsi="Times New Roman" w:cs="Times New Roman"/>
          <w:lang w:eastAsia="zh-CN"/>
        </w:rPr>
      </w:pPr>
      <w:r>
        <w:rPr>
          <w:rFonts w:hint="default" w:ascii="Times New Roman" w:hAnsi="Times New Roman" w:cs="Times New Roman"/>
          <w:lang w:eastAsia="zh-CN"/>
        </w:rPr>
        <w:t>四、主要环境影响和保护措施</w:t>
      </w:r>
      <w:bookmarkEnd w:id="14"/>
      <w:bookmarkEnd w:id="1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14:paraId="6D61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0" w:type="dxa"/>
            <w:vAlign w:val="center"/>
          </w:tcPr>
          <w:p w14:paraId="4058408B">
            <w:pPr>
              <w:ind w:left="0" w:leftChars="0" w:right="0" w:rightChars="0" w:firstLine="0" w:firstLineChars="0"/>
              <w:jc w:val="center"/>
              <w:rPr>
                <w:rFonts w:hint="default"/>
                <w:sz w:val="24"/>
                <w:szCs w:val="24"/>
                <w:vertAlign w:val="baseline"/>
                <w:lang w:val="en-US" w:eastAsia="zh-CN"/>
              </w:rPr>
            </w:pPr>
            <w:r>
              <w:rPr>
                <w:rFonts w:hint="eastAsia"/>
                <w:sz w:val="24"/>
                <w:szCs w:val="24"/>
                <w:vertAlign w:val="baseline"/>
                <w:lang w:val="en-US" w:eastAsia="zh-CN"/>
              </w:rPr>
              <w:t>施工期环境保护措施</w:t>
            </w:r>
          </w:p>
        </w:tc>
        <w:tc>
          <w:tcPr>
            <w:tcW w:w="7952" w:type="dxa"/>
          </w:tcPr>
          <w:p w14:paraId="04ACE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项目建设过程中包括场地</w:t>
            </w:r>
            <w:r>
              <w:rPr>
                <w:rFonts w:hint="eastAsia" w:ascii="Times New Roman" w:hAnsi="Times New Roman" w:cs="Times New Roman"/>
                <w:bCs/>
                <w:color w:val="auto"/>
                <w:sz w:val="24"/>
                <w:lang w:val="en-US" w:eastAsia="zh-CN"/>
              </w:rPr>
              <w:t>和</w:t>
            </w:r>
            <w:r>
              <w:rPr>
                <w:rFonts w:hint="default" w:ascii="Times New Roman" w:hAnsi="Times New Roman" w:cs="Times New Roman"/>
                <w:bCs/>
                <w:color w:val="auto"/>
                <w:sz w:val="24"/>
                <w:lang w:val="en-US" w:eastAsia="zh-CN"/>
              </w:rPr>
              <w:t>房屋的建设、设备的安装，给排水、供电设施的设置，</w:t>
            </w:r>
            <w:r>
              <w:rPr>
                <w:rFonts w:hint="eastAsia" w:ascii="Times New Roman" w:hAnsi="Times New Roman" w:cs="Times New Roman"/>
                <w:bCs/>
                <w:color w:val="auto"/>
                <w:sz w:val="24"/>
                <w:lang w:val="en-US" w:eastAsia="zh-CN"/>
              </w:rPr>
              <w:t>以及</w:t>
            </w:r>
            <w:r>
              <w:rPr>
                <w:rFonts w:hint="eastAsia" w:ascii="Times New Roman" w:hAnsi="Times New Roman" w:eastAsia="宋体" w:cs="Times New Roman"/>
                <w:color w:val="auto"/>
                <w:kern w:val="2"/>
                <w:sz w:val="24"/>
                <w:szCs w:val="24"/>
                <w:highlight w:val="none"/>
                <w:lang w:val="en-US" w:eastAsia="zh-CN" w:bidi="ar-SA"/>
              </w:rPr>
              <w:t>12MW</w:t>
            </w:r>
            <w:r>
              <w:rPr>
                <w:rFonts w:hint="eastAsia" w:ascii="Times New Roman" w:hAnsi="Times New Roman" w:eastAsia="宋体" w:cs="Times New Roman"/>
                <w:color w:val="auto"/>
                <w:sz w:val="24"/>
                <w:highlight w:val="none"/>
                <w:lang w:val="en-US" w:eastAsia="zh-CN"/>
              </w:rPr>
              <w:t>中温中压煤气发电机组</w:t>
            </w:r>
            <w:r>
              <w:rPr>
                <w:rFonts w:hint="eastAsia" w:cs="Times New Roman"/>
                <w:color w:val="auto"/>
                <w:sz w:val="24"/>
                <w:highlight w:val="none"/>
                <w:lang w:val="en-US" w:eastAsia="zh-CN"/>
              </w:rPr>
              <w:t>和20MW</w:t>
            </w:r>
            <w:r>
              <w:rPr>
                <w:rFonts w:hint="eastAsia" w:ascii="Times New Roman" w:hAnsi="Times New Roman" w:eastAsia="宋体" w:cs="Times New Roman"/>
                <w:color w:val="auto"/>
                <w:sz w:val="24"/>
                <w:highlight w:val="none"/>
                <w:lang w:val="en-US" w:eastAsia="zh-CN"/>
              </w:rPr>
              <w:t>中温中压煤气</w:t>
            </w:r>
            <w:r>
              <w:rPr>
                <w:rFonts w:hint="eastAsia" w:cs="Times New Roman"/>
                <w:color w:val="auto"/>
                <w:sz w:val="24"/>
                <w:highlight w:val="none"/>
                <w:lang w:val="en-US" w:eastAsia="zh-CN"/>
              </w:rPr>
              <w:t>+烧结余热</w:t>
            </w:r>
            <w:r>
              <w:rPr>
                <w:rFonts w:hint="eastAsia" w:ascii="Times New Roman" w:hAnsi="Times New Roman" w:eastAsia="宋体" w:cs="Times New Roman"/>
                <w:color w:val="auto"/>
                <w:sz w:val="24"/>
                <w:highlight w:val="none"/>
                <w:lang w:val="en-US" w:eastAsia="zh-CN"/>
              </w:rPr>
              <w:t>发电机组</w:t>
            </w:r>
            <w:r>
              <w:rPr>
                <w:rFonts w:hint="eastAsia" w:ascii="Times New Roman" w:hAnsi="Times New Roman" w:cs="Times New Roman"/>
                <w:color w:val="auto"/>
                <w:sz w:val="24"/>
                <w:highlight w:val="none"/>
                <w:lang w:val="en-US" w:eastAsia="zh-CN"/>
              </w:rPr>
              <w:t>的拆除工作，</w:t>
            </w:r>
            <w:r>
              <w:rPr>
                <w:rFonts w:hint="default" w:ascii="Times New Roman" w:hAnsi="Times New Roman" w:cs="Times New Roman"/>
                <w:bCs/>
                <w:color w:val="auto"/>
                <w:sz w:val="24"/>
                <w:lang w:val="en-US" w:eastAsia="zh-CN"/>
              </w:rPr>
              <w:t>主要污染物为粉尘及噪声，其次为污水、固体废弃物。</w:t>
            </w:r>
          </w:p>
          <w:p w14:paraId="03958C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1、废气</w:t>
            </w:r>
          </w:p>
          <w:p w14:paraId="3BF9EA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1、本项目建设废气</w:t>
            </w:r>
          </w:p>
          <w:p w14:paraId="29E925E9">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（1）施工扬尘</w:t>
            </w:r>
          </w:p>
          <w:p w14:paraId="1D0A6E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bCs/>
                <w:color w:val="auto"/>
                <w:sz w:val="24"/>
              </w:rPr>
              <w:t>施工期大气污染物主要有土石方开挖起尘、回填平整起尘、</w:t>
            </w:r>
            <w:r>
              <w:rPr>
                <w:rFonts w:hint="default" w:ascii="Times New Roman" w:hAnsi="Times New Roman" w:cs="Times New Roman"/>
                <w:bCs/>
                <w:color w:val="auto"/>
                <w:sz w:val="24"/>
                <w:lang w:val="en-US" w:eastAsia="zh-CN"/>
              </w:rPr>
              <w:t>运输</w:t>
            </w:r>
            <w:r>
              <w:rPr>
                <w:rFonts w:hint="default" w:ascii="Times New Roman" w:hAnsi="Times New Roman" w:cs="Times New Roman"/>
                <w:bCs/>
                <w:color w:val="auto"/>
                <w:sz w:val="24"/>
              </w:rPr>
              <w:t>车辆道路起尘、</w:t>
            </w:r>
            <w:r>
              <w:rPr>
                <w:rFonts w:hint="default" w:ascii="Times New Roman" w:hAnsi="Times New Roman" w:cs="Times New Roman"/>
                <w:bCs/>
                <w:color w:val="auto"/>
                <w:sz w:val="24"/>
                <w:lang w:val="en-US" w:eastAsia="zh-CN"/>
              </w:rPr>
              <w:t>原料堆场</w:t>
            </w:r>
            <w:r>
              <w:rPr>
                <w:rFonts w:hint="default" w:ascii="Times New Roman" w:hAnsi="Times New Roman" w:cs="Times New Roman"/>
                <w:bCs/>
                <w:color w:val="auto"/>
                <w:sz w:val="24"/>
              </w:rPr>
              <w:t>产生的风蚀扬尘，对大气环境有一定的影响，</w:t>
            </w:r>
            <w:r>
              <w:rPr>
                <w:rFonts w:hint="eastAsia" w:ascii="Times New Roman" w:hAnsi="Times New Roman" w:cs="Times New Roman"/>
                <w:bCs/>
                <w:color w:val="auto"/>
                <w:sz w:val="24"/>
                <w:lang w:val="en-US" w:eastAsia="zh-CN"/>
              </w:rPr>
              <w:t>项目</w:t>
            </w:r>
            <w:r>
              <w:rPr>
                <w:rFonts w:hint="eastAsia" w:ascii="Times New Roman" w:hAnsi="Times New Roman" w:eastAsia="宋体" w:cs="Times New Roman"/>
                <w:color w:val="auto"/>
                <w:sz w:val="24"/>
                <w:szCs w:val="24"/>
                <w:lang w:val="en-US" w:eastAsia="zh-CN"/>
              </w:rPr>
              <w:t>厂区已完成地面清理及三通一平，</w:t>
            </w:r>
            <w:r>
              <w:rPr>
                <w:rFonts w:hint="default" w:ascii="Times New Roman" w:hAnsi="Times New Roman" w:cs="Times New Roman"/>
                <w:color w:val="auto"/>
                <w:sz w:val="24"/>
                <w:szCs w:val="24"/>
              </w:rPr>
              <w:t>结合项目建设的实际情况，应采取以下防尘措施：①加强施工现场管理，严格按照施工计划进行项目建设，按指定地点存放各种建筑材料和砂石用料，并做好防尘覆盖；②散落于地面的物料应及时进行清扫；存放的砂石等建材要用篷布盖并对其进行洒水抑尘：车辆驶出工地前应冲洗车轮，防止将泥土带出工地，从而产生扬尘，向施工人员发放防尘面罩等防护用具。③施工</w:t>
            </w:r>
            <w:r>
              <w:rPr>
                <w:rFonts w:hint="eastAsia" w:cs="Times New Roman"/>
                <w:color w:val="auto"/>
                <w:sz w:val="24"/>
                <w:szCs w:val="24"/>
                <w:lang w:eastAsia="zh-CN"/>
              </w:rPr>
              <w:t>场地</w:t>
            </w:r>
            <w:r>
              <w:rPr>
                <w:rFonts w:hint="default" w:ascii="Times New Roman" w:hAnsi="Times New Roman" w:cs="Times New Roman"/>
                <w:color w:val="auto"/>
                <w:sz w:val="24"/>
                <w:szCs w:val="24"/>
              </w:rPr>
              <w:t>要配备洒水设施，施工道路的扬尘可用洒水和清扫措施予以防治。④施工现场严禁使用混凝土搅拌装置，应采用商品混凝土进行施工。⑤减少裸露地面；禁止在大风天气进行开挖等作业。⑥施工现场要在施工前做好施工道路的规划和设置，可利用设计中永久性的施工道路。并随时洒水，减少道路扬尘。</w:t>
            </w:r>
            <w:r>
              <w:rPr>
                <w:rFonts w:hint="default" w:ascii="Times New Roman" w:hAnsi="Times New Roman" w:eastAsia="宋体" w:cs="Times New Roman"/>
                <w:color w:val="auto"/>
                <w:sz w:val="24"/>
                <w:szCs w:val="24"/>
                <w:lang w:val="en-US" w:eastAsia="zh-CN"/>
              </w:rPr>
              <w:t>项目施工场地应严格按“六个百分百”</w:t>
            </w:r>
            <w:r>
              <w:rPr>
                <w:rFonts w:hint="eastAsia" w:ascii="Times New Roman" w:hAnsi="Times New Roman" w:eastAsia="宋体" w:cs="Times New Roman"/>
                <w:color w:val="auto"/>
                <w:sz w:val="24"/>
                <w:szCs w:val="24"/>
                <w:lang w:val="en-US" w:eastAsia="zh-CN"/>
              </w:rPr>
              <w:t>要求施工，</w:t>
            </w:r>
            <w:r>
              <w:rPr>
                <w:rFonts w:hint="default" w:ascii="Times New Roman" w:hAnsi="Times New Roman" w:eastAsia="宋体" w:cs="Times New Roman"/>
                <w:color w:val="auto"/>
                <w:sz w:val="24"/>
                <w:szCs w:val="24"/>
              </w:rPr>
              <w:t>采取上述措施，可以减轻施工过程扬尘对周边环境的影响。</w:t>
            </w:r>
          </w:p>
          <w:p w14:paraId="20646339">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（2）施工机械及车辆废气</w:t>
            </w:r>
          </w:p>
          <w:p w14:paraId="471251A9">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施工车辆以及</w:t>
            </w:r>
            <w:r>
              <w:rPr>
                <w:rFonts w:hint="default" w:ascii="Times New Roman" w:hAnsi="Times New Roman" w:cs="Times New Roman"/>
                <w:color w:val="auto"/>
                <w:sz w:val="24"/>
                <w:lang w:val="en-US" w:eastAsia="zh-CN"/>
              </w:rPr>
              <w:t>设备</w:t>
            </w:r>
            <w:r>
              <w:rPr>
                <w:rFonts w:hint="default" w:ascii="Times New Roman" w:hAnsi="Times New Roman" w:cs="Times New Roman"/>
                <w:color w:val="auto"/>
                <w:sz w:val="24"/>
              </w:rPr>
              <w:t>由于燃油产生二氧化硫、二氧化氮、一氧化碳、烃类等大气污染物，但这些污染物排放量很小，且为间断性排放。尾气中所含的有害物质主要有CO、THC、NO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等，影响范围集中在车辆10~15m范围内，因此，施工单位必须使用污染物排放符合国家标准的车辆和设备，加强车辆的维护和保养，</w:t>
            </w:r>
            <w:r>
              <w:rPr>
                <w:rFonts w:hint="default" w:ascii="Times New Roman" w:hAnsi="Times New Roman" w:cs="Times New Roman"/>
                <w:color w:val="auto"/>
                <w:sz w:val="24"/>
                <w:lang w:val="en-US" w:eastAsia="zh-CN"/>
              </w:rPr>
              <w:t>使</w:t>
            </w:r>
            <w:r>
              <w:rPr>
                <w:rFonts w:hint="default" w:ascii="Times New Roman" w:hAnsi="Times New Roman" w:cs="Times New Roman"/>
                <w:color w:val="auto"/>
                <w:sz w:val="24"/>
              </w:rPr>
              <w:t>设备处于良好的工作状态，减轻燃油废气对周围环境的影响。</w:t>
            </w:r>
          </w:p>
          <w:p w14:paraId="5833B9B7">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2、拆除工作废气</w:t>
            </w:r>
          </w:p>
          <w:p w14:paraId="0281A320">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eastAsia" w:ascii="Times New Roman" w:hAnsi="Times New Roman" w:cs="Times New Roman"/>
                <w:color w:val="auto"/>
                <w:sz w:val="24"/>
                <w:lang w:val="en-US" w:eastAsia="zh-CN"/>
              </w:rPr>
              <w:t>施工扬尘</w:t>
            </w:r>
          </w:p>
          <w:p w14:paraId="74183D94">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墙体破碎、构件拆解、建筑垃圾堆放、转运及旧设施破除过程中，会产生大量无组织粉尘，</w:t>
            </w:r>
            <w:r>
              <w:rPr>
                <w:rFonts w:hint="eastAsia" w:ascii="Times New Roman" w:hAnsi="Times New Roman" w:cs="Times New Roman"/>
                <w:bCs/>
                <w:color w:val="auto"/>
                <w:sz w:val="24"/>
                <w:lang w:val="en-US" w:eastAsia="zh-CN"/>
              </w:rPr>
              <w:t>对环境有一点影响，</w:t>
            </w:r>
            <w:r>
              <w:rPr>
                <w:rFonts w:hint="default" w:ascii="Times New Roman" w:hAnsi="Times New Roman" w:cs="Times New Roman"/>
                <w:color w:val="auto"/>
                <w:sz w:val="24"/>
                <w:szCs w:val="24"/>
              </w:rPr>
              <w:t>应采取以下防尘措施：</w:t>
            </w:r>
            <w:r>
              <w:rPr>
                <w:rFonts w:hint="default" w:ascii="Times New Roman" w:hAnsi="Times New Roman" w:cs="Times New Roman"/>
                <w:bCs/>
                <w:color w:val="auto"/>
                <w:sz w:val="24"/>
                <w:lang w:val="en-US" w:eastAsia="zh-CN"/>
              </w:rPr>
              <w:t>①作业区域设置连续、密闭的围挡（高度不低于2.5米），围挡底部密封，防止扬尘外逸；②优先采用湿法拆除，破碎、拆解作业时，持续洒水湿润，避免干法作业；③建筑垃圾堆放区加盖防尘布，定时洒水抑尘，堆放时间不超过72小时，及时清运；④运输车辆采用密闭式货车，出场前必须冲洗车轮、车身，确保无带泥上路、抛洒现象；⑤大风天气（风力≥6级）暂停拆除、转运作业，避免扬尘扩散。</w:t>
            </w:r>
          </w:p>
          <w:p w14:paraId="2CB82A45">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（2）施工机械及车辆废气</w:t>
            </w:r>
          </w:p>
          <w:p w14:paraId="5662A4DA">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挖掘机、装载机以及</w:t>
            </w:r>
            <w:r>
              <w:rPr>
                <w:rFonts w:hint="default" w:ascii="Times New Roman" w:hAnsi="Times New Roman" w:cs="Times New Roman"/>
                <w:bCs/>
                <w:color w:val="auto"/>
                <w:sz w:val="24"/>
                <w:lang w:val="en-US" w:eastAsia="zh-CN"/>
              </w:rPr>
              <w:t>运输车辆等燃油设备运行时，排放CO、NOₓ、烃类、颗粒物等废气，尤其在设备怠速、集中作业时段，尾气叠加会导致局部空气质量下降，影响周边环境。</w:t>
            </w:r>
            <w:r>
              <w:rPr>
                <w:rFonts w:hint="default" w:ascii="Times New Roman" w:hAnsi="Times New Roman" w:cs="Times New Roman"/>
                <w:color w:val="auto"/>
                <w:sz w:val="24"/>
                <w:szCs w:val="24"/>
              </w:rPr>
              <w:t>应采取以下防尘措施：</w:t>
            </w:r>
            <w:r>
              <w:rPr>
                <w:rFonts w:hint="default" w:ascii="Times New Roman" w:hAnsi="Times New Roman" w:cs="Times New Roman"/>
                <w:bCs/>
                <w:color w:val="auto"/>
                <w:sz w:val="24"/>
                <w:lang w:val="en-US" w:eastAsia="zh-CN"/>
              </w:rPr>
              <w:t>①选用符合国排放标准的燃油机械设备，定期对设备进行检修、维护，确保尾气排放达标；②合理安排作业流程，减少设备怠速时间，集中作业时段避开周边敏感点（居民区、办公区）高峰时段。</w:t>
            </w:r>
          </w:p>
          <w:p w14:paraId="5D3EE5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2、废水</w:t>
            </w:r>
          </w:p>
          <w:p w14:paraId="53082665">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val="en-US" w:eastAsia="zh-CN"/>
              </w:rPr>
              <w:t>本项目</w:t>
            </w:r>
            <w:r>
              <w:rPr>
                <w:rFonts w:hint="default" w:ascii="Times New Roman" w:hAnsi="Times New Roman" w:eastAsia="宋体" w:cs="Times New Roman"/>
                <w:color w:val="auto"/>
                <w:sz w:val="24"/>
              </w:rPr>
              <w:t>施工期</w:t>
            </w:r>
            <w:r>
              <w:rPr>
                <w:rFonts w:hint="eastAsia" w:cs="Times New Roman"/>
                <w:color w:val="auto"/>
                <w:sz w:val="24"/>
                <w:lang w:val="en-US" w:eastAsia="zh-CN"/>
              </w:rPr>
              <w:t>和现有电站拆除工作</w:t>
            </w:r>
            <w:r>
              <w:rPr>
                <w:rFonts w:hint="default" w:ascii="Times New Roman" w:hAnsi="Times New Roman" w:eastAsia="宋体" w:cs="Times New Roman"/>
                <w:color w:val="auto"/>
                <w:sz w:val="24"/>
              </w:rPr>
              <w:t>废水污染源主要为施工区内的施工人员</w:t>
            </w:r>
            <w:r>
              <w:rPr>
                <w:rFonts w:hint="eastAsia" w:ascii="Times New Roman" w:hAnsi="Times New Roman" w:eastAsia="宋体" w:cs="Times New Roman"/>
                <w:color w:val="auto"/>
                <w:sz w:val="24"/>
                <w:lang w:eastAsia="zh-CN"/>
              </w:rPr>
              <w:t>生活污水</w:t>
            </w:r>
            <w:r>
              <w:rPr>
                <w:rFonts w:hint="default" w:ascii="Times New Roman" w:hAnsi="Times New Roman" w:eastAsia="宋体" w:cs="Times New Roman"/>
                <w:color w:val="auto"/>
                <w:sz w:val="24"/>
              </w:rPr>
              <w:t>、设备冲洗水。</w:t>
            </w:r>
          </w:p>
          <w:p w14:paraId="46B5C499">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生活污水</w:t>
            </w:r>
            <w:r>
              <w:rPr>
                <w:rFonts w:hint="default" w:ascii="Times New Roman" w:hAnsi="Times New Roman" w:eastAsia="宋体" w:cs="Times New Roman"/>
                <w:color w:val="auto"/>
                <w:sz w:val="24"/>
              </w:rPr>
              <w:t>：本项目预计施工期间高峰期人数为</w:t>
            </w:r>
            <w:r>
              <w:rPr>
                <w:rFonts w:hint="eastAsia"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rPr>
              <w:t>人，施工场地内不设食宿，</w:t>
            </w:r>
            <w:r>
              <w:rPr>
                <w:rFonts w:hint="eastAsia" w:ascii="Times New Roman" w:hAnsi="Times New Roman" w:eastAsia="宋体" w:cs="Times New Roman"/>
                <w:color w:val="auto"/>
                <w:sz w:val="24"/>
                <w:lang w:eastAsia="zh-CN"/>
              </w:rPr>
              <w:t>生活污水</w:t>
            </w:r>
            <w:r>
              <w:rPr>
                <w:rFonts w:hint="default" w:ascii="Times New Roman" w:hAnsi="Times New Roman" w:eastAsia="宋体" w:cs="Times New Roman"/>
                <w:color w:val="auto"/>
                <w:sz w:val="24"/>
              </w:rPr>
              <w:t>主要为洗手废水，废水经沉淀后可用于施工场地洒水降尘，不外排。</w:t>
            </w:r>
          </w:p>
          <w:p w14:paraId="52F0AB06">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施工废水：施工期间的施工废水主要</w:t>
            </w:r>
            <w:r>
              <w:rPr>
                <w:rFonts w:hint="default" w:ascii="Times New Roman" w:hAnsi="Times New Roman" w:eastAsia="宋体" w:cs="Times New Roman"/>
                <w:color w:val="auto"/>
                <w:sz w:val="24"/>
                <w:lang w:val="en-US" w:eastAsia="zh-CN"/>
              </w:rPr>
              <w:t>为混凝土养护废水及</w:t>
            </w:r>
            <w:r>
              <w:rPr>
                <w:rFonts w:hint="default" w:ascii="Times New Roman" w:hAnsi="Times New Roman" w:eastAsia="宋体" w:cs="Times New Roman"/>
                <w:color w:val="auto"/>
                <w:sz w:val="24"/>
              </w:rPr>
              <w:t>施工设备冲洗水，冲洗废水中主要污染物为SS，经沉淀后可回用作为施工用水。</w:t>
            </w:r>
          </w:p>
          <w:p w14:paraId="7DA56B4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3、噪声</w:t>
            </w:r>
          </w:p>
          <w:p w14:paraId="23FD33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1、本项目施工噪声</w:t>
            </w:r>
          </w:p>
          <w:p w14:paraId="4FA16EA9">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施工期间噪声主要为施工机械和施工车辆产生的噪声，主要有装载机、</w:t>
            </w:r>
            <w:r>
              <w:rPr>
                <w:rFonts w:hint="default" w:ascii="Times New Roman" w:hAnsi="Times New Roman" w:cs="Times New Roman"/>
                <w:bCs/>
                <w:color w:val="auto"/>
                <w:sz w:val="24"/>
                <w:lang w:val="en-US" w:eastAsia="zh-CN"/>
              </w:rPr>
              <w:t>起吊机、</w:t>
            </w:r>
            <w:r>
              <w:rPr>
                <w:rFonts w:hint="default" w:ascii="Times New Roman" w:hAnsi="Times New Roman" w:cs="Times New Roman"/>
                <w:bCs/>
                <w:color w:val="auto"/>
                <w:sz w:val="24"/>
              </w:rPr>
              <w:t>起重机、载重汽车、混凝土罐车、切割机、电焊机、电钻等，源强在75~105dB（A）之间。在施工过程中</w:t>
            </w:r>
            <w:r>
              <w:rPr>
                <w:rFonts w:hint="default" w:ascii="Times New Roman" w:hAnsi="Times New Roman" w:cs="Times New Roman"/>
                <w:color w:val="auto"/>
                <w:sz w:val="24"/>
              </w:rPr>
              <w:t>合理安排施工时间，禁止夜间（22:00~次日6:00）进行施工；尽量采用低噪声设备，并对设备定期进行维护和保养，避免因设备部件松动而加大设备工作声级；加强对施工车辆的管理，控制车速以及同一时间进出车辆的数量；在采取以上措施后，项目施工期的噪声污染可得到有效控制，对周围环境影响较小。</w:t>
            </w:r>
          </w:p>
          <w:p w14:paraId="7E3598F5">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2、拆除工作噪声</w:t>
            </w:r>
          </w:p>
          <w:p w14:paraId="753BEB04">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拆除工作噪声源主要为</w:t>
            </w:r>
            <w:r>
              <w:rPr>
                <w:rFonts w:hint="default" w:ascii="Times New Roman" w:hAnsi="Times New Roman" w:cs="Times New Roman"/>
                <w:color w:val="auto"/>
                <w:sz w:val="24"/>
                <w:lang w:val="en-US" w:eastAsia="zh-CN"/>
              </w:rPr>
              <w:t>破碎、机械敲击、切割、拆解作业及运输车辆行驶、鸣笛，声源强度可达85-110dB</w:t>
            </w:r>
            <w:r>
              <w:rPr>
                <w:rFonts w:hint="eastAsia" w:ascii="Times New Roman" w:hAnsi="Times New Roman" w:cs="Times New Roman"/>
                <w:color w:val="auto"/>
                <w:sz w:val="24"/>
                <w:lang w:val="en-US" w:eastAsia="zh-CN"/>
              </w:rPr>
              <w:t>（A），</w:t>
            </w:r>
            <w:r>
              <w:rPr>
                <w:rFonts w:hint="default" w:ascii="Times New Roman" w:hAnsi="Times New Roman" w:cs="Times New Roman"/>
                <w:color w:val="auto"/>
                <w:sz w:val="24"/>
              </w:rPr>
              <w:t>应采取以下防尘措施：</w:t>
            </w:r>
            <w:r>
              <w:rPr>
                <w:rFonts w:hint="default" w:ascii="Times New Roman" w:hAnsi="Times New Roman" w:cs="Times New Roman"/>
                <w:color w:val="auto"/>
                <w:sz w:val="24"/>
                <w:lang w:val="en-US" w:eastAsia="zh-CN"/>
              </w:rPr>
              <w:t>①合理规划施工时间，严格遵守当地环保规定，昼间作业时间控制在7:00-18:00，严禁夜间（22:00-次日6:00）进行高噪声作业，确需夜间作业的，提前办理夜间施工许可，并告知周边居民；②选用低噪声机械设备，对高噪声设备（如破碎机、切割机）加装隔音罩、减震垫，降低噪声排放；③在作业区域与周边敏感点之间设置隔音屏障，减少噪声传播；④运输车辆禁止鸣笛，避开敏感点高峰通行时段。</w:t>
            </w:r>
          </w:p>
          <w:p w14:paraId="2D32AA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4、固体废弃物</w:t>
            </w:r>
          </w:p>
          <w:p w14:paraId="47495E64">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1、本项目施工期固体废弃物</w:t>
            </w:r>
          </w:p>
          <w:p w14:paraId="22DAF938">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施工期间固体废弃物主要有建筑垃圾</w:t>
            </w:r>
            <w:r>
              <w:rPr>
                <w:rFonts w:hint="eastAsia" w:cs="Times New Roman"/>
                <w:bCs/>
                <w:color w:val="auto"/>
                <w:sz w:val="24"/>
                <w:lang w:val="en-US" w:eastAsia="zh-CN"/>
              </w:rPr>
              <w:t>和</w:t>
            </w:r>
            <w:r>
              <w:rPr>
                <w:rFonts w:hint="default" w:ascii="Times New Roman" w:hAnsi="Times New Roman" w:cs="Times New Roman"/>
                <w:bCs/>
                <w:color w:val="auto"/>
                <w:sz w:val="24"/>
              </w:rPr>
              <w:t>施工人员生活垃圾等。</w:t>
            </w:r>
          </w:p>
          <w:p w14:paraId="42F055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施工阶段建筑垃圾经分类处理后尽量综合利用，不能利用的按照住建部门要求运输至指定地点处理。生活垃圾经统一收集后由当地环卫部门统一处置。</w:t>
            </w:r>
          </w:p>
          <w:p w14:paraId="172A8A9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2、拆除工作固体废弃物</w:t>
            </w:r>
          </w:p>
          <w:p w14:paraId="43890826">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lang w:val="en-US"/>
              </w:rPr>
            </w:pPr>
            <w:r>
              <w:rPr>
                <w:rFonts w:hint="eastAsia" w:ascii="Times New Roman" w:hAnsi="Times New Roman" w:cs="Times New Roman"/>
                <w:bCs/>
                <w:color w:val="auto"/>
                <w:sz w:val="24"/>
                <w:lang w:val="en-US" w:eastAsia="zh-CN"/>
              </w:rPr>
              <w:t>电站拆除工作固体废弃物主要有</w:t>
            </w:r>
            <w:r>
              <w:rPr>
                <w:rFonts w:hint="default" w:ascii="Times New Roman" w:hAnsi="Times New Roman" w:cs="Times New Roman"/>
                <w:bCs/>
                <w:color w:val="auto"/>
                <w:sz w:val="24"/>
                <w:lang w:val="en-US" w:eastAsia="zh-CN"/>
              </w:rPr>
              <w:t>废弃砖石、混凝土块、钢材、木材、管材、装修废料</w:t>
            </w:r>
            <w:r>
              <w:rPr>
                <w:rFonts w:hint="eastAsia" w:ascii="Times New Roman" w:hAnsi="Times New Roman" w:cs="Times New Roman"/>
                <w:bCs/>
                <w:color w:val="auto"/>
                <w:sz w:val="24"/>
                <w:lang w:val="en-US" w:eastAsia="zh-CN"/>
              </w:rPr>
              <w:t>以及工作人员生活垃圾等。</w:t>
            </w:r>
          </w:p>
          <w:p w14:paraId="4A0969FD">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val="0"/>
                <w:color w:val="auto"/>
                <w:sz w:val="24"/>
                <w:lang w:val="en-US" w:eastAsia="zh-CN"/>
              </w:rPr>
            </w:pPr>
            <w:r>
              <w:rPr>
                <w:rFonts w:hint="default" w:ascii="Times New Roman" w:hAnsi="Times New Roman" w:cs="Times New Roman"/>
                <w:bCs/>
                <w:color w:val="auto"/>
                <w:sz w:val="24"/>
                <w:lang w:val="en-US" w:eastAsia="zh-CN"/>
              </w:rPr>
              <w:t>废弃砖石</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混凝土块</w:t>
            </w:r>
            <w:r>
              <w:rPr>
                <w:rFonts w:hint="eastAsia" w:ascii="Times New Roman" w:hAnsi="Times New Roman" w:cs="Times New Roman"/>
                <w:bCs/>
                <w:color w:val="auto"/>
                <w:sz w:val="24"/>
                <w:lang w:val="en-US" w:eastAsia="zh-CN"/>
              </w:rPr>
              <w:t>以及装修废料</w:t>
            </w:r>
            <w:r>
              <w:rPr>
                <w:rFonts w:hint="default" w:ascii="Times New Roman" w:hAnsi="Times New Roman" w:cs="Times New Roman"/>
                <w:bCs/>
                <w:color w:val="auto"/>
                <w:sz w:val="24"/>
              </w:rPr>
              <w:t>不能利用的按照住建部门要求运输至指定地点处理</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钢材、</w:t>
            </w:r>
            <w:r>
              <w:rPr>
                <w:rFonts w:hint="default" w:ascii="Times New Roman" w:hAnsi="Times New Roman" w:cs="Times New Roman"/>
                <w:bCs/>
                <w:color w:val="auto"/>
                <w:sz w:val="24"/>
                <w:lang w:val="en-US" w:eastAsia="zh-CN"/>
              </w:rPr>
              <w:t>木材、管材</w:t>
            </w:r>
            <w:r>
              <w:rPr>
                <w:rFonts w:hint="eastAsia" w:ascii="Times New Roman" w:hAnsi="Times New Roman" w:cs="Times New Roman"/>
                <w:bCs/>
                <w:color w:val="auto"/>
                <w:sz w:val="24"/>
                <w:lang w:val="en-US" w:eastAsia="zh-CN"/>
              </w:rPr>
              <w:t>可回收利用的进行回收利用；</w:t>
            </w:r>
            <w:r>
              <w:rPr>
                <w:rFonts w:hint="default" w:ascii="Times New Roman" w:hAnsi="Times New Roman" w:cs="Times New Roman"/>
                <w:bCs/>
                <w:color w:val="auto"/>
                <w:sz w:val="24"/>
              </w:rPr>
              <w:t>生活垃圾经统一收集后由当地环卫部门统一处置</w:t>
            </w:r>
            <w:r>
              <w:rPr>
                <w:rFonts w:hint="eastAsia" w:ascii="Times New Roman" w:hAnsi="Times New Roman" w:cs="Times New Roman"/>
                <w:bCs/>
                <w:color w:val="auto"/>
                <w:sz w:val="24"/>
                <w:lang w:eastAsia="zh-CN"/>
              </w:rPr>
              <w:t>。</w:t>
            </w:r>
          </w:p>
        </w:tc>
      </w:tr>
      <w:tr w14:paraId="1BC0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570" w:type="dxa"/>
            <w:vAlign w:val="center"/>
          </w:tcPr>
          <w:p w14:paraId="6F4098B3">
            <w:pPr>
              <w:ind w:left="0" w:leftChars="0" w:right="0" w:rightChars="0" w:firstLine="0" w:firstLineChars="0"/>
              <w:jc w:val="center"/>
              <w:rPr>
                <w:rFonts w:hint="default"/>
                <w:sz w:val="24"/>
                <w:szCs w:val="24"/>
                <w:vertAlign w:val="baseline"/>
                <w:lang w:val="en-US" w:eastAsia="zh-CN"/>
              </w:rPr>
            </w:pPr>
            <w:r>
              <w:rPr>
                <w:rFonts w:hint="eastAsia"/>
                <w:sz w:val="24"/>
                <w:szCs w:val="24"/>
                <w:vertAlign w:val="baseline"/>
                <w:lang w:val="en-US" w:eastAsia="zh-CN"/>
              </w:rPr>
              <w:t>运营期环境影响和保护措施</w:t>
            </w:r>
          </w:p>
        </w:tc>
        <w:tc>
          <w:tcPr>
            <w:tcW w:w="7952" w:type="dxa"/>
          </w:tcPr>
          <w:p w14:paraId="63B47EF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4.5废水</w:t>
            </w:r>
          </w:p>
          <w:p w14:paraId="61D1FFD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4.5.1废水源强分析</w:t>
            </w:r>
          </w:p>
          <w:p w14:paraId="7A8631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2.6</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水平衡分析</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，本项目废水产生量为</w:t>
            </w:r>
            <w:r>
              <w:rPr>
                <w:rFonts w:hint="eastAsia" w:cs="Times New Roman"/>
                <w:color w:val="000000"/>
                <w:kern w:val="0"/>
                <w:sz w:val="24"/>
                <w:szCs w:val="24"/>
                <w:lang w:val="en-US" w:eastAsia="zh-CN" w:bidi="ar"/>
              </w:rPr>
              <w:t>1017.13</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/d，废水排入全厂水中央处理站处理达标后回用于</w:t>
            </w:r>
            <w:r>
              <w:rPr>
                <w:rFonts w:hint="eastAsia" w:cs="Times New Roman"/>
                <w:color w:val="000000"/>
                <w:kern w:val="0"/>
                <w:sz w:val="24"/>
                <w:szCs w:val="24"/>
                <w:lang w:val="en-US" w:eastAsia="zh-CN" w:bidi="ar"/>
              </w:rPr>
              <w:t>厂区</w:t>
            </w:r>
            <w:r>
              <w:rPr>
                <w:rFonts w:hint="default" w:ascii="Times New Roman" w:hAnsi="Times New Roman" w:eastAsia="宋体" w:cs="Times New Roman"/>
                <w:color w:val="000000"/>
                <w:kern w:val="0"/>
                <w:sz w:val="24"/>
                <w:szCs w:val="24"/>
                <w:lang w:val="en-US" w:eastAsia="zh-CN" w:bidi="ar"/>
              </w:rPr>
              <w:t>各用水工序，无废水外排。</w:t>
            </w:r>
          </w:p>
          <w:p w14:paraId="3AD0BE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本项目用排水情况详见表4-1。</w:t>
            </w:r>
          </w:p>
          <w:p w14:paraId="51E2ED6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表4-1 项目废水产排情况一览表</w:t>
            </w:r>
          </w:p>
          <w:tbl>
            <w:tblPr>
              <w:tblStyle w:val="17"/>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16"/>
              <w:gridCol w:w="1715"/>
              <w:gridCol w:w="981"/>
              <w:gridCol w:w="915"/>
              <w:gridCol w:w="935"/>
              <w:gridCol w:w="1007"/>
              <w:gridCol w:w="1676"/>
            </w:tblGrid>
            <w:tr w14:paraId="1D9C80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vMerge w:val="restart"/>
                  <w:tcBorders>
                    <w:tl2br w:val="nil"/>
                    <w:tr2bl w:val="nil"/>
                  </w:tcBorders>
                  <w:shd w:val="clear" w:color="auto" w:fill="auto"/>
                  <w:vAlign w:val="center"/>
                </w:tcPr>
                <w:p w14:paraId="0DFAA45F">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序号</w:t>
                  </w:r>
                </w:p>
              </w:tc>
              <w:tc>
                <w:tcPr>
                  <w:tcW w:w="1094" w:type="pct"/>
                  <w:vMerge w:val="restart"/>
                  <w:tcBorders>
                    <w:tl2br w:val="nil"/>
                    <w:tr2bl w:val="nil"/>
                  </w:tcBorders>
                  <w:shd w:val="clear" w:color="auto" w:fill="auto"/>
                  <w:vAlign w:val="center"/>
                </w:tcPr>
                <w:p w14:paraId="01813C74">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用水环节</w:t>
                  </w:r>
                </w:p>
              </w:tc>
              <w:tc>
                <w:tcPr>
                  <w:tcW w:w="2441" w:type="pct"/>
                  <w:gridSpan w:val="4"/>
                  <w:tcBorders>
                    <w:tl2br w:val="nil"/>
                    <w:tr2bl w:val="nil"/>
                  </w:tcBorders>
                  <w:shd w:val="clear" w:color="auto" w:fill="auto"/>
                  <w:vAlign w:val="center"/>
                </w:tcPr>
                <w:p w14:paraId="6F6C0A04">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用水量</w:t>
                  </w:r>
                </w:p>
              </w:tc>
              <w:tc>
                <w:tcPr>
                  <w:tcW w:w="1069" w:type="pct"/>
                  <w:tcBorders>
                    <w:tl2br w:val="nil"/>
                    <w:tr2bl w:val="nil"/>
                  </w:tcBorders>
                  <w:shd w:val="clear" w:color="auto" w:fill="auto"/>
                  <w:vAlign w:val="center"/>
                </w:tcPr>
                <w:p w14:paraId="029F2C92">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排水量</w:t>
                  </w:r>
                </w:p>
              </w:tc>
            </w:tr>
            <w:tr w14:paraId="062D64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vMerge w:val="continue"/>
                  <w:tcBorders>
                    <w:tl2br w:val="nil"/>
                    <w:tr2bl w:val="nil"/>
                  </w:tcBorders>
                  <w:shd w:val="clear" w:color="auto" w:fill="auto"/>
                  <w:vAlign w:val="center"/>
                </w:tcPr>
                <w:p w14:paraId="4F275074">
                  <w:pPr>
                    <w:jc w:val="center"/>
                    <w:rPr>
                      <w:rFonts w:hint="default" w:ascii="Times New Roman" w:hAnsi="Times New Roman" w:cs="Times New Roman"/>
                      <w:color w:val="auto"/>
                      <w:sz w:val="18"/>
                      <w:szCs w:val="18"/>
                      <w:highlight w:val="none"/>
                    </w:rPr>
                  </w:pPr>
                </w:p>
              </w:tc>
              <w:tc>
                <w:tcPr>
                  <w:tcW w:w="1094" w:type="pct"/>
                  <w:vMerge w:val="continue"/>
                  <w:tcBorders>
                    <w:tl2br w:val="nil"/>
                    <w:tr2bl w:val="nil"/>
                  </w:tcBorders>
                  <w:shd w:val="clear" w:color="auto" w:fill="auto"/>
                  <w:vAlign w:val="center"/>
                </w:tcPr>
                <w:p w14:paraId="4B53B83B">
                  <w:pPr>
                    <w:jc w:val="center"/>
                    <w:rPr>
                      <w:rFonts w:hint="default" w:ascii="Times New Roman" w:hAnsi="Times New Roman" w:cs="Times New Roman"/>
                      <w:color w:val="auto"/>
                      <w:sz w:val="18"/>
                      <w:szCs w:val="18"/>
                      <w:highlight w:val="none"/>
                    </w:rPr>
                  </w:pPr>
                </w:p>
              </w:tc>
              <w:tc>
                <w:tcPr>
                  <w:tcW w:w="619" w:type="pct"/>
                  <w:tcBorders>
                    <w:tl2br w:val="nil"/>
                    <w:tr2bl w:val="nil"/>
                  </w:tcBorders>
                  <w:shd w:val="clear" w:color="auto" w:fill="auto"/>
                  <w:vAlign w:val="center"/>
                </w:tcPr>
                <w:p w14:paraId="2FEAC8EE">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总用水量（m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582" w:type="pct"/>
                  <w:tcBorders>
                    <w:tl2br w:val="nil"/>
                    <w:tr2bl w:val="nil"/>
                  </w:tcBorders>
                  <w:shd w:val="clear" w:color="auto" w:fill="auto"/>
                  <w:vAlign w:val="center"/>
                </w:tcPr>
                <w:p w14:paraId="4966079D">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循环水量（m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597" w:type="pct"/>
                  <w:tcBorders>
                    <w:tl2br w:val="nil"/>
                    <w:tr2bl w:val="nil"/>
                  </w:tcBorders>
                  <w:shd w:val="clear" w:color="auto" w:fill="auto"/>
                  <w:vAlign w:val="center"/>
                </w:tcPr>
                <w:p w14:paraId="113483F5">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新鲜水补充量（m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641" w:type="pct"/>
                  <w:tcBorders>
                    <w:tl2br w:val="nil"/>
                    <w:tr2bl w:val="nil"/>
                  </w:tcBorders>
                  <w:shd w:val="clear" w:color="auto" w:fill="auto"/>
                  <w:vAlign w:val="center"/>
                </w:tcPr>
                <w:p w14:paraId="6C5C113D">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纯水补充量（m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c>
                <w:tcPr>
                  <w:tcW w:w="1069" w:type="pct"/>
                  <w:tcBorders>
                    <w:tl2br w:val="nil"/>
                    <w:tr2bl w:val="nil"/>
                  </w:tcBorders>
                  <w:shd w:val="clear" w:color="auto" w:fill="auto"/>
                  <w:vAlign w:val="center"/>
                </w:tcPr>
                <w:p w14:paraId="2E511537">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废水量（m</w:t>
                  </w:r>
                  <w:r>
                    <w:rPr>
                      <w:rFonts w:hint="default" w:ascii="Times New Roman" w:hAnsi="Times New Roman" w:cs="Times New Roman"/>
                      <w:color w:val="auto"/>
                      <w:kern w:val="0"/>
                      <w:sz w:val="18"/>
                      <w:szCs w:val="18"/>
                      <w:highlight w:val="none"/>
                      <w:vertAlign w:val="superscript"/>
                      <w:lang w:bidi="ar"/>
                    </w:rPr>
                    <w:t>3</w:t>
                  </w:r>
                  <w:r>
                    <w:rPr>
                      <w:rFonts w:hint="default" w:ascii="Times New Roman" w:hAnsi="Times New Roman" w:cs="Times New Roman"/>
                      <w:color w:val="auto"/>
                      <w:kern w:val="0"/>
                      <w:sz w:val="18"/>
                      <w:szCs w:val="18"/>
                      <w:highlight w:val="none"/>
                      <w:lang w:bidi="ar"/>
                    </w:rPr>
                    <w:t>/d）</w:t>
                  </w:r>
                </w:p>
              </w:tc>
            </w:tr>
            <w:tr w14:paraId="1B31A2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41E5B467">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w:t>
                  </w:r>
                </w:p>
              </w:tc>
              <w:tc>
                <w:tcPr>
                  <w:tcW w:w="1094" w:type="pct"/>
                  <w:tcBorders>
                    <w:tl2br w:val="nil"/>
                    <w:tr2bl w:val="nil"/>
                  </w:tcBorders>
                  <w:shd w:val="clear" w:color="auto" w:fill="auto"/>
                  <w:vAlign w:val="center"/>
                </w:tcPr>
                <w:p w14:paraId="3315C80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煤气降温水</w:t>
                  </w:r>
                </w:p>
              </w:tc>
              <w:tc>
                <w:tcPr>
                  <w:tcW w:w="619" w:type="pct"/>
                  <w:tcBorders>
                    <w:tl2br w:val="nil"/>
                    <w:tr2bl w:val="nil"/>
                  </w:tcBorders>
                  <w:shd w:val="clear" w:color="auto" w:fill="auto"/>
                  <w:vAlign w:val="center"/>
                </w:tcPr>
                <w:p w14:paraId="7118A95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50.4</w:t>
                  </w:r>
                </w:p>
              </w:tc>
              <w:tc>
                <w:tcPr>
                  <w:tcW w:w="582" w:type="pct"/>
                  <w:tcBorders>
                    <w:tl2br w:val="nil"/>
                    <w:tr2bl w:val="nil"/>
                  </w:tcBorders>
                  <w:shd w:val="clear" w:color="auto" w:fill="auto"/>
                  <w:vAlign w:val="center"/>
                </w:tcPr>
                <w:p w14:paraId="4E4464AB">
                  <w:pPr>
                    <w:widowControl/>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4D4EFA17">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50.4</w:t>
                  </w:r>
                </w:p>
              </w:tc>
              <w:tc>
                <w:tcPr>
                  <w:tcW w:w="641" w:type="pct"/>
                  <w:tcBorders>
                    <w:tl2br w:val="nil"/>
                    <w:tr2bl w:val="nil"/>
                  </w:tcBorders>
                  <w:shd w:val="clear" w:color="auto" w:fill="auto"/>
                  <w:vAlign w:val="center"/>
                </w:tcPr>
                <w:p w14:paraId="399025DB">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w:t>
                  </w:r>
                </w:p>
              </w:tc>
              <w:tc>
                <w:tcPr>
                  <w:tcW w:w="1069" w:type="pct"/>
                  <w:tcBorders>
                    <w:tl2br w:val="nil"/>
                    <w:tr2bl w:val="nil"/>
                  </w:tcBorders>
                  <w:shd w:val="clear" w:color="auto" w:fill="auto"/>
                  <w:vAlign w:val="center"/>
                </w:tcPr>
                <w:p w14:paraId="22FEBB63">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45.36</w:t>
                  </w:r>
                </w:p>
              </w:tc>
            </w:tr>
            <w:tr w14:paraId="58C17B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060AB551">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094" w:type="pct"/>
                  <w:tcBorders>
                    <w:tl2br w:val="nil"/>
                    <w:tr2bl w:val="nil"/>
                  </w:tcBorders>
                  <w:shd w:val="clear" w:color="auto" w:fill="auto"/>
                  <w:vAlign w:val="center"/>
                </w:tcPr>
                <w:p w14:paraId="65FBE811">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kern w:val="0"/>
                      <w:sz w:val="18"/>
                      <w:szCs w:val="18"/>
                      <w:highlight w:val="none"/>
                      <w:lang w:val="en-US" w:eastAsia="zh-CN" w:bidi="ar"/>
                    </w:rPr>
                    <w:t>锅炉</w:t>
                  </w:r>
                </w:p>
              </w:tc>
              <w:tc>
                <w:tcPr>
                  <w:tcW w:w="619" w:type="pct"/>
                  <w:tcBorders>
                    <w:tl2br w:val="nil"/>
                    <w:tr2bl w:val="nil"/>
                  </w:tcBorders>
                  <w:shd w:val="clear" w:color="auto" w:fill="auto"/>
                  <w:vAlign w:val="center"/>
                </w:tcPr>
                <w:p w14:paraId="31EF3F8E">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kern w:val="0"/>
                      <w:sz w:val="18"/>
                      <w:szCs w:val="18"/>
                      <w:highlight w:val="none"/>
                      <w:lang w:val="en-US" w:eastAsia="zh-CN" w:bidi="ar"/>
                    </w:rPr>
                    <w:t>6240</w:t>
                  </w:r>
                </w:p>
              </w:tc>
              <w:tc>
                <w:tcPr>
                  <w:tcW w:w="582" w:type="pct"/>
                  <w:tcBorders>
                    <w:tl2br w:val="nil"/>
                    <w:tr2bl w:val="nil"/>
                  </w:tcBorders>
                  <w:shd w:val="clear" w:color="auto" w:fill="auto"/>
                  <w:vAlign w:val="center"/>
                </w:tcPr>
                <w:p w14:paraId="0C2802E6">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6021.6</w:t>
                  </w:r>
                </w:p>
              </w:tc>
              <w:tc>
                <w:tcPr>
                  <w:tcW w:w="597" w:type="pct"/>
                  <w:tcBorders>
                    <w:tl2br w:val="nil"/>
                    <w:tr2bl w:val="nil"/>
                  </w:tcBorders>
                  <w:shd w:val="clear" w:color="auto" w:fill="auto"/>
                  <w:vAlign w:val="center"/>
                </w:tcPr>
                <w:p w14:paraId="67A4D76B">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w:t>
                  </w:r>
                </w:p>
              </w:tc>
              <w:tc>
                <w:tcPr>
                  <w:tcW w:w="641" w:type="pct"/>
                  <w:tcBorders>
                    <w:tl2br w:val="nil"/>
                    <w:tr2bl w:val="nil"/>
                  </w:tcBorders>
                  <w:shd w:val="clear" w:color="auto" w:fill="auto"/>
                  <w:vAlign w:val="center"/>
                </w:tcPr>
                <w:p w14:paraId="33FC63F3">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0"/>
                      <w:sz w:val="18"/>
                      <w:szCs w:val="18"/>
                      <w:highlight w:val="none"/>
                      <w:lang w:val="en-US" w:eastAsia="zh-CN" w:bidi="ar"/>
                    </w:rPr>
                    <w:t>218.4</w:t>
                  </w:r>
                </w:p>
              </w:tc>
              <w:tc>
                <w:tcPr>
                  <w:tcW w:w="1069" w:type="pct"/>
                  <w:tcBorders>
                    <w:tl2br w:val="nil"/>
                    <w:tr2bl w:val="nil"/>
                  </w:tcBorders>
                  <w:shd w:val="clear" w:color="auto" w:fill="auto"/>
                  <w:vAlign w:val="center"/>
                </w:tcPr>
                <w:p w14:paraId="49E4BD46">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124.8</w:t>
                  </w:r>
                </w:p>
              </w:tc>
            </w:tr>
            <w:tr w14:paraId="1C0774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3FDC39ED">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1094" w:type="pct"/>
                  <w:tcBorders>
                    <w:tl2br w:val="nil"/>
                    <w:tr2bl w:val="nil"/>
                  </w:tcBorders>
                  <w:shd w:val="clear" w:color="auto" w:fill="auto"/>
                  <w:vAlign w:val="center"/>
                </w:tcPr>
                <w:p w14:paraId="526B374B">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脱盐水制备用水</w:t>
                  </w:r>
                </w:p>
              </w:tc>
              <w:tc>
                <w:tcPr>
                  <w:tcW w:w="619" w:type="pct"/>
                  <w:tcBorders>
                    <w:tl2br w:val="nil"/>
                    <w:tr2bl w:val="nil"/>
                  </w:tcBorders>
                  <w:shd w:val="clear" w:color="auto" w:fill="auto"/>
                  <w:vAlign w:val="center"/>
                </w:tcPr>
                <w:p w14:paraId="5A99D629">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ascii="Times New Roman" w:hAnsi="Times New Roman" w:cs="Times New Roman"/>
                      <w:color w:val="auto"/>
                      <w:kern w:val="0"/>
                      <w:sz w:val="18"/>
                      <w:szCs w:val="18"/>
                      <w:highlight w:val="none"/>
                      <w:lang w:val="en-US" w:eastAsia="zh-CN" w:bidi="ar"/>
                    </w:rPr>
                    <w:t>312</w:t>
                  </w:r>
                </w:p>
              </w:tc>
              <w:tc>
                <w:tcPr>
                  <w:tcW w:w="582" w:type="pct"/>
                  <w:tcBorders>
                    <w:tl2br w:val="nil"/>
                    <w:tr2bl w:val="nil"/>
                  </w:tcBorders>
                  <w:shd w:val="clear" w:color="auto" w:fill="auto"/>
                  <w:vAlign w:val="center"/>
                </w:tcPr>
                <w:p w14:paraId="32C970FD">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w:t>
                  </w:r>
                </w:p>
              </w:tc>
              <w:tc>
                <w:tcPr>
                  <w:tcW w:w="597" w:type="pct"/>
                  <w:tcBorders>
                    <w:tl2br w:val="nil"/>
                    <w:tr2bl w:val="nil"/>
                  </w:tcBorders>
                  <w:shd w:val="clear" w:color="auto" w:fill="auto"/>
                  <w:vAlign w:val="center"/>
                </w:tcPr>
                <w:p w14:paraId="4A9798AE">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312</w:t>
                  </w:r>
                </w:p>
              </w:tc>
              <w:tc>
                <w:tcPr>
                  <w:tcW w:w="641" w:type="pct"/>
                  <w:tcBorders>
                    <w:tl2br w:val="nil"/>
                    <w:tr2bl w:val="nil"/>
                  </w:tcBorders>
                  <w:shd w:val="clear" w:color="auto" w:fill="auto"/>
                  <w:vAlign w:val="center"/>
                </w:tcPr>
                <w:p w14:paraId="49DC7173">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kern w:val="0"/>
                      <w:sz w:val="18"/>
                      <w:szCs w:val="18"/>
                      <w:highlight w:val="none"/>
                      <w:lang w:val="en-US" w:eastAsia="zh-CN" w:bidi="ar"/>
                    </w:rPr>
                    <w:t>0</w:t>
                  </w:r>
                </w:p>
              </w:tc>
              <w:tc>
                <w:tcPr>
                  <w:tcW w:w="1069" w:type="pct"/>
                  <w:tcBorders>
                    <w:tl2br w:val="nil"/>
                    <w:tr2bl w:val="nil"/>
                  </w:tcBorders>
                  <w:shd w:val="clear" w:color="auto" w:fill="auto"/>
                  <w:vAlign w:val="center"/>
                </w:tcPr>
                <w:p w14:paraId="73B73E07">
                  <w:pPr>
                    <w:widowControl/>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93.6</w:t>
                  </w:r>
                </w:p>
              </w:tc>
            </w:tr>
            <w:tr w14:paraId="4F23B11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1CD8DBAB">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1094" w:type="pct"/>
                  <w:tcBorders>
                    <w:tl2br w:val="nil"/>
                    <w:tr2bl w:val="nil"/>
                  </w:tcBorders>
                  <w:shd w:val="clear" w:color="auto" w:fill="auto"/>
                  <w:vAlign w:val="center"/>
                </w:tcPr>
                <w:p w14:paraId="43B9D195">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脱盐水站冲洗用水</w:t>
                  </w:r>
                </w:p>
              </w:tc>
              <w:tc>
                <w:tcPr>
                  <w:tcW w:w="619" w:type="pct"/>
                  <w:tcBorders>
                    <w:tl2br w:val="nil"/>
                    <w:tr2bl w:val="nil"/>
                  </w:tcBorders>
                  <w:shd w:val="clear" w:color="auto" w:fill="auto"/>
                  <w:vAlign w:val="center"/>
                </w:tcPr>
                <w:p w14:paraId="19DAE65A">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4.32</w:t>
                  </w:r>
                </w:p>
              </w:tc>
              <w:tc>
                <w:tcPr>
                  <w:tcW w:w="582" w:type="pct"/>
                  <w:tcBorders>
                    <w:tl2br w:val="nil"/>
                    <w:tr2bl w:val="nil"/>
                  </w:tcBorders>
                  <w:shd w:val="clear" w:color="auto" w:fill="auto"/>
                  <w:vAlign w:val="center"/>
                </w:tcPr>
                <w:p w14:paraId="2E12D5F8">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25EB374F">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4.32</w:t>
                  </w:r>
                </w:p>
              </w:tc>
              <w:tc>
                <w:tcPr>
                  <w:tcW w:w="641" w:type="pct"/>
                  <w:tcBorders>
                    <w:tl2br w:val="nil"/>
                    <w:tr2bl w:val="nil"/>
                  </w:tcBorders>
                  <w:shd w:val="clear" w:color="auto" w:fill="auto"/>
                  <w:vAlign w:val="center"/>
                </w:tcPr>
                <w:p w14:paraId="4E24E7CB">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w:t>
                  </w:r>
                </w:p>
              </w:tc>
              <w:tc>
                <w:tcPr>
                  <w:tcW w:w="1069" w:type="pct"/>
                  <w:tcBorders>
                    <w:tl2br w:val="nil"/>
                    <w:tr2bl w:val="nil"/>
                  </w:tcBorders>
                  <w:shd w:val="clear" w:color="auto" w:fill="auto"/>
                  <w:vAlign w:val="center"/>
                </w:tcPr>
                <w:p w14:paraId="04ACC56F">
                  <w:pPr>
                    <w:widowControl/>
                    <w:jc w:val="center"/>
                    <w:textAlignment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3.89</w:t>
                  </w:r>
                </w:p>
              </w:tc>
            </w:tr>
            <w:tr w14:paraId="4CB2D6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121438B8">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1094" w:type="pct"/>
                  <w:tcBorders>
                    <w:tl2br w:val="nil"/>
                    <w:tr2bl w:val="nil"/>
                  </w:tcBorders>
                  <w:shd w:val="clear" w:color="auto" w:fill="auto"/>
                  <w:vAlign w:val="center"/>
                </w:tcPr>
                <w:p w14:paraId="6360C02F">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凝结水精处理间冲洗用水</w:t>
                  </w:r>
                </w:p>
              </w:tc>
              <w:tc>
                <w:tcPr>
                  <w:tcW w:w="619" w:type="pct"/>
                  <w:tcBorders>
                    <w:tl2br w:val="nil"/>
                    <w:tr2bl w:val="nil"/>
                  </w:tcBorders>
                  <w:shd w:val="clear" w:color="auto" w:fill="auto"/>
                  <w:vAlign w:val="center"/>
                </w:tcPr>
                <w:p w14:paraId="696CF6D5">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0.75</w:t>
                  </w:r>
                </w:p>
              </w:tc>
              <w:tc>
                <w:tcPr>
                  <w:tcW w:w="582" w:type="pct"/>
                  <w:tcBorders>
                    <w:tl2br w:val="nil"/>
                    <w:tr2bl w:val="nil"/>
                  </w:tcBorders>
                  <w:shd w:val="clear" w:color="auto" w:fill="auto"/>
                  <w:vAlign w:val="center"/>
                </w:tcPr>
                <w:p w14:paraId="174B5D6A">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26CACA10">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0.75</w:t>
                  </w:r>
                </w:p>
              </w:tc>
              <w:tc>
                <w:tcPr>
                  <w:tcW w:w="641" w:type="pct"/>
                  <w:tcBorders>
                    <w:tl2br w:val="nil"/>
                    <w:tr2bl w:val="nil"/>
                  </w:tcBorders>
                  <w:shd w:val="clear" w:color="auto" w:fill="auto"/>
                  <w:vAlign w:val="center"/>
                </w:tcPr>
                <w:p w14:paraId="1F8A212B">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69" w:type="pct"/>
                  <w:tcBorders>
                    <w:tl2br w:val="nil"/>
                    <w:tr2bl w:val="nil"/>
                  </w:tcBorders>
                  <w:shd w:val="clear" w:color="auto" w:fill="auto"/>
                  <w:vAlign w:val="center"/>
                </w:tcPr>
                <w:p w14:paraId="6359B7E0">
                  <w:pPr>
                    <w:widowControl/>
                    <w:jc w:val="center"/>
                    <w:textAlignment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0.68</w:t>
                  </w:r>
                </w:p>
              </w:tc>
            </w:tr>
            <w:tr w14:paraId="5E1B7F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57E565DC">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1094" w:type="pct"/>
                  <w:tcBorders>
                    <w:tl2br w:val="nil"/>
                    <w:tr2bl w:val="nil"/>
                  </w:tcBorders>
                  <w:shd w:val="clear" w:color="auto" w:fill="auto"/>
                  <w:vAlign w:val="center"/>
                </w:tcPr>
                <w:p w14:paraId="1AB4317B">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煤气发电机组循环冷却系统补充水</w:t>
                  </w:r>
                </w:p>
              </w:tc>
              <w:tc>
                <w:tcPr>
                  <w:tcW w:w="619" w:type="pct"/>
                  <w:tcBorders>
                    <w:tl2br w:val="nil"/>
                    <w:tr2bl w:val="nil"/>
                  </w:tcBorders>
                  <w:shd w:val="clear" w:color="auto" w:fill="auto"/>
                  <w:vAlign w:val="center"/>
                </w:tcPr>
                <w:p w14:paraId="2D8BE5B6">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287760</w:t>
                  </w:r>
                </w:p>
              </w:tc>
              <w:tc>
                <w:tcPr>
                  <w:tcW w:w="582" w:type="pct"/>
                  <w:tcBorders>
                    <w:tl2br w:val="nil"/>
                    <w:tr2bl w:val="nil"/>
                  </w:tcBorders>
                  <w:shd w:val="clear" w:color="auto" w:fill="auto"/>
                  <w:vAlign w:val="center"/>
                </w:tcPr>
                <w:p w14:paraId="0539DB00">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281428.8</w:t>
                  </w:r>
                </w:p>
              </w:tc>
              <w:tc>
                <w:tcPr>
                  <w:tcW w:w="597" w:type="pct"/>
                  <w:tcBorders>
                    <w:tl2br w:val="nil"/>
                    <w:tr2bl w:val="nil"/>
                  </w:tcBorders>
                  <w:shd w:val="clear" w:color="auto" w:fill="auto"/>
                  <w:vAlign w:val="center"/>
                </w:tcPr>
                <w:p w14:paraId="488FACF2">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641" w:type="pct"/>
                  <w:tcBorders>
                    <w:tl2br w:val="nil"/>
                    <w:tr2bl w:val="nil"/>
                  </w:tcBorders>
                  <w:shd w:val="clear" w:color="auto" w:fill="auto"/>
                  <w:vAlign w:val="center"/>
                </w:tcPr>
                <w:p w14:paraId="105E5DEE">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6331.2</w:t>
                  </w:r>
                </w:p>
              </w:tc>
              <w:tc>
                <w:tcPr>
                  <w:tcW w:w="1069" w:type="pct"/>
                  <w:tcBorders>
                    <w:tl2br w:val="nil"/>
                    <w:tr2bl w:val="nil"/>
                  </w:tcBorders>
                  <w:shd w:val="clear" w:color="auto" w:fill="auto"/>
                  <w:vAlign w:val="center"/>
                </w:tcPr>
                <w:p w14:paraId="586F94D9">
                  <w:pPr>
                    <w:widowControl/>
                    <w:jc w:val="center"/>
                    <w:textAlignment w:val="center"/>
                    <w:rPr>
                      <w:rFonts w:hint="default" w:ascii="Times New Roman" w:hAnsi="Times New Roman" w:cs="Times New Roman"/>
                      <w:color w:val="auto"/>
                      <w:sz w:val="18"/>
                      <w:szCs w:val="18"/>
                      <w:highlight w:val="none"/>
                      <w:lang w:val="en-US"/>
                    </w:rPr>
                  </w:pPr>
                  <w:r>
                    <w:rPr>
                      <w:rFonts w:hint="eastAsia" w:cs="Times New Roman"/>
                      <w:color w:val="auto"/>
                      <w:sz w:val="18"/>
                      <w:szCs w:val="18"/>
                      <w:highlight w:val="none"/>
                      <w:lang w:val="en-US" w:eastAsia="zh-CN"/>
                    </w:rPr>
                    <w:t>576</w:t>
                  </w:r>
                </w:p>
              </w:tc>
            </w:tr>
            <w:tr w14:paraId="17833F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4D6F6172">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1094" w:type="pct"/>
                  <w:tcBorders>
                    <w:tl2br w:val="nil"/>
                    <w:tr2bl w:val="nil"/>
                  </w:tcBorders>
                  <w:shd w:val="clear" w:color="auto" w:fill="auto"/>
                  <w:vAlign w:val="center"/>
                </w:tcPr>
                <w:p w14:paraId="1F9259F9">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sz w:val="18"/>
                      <w:szCs w:val="18"/>
                      <w:vertAlign w:val="baseline"/>
                      <w:lang w:val="en-US" w:eastAsia="zh-CN"/>
                    </w:rPr>
                    <w:t>煤气发电机组旁过滤反冲洗用水</w:t>
                  </w:r>
                </w:p>
              </w:tc>
              <w:tc>
                <w:tcPr>
                  <w:tcW w:w="619" w:type="pct"/>
                  <w:tcBorders>
                    <w:tl2br w:val="nil"/>
                    <w:tr2bl w:val="nil"/>
                  </w:tcBorders>
                  <w:shd w:val="clear" w:color="auto" w:fill="auto"/>
                  <w:vAlign w:val="center"/>
                </w:tcPr>
                <w:p w14:paraId="66C71714">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192</w:t>
                  </w:r>
                </w:p>
              </w:tc>
              <w:tc>
                <w:tcPr>
                  <w:tcW w:w="582" w:type="pct"/>
                  <w:tcBorders>
                    <w:tl2br w:val="nil"/>
                    <w:tr2bl w:val="nil"/>
                  </w:tcBorders>
                  <w:shd w:val="clear" w:color="auto" w:fill="auto"/>
                  <w:vAlign w:val="center"/>
                </w:tcPr>
                <w:p w14:paraId="76583AB3">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97" w:type="pct"/>
                  <w:tcBorders>
                    <w:tl2br w:val="nil"/>
                    <w:tr2bl w:val="nil"/>
                  </w:tcBorders>
                  <w:shd w:val="clear" w:color="auto" w:fill="auto"/>
                  <w:vAlign w:val="center"/>
                </w:tcPr>
                <w:p w14:paraId="3E5B47D9">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192</w:t>
                  </w:r>
                </w:p>
              </w:tc>
              <w:tc>
                <w:tcPr>
                  <w:tcW w:w="641" w:type="pct"/>
                  <w:tcBorders>
                    <w:tl2br w:val="nil"/>
                    <w:tr2bl w:val="nil"/>
                  </w:tcBorders>
                  <w:shd w:val="clear" w:color="auto" w:fill="auto"/>
                  <w:vAlign w:val="center"/>
                </w:tcPr>
                <w:p w14:paraId="2C3FFF1D">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69" w:type="pct"/>
                  <w:tcBorders>
                    <w:tl2br w:val="nil"/>
                    <w:tr2bl w:val="nil"/>
                  </w:tcBorders>
                  <w:shd w:val="clear" w:color="auto" w:fill="auto"/>
                  <w:vAlign w:val="center"/>
                </w:tcPr>
                <w:p w14:paraId="146293F8">
                  <w:pPr>
                    <w:widowControl/>
                    <w:jc w:val="center"/>
                    <w:textAlignment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172.8</w:t>
                  </w:r>
                </w:p>
              </w:tc>
            </w:tr>
            <w:tr w14:paraId="7735FC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94" w:type="pct"/>
                  <w:tcBorders>
                    <w:tl2br w:val="nil"/>
                    <w:tr2bl w:val="nil"/>
                  </w:tcBorders>
                  <w:shd w:val="clear" w:color="auto" w:fill="auto"/>
                  <w:vAlign w:val="center"/>
                </w:tcPr>
                <w:p w14:paraId="5BC42B04">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8</w:t>
                  </w:r>
                </w:p>
              </w:tc>
              <w:tc>
                <w:tcPr>
                  <w:tcW w:w="1094" w:type="pct"/>
                  <w:tcBorders>
                    <w:tl2br w:val="nil"/>
                    <w:tr2bl w:val="nil"/>
                  </w:tcBorders>
                  <w:shd w:val="clear" w:color="auto" w:fill="auto"/>
                  <w:vAlign w:val="center"/>
                </w:tcPr>
                <w:p w14:paraId="2E65E054">
                  <w:pPr>
                    <w:pStyle w:val="11"/>
                    <w:keepNext w:val="0"/>
                    <w:keepLines w:val="0"/>
                    <w:pageBreakBefore w:val="0"/>
                    <w:widowControl w:val="0"/>
                    <w:pBdr>
                      <w:bottom w:val="none" w:color="auto" w:sz="0" w:space="0"/>
                    </w:pBdr>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合计</w:t>
                  </w:r>
                </w:p>
              </w:tc>
              <w:tc>
                <w:tcPr>
                  <w:tcW w:w="619" w:type="pct"/>
                  <w:tcBorders>
                    <w:tl2br w:val="nil"/>
                    <w:tr2bl w:val="nil"/>
                  </w:tcBorders>
                  <w:shd w:val="clear" w:color="auto" w:fill="auto"/>
                  <w:vAlign w:val="center"/>
                </w:tcPr>
                <w:p w14:paraId="4190C450">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294559.47</w:t>
                  </w:r>
                </w:p>
              </w:tc>
              <w:tc>
                <w:tcPr>
                  <w:tcW w:w="582" w:type="pct"/>
                  <w:tcBorders>
                    <w:tl2br w:val="nil"/>
                    <w:tr2bl w:val="nil"/>
                  </w:tcBorders>
                  <w:shd w:val="clear" w:color="auto" w:fill="auto"/>
                  <w:vAlign w:val="center"/>
                </w:tcPr>
                <w:p w14:paraId="3D327F18">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287450.4</w:t>
                  </w:r>
                </w:p>
              </w:tc>
              <w:tc>
                <w:tcPr>
                  <w:tcW w:w="597" w:type="pct"/>
                  <w:tcBorders>
                    <w:tl2br w:val="nil"/>
                    <w:tr2bl w:val="nil"/>
                  </w:tcBorders>
                  <w:shd w:val="clear" w:color="auto" w:fill="auto"/>
                  <w:vAlign w:val="center"/>
                </w:tcPr>
                <w:p w14:paraId="159F20C3">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559.47</w:t>
                  </w:r>
                </w:p>
              </w:tc>
              <w:tc>
                <w:tcPr>
                  <w:tcW w:w="641" w:type="pct"/>
                  <w:tcBorders>
                    <w:tl2br w:val="nil"/>
                    <w:tr2bl w:val="nil"/>
                  </w:tcBorders>
                  <w:shd w:val="clear" w:color="auto" w:fill="auto"/>
                  <w:vAlign w:val="center"/>
                </w:tcPr>
                <w:p w14:paraId="765BB18E">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6549.6</w:t>
                  </w:r>
                </w:p>
              </w:tc>
              <w:tc>
                <w:tcPr>
                  <w:tcW w:w="1069" w:type="pct"/>
                  <w:tcBorders>
                    <w:tl2br w:val="nil"/>
                    <w:tr2bl w:val="nil"/>
                  </w:tcBorders>
                  <w:shd w:val="clear" w:color="auto" w:fill="auto"/>
                  <w:vAlign w:val="center"/>
                </w:tcPr>
                <w:p w14:paraId="5C465F41">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1017.13</w:t>
                  </w:r>
                </w:p>
              </w:tc>
            </w:tr>
          </w:tbl>
          <w:p w14:paraId="2890418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4.5.2污染防治措施</w:t>
            </w:r>
          </w:p>
          <w:p w14:paraId="226C220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本项目各类废水污染防治措施如下：</w:t>
            </w:r>
          </w:p>
          <w:p w14:paraId="7C16A4D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（一）高炉煤气降温装置喷雾降温后的雾化水经收集后，排入全厂生产废水管网，最终进入全厂中央水处理站集中处理，</w:t>
            </w:r>
            <w:r>
              <w:rPr>
                <w:rFonts w:hint="eastAsia" w:cs="Times New Roman"/>
                <w:b w:val="0"/>
                <w:bCs w:val="0"/>
                <w:color w:val="auto"/>
                <w:sz w:val="24"/>
                <w:lang w:val="en-US" w:eastAsia="zh-CN"/>
              </w:rPr>
              <w:t>处理后回用于厂区各用水工序，不外排；</w:t>
            </w:r>
          </w:p>
          <w:p w14:paraId="0A678D8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二</w:t>
            </w:r>
            <w:r>
              <w:rPr>
                <w:rFonts w:hint="default" w:ascii="Times New Roman" w:hAnsi="Times New Roman" w:eastAsia="宋体" w:cs="Times New Roman"/>
                <w:b w:val="0"/>
                <w:bCs w:val="0"/>
                <w:color w:val="auto"/>
                <w:sz w:val="24"/>
                <w:lang w:val="en-US" w:eastAsia="zh-CN"/>
              </w:rPr>
              <w:t>）除盐水站排污水及反渗透系统设备冲洗水、凝结水精处理间冲洗水及树脂再生废水排入生产废水管网，最终进入全厂中央水处理站处理，处运理</w:t>
            </w:r>
            <w:r>
              <w:rPr>
                <w:rFonts w:hint="eastAsia" w:cs="Times New Roman"/>
                <w:b w:val="0"/>
                <w:bCs w:val="0"/>
                <w:color w:val="auto"/>
                <w:sz w:val="24"/>
                <w:lang w:val="en-US" w:eastAsia="zh-CN"/>
              </w:rPr>
              <w:t>达</w:t>
            </w:r>
            <w:r>
              <w:rPr>
                <w:rFonts w:hint="default" w:ascii="Times New Roman" w:hAnsi="Times New Roman" w:eastAsia="宋体" w:cs="Times New Roman"/>
                <w:b w:val="0"/>
                <w:bCs w:val="0"/>
                <w:color w:val="auto"/>
                <w:sz w:val="24"/>
                <w:lang w:val="en-US" w:eastAsia="zh-CN"/>
              </w:rPr>
              <w:t>《城市污水再生利用 工业用水水质》（GB/T 19923-2024）表1限值后回用；</w:t>
            </w:r>
          </w:p>
          <w:p w14:paraId="4AD9344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三</w:t>
            </w:r>
            <w:r>
              <w:rPr>
                <w:rFonts w:hint="default" w:ascii="Times New Roman" w:hAnsi="Times New Roman" w:eastAsia="宋体" w:cs="Times New Roman"/>
                <w:b w:val="0"/>
                <w:bCs w:val="0"/>
                <w:color w:val="auto"/>
                <w:sz w:val="24"/>
                <w:lang w:val="en-US" w:eastAsia="zh-CN"/>
              </w:rPr>
              <w:t>）锅炉排污水通过排污扩容器减压降温后（小于40℃），进入全环厂中央水处理站处理回用；</w:t>
            </w:r>
          </w:p>
          <w:p w14:paraId="0CA7D35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四</w:t>
            </w:r>
            <w:r>
              <w:rPr>
                <w:rFonts w:hint="default" w:ascii="Times New Roman" w:hAnsi="Times New Roman" w:eastAsia="宋体" w:cs="Times New Roman"/>
                <w:b w:val="0"/>
                <w:bCs w:val="0"/>
                <w:color w:val="auto"/>
                <w:sz w:val="24"/>
                <w:lang w:val="en-US" w:eastAsia="zh-CN"/>
              </w:rPr>
              <w:t>）发电机、空冷器、汽轮机冷油器等设备冷却水，由于不与有害物质接触，除水温稍有升高外不含其他污染物，经冷却后进入循环水池重复使用，循环水池排污水及旁通过滤器反冲洗水排入全厂生产废水管网，最终进入全厂中央水处理站；处理后废水满足《城市污水再生利用 工业用水水质》（GB/T 19923-2024）表1限值，回用于生产系统；</w:t>
            </w:r>
          </w:p>
          <w:p w14:paraId="5B1F819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五</w:t>
            </w:r>
            <w:r>
              <w:rPr>
                <w:rFonts w:hint="default" w:ascii="Times New Roman" w:hAnsi="Times New Roman" w:eastAsia="宋体" w:cs="Times New Roman"/>
                <w:b w:val="0"/>
                <w:bCs w:val="0"/>
                <w:color w:val="auto"/>
                <w:sz w:val="24"/>
                <w:lang w:val="en-US" w:eastAsia="zh-CN"/>
              </w:rPr>
              <w:t>）厂区内实行</w:t>
            </w:r>
            <w:r>
              <w:rPr>
                <w:rFonts w:hint="eastAsia" w:ascii="Times New Roman" w:hAnsi="Times New Roman" w:eastAsia="宋体" w:cs="Times New Roman"/>
                <w:b w:val="0"/>
                <w:bCs w:val="0"/>
                <w:color w:val="auto"/>
                <w:sz w:val="24"/>
                <w:lang w:val="en-US" w:eastAsia="zh-CN"/>
              </w:rPr>
              <w:t>“雨污分流”</w:t>
            </w:r>
            <w:r>
              <w:rPr>
                <w:rFonts w:hint="default" w:ascii="Times New Roman" w:hAnsi="Times New Roman" w:eastAsia="宋体" w:cs="Times New Roman"/>
                <w:b w:val="0"/>
                <w:bCs w:val="0"/>
                <w:color w:val="auto"/>
                <w:sz w:val="24"/>
                <w:lang w:val="en-US" w:eastAsia="zh-CN"/>
              </w:rPr>
              <w:t>，雨水采用明沟排水的方式，将雨水汇集后经雨水沟收集后，就近排入全厂雨水排水渠，雨水经收集后补充生产用水。</w:t>
            </w:r>
          </w:p>
          <w:p w14:paraId="1078579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4.5.3依托厂区中央水处理站的环境可行性分析</w:t>
            </w:r>
          </w:p>
          <w:p w14:paraId="7DFDF34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现状仙福公司建有中央水处理站1座，设计处理规模为340m</w:t>
            </w:r>
            <w:r>
              <w:rPr>
                <w:rFonts w:hint="eastAsia"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/h，8160m</w:t>
            </w:r>
            <w:r>
              <w:rPr>
                <w:rFonts w:hint="eastAsia"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/d，采用</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混凝沉淀+过滤</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对废水进行预处理，预处理后再进入深度处理（采用</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超滤+反渗透</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工艺），经处理达标后回用于炼钢、连铸及轧钢等工序。具体处理工艺为：生产废水管网首先进入粗格栅间，再由泵提升至细格栅间，经由格栅除去漂浮物和大颗粒杂质后进入废水调节池均质均量，再由提升泵进入机械加速澄清池内，经由快速反应及污泥回流等措施形成较大絮体颗粒以达到吸附及去除大部分污染物的效果。机械加速澄清池出水自流进入中间水池，经由过滤器进水泵输送至多介质过滤器内进行深度处理。将预处理后的生产废水接入超滤进水池，经保安过滤器、超滤装置处理后，超滤产水储存于超滤产水池。再经反渗透供水泵和高压泵送至废水反渗透装置处理，反渗透产水储存于现有软水池，经现有设备送软水用户使用。超滤反冲洗水、化水清洗废水、反渗透冲洗水、浓水、化学清洗废水排入现有废液中和池，送渣处理系统冲渣使用。深度处理工艺流程如下：</w:t>
            </w:r>
          </w:p>
          <w:p w14:paraId="7A511F7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4725035" cy="2103120"/>
                  <wp:effectExtent l="0" t="0" r="18415" b="1143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8"/>
                          <a:stretch>
                            <a:fillRect/>
                          </a:stretch>
                        </pic:blipFill>
                        <pic:spPr>
                          <a:xfrm>
                            <a:off x="0" y="0"/>
                            <a:ext cx="4725035" cy="2103120"/>
                          </a:xfrm>
                          <a:prstGeom prst="rect">
                            <a:avLst/>
                          </a:prstGeom>
                          <a:noFill/>
                          <a:ln>
                            <a:noFill/>
                          </a:ln>
                        </pic:spPr>
                      </pic:pic>
                    </a:graphicData>
                  </a:graphic>
                </wp:inline>
              </w:drawing>
            </w:r>
          </w:p>
          <w:p w14:paraId="5FF9B56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图4-1 中央水处理站深度处理工艺流程图</w:t>
            </w:r>
          </w:p>
          <w:p w14:paraId="1BD0F20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中央水处理站处理对象为轧钢、炼钢等生产废水，处理污染物为SS、COD、无机盐等，现状中央水处理站稳定运行，水质达标，处理后废水回用于各生产工序。本项目除盐水站反渗透系统设备冲洗废水、凝结水精处理车间树脂再生及冲洗废水中主要污染物为SS、钙镁离子、高浓度无机盐；循环水池排污水</w:t>
            </w:r>
            <w:r>
              <w:rPr>
                <w:rFonts w:hint="eastAsia" w:ascii="Times New Roman" w:hAnsi="Times New Roman" w:eastAsia="宋体" w:cs="Times New Roman"/>
                <w:b w:val="0"/>
                <w:bCs w:val="0"/>
                <w:sz w:val="24"/>
                <w:szCs w:val="24"/>
                <w:lang w:val="en-US" w:eastAsia="zh-CN"/>
              </w:rPr>
              <w:t>和</w:t>
            </w:r>
            <w:r>
              <w:rPr>
                <w:rFonts w:hint="default" w:ascii="Times New Roman" w:hAnsi="Times New Roman" w:eastAsia="宋体" w:cs="Times New Roman"/>
                <w:b w:val="0"/>
                <w:bCs w:val="0"/>
                <w:sz w:val="24"/>
                <w:szCs w:val="24"/>
                <w:lang w:val="en-US" w:eastAsia="zh-CN"/>
              </w:rPr>
              <w:t>旁通过滤器反冲洗水中主要污染物为SS。本项目废水污染物与现状中央水处理站处理对象一致。根据现状调查，中央水处理站设计处理能力为340m</w:t>
            </w:r>
            <w:r>
              <w:rPr>
                <w:rFonts w:hint="eastAsia"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/h，8160m</w:t>
            </w:r>
            <w:r>
              <w:rPr>
                <w:rFonts w:hint="eastAsia"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w:t>
            </w:r>
            <w:r>
              <w:rPr>
                <w:rFonts w:hint="eastAsia" w:cs="Times New Roman"/>
                <w:b w:val="0"/>
                <w:bCs w:val="0"/>
                <w:sz w:val="24"/>
                <w:szCs w:val="24"/>
                <w:lang w:val="en-US" w:eastAsia="zh-CN"/>
              </w:rPr>
              <w:t>根据建设单位提供资料，</w:t>
            </w:r>
            <w:r>
              <w:rPr>
                <w:rFonts w:hint="default" w:ascii="Times New Roman" w:hAnsi="Times New Roman" w:eastAsia="宋体" w:cs="Times New Roman"/>
                <w:b w:val="0"/>
                <w:bCs w:val="0"/>
                <w:sz w:val="24"/>
                <w:szCs w:val="24"/>
                <w:lang w:val="en-US" w:eastAsia="zh-CN"/>
              </w:rPr>
              <w:t>现状处理水量</w:t>
            </w:r>
            <w:r>
              <w:rPr>
                <w:rFonts w:hint="default" w:ascii="Times New Roman" w:hAnsi="Times New Roman" w:eastAsia="宋体" w:cs="Times New Roman"/>
                <w:b w:val="0"/>
                <w:bCs w:val="0"/>
                <w:color w:val="auto"/>
                <w:sz w:val="24"/>
                <w:szCs w:val="24"/>
                <w:lang w:val="en-US" w:eastAsia="zh-CN"/>
              </w:rPr>
              <w:t>为</w:t>
            </w:r>
            <w:r>
              <w:rPr>
                <w:rFonts w:hint="eastAsia" w:cs="Times New Roman"/>
                <w:b w:val="0"/>
                <w:bCs w:val="0"/>
                <w:color w:val="auto"/>
                <w:sz w:val="24"/>
                <w:szCs w:val="24"/>
                <w:lang w:val="en-US" w:eastAsia="zh-CN"/>
              </w:rPr>
              <w:t>4000-5000</w:t>
            </w:r>
            <w:r>
              <w:rPr>
                <w:rFonts w:hint="default" w:ascii="Times New Roman" w:hAnsi="Times New Roman" w:eastAsia="宋体" w:cs="Times New Roman"/>
                <w:b w:val="0"/>
                <w:bCs w:val="0"/>
                <w:color w:val="auto"/>
                <w:sz w:val="24"/>
                <w:szCs w:val="24"/>
                <w:lang w:val="en-US" w:eastAsia="zh-CN"/>
              </w:rPr>
              <w:t>m³/d，</w:t>
            </w:r>
            <w:r>
              <w:rPr>
                <w:rFonts w:hint="eastAsia" w:cs="Times New Roman"/>
                <w:b w:val="0"/>
                <w:bCs w:val="0"/>
                <w:color w:val="auto"/>
                <w:sz w:val="24"/>
                <w:szCs w:val="24"/>
                <w:lang w:val="en-US" w:eastAsia="zh-CN"/>
              </w:rPr>
              <w:t>本次计算取较大处理量5000</w:t>
            </w:r>
            <w:r>
              <w:rPr>
                <w:rFonts w:hint="default" w:ascii="Times New Roman" w:hAnsi="Times New Roman" w:eastAsia="宋体" w:cs="Times New Roman"/>
                <w:b w:val="0"/>
                <w:bCs w:val="0"/>
                <w:color w:val="auto"/>
                <w:sz w:val="24"/>
                <w:szCs w:val="24"/>
                <w:lang w:val="en-US" w:eastAsia="zh-CN"/>
              </w:rPr>
              <w:t>m³/d，</w:t>
            </w:r>
            <w:r>
              <w:rPr>
                <w:rFonts w:hint="default" w:ascii="Times New Roman" w:hAnsi="Times New Roman" w:eastAsia="宋体" w:cs="Times New Roman"/>
                <w:b w:val="0"/>
                <w:bCs w:val="0"/>
                <w:sz w:val="24"/>
                <w:szCs w:val="24"/>
                <w:lang w:val="en-US" w:eastAsia="zh-CN"/>
              </w:rPr>
              <w:t>剩余处理</w:t>
            </w:r>
            <w:r>
              <w:rPr>
                <w:rFonts w:hint="default" w:ascii="Times New Roman" w:hAnsi="Times New Roman" w:eastAsia="宋体" w:cs="Times New Roman"/>
                <w:b w:val="0"/>
                <w:bCs w:val="0"/>
                <w:color w:val="auto"/>
                <w:sz w:val="24"/>
                <w:szCs w:val="24"/>
                <w:lang w:val="en-US" w:eastAsia="zh-CN"/>
              </w:rPr>
              <w:t>能力为</w:t>
            </w:r>
            <w:r>
              <w:rPr>
                <w:rFonts w:hint="eastAsia" w:cs="Times New Roman"/>
                <w:b w:val="0"/>
                <w:bCs w:val="0"/>
                <w:color w:val="auto"/>
                <w:sz w:val="24"/>
                <w:szCs w:val="24"/>
                <w:lang w:val="en-US" w:eastAsia="zh-CN"/>
              </w:rPr>
              <w:t>3160</w:t>
            </w:r>
            <w:r>
              <w:rPr>
                <w:rFonts w:hint="default"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/d。根据水平衡分析，本项目废水产生量为</w:t>
            </w:r>
            <w:r>
              <w:rPr>
                <w:rFonts w:hint="eastAsia" w:cs="Times New Roman"/>
                <w:color w:val="auto"/>
                <w:sz w:val="24"/>
                <w:szCs w:val="24"/>
                <w:vertAlign w:val="baseline"/>
                <w:lang w:val="en-US" w:eastAsia="zh-CN"/>
              </w:rPr>
              <w:t>1017.13</w:t>
            </w:r>
            <w:r>
              <w:rPr>
                <w:rFonts w:hint="default"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eastAsia" w:cs="Times New Roman"/>
                <w:b w:val="0"/>
                <w:bCs w:val="0"/>
                <w:color w:val="auto"/>
                <w:sz w:val="24"/>
                <w:szCs w:val="24"/>
                <w:lang w:val="en-US" w:eastAsia="zh-CN"/>
              </w:rPr>
              <w:t>产生的废水全部进入</w:t>
            </w:r>
            <w:r>
              <w:rPr>
                <w:rFonts w:hint="default" w:ascii="Times New Roman" w:hAnsi="Times New Roman" w:eastAsia="宋体" w:cs="Times New Roman"/>
                <w:b w:val="0"/>
                <w:bCs w:val="0"/>
                <w:color w:val="auto"/>
                <w:sz w:val="24"/>
                <w:szCs w:val="24"/>
                <w:lang w:val="en-US" w:eastAsia="zh-CN"/>
              </w:rPr>
              <w:t>中水处理站处理</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本项目最大废水处理量小于现状中央水处</w:t>
            </w:r>
            <w:r>
              <w:rPr>
                <w:rFonts w:hint="default" w:ascii="Times New Roman" w:hAnsi="Times New Roman" w:eastAsia="宋体" w:cs="Times New Roman"/>
                <w:b w:val="0"/>
                <w:bCs w:val="0"/>
                <w:sz w:val="24"/>
                <w:szCs w:val="24"/>
                <w:lang w:val="en-US" w:eastAsia="zh-CN"/>
              </w:rPr>
              <w:t>理站剩余处理能力，项目废水进入中央水处理站后不会突破中央水处理站处理能力，不会导致进水水质变化，不会影响中央水站处理效果。综上，本项目生产废水依托现状中央水处理站处理可行。</w:t>
            </w:r>
          </w:p>
          <w:p w14:paraId="1E14773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4.5.4废水治理技术可行性</w:t>
            </w:r>
          </w:p>
          <w:p w14:paraId="7A760E2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处理站处理工艺为：混凝沉淀+过滤，处理规模：340m</w:t>
            </w:r>
            <w:r>
              <w:rPr>
                <w:rFonts w:hint="eastAsia" w:ascii="Times New Roman" w:hAnsi="Times New Roman" w:cs="Times New Roman"/>
                <w:b w:val="0"/>
                <w:bCs w:val="0"/>
                <w:color w:val="auto"/>
                <w:sz w:val="24"/>
                <w:szCs w:val="24"/>
                <w:vertAlign w:val="superscript"/>
                <w:lang w:val="en-US" w:eastAsia="zh-CN"/>
              </w:rPr>
              <w:t>3</w:t>
            </w:r>
            <w:r>
              <w:rPr>
                <w:rFonts w:hint="eastAsia" w:ascii="Times New Roman" w:hAnsi="Times New Roman" w:cs="Times New Roman"/>
                <w:b w:val="0"/>
                <w:bCs w:val="0"/>
                <w:color w:val="auto"/>
                <w:sz w:val="24"/>
                <w:szCs w:val="24"/>
                <w:lang w:val="en-US" w:eastAsia="zh-CN"/>
              </w:rPr>
              <w:t>/h，处理后废水满足《城市污水再生利用 工业用水水质》（GB/T19923-2024）表1限值，回用于生产系统，为《排污许可证申请与核发技术规范 火电行业》可行技术。</w:t>
            </w:r>
          </w:p>
          <w:p w14:paraId="5A57F92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4.5.5废水不外排可行性分析</w:t>
            </w:r>
          </w:p>
          <w:p w14:paraId="734E13D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pPr>
            <w:r>
              <w:rPr>
                <w:rFonts w:hint="default" w:ascii="Times New Roman" w:hAnsi="Times New Roman" w:eastAsia="宋体" w:cs="Times New Roman"/>
                <w:b w:val="0"/>
                <w:bCs w:val="0"/>
                <w:sz w:val="24"/>
                <w:szCs w:val="24"/>
                <w:lang w:val="en-US" w:eastAsia="zh-CN"/>
              </w:rPr>
              <w:t>根据仙福公司现状水平衡可知，现状炼钢、轧钢及合金钢新水补充量为</w:t>
            </w:r>
            <w:r>
              <w:rPr>
                <w:rFonts w:hint="default" w:ascii="Times New Roman" w:hAnsi="Times New Roman" w:eastAsia="宋体" w:cs="Times New Roman"/>
                <w:color w:val="000000"/>
                <w:kern w:val="0"/>
                <w:sz w:val="24"/>
                <w:szCs w:val="24"/>
                <w:lang w:val="en-US" w:eastAsia="zh-CN" w:bidi="ar"/>
              </w:rPr>
              <w:t>6350m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/d，详见下</w:t>
            </w:r>
            <w:r>
              <w:rPr>
                <w:rFonts w:hint="eastAsia" w:ascii="宋体" w:hAnsi="宋体" w:eastAsia="宋体" w:cs="宋体"/>
                <w:color w:val="000000"/>
                <w:kern w:val="0"/>
                <w:sz w:val="24"/>
                <w:szCs w:val="24"/>
                <w:lang w:val="en-US" w:eastAsia="zh-CN" w:bidi="ar"/>
              </w:rPr>
              <w:t>图。</w:t>
            </w:r>
          </w:p>
          <w:p w14:paraId="55A845AD">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default" w:cs="Times New Roman"/>
                <w:b/>
                <w:bCs/>
                <w:color w:val="auto"/>
                <w:sz w:val="24"/>
                <w:lang w:val="en-US" w:eastAsia="zh-CN"/>
              </w:rPr>
            </w:pPr>
            <w:r>
              <w:drawing>
                <wp:inline distT="0" distB="0" distL="114300" distR="114300">
                  <wp:extent cx="5001260" cy="7409180"/>
                  <wp:effectExtent l="0" t="0" r="8890" b="12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rcRect b="4133"/>
                          <a:stretch>
                            <a:fillRect/>
                          </a:stretch>
                        </pic:blipFill>
                        <pic:spPr>
                          <a:xfrm>
                            <a:off x="0" y="0"/>
                            <a:ext cx="5001260" cy="7409180"/>
                          </a:xfrm>
                          <a:prstGeom prst="rect">
                            <a:avLst/>
                          </a:prstGeom>
                          <a:noFill/>
                          <a:ln>
                            <a:noFill/>
                          </a:ln>
                        </pic:spPr>
                      </pic:pic>
                    </a:graphicData>
                  </a:graphic>
                </wp:inline>
              </w:drawing>
            </w:r>
          </w:p>
          <w:p w14:paraId="216714C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4"/>
                <w:lang w:val="en-US" w:eastAsia="zh-CN"/>
              </w:rPr>
            </w:pPr>
            <w:r>
              <w:rPr>
                <w:rFonts w:hint="eastAsia" w:ascii="黑体" w:hAnsi="黑体" w:eastAsia="黑体" w:cs="黑体"/>
                <w:b w:val="0"/>
                <w:bCs w:val="0"/>
                <w:color w:val="000000"/>
                <w:kern w:val="0"/>
                <w:sz w:val="24"/>
                <w:szCs w:val="24"/>
                <w:lang w:val="en-US" w:eastAsia="zh-CN" w:bidi="ar"/>
              </w:rPr>
              <w:t>图4-2 仙福公司现状水平衡图 单位：m³/d</w:t>
            </w:r>
          </w:p>
          <w:p w14:paraId="32B1D4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00"/>
                <w:kern w:val="0"/>
                <w:sz w:val="24"/>
                <w:szCs w:val="24"/>
                <w:lang w:val="en-US" w:eastAsia="zh-CN" w:bidi="ar"/>
              </w:rPr>
              <w:t>本项目建成后，新增最大废水量为</w:t>
            </w:r>
            <w:r>
              <w:rPr>
                <w:rFonts w:hint="eastAsia" w:cs="Times New Roman"/>
                <w:color w:val="000000"/>
                <w:kern w:val="0"/>
                <w:sz w:val="24"/>
                <w:szCs w:val="24"/>
                <w:lang w:val="en-US" w:eastAsia="zh-CN" w:bidi="ar"/>
              </w:rPr>
              <w:t>1189.31</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经中央水站处理后回用于炼钢、轧钢。回用水量远远小于目前炼钢、轧钢新水补充量（6350m³/d）。全厂污水管网、中水回用管网铺设完善，本项目废水经处理后可做到全部回用，不外排</w:t>
            </w:r>
            <w:r>
              <w:rPr>
                <w:rFonts w:hint="eastAsia" w:ascii="宋体" w:hAnsi="宋体" w:eastAsia="宋体" w:cs="宋体"/>
                <w:color w:val="000000"/>
                <w:kern w:val="0"/>
                <w:sz w:val="24"/>
                <w:szCs w:val="24"/>
                <w:lang w:val="en-US" w:eastAsia="zh-CN" w:bidi="ar"/>
              </w:rPr>
              <w:t>。</w:t>
            </w:r>
          </w:p>
          <w:p w14:paraId="29B776C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4.6废气</w:t>
            </w:r>
          </w:p>
          <w:p w14:paraId="6A81BDE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4.6.1废气源强核算</w:t>
            </w:r>
          </w:p>
          <w:p w14:paraId="6C9F97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本项目废气主要是燃气锅炉废气和灰仓装卸废气。</w:t>
            </w:r>
          </w:p>
          <w:p w14:paraId="71C93FE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（1）燃气锅炉废气</w:t>
            </w:r>
          </w:p>
          <w:p w14:paraId="19EA40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项目使用的煤气</w:t>
            </w:r>
            <w:r>
              <w:rPr>
                <w:rFonts w:hint="eastAsia" w:cs="Times New Roman"/>
                <w:color w:val="auto"/>
                <w:kern w:val="0"/>
                <w:sz w:val="24"/>
                <w:szCs w:val="24"/>
                <w:lang w:val="en-US" w:eastAsia="zh-CN" w:bidi="ar"/>
              </w:rPr>
              <w:t>种类为</w:t>
            </w:r>
            <w:r>
              <w:rPr>
                <w:rFonts w:hint="eastAsia" w:ascii="Times New Roman" w:hAnsi="Times New Roman" w:eastAsia="宋体" w:cs="Times New Roman"/>
                <w:color w:val="auto"/>
                <w:kern w:val="0"/>
                <w:sz w:val="24"/>
                <w:szCs w:val="24"/>
                <w:lang w:val="en-US" w:eastAsia="zh-CN" w:bidi="ar"/>
              </w:rPr>
              <w:t>高炉煤气、转炉煤气以及焦炉煤气，</w:t>
            </w:r>
            <w:r>
              <w:rPr>
                <w:rFonts w:hint="eastAsia" w:cs="Times New Roman"/>
                <w:color w:val="auto"/>
                <w:kern w:val="0"/>
                <w:sz w:val="24"/>
                <w:szCs w:val="24"/>
                <w:lang w:val="en-US" w:eastAsia="zh-CN" w:bidi="ar"/>
              </w:rPr>
              <w:t>年运行时间为7920h，</w:t>
            </w:r>
            <w:r>
              <w:rPr>
                <w:rFonts w:hint="eastAsia" w:ascii="Times New Roman" w:hAnsi="Times New Roman" w:cs="Times New Roman"/>
                <w:color w:val="auto"/>
                <w:sz w:val="24"/>
                <w:highlight w:val="none"/>
                <w:lang w:val="en-US" w:eastAsia="zh-CN"/>
              </w:rPr>
              <w:t>高炉煤气、转炉煤气、焦炉煤气的消耗量分别约为</w:t>
            </w:r>
            <w:r>
              <w:rPr>
                <w:rFonts w:hint="default" w:ascii="Times New Roman" w:hAnsi="Times New Roman" w:eastAsia="宋体" w:cs="Times New Roman"/>
                <w:i w:val="0"/>
                <w:iCs w:val="0"/>
                <w:color w:val="auto"/>
                <w:kern w:val="0"/>
                <w:sz w:val="24"/>
                <w:szCs w:val="24"/>
                <w:u w:val="none"/>
                <w:lang w:val="en-US" w:eastAsia="zh-CN" w:bidi="ar"/>
              </w:rPr>
              <w:t>48298</w:t>
            </w:r>
            <w:r>
              <w:rPr>
                <w:rFonts w:hint="eastAsia" w:ascii="Times New Roman" w:hAnsi="Times New Roman" w:eastAsia="宋体" w:cs="Times New Roman"/>
                <w:i w:val="0"/>
                <w:iCs w:val="0"/>
                <w:color w:val="auto"/>
                <w:kern w:val="0"/>
                <w:sz w:val="24"/>
                <w:szCs w:val="24"/>
                <w:u w:val="none"/>
                <w:lang w:val="en-US" w:eastAsia="zh-CN" w:bidi="ar"/>
              </w:rPr>
              <w:t>万</w:t>
            </w:r>
            <w:r>
              <w:rPr>
                <w:rFonts w:hint="eastAsia" w:cs="Times New Roman"/>
                <w:i w:val="0"/>
                <w:iCs w:val="0"/>
                <w:color w:val="auto"/>
                <w:kern w:val="0"/>
                <w:sz w:val="24"/>
                <w:szCs w:val="24"/>
                <w:u w:val="none"/>
                <w:lang w:val="en-US" w:eastAsia="zh-CN" w:bidi="ar"/>
              </w:rPr>
              <w:t>N</w:t>
            </w:r>
            <w:r>
              <w:rPr>
                <w:rFonts w:hint="eastAsia" w:ascii="Times New Roman" w:hAnsi="Times New Roman" w:eastAsia="宋体" w:cs="Times New Roman"/>
                <w:i w:val="0"/>
                <w:iCs w:val="0"/>
                <w:color w:val="auto"/>
                <w:kern w:val="0"/>
                <w:sz w:val="24"/>
                <w:szCs w:val="24"/>
                <w:u w:val="none"/>
                <w:lang w:val="en-US" w:eastAsia="zh-CN" w:bidi="ar"/>
              </w:rPr>
              <w:t>m</w:t>
            </w:r>
            <w:r>
              <w:rPr>
                <w:rFonts w:hint="eastAsia" w:cs="Times New Roman"/>
                <w:i w:val="0"/>
                <w:iCs w:val="0"/>
                <w:color w:val="auto"/>
                <w:kern w:val="0"/>
                <w:sz w:val="24"/>
                <w:szCs w:val="24"/>
                <w:u w:val="none"/>
                <w:vertAlign w:val="superscript"/>
                <w:lang w:val="en-US" w:eastAsia="zh-CN" w:bidi="ar"/>
              </w:rPr>
              <w:t>3</w:t>
            </w:r>
            <w:r>
              <w:rPr>
                <w:rFonts w:hint="eastAsia" w:ascii="Times New Roman" w:hAnsi="Times New Roman" w:eastAsia="宋体" w:cs="Times New Roman"/>
                <w:i w:val="0"/>
                <w:iCs w:val="0"/>
                <w:color w:val="auto"/>
                <w:kern w:val="0"/>
                <w:sz w:val="24"/>
                <w:szCs w:val="24"/>
                <w:u w:val="none"/>
                <w:lang w:val="en-US" w:eastAsia="zh-CN" w:bidi="ar"/>
              </w:rPr>
              <w:t>/年、136</w:t>
            </w:r>
            <w:r>
              <w:rPr>
                <w:rFonts w:hint="default" w:ascii="Times New Roman" w:hAnsi="Times New Roman" w:eastAsia="宋体" w:cs="Times New Roman"/>
                <w:i w:val="0"/>
                <w:iCs w:val="0"/>
                <w:color w:val="auto"/>
                <w:kern w:val="0"/>
                <w:sz w:val="24"/>
                <w:szCs w:val="24"/>
                <w:u w:val="none"/>
                <w:lang w:val="en-US" w:eastAsia="zh-CN" w:bidi="ar"/>
              </w:rPr>
              <w:t>9</w:t>
            </w:r>
            <w:r>
              <w:rPr>
                <w:rFonts w:hint="eastAsia" w:ascii="Times New Roman" w:hAnsi="Times New Roman" w:eastAsia="宋体" w:cs="Times New Roman"/>
                <w:i w:val="0"/>
                <w:iCs w:val="0"/>
                <w:color w:val="auto"/>
                <w:kern w:val="0"/>
                <w:sz w:val="24"/>
                <w:szCs w:val="24"/>
                <w:u w:val="none"/>
                <w:lang w:val="en-US" w:eastAsia="zh-CN" w:bidi="ar"/>
              </w:rPr>
              <w:t>4万</w:t>
            </w:r>
            <w:r>
              <w:rPr>
                <w:rFonts w:hint="eastAsia" w:cs="Times New Roman"/>
                <w:i w:val="0"/>
                <w:iCs w:val="0"/>
                <w:color w:val="auto"/>
                <w:kern w:val="0"/>
                <w:sz w:val="24"/>
                <w:szCs w:val="24"/>
                <w:u w:val="none"/>
                <w:lang w:val="en-US" w:eastAsia="zh-CN" w:bidi="ar"/>
              </w:rPr>
              <w:t>N</w:t>
            </w:r>
            <w:r>
              <w:rPr>
                <w:rFonts w:hint="eastAsia" w:ascii="Times New Roman" w:hAnsi="Times New Roman" w:eastAsia="宋体" w:cs="Times New Roman"/>
                <w:i w:val="0"/>
                <w:iCs w:val="0"/>
                <w:color w:val="auto"/>
                <w:kern w:val="0"/>
                <w:sz w:val="24"/>
                <w:szCs w:val="24"/>
                <w:u w:val="none"/>
                <w:lang w:val="en-US" w:eastAsia="zh-CN" w:bidi="ar"/>
              </w:rPr>
              <w:t>m</w:t>
            </w:r>
            <w:r>
              <w:rPr>
                <w:rFonts w:hint="eastAsia" w:cs="Times New Roman"/>
                <w:i w:val="0"/>
                <w:iCs w:val="0"/>
                <w:color w:val="auto"/>
                <w:kern w:val="0"/>
                <w:sz w:val="24"/>
                <w:szCs w:val="24"/>
                <w:u w:val="none"/>
                <w:vertAlign w:val="superscript"/>
                <w:lang w:val="en-US" w:eastAsia="zh-CN" w:bidi="ar"/>
              </w:rPr>
              <w:t>3</w:t>
            </w:r>
            <w:r>
              <w:rPr>
                <w:rFonts w:hint="eastAsia" w:ascii="Times New Roman" w:hAnsi="Times New Roman" w:eastAsia="宋体" w:cs="Times New Roman"/>
                <w:i w:val="0"/>
                <w:iCs w:val="0"/>
                <w:color w:val="auto"/>
                <w:kern w:val="0"/>
                <w:sz w:val="24"/>
                <w:szCs w:val="24"/>
                <w:u w:val="none"/>
                <w:lang w:val="en-US" w:eastAsia="zh-CN" w:bidi="ar"/>
              </w:rPr>
              <w:t>/年</w:t>
            </w:r>
            <w:r>
              <w:rPr>
                <w:rFonts w:hint="eastAsia" w:ascii="Times New Roman" w:hAnsi="Times New Roman" w:cs="Times New Roman"/>
                <w:i w:val="0"/>
                <w:iCs w:val="0"/>
                <w:color w:val="auto"/>
                <w:kern w:val="0"/>
                <w:sz w:val="24"/>
                <w:szCs w:val="24"/>
                <w:u w:val="none"/>
                <w:lang w:val="en-US" w:eastAsia="zh-CN" w:bidi="ar"/>
              </w:rPr>
              <w:t>、</w:t>
            </w:r>
            <w:r>
              <w:rPr>
                <w:rFonts w:hint="eastAsia" w:ascii="Times New Roman" w:hAnsi="Times New Roman" w:eastAsia="宋体" w:cs="Times New Roman"/>
                <w:i w:val="0"/>
                <w:iCs w:val="0"/>
                <w:color w:val="auto"/>
                <w:kern w:val="0"/>
                <w:sz w:val="24"/>
                <w:szCs w:val="24"/>
                <w:u w:val="none"/>
                <w:lang w:val="en-US" w:eastAsia="zh-CN" w:bidi="ar"/>
              </w:rPr>
              <w:t>22550万</w:t>
            </w:r>
            <w:r>
              <w:rPr>
                <w:rFonts w:hint="eastAsia" w:cs="Times New Roman"/>
                <w:i w:val="0"/>
                <w:iCs w:val="0"/>
                <w:color w:val="auto"/>
                <w:kern w:val="0"/>
                <w:sz w:val="24"/>
                <w:szCs w:val="24"/>
                <w:u w:val="none"/>
                <w:lang w:val="en-US" w:eastAsia="zh-CN" w:bidi="ar"/>
              </w:rPr>
              <w:t>N</w:t>
            </w:r>
            <w:r>
              <w:rPr>
                <w:rFonts w:hint="eastAsia" w:ascii="Times New Roman" w:hAnsi="Times New Roman" w:eastAsia="宋体" w:cs="Times New Roman"/>
                <w:i w:val="0"/>
                <w:iCs w:val="0"/>
                <w:color w:val="auto"/>
                <w:kern w:val="0"/>
                <w:sz w:val="24"/>
                <w:szCs w:val="24"/>
                <w:u w:val="none"/>
                <w:lang w:val="en-US" w:eastAsia="zh-CN" w:bidi="ar"/>
              </w:rPr>
              <w:t>m</w:t>
            </w:r>
            <w:r>
              <w:rPr>
                <w:rFonts w:hint="eastAsia" w:cs="Times New Roman"/>
                <w:i w:val="0"/>
                <w:iCs w:val="0"/>
                <w:color w:val="auto"/>
                <w:kern w:val="0"/>
                <w:sz w:val="24"/>
                <w:szCs w:val="24"/>
                <w:u w:val="none"/>
                <w:vertAlign w:val="superscript"/>
                <w:lang w:val="en-US" w:eastAsia="zh-CN" w:bidi="ar"/>
              </w:rPr>
              <w:t>3</w:t>
            </w:r>
            <w:r>
              <w:rPr>
                <w:rFonts w:hint="eastAsia" w:ascii="Times New Roman" w:hAnsi="Times New Roman" w:eastAsia="宋体" w:cs="Times New Roman"/>
                <w:i w:val="0"/>
                <w:iCs w:val="0"/>
                <w:color w:val="auto"/>
                <w:kern w:val="0"/>
                <w:sz w:val="24"/>
                <w:szCs w:val="24"/>
                <w:u w:val="none"/>
                <w:lang w:val="en-US" w:eastAsia="zh-CN" w:bidi="ar"/>
              </w:rPr>
              <w:t>/年</w:t>
            </w:r>
            <w:r>
              <w:rPr>
                <w:rFonts w:hint="eastAsia" w:ascii="Times New Roman" w:hAnsi="Times New Roman" w:cs="Times New Roman"/>
                <w:i w:val="0"/>
                <w:iCs w:val="0"/>
                <w:color w:val="auto"/>
                <w:kern w:val="0"/>
                <w:sz w:val="24"/>
                <w:szCs w:val="24"/>
                <w:u w:val="none"/>
                <w:lang w:val="en-US" w:eastAsia="zh-CN" w:bidi="ar"/>
              </w:rPr>
              <w:t>；焦炉煤气为净化后煤气，煤气中少量的苯在锅炉内与氧气充分燃烧，全部变成CO</w:t>
            </w:r>
            <w:r>
              <w:rPr>
                <w:rFonts w:hint="eastAsia" w:ascii="Times New Roman" w:hAnsi="Times New Roman" w:cs="Times New Roman"/>
                <w:i w:val="0"/>
                <w:iCs w:val="0"/>
                <w:color w:val="auto"/>
                <w:kern w:val="0"/>
                <w:sz w:val="24"/>
                <w:szCs w:val="24"/>
                <w:u w:val="none"/>
                <w:vertAlign w:val="subscript"/>
                <w:lang w:val="en-US" w:eastAsia="zh-CN" w:bidi="ar"/>
              </w:rPr>
              <w:t>2</w:t>
            </w:r>
            <w:r>
              <w:rPr>
                <w:rFonts w:hint="eastAsia" w:ascii="Times New Roman" w:hAnsi="Times New Roman" w:cs="Times New Roman"/>
                <w:i w:val="0"/>
                <w:iCs w:val="0"/>
                <w:color w:val="auto"/>
                <w:kern w:val="0"/>
                <w:sz w:val="24"/>
                <w:szCs w:val="24"/>
                <w:u w:val="none"/>
                <w:lang w:val="en-US" w:eastAsia="zh-CN" w:bidi="ar"/>
              </w:rPr>
              <w:t>和H</w:t>
            </w:r>
            <w:r>
              <w:rPr>
                <w:rFonts w:hint="eastAsia" w:ascii="Times New Roman" w:hAnsi="Times New Roman" w:cs="Times New Roman"/>
                <w:i w:val="0"/>
                <w:iCs w:val="0"/>
                <w:color w:val="auto"/>
                <w:kern w:val="0"/>
                <w:sz w:val="24"/>
                <w:szCs w:val="24"/>
                <w:u w:val="none"/>
                <w:vertAlign w:val="subscript"/>
                <w:lang w:val="en-US" w:eastAsia="zh-CN" w:bidi="ar"/>
              </w:rPr>
              <w:t>2</w:t>
            </w:r>
            <w:r>
              <w:rPr>
                <w:rFonts w:hint="eastAsia" w:ascii="Times New Roman" w:hAnsi="Times New Roman" w:cs="Times New Roman"/>
                <w:i w:val="0"/>
                <w:iCs w:val="0"/>
                <w:color w:val="auto"/>
                <w:kern w:val="0"/>
                <w:sz w:val="24"/>
                <w:szCs w:val="24"/>
                <w:u w:val="none"/>
                <w:lang w:val="en-US" w:eastAsia="zh-CN" w:bidi="ar"/>
              </w:rPr>
              <w:t>O，燃气锅炉废气污染物主要为颗粒物、SO</w:t>
            </w:r>
            <w:r>
              <w:rPr>
                <w:rFonts w:hint="eastAsia" w:ascii="Times New Roman" w:hAnsi="Times New Roman" w:cs="Times New Roman"/>
                <w:i w:val="0"/>
                <w:iCs w:val="0"/>
                <w:color w:val="auto"/>
                <w:kern w:val="0"/>
                <w:sz w:val="24"/>
                <w:szCs w:val="24"/>
                <w:u w:val="none"/>
                <w:vertAlign w:val="subscript"/>
                <w:lang w:val="en-US" w:eastAsia="zh-CN" w:bidi="ar"/>
              </w:rPr>
              <w:t>2</w:t>
            </w:r>
            <w:r>
              <w:rPr>
                <w:rFonts w:hint="eastAsia" w:ascii="Times New Roman" w:hAnsi="Times New Roman" w:cs="Times New Roman"/>
                <w:i w:val="0"/>
                <w:iCs w:val="0"/>
                <w:color w:val="auto"/>
                <w:kern w:val="0"/>
                <w:sz w:val="24"/>
                <w:szCs w:val="24"/>
                <w:u w:val="none"/>
                <w:lang w:val="en-US" w:eastAsia="zh-CN" w:bidi="ar"/>
              </w:rPr>
              <w:t>、NOx。</w:t>
            </w:r>
          </w:p>
          <w:p w14:paraId="221514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燃气锅炉采用低氮燃烧技术，锅炉烟气经</w:t>
            </w:r>
            <w:r>
              <w:rPr>
                <w:rFonts w:hint="eastAsia" w:cs="Times New Roman"/>
                <w:color w:val="auto"/>
                <w:kern w:val="0"/>
                <w:sz w:val="24"/>
                <w:szCs w:val="24"/>
                <w:lang w:val="en-US" w:eastAsia="zh-CN" w:bidi="ar"/>
              </w:rPr>
              <w:t>SCR脱硝+</w:t>
            </w:r>
            <w:r>
              <w:rPr>
                <w:rFonts w:hint="eastAsia" w:ascii="Times New Roman" w:hAnsi="Times New Roman" w:cs="Times New Roman"/>
                <w:color w:val="auto"/>
                <w:kern w:val="0"/>
                <w:sz w:val="24"/>
                <w:szCs w:val="24"/>
                <w:lang w:val="en-US" w:eastAsia="zh-CN" w:bidi="ar"/>
              </w:rPr>
              <w:t>钙基干法</w:t>
            </w:r>
            <w:r>
              <w:rPr>
                <w:rFonts w:hint="default" w:ascii="Times New Roman" w:hAnsi="Times New Roman" w:eastAsia="宋体" w:cs="Times New Roman"/>
                <w:color w:val="auto"/>
                <w:kern w:val="0"/>
                <w:sz w:val="24"/>
                <w:szCs w:val="24"/>
                <w:lang w:val="en-US" w:eastAsia="zh-CN" w:bidi="ar"/>
              </w:rPr>
              <w:t>脱硫+</w:t>
            </w:r>
            <w:r>
              <w:rPr>
                <w:rFonts w:hint="eastAsia" w:ascii="Times New Roman" w:hAnsi="Times New Roman" w:cs="Times New Roman"/>
                <w:color w:val="auto"/>
                <w:kern w:val="0"/>
                <w:sz w:val="24"/>
                <w:szCs w:val="24"/>
                <w:lang w:val="en-US" w:eastAsia="zh-CN" w:bidi="ar"/>
              </w:rPr>
              <w:t>布袋除尘器</w:t>
            </w:r>
            <w:r>
              <w:rPr>
                <w:rFonts w:hint="default" w:ascii="Times New Roman" w:hAnsi="Times New Roman" w:eastAsia="宋体" w:cs="Times New Roman"/>
                <w:color w:val="auto"/>
                <w:kern w:val="0"/>
                <w:sz w:val="24"/>
                <w:szCs w:val="24"/>
                <w:lang w:val="en-US" w:eastAsia="zh-CN" w:bidi="ar"/>
              </w:rPr>
              <w:t>，通过1根</w:t>
            </w:r>
            <w:r>
              <w:rPr>
                <w:rFonts w:hint="eastAsia" w:cs="Times New Roman"/>
                <w:color w:val="auto"/>
                <w:kern w:val="0"/>
                <w:sz w:val="24"/>
                <w:szCs w:val="24"/>
                <w:lang w:val="en-US" w:eastAsia="zh-CN" w:bidi="ar"/>
              </w:rPr>
              <w:t>80</w:t>
            </w:r>
            <w:r>
              <w:rPr>
                <w:rFonts w:hint="default" w:ascii="Times New Roman" w:hAnsi="Times New Roman" w:eastAsia="宋体" w:cs="Times New Roman"/>
                <w:color w:val="auto"/>
                <w:kern w:val="0"/>
                <w:sz w:val="24"/>
                <w:szCs w:val="24"/>
                <w:lang w:val="en-US" w:eastAsia="zh-CN" w:bidi="ar"/>
              </w:rPr>
              <w:t>m高烟囱排放。</w:t>
            </w:r>
            <w:r>
              <w:rPr>
                <w:rFonts w:hint="eastAsia" w:cs="Times New Roman"/>
                <w:color w:val="auto"/>
                <w:kern w:val="0"/>
                <w:sz w:val="24"/>
                <w:szCs w:val="24"/>
                <w:lang w:val="en-US" w:eastAsia="zh-CN" w:bidi="ar"/>
              </w:rPr>
              <w:t>锅炉配2套风机，2台风机风量均为32万Nm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w:t>
            </w:r>
          </w:p>
          <w:p w14:paraId="737BFD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根据《排放源统计调查产排污核算方法和系数手册》中</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4430工业锅炉（热力供应）行业系数手册</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中以高炉煤气/焦炉煤气为原料的生产蒸汽的产排污系数核算锅炉SO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eastAsia" w:ascii="Times New Roman" w:hAnsi="Times New Roman" w:cs="Times New Roman"/>
                <w:color w:val="auto"/>
                <w:kern w:val="0"/>
                <w:sz w:val="24"/>
                <w:szCs w:val="24"/>
                <w:lang w:val="en-US" w:eastAsia="zh-CN" w:bidi="ar"/>
              </w:rPr>
              <w:t>x</w:t>
            </w:r>
            <w:r>
              <w:rPr>
                <w:rFonts w:hint="default" w:ascii="Times New Roman" w:hAnsi="Times New Roman" w:eastAsia="宋体" w:cs="Times New Roman"/>
                <w:color w:val="auto"/>
                <w:kern w:val="0"/>
                <w:sz w:val="24"/>
                <w:szCs w:val="24"/>
                <w:lang w:val="en-US" w:eastAsia="zh-CN" w:bidi="ar"/>
              </w:rPr>
              <w:t>产生量及废气产、排情况，因其中颗粒物无排放系数，参照</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4411火力发电系数手册</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中以高炉</w:t>
            </w:r>
            <w:r>
              <w:rPr>
                <w:rFonts w:hint="eastAsia" w:ascii="Times New Roman" w:hAnsi="Times New Roman" w:cs="Times New Roman"/>
                <w:color w:val="auto"/>
                <w:kern w:val="0"/>
                <w:sz w:val="24"/>
                <w:szCs w:val="24"/>
                <w:lang w:val="en-US" w:eastAsia="zh-CN" w:bidi="ar"/>
              </w:rPr>
              <w:t>、转炉混合</w:t>
            </w:r>
            <w:r>
              <w:rPr>
                <w:rFonts w:hint="default" w:ascii="Times New Roman" w:hAnsi="Times New Roman" w:eastAsia="宋体" w:cs="Times New Roman"/>
                <w:color w:val="auto"/>
                <w:kern w:val="0"/>
                <w:sz w:val="24"/>
                <w:szCs w:val="24"/>
                <w:lang w:val="en-US" w:eastAsia="zh-CN" w:bidi="ar"/>
              </w:rPr>
              <w:t>煤气</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焦炉煤气为原料的锅炉排污系数，详见下表4-</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p>
          <w:p w14:paraId="6F66D05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w:t>
            </w:r>
            <w:r>
              <w:rPr>
                <w:rFonts w:hint="eastAsia" w:cs="Times New Roman"/>
                <w:b/>
                <w:bCs/>
                <w:color w:val="auto"/>
                <w:kern w:val="0"/>
                <w:sz w:val="24"/>
                <w:szCs w:val="24"/>
                <w:lang w:val="en-US" w:eastAsia="zh-CN" w:bidi="ar"/>
              </w:rPr>
              <w:t>2</w:t>
            </w:r>
            <w:r>
              <w:rPr>
                <w:rFonts w:hint="eastAsia" w:ascii="Times New Roman" w:hAnsi="Times New Roman" w:cs="Times New Roman"/>
                <w:b/>
                <w:bCs/>
                <w:color w:val="auto"/>
                <w:kern w:val="0"/>
                <w:sz w:val="24"/>
                <w:szCs w:val="24"/>
                <w:lang w:val="en-US" w:eastAsia="zh-CN" w:bidi="ar"/>
              </w:rPr>
              <w:t>）逃逸</w:t>
            </w:r>
            <w:r>
              <w:rPr>
                <w:rFonts w:hint="eastAsia" w:cs="Times New Roman"/>
                <w:b/>
                <w:bCs/>
                <w:color w:val="auto"/>
                <w:kern w:val="0"/>
                <w:sz w:val="24"/>
                <w:szCs w:val="24"/>
                <w:lang w:val="en-US" w:eastAsia="zh-CN" w:bidi="ar"/>
              </w:rPr>
              <w:t>氨</w:t>
            </w:r>
          </w:p>
          <w:p w14:paraId="7240BC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SCR</w:t>
            </w:r>
            <w:r>
              <w:rPr>
                <w:rFonts w:hint="eastAsia" w:ascii="Times New Roman" w:hAnsi="Times New Roman" w:eastAsia="宋体" w:cs="Times New Roman"/>
                <w:color w:val="auto"/>
                <w:kern w:val="0"/>
                <w:sz w:val="24"/>
                <w:szCs w:val="24"/>
                <w:lang w:val="en-US" w:eastAsia="zh-CN" w:bidi="ar"/>
              </w:rPr>
              <w:t>脱硝过程中会有少量</w:t>
            </w:r>
            <w:r>
              <w:rPr>
                <w:rFonts w:hint="eastAsia" w:cs="Times New Roman"/>
                <w:color w:val="auto"/>
                <w:kern w:val="0"/>
                <w:sz w:val="24"/>
                <w:szCs w:val="24"/>
                <w:lang w:val="en-US" w:eastAsia="zh-CN" w:bidi="ar"/>
              </w:rPr>
              <w:t>没有</w:t>
            </w:r>
            <w:r>
              <w:rPr>
                <w:rFonts w:hint="eastAsia" w:ascii="Times New Roman" w:hAnsi="Times New Roman" w:eastAsia="宋体" w:cs="Times New Roman"/>
                <w:color w:val="auto"/>
                <w:kern w:val="0"/>
                <w:sz w:val="24"/>
                <w:szCs w:val="24"/>
                <w:lang w:val="en-US" w:eastAsia="zh-CN" w:bidi="ar"/>
              </w:rPr>
              <w:t>参与反应的氨气逃逸。根据项目可研，本项目</w:t>
            </w:r>
            <w:r>
              <w:rPr>
                <w:rFonts w:hint="default" w:ascii="Times New Roman" w:hAnsi="Times New Roman" w:eastAsia="宋体" w:cs="Times New Roman"/>
                <w:color w:val="auto"/>
                <w:kern w:val="0"/>
                <w:sz w:val="24"/>
                <w:szCs w:val="24"/>
                <w:lang w:val="en-US" w:eastAsia="zh-CN" w:bidi="ar"/>
              </w:rPr>
              <w:t>SCR</w:t>
            </w:r>
            <w:r>
              <w:rPr>
                <w:rFonts w:hint="eastAsia" w:ascii="Times New Roman" w:hAnsi="Times New Roman" w:eastAsia="宋体" w:cs="Times New Roman"/>
                <w:color w:val="auto"/>
                <w:kern w:val="0"/>
                <w:sz w:val="24"/>
                <w:szCs w:val="24"/>
                <w:lang w:val="en-US" w:eastAsia="zh-CN" w:bidi="ar"/>
              </w:rPr>
              <w:t>脱硝装置的氨逃逸水平设计值为≤</w:t>
            </w:r>
            <w:r>
              <w:rPr>
                <w:rFonts w:hint="default" w:ascii="Times New Roman" w:hAnsi="Times New Roman" w:eastAsia="宋体" w:cs="Times New Roman"/>
                <w:color w:val="auto"/>
                <w:kern w:val="0"/>
                <w:sz w:val="24"/>
                <w:szCs w:val="24"/>
                <w:lang w:val="en-US" w:eastAsia="zh-CN" w:bidi="ar"/>
              </w:rPr>
              <w:t>2.5mg/Nm</w:t>
            </w:r>
            <w:r>
              <w:rPr>
                <w:rFonts w:hint="eastAsia" w:ascii="Times New Roman" w:hAnsi="Times New Roman"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，项目采用自动加氨系统，精确度较高。根据《火电厂烟气脱硝工程技术规范选择性催化还原法》（</w:t>
            </w:r>
            <w:r>
              <w:rPr>
                <w:rFonts w:hint="default" w:ascii="Times New Roman" w:hAnsi="Times New Roman" w:eastAsia="宋体" w:cs="Times New Roman"/>
                <w:color w:val="auto"/>
                <w:kern w:val="0"/>
                <w:sz w:val="24"/>
                <w:szCs w:val="24"/>
                <w:lang w:val="en-US" w:eastAsia="zh-CN" w:bidi="ar"/>
              </w:rPr>
              <w:t>HJ562-2010</w:t>
            </w:r>
            <w:r>
              <w:rPr>
                <w:rFonts w:hint="eastAsia" w:ascii="Times New Roman" w:hAnsi="Times New Roman" w:eastAsia="宋体" w:cs="Times New Roman"/>
                <w:color w:val="auto"/>
                <w:kern w:val="0"/>
                <w:sz w:val="24"/>
                <w:szCs w:val="24"/>
                <w:lang w:val="en-US" w:eastAsia="zh-CN" w:bidi="ar"/>
              </w:rPr>
              <w:t>）的规定，氨逃逸浓度应小于</w:t>
            </w:r>
            <w:r>
              <w:rPr>
                <w:rFonts w:hint="default" w:ascii="Times New Roman" w:hAnsi="Times New Roman" w:eastAsia="宋体" w:cs="Times New Roman"/>
                <w:color w:val="auto"/>
                <w:kern w:val="0"/>
                <w:sz w:val="24"/>
                <w:szCs w:val="24"/>
                <w:lang w:val="en-US" w:eastAsia="zh-CN" w:bidi="ar"/>
              </w:rPr>
              <w:t>2.5mg/Nm</w:t>
            </w:r>
            <w:r>
              <w:rPr>
                <w:rFonts w:hint="eastAsia" w:ascii="Times New Roman" w:hAnsi="Times New Roman"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，本项目氨逃逸浓度按</w:t>
            </w:r>
            <w:r>
              <w:rPr>
                <w:rFonts w:hint="default" w:ascii="Times New Roman" w:hAnsi="Times New Roman" w:eastAsia="宋体" w:cs="Times New Roman"/>
                <w:color w:val="auto"/>
                <w:kern w:val="0"/>
                <w:sz w:val="24"/>
                <w:szCs w:val="24"/>
                <w:lang w:val="en-US" w:eastAsia="zh-CN" w:bidi="ar"/>
              </w:rPr>
              <w:t>2.5mg/Nm</w:t>
            </w:r>
            <w:r>
              <w:rPr>
                <w:rFonts w:hint="eastAsia" w:ascii="Times New Roman" w:hAnsi="Times New Roman"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计算，锅炉废气量为</w:t>
            </w:r>
            <w:r>
              <w:rPr>
                <w:rFonts w:hint="eastAsia" w:cs="Times New Roman"/>
                <w:color w:val="auto"/>
                <w:kern w:val="0"/>
                <w:sz w:val="24"/>
                <w:szCs w:val="24"/>
                <w:lang w:val="en-US" w:eastAsia="zh-CN" w:bidi="ar"/>
              </w:rPr>
              <w:t>221905.18</w:t>
            </w:r>
            <w:r>
              <w:rPr>
                <w:rFonts w:hint="eastAsia" w:ascii="Times New Roman" w:hAnsi="Times New Roman" w:eastAsia="宋体" w:cs="Times New Roman"/>
                <w:color w:val="auto"/>
                <w:kern w:val="0"/>
                <w:sz w:val="24"/>
                <w:szCs w:val="24"/>
                <w:lang w:val="en-US" w:eastAsia="zh-CN" w:bidi="ar"/>
              </w:rPr>
              <w:t>万</w:t>
            </w:r>
            <w:r>
              <w:rPr>
                <w:rFonts w:hint="eastAsia"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28.02</w:t>
            </w:r>
            <w:r>
              <w:rPr>
                <w:rFonts w:hint="eastAsia" w:ascii="Times New Roman" w:hAnsi="Times New Roman" w:eastAsia="宋体" w:cs="Times New Roman"/>
                <w:color w:val="auto"/>
                <w:kern w:val="0"/>
                <w:sz w:val="24"/>
                <w:szCs w:val="24"/>
                <w:lang w:val="en-US" w:eastAsia="zh-CN" w:bidi="ar"/>
              </w:rPr>
              <w:t>万</w:t>
            </w:r>
            <w:r>
              <w:rPr>
                <w:rFonts w:hint="eastAsia"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，则氨逃逸量为</w:t>
            </w:r>
            <w:r>
              <w:rPr>
                <w:rFonts w:hint="eastAsia" w:cs="Times New Roman"/>
                <w:color w:val="auto"/>
                <w:kern w:val="0"/>
                <w:sz w:val="24"/>
                <w:szCs w:val="24"/>
                <w:lang w:val="en-US" w:eastAsia="zh-CN" w:bidi="ar"/>
              </w:rPr>
              <w:t>0.700</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5.544</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p>
          <w:p w14:paraId="66F20A33">
            <w:pPr>
              <w:keepNext w:val="0"/>
              <w:keepLines w:val="0"/>
              <w:widowControl/>
              <w:suppressLineNumbers w:val="0"/>
              <w:ind w:left="0" w:leftChars="0" w:right="0" w:rightChars="0" w:firstLine="0" w:firstLineChars="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kern w:val="0"/>
                <w:sz w:val="21"/>
                <w:szCs w:val="21"/>
                <w:lang w:val="en-US" w:eastAsia="zh-CN" w:bidi="ar"/>
              </w:rPr>
              <w:t>表4-2 锅炉废气产排情况一览表</w:t>
            </w:r>
          </w:p>
          <w:tbl>
            <w:tblPr>
              <w:tblStyle w:val="18"/>
              <w:tblW w:w="78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0"/>
              <w:gridCol w:w="830"/>
              <w:gridCol w:w="981"/>
              <w:gridCol w:w="673"/>
              <w:gridCol w:w="589"/>
              <w:gridCol w:w="790"/>
              <w:gridCol w:w="726"/>
              <w:gridCol w:w="724"/>
              <w:gridCol w:w="734"/>
              <w:gridCol w:w="400"/>
            </w:tblGrid>
            <w:tr w14:paraId="723152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vMerge w:val="restart"/>
                  <w:tcBorders>
                    <w:tl2br w:val="nil"/>
                    <w:tr2bl w:val="nil"/>
                  </w:tcBorders>
                  <w:vAlign w:val="center"/>
                </w:tcPr>
                <w:p w14:paraId="50D2878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819" w:type="dxa"/>
                  <w:vMerge w:val="restart"/>
                  <w:tcBorders>
                    <w:tl2br w:val="nil"/>
                    <w:tr2bl w:val="nil"/>
                  </w:tcBorders>
                  <w:vAlign w:val="center"/>
                </w:tcPr>
                <w:p w14:paraId="00D96AD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单位</w:t>
                  </w:r>
                </w:p>
              </w:tc>
              <w:tc>
                <w:tcPr>
                  <w:tcW w:w="900" w:type="dxa"/>
                  <w:vMerge w:val="restart"/>
                  <w:tcBorders>
                    <w:tl2br w:val="nil"/>
                    <w:tr2bl w:val="nil"/>
                  </w:tcBorders>
                  <w:vAlign w:val="center"/>
                </w:tcPr>
                <w:p w14:paraId="376C4AE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产污系数</w:t>
                  </w:r>
                </w:p>
              </w:tc>
              <w:tc>
                <w:tcPr>
                  <w:tcW w:w="738" w:type="dxa"/>
                  <w:vMerge w:val="restart"/>
                  <w:tcBorders>
                    <w:tl2br w:val="nil"/>
                    <w:tr2bl w:val="nil"/>
                  </w:tcBorders>
                  <w:vAlign w:val="center"/>
                </w:tcPr>
                <w:p w14:paraId="3A7640A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产生量t/a</w:t>
                  </w:r>
                </w:p>
              </w:tc>
              <w:tc>
                <w:tcPr>
                  <w:tcW w:w="679" w:type="dxa"/>
                  <w:vMerge w:val="restart"/>
                  <w:tcBorders>
                    <w:tl2br w:val="nil"/>
                    <w:tr2bl w:val="nil"/>
                  </w:tcBorders>
                  <w:vAlign w:val="center"/>
                </w:tcPr>
                <w:p w14:paraId="157610B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治理措施</w:t>
                  </w:r>
                </w:p>
              </w:tc>
              <w:tc>
                <w:tcPr>
                  <w:tcW w:w="608" w:type="dxa"/>
                  <w:vMerge w:val="restart"/>
                  <w:tcBorders>
                    <w:tl2br w:val="nil"/>
                    <w:tr2bl w:val="nil"/>
                  </w:tcBorders>
                  <w:vAlign w:val="center"/>
                </w:tcPr>
                <w:p w14:paraId="69CF5D0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去除效率%</w:t>
                  </w:r>
                </w:p>
              </w:tc>
              <w:tc>
                <w:tcPr>
                  <w:tcW w:w="2332" w:type="dxa"/>
                  <w:gridSpan w:val="3"/>
                  <w:tcBorders>
                    <w:tl2br w:val="nil"/>
                    <w:tr2bl w:val="nil"/>
                  </w:tcBorders>
                  <w:vAlign w:val="center"/>
                </w:tcPr>
                <w:p w14:paraId="57D46F3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排放情况</w:t>
                  </w:r>
                </w:p>
              </w:tc>
              <w:tc>
                <w:tcPr>
                  <w:tcW w:w="751" w:type="dxa"/>
                  <w:vMerge w:val="restart"/>
                  <w:tcBorders>
                    <w:tl2br w:val="nil"/>
                    <w:tr2bl w:val="nil"/>
                  </w:tcBorders>
                  <w:vAlign w:val="center"/>
                </w:tcPr>
                <w:p w14:paraId="057D5F9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排放标准mg/m</w:t>
                  </w:r>
                  <w:r>
                    <w:rPr>
                      <w:rFonts w:hint="default" w:ascii="Times New Roman" w:hAnsi="Times New Roman" w:eastAsia="宋体" w:cs="Times New Roman"/>
                      <w:color w:val="auto"/>
                      <w:sz w:val="18"/>
                      <w:szCs w:val="18"/>
                      <w:highlight w:val="none"/>
                      <w:vertAlign w:val="superscript"/>
                      <w:lang w:val="en-US" w:eastAsia="zh-CN"/>
                    </w:rPr>
                    <w:t>3</w:t>
                  </w:r>
                </w:p>
              </w:tc>
              <w:tc>
                <w:tcPr>
                  <w:tcW w:w="400" w:type="dxa"/>
                  <w:vMerge w:val="restart"/>
                  <w:tcBorders>
                    <w:tl2br w:val="nil"/>
                    <w:tr2bl w:val="nil"/>
                  </w:tcBorders>
                  <w:vAlign w:val="center"/>
                </w:tcPr>
                <w:p w14:paraId="5D1B2E3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达标情况</w:t>
                  </w:r>
                </w:p>
              </w:tc>
            </w:tr>
            <w:tr w14:paraId="61C56F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vAlign w:val="center"/>
                </w:tcPr>
                <w:p w14:paraId="1AF577C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19" w:type="dxa"/>
                  <w:vMerge w:val="continue"/>
                  <w:tcBorders>
                    <w:tl2br w:val="nil"/>
                    <w:tr2bl w:val="nil"/>
                  </w:tcBorders>
                  <w:vAlign w:val="center"/>
                </w:tcPr>
                <w:p w14:paraId="44F46F3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vMerge w:val="continue"/>
                  <w:tcBorders>
                    <w:tl2br w:val="nil"/>
                    <w:tr2bl w:val="nil"/>
                  </w:tcBorders>
                  <w:vAlign w:val="center"/>
                </w:tcPr>
                <w:p w14:paraId="5EC6404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8" w:type="dxa"/>
                  <w:vMerge w:val="continue"/>
                  <w:tcBorders>
                    <w:tl2br w:val="nil"/>
                    <w:tr2bl w:val="nil"/>
                  </w:tcBorders>
                  <w:vAlign w:val="center"/>
                </w:tcPr>
                <w:p w14:paraId="70DAC45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79" w:type="dxa"/>
                  <w:vMerge w:val="continue"/>
                  <w:tcBorders>
                    <w:tl2br w:val="nil"/>
                    <w:tr2bl w:val="nil"/>
                  </w:tcBorders>
                  <w:vAlign w:val="center"/>
                </w:tcPr>
                <w:p w14:paraId="74467FC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4CB4E3D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tcBorders>
                    <w:tl2br w:val="nil"/>
                    <w:tr2bl w:val="nil"/>
                  </w:tcBorders>
                  <w:vAlign w:val="center"/>
                </w:tcPr>
                <w:p w14:paraId="61CF9D1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t/a</w:t>
                  </w:r>
                </w:p>
              </w:tc>
              <w:tc>
                <w:tcPr>
                  <w:tcW w:w="771" w:type="dxa"/>
                  <w:tcBorders>
                    <w:tl2br w:val="nil"/>
                    <w:tr2bl w:val="nil"/>
                  </w:tcBorders>
                  <w:vAlign w:val="center"/>
                </w:tcPr>
                <w:p w14:paraId="06C76D5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k</w:t>
                  </w:r>
                  <w:r>
                    <w:rPr>
                      <w:rFonts w:hint="default" w:ascii="Times New Roman" w:hAnsi="Times New Roman" w:eastAsia="宋体" w:cs="Times New Roman"/>
                      <w:color w:val="auto"/>
                      <w:sz w:val="18"/>
                      <w:szCs w:val="18"/>
                      <w:highlight w:val="none"/>
                      <w:lang w:val="en-US" w:eastAsia="zh-CN"/>
                    </w:rPr>
                    <w:t>g/h</w:t>
                  </w:r>
                </w:p>
              </w:tc>
              <w:tc>
                <w:tcPr>
                  <w:tcW w:w="737" w:type="dxa"/>
                  <w:tcBorders>
                    <w:tl2br w:val="nil"/>
                    <w:tr2bl w:val="nil"/>
                  </w:tcBorders>
                  <w:vAlign w:val="center"/>
                </w:tcPr>
                <w:p w14:paraId="1A63F72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mg/m</w:t>
                  </w:r>
                  <w:r>
                    <w:rPr>
                      <w:rFonts w:hint="default" w:ascii="Times New Roman" w:hAnsi="Times New Roman" w:eastAsia="宋体" w:cs="Times New Roman"/>
                      <w:color w:val="auto"/>
                      <w:sz w:val="18"/>
                      <w:szCs w:val="18"/>
                      <w:highlight w:val="none"/>
                      <w:vertAlign w:val="superscript"/>
                      <w:lang w:val="en-US" w:eastAsia="zh-CN"/>
                    </w:rPr>
                    <w:t>3</w:t>
                  </w:r>
                </w:p>
              </w:tc>
              <w:tc>
                <w:tcPr>
                  <w:tcW w:w="751" w:type="dxa"/>
                  <w:vMerge w:val="continue"/>
                  <w:tcBorders>
                    <w:tl2br w:val="nil"/>
                    <w:tr2bl w:val="nil"/>
                  </w:tcBorders>
                  <w:vAlign w:val="center"/>
                </w:tcPr>
                <w:p w14:paraId="786AF54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0F08FEF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23C74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27" w:type="dxa"/>
                  <w:vMerge w:val="restart"/>
                  <w:tcBorders>
                    <w:tl2br w:val="nil"/>
                    <w:tr2bl w:val="nil"/>
                  </w:tcBorders>
                  <w:vAlign w:val="center"/>
                </w:tcPr>
                <w:p w14:paraId="4698DAC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819" w:type="dxa"/>
                  <w:vMerge w:val="restart"/>
                  <w:tcBorders>
                    <w:tl2br w:val="nil"/>
                    <w:tr2bl w:val="nil"/>
                  </w:tcBorders>
                  <w:vAlign w:val="center"/>
                </w:tcPr>
                <w:p w14:paraId="56411BD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Nm</w:t>
                  </w:r>
                  <w:r>
                    <w:rPr>
                      <w:rFonts w:hint="eastAsia"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/万m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lang w:val="en-US" w:eastAsia="zh-CN"/>
                    </w:rPr>
                    <w:t>原料</w:t>
                  </w:r>
                </w:p>
              </w:tc>
              <w:tc>
                <w:tcPr>
                  <w:tcW w:w="900" w:type="dxa"/>
                  <w:tcBorders>
                    <w:tl2br w:val="nil"/>
                    <w:tr2bl w:val="nil"/>
                  </w:tcBorders>
                  <w:vAlign w:val="center"/>
                </w:tcPr>
                <w:p w14:paraId="17A7F26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18047（转炉、高炉混合煤气）</w:t>
                  </w:r>
                </w:p>
              </w:tc>
              <w:tc>
                <w:tcPr>
                  <w:tcW w:w="738" w:type="dxa"/>
                  <w:tcBorders>
                    <w:tl2br w:val="nil"/>
                    <w:tr2bl w:val="nil"/>
                  </w:tcBorders>
                  <w:vAlign w:val="center"/>
                </w:tcPr>
                <w:p w14:paraId="7FB8EDB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111876.96</w:t>
                  </w:r>
                  <w:r>
                    <w:rPr>
                      <w:rFonts w:hint="default" w:ascii="Times New Roman" w:hAnsi="Times New Roman" w:eastAsia="宋体" w:cs="Times New Roman"/>
                      <w:color w:val="auto"/>
                      <w:sz w:val="18"/>
                      <w:szCs w:val="18"/>
                      <w:highlight w:val="none"/>
                      <w:lang w:val="en-US" w:eastAsia="zh-CN"/>
                    </w:rPr>
                    <w:t>万</w:t>
                  </w:r>
                  <w:r>
                    <w:rPr>
                      <w:rFonts w:hint="eastAsia"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lang w:val="en-US" w:eastAsia="zh-CN"/>
                    </w:rPr>
                    <w:t>m</w:t>
                  </w:r>
                  <w:r>
                    <w:rPr>
                      <w:rFonts w:hint="eastAsia" w:cs="Times New Roman"/>
                      <w:color w:val="auto"/>
                      <w:sz w:val="18"/>
                      <w:szCs w:val="18"/>
                      <w:highlight w:val="none"/>
                      <w:vertAlign w:val="superscript"/>
                      <w:lang w:val="en-US" w:eastAsia="zh-CN"/>
                    </w:rPr>
                    <w:t>3</w:t>
                  </w:r>
                </w:p>
              </w:tc>
              <w:tc>
                <w:tcPr>
                  <w:tcW w:w="679" w:type="dxa"/>
                  <w:tcBorders>
                    <w:tl2br w:val="nil"/>
                    <w:tr2bl w:val="nil"/>
                  </w:tcBorders>
                  <w:vAlign w:val="center"/>
                </w:tcPr>
                <w:p w14:paraId="4E4D38F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08" w:type="dxa"/>
                  <w:tcBorders>
                    <w:tl2br w:val="nil"/>
                    <w:tr2bl w:val="nil"/>
                  </w:tcBorders>
                  <w:vAlign w:val="center"/>
                </w:tcPr>
                <w:p w14:paraId="733D953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24" w:type="dxa"/>
                  <w:tcBorders>
                    <w:tl2br w:val="nil"/>
                    <w:tr2bl w:val="nil"/>
                  </w:tcBorders>
                  <w:vAlign w:val="center"/>
                </w:tcPr>
                <w:p w14:paraId="25CCB67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71" w:type="dxa"/>
                  <w:tcBorders>
                    <w:tl2br w:val="nil"/>
                    <w:tr2bl w:val="nil"/>
                  </w:tcBorders>
                  <w:vAlign w:val="center"/>
                </w:tcPr>
                <w:p w14:paraId="0CB5CC2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37" w:type="dxa"/>
                  <w:tcBorders>
                    <w:tl2br w:val="nil"/>
                    <w:tr2bl w:val="nil"/>
                  </w:tcBorders>
                  <w:vAlign w:val="center"/>
                </w:tcPr>
                <w:p w14:paraId="708BECC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51" w:type="dxa"/>
                  <w:tcBorders>
                    <w:tl2br w:val="nil"/>
                    <w:tr2bl w:val="nil"/>
                  </w:tcBorders>
                  <w:vAlign w:val="center"/>
                </w:tcPr>
                <w:p w14:paraId="41656B9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0" w:type="dxa"/>
                  <w:tcBorders>
                    <w:tl2br w:val="nil"/>
                    <w:tr2bl w:val="nil"/>
                  </w:tcBorders>
                  <w:vAlign w:val="center"/>
                </w:tcPr>
                <w:p w14:paraId="0F16168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6E781C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27" w:type="dxa"/>
                  <w:vMerge w:val="continue"/>
                  <w:tcBorders>
                    <w:tl2br w:val="nil"/>
                    <w:tr2bl w:val="nil"/>
                  </w:tcBorders>
                  <w:vAlign w:val="center"/>
                </w:tcPr>
                <w:p w14:paraId="2CA1870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19" w:type="dxa"/>
                  <w:vMerge w:val="continue"/>
                  <w:tcBorders>
                    <w:tl2br w:val="nil"/>
                    <w:tr2bl w:val="nil"/>
                  </w:tcBorders>
                  <w:vAlign w:val="center"/>
                </w:tcPr>
                <w:p w14:paraId="73B16FC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l2br w:val="nil"/>
                    <w:tr2bl w:val="nil"/>
                  </w:tcBorders>
                  <w:vAlign w:val="center"/>
                </w:tcPr>
                <w:p w14:paraId="66A131A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48793（焦炉煤气）</w:t>
                  </w:r>
                </w:p>
              </w:tc>
              <w:tc>
                <w:tcPr>
                  <w:tcW w:w="738" w:type="dxa"/>
                  <w:tcBorders>
                    <w:tl2br w:val="nil"/>
                    <w:tr2bl w:val="nil"/>
                  </w:tcBorders>
                  <w:vAlign w:val="center"/>
                </w:tcPr>
                <w:p w14:paraId="5FD6D8F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110028.22</w:t>
                  </w:r>
                  <w:r>
                    <w:rPr>
                      <w:rFonts w:hint="default" w:ascii="Times New Roman" w:hAnsi="Times New Roman" w:eastAsia="宋体" w:cs="Times New Roman"/>
                      <w:color w:val="auto"/>
                      <w:sz w:val="18"/>
                      <w:szCs w:val="18"/>
                      <w:highlight w:val="none"/>
                      <w:lang w:val="en-US" w:eastAsia="zh-CN"/>
                    </w:rPr>
                    <w:t>万</w:t>
                  </w:r>
                  <w:r>
                    <w:rPr>
                      <w:rFonts w:hint="eastAsia"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lang w:val="en-US" w:eastAsia="zh-CN"/>
                    </w:rPr>
                    <w:t>m</w:t>
                  </w:r>
                  <w:r>
                    <w:rPr>
                      <w:rFonts w:hint="eastAsia" w:cs="Times New Roman"/>
                      <w:color w:val="auto"/>
                      <w:sz w:val="18"/>
                      <w:szCs w:val="18"/>
                      <w:highlight w:val="none"/>
                      <w:vertAlign w:val="superscript"/>
                      <w:lang w:val="en-US" w:eastAsia="zh-CN"/>
                    </w:rPr>
                    <w:t>3</w:t>
                  </w:r>
                </w:p>
              </w:tc>
              <w:tc>
                <w:tcPr>
                  <w:tcW w:w="679" w:type="dxa"/>
                  <w:tcBorders>
                    <w:tl2br w:val="nil"/>
                    <w:tr2bl w:val="nil"/>
                  </w:tcBorders>
                  <w:vAlign w:val="center"/>
                </w:tcPr>
                <w:p w14:paraId="1F60384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08" w:type="dxa"/>
                  <w:tcBorders>
                    <w:tl2br w:val="nil"/>
                    <w:tr2bl w:val="nil"/>
                  </w:tcBorders>
                  <w:vAlign w:val="center"/>
                </w:tcPr>
                <w:p w14:paraId="66FF181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24" w:type="dxa"/>
                  <w:tcBorders>
                    <w:tl2br w:val="nil"/>
                    <w:tr2bl w:val="nil"/>
                  </w:tcBorders>
                  <w:vAlign w:val="center"/>
                </w:tcPr>
                <w:p w14:paraId="24D3144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71" w:type="dxa"/>
                  <w:tcBorders>
                    <w:tl2br w:val="nil"/>
                    <w:tr2bl w:val="nil"/>
                  </w:tcBorders>
                  <w:vAlign w:val="center"/>
                </w:tcPr>
                <w:p w14:paraId="43D0530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37" w:type="dxa"/>
                  <w:tcBorders>
                    <w:tl2br w:val="nil"/>
                    <w:tr2bl w:val="nil"/>
                  </w:tcBorders>
                  <w:vAlign w:val="center"/>
                </w:tcPr>
                <w:p w14:paraId="424ECF7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51" w:type="dxa"/>
                  <w:tcBorders>
                    <w:tl2br w:val="nil"/>
                    <w:tr2bl w:val="nil"/>
                  </w:tcBorders>
                  <w:vAlign w:val="center"/>
                </w:tcPr>
                <w:p w14:paraId="6A372CE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0" w:type="dxa"/>
                  <w:tcBorders>
                    <w:tl2br w:val="nil"/>
                    <w:tr2bl w:val="nil"/>
                  </w:tcBorders>
                  <w:vAlign w:val="center"/>
                </w:tcPr>
                <w:p w14:paraId="05E7E78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71A8F9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27" w:type="dxa"/>
                  <w:vMerge w:val="continue"/>
                  <w:tcBorders>
                    <w:tl2br w:val="nil"/>
                    <w:tr2bl w:val="nil"/>
                  </w:tcBorders>
                  <w:vAlign w:val="center"/>
                </w:tcPr>
                <w:p w14:paraId="7C8891E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19" w:type="dxa"/>
                  <w:vMerge w:val="continue"/>
                  <w:tcBorders>
                    <w:tl2br w:val="nil"/>
                    <w:tr2bl w:val="nil"/>
                  </w:tcBorders>
                  <w:vAlign w:val="center"/>
                </w:tcPr>
                <w:p w14:paraId="79F661A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l2br w:val="nil"/>
                    <w:tr2bl w:val="nil"/>
                  </w:tcBorders>
                  <w:vAlign w:val="center"/>
                </w:tcPr>
                <w:p w14:paraId="3125997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合计</w:t>
                  </w:r>
                </w:p>
              </w:tc>
              <w:tc>
                <w:tcPr>
                  <w:tcW w:w="738" w:type="dxa"/>
                  <w:tcBorders>
                    <w:tl2br w:val="nil"/>
                    <w:tr2bl w:val="nil"/>
                  </w:tcBorders>
                  <w:vAlign w:val="center"/>
                </w:tcPr>
                <w:p w14:paraId="3E1EB02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221905.18</w:t>
                  </w:r>
                  <w:r>
                    <w:rPr>
                      <w:rFonts w:hint="default" w:ascii="Times New Roman" w:hAnsi="Times New Roman" w:eastAsia="宋体" w:cs="Times New Roman"/>
                      <w:color w:val="auto"/>
                      <w:sz w:val="18"/>
                      <w:szCs w:val="18"/>
                      <w:highlight w:val="none"/>
                      <w:lang w:val="en-US" w:eastAsia="zh-CN"/>
                    </w:rPr>
                    <w:t>万</w:t>
                  </w:r>
                  <w:r>
                    <w:rPr>
                      <w:rFonts w:hint="eastAsia"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lang w:val="en-US" w:eastAsia="zh-CN"/>
                    </w:rPr>
                    <w:t>m</w:t>
                  </w:r>
                  <w:r>
                    <w:rPr>
                      <w:rFonts w:hint="eastAsia" w:cs="Times New Roman"/>
                      <w:color w:val="auto"/>
                      <w:sz w:val="18"/>
                      <w:szCs w:val="18"/>
                      <w:highlight w:val="none"/>
                      <w:vertAlign w:val="superscript"/>
                      <w:lang w:val="en-US" w:eastAsia="zh-CN"/>
                    </w:rPr>
                    <w:t>3</w:t>
                  </w:r>
                </w:p>
              </w:tc>
              <w:tc>
                <w:tcPr>
                  <w:tcW w:w="679" w:type="dxa"/>
                  <w:tcBorders>
                    <w:tl2br w:val="nil"/>
                    <w:tr2bl w:val="nil"/>
                  </w:tcBorders>
                  <w:vAlign w:val="center"/>
                </w:tcPr>
                <w:p w14:paraId="6F3A4DD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08" w:type="dxa"/>
                  <w:tcBorders>
                    <w:tl2br w:val="nil"/>
                    <w:tr2bl w:val="nil"/>
                  </w:tcBorders>
                  <w:vAlign w:val="center"/>
                </w:tcPr>
                <w:p w14:paraId="25F19AB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24" w:type="dxa"/>
                  <w:tcBorders>
                    <w:tl2br w:val="nil"/>
                    <w:tr2bl w:val="nil"/>
                  </w:tcBorders>
                  <w:vAlign w:val="center"/>
                </w:tcPr>
                <w:p w14:paraId="5858AFF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71" w:type="dxa"/>
                  <w:tcBorders>
                    <w:tl2br w:val="nil"/>
                    <w:tr2bl w:val="nil"/>
                  </w:tcBorders>
                  <w:vAlign w:val="center"/>
                </w:tcPr>
                <w:p w14:paraId="04F9010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37" w:type="dxa"/>
                  <w:tcBorders>
                    <w:tl2br w:val="nil"/>
                    <w:tr2bl w:val="nil"/>
                  </w:tcBorders>
                  <w:vAlign w:val="center"/>
                </w:tcPr>
                <w:p w14:paraId="73F4E5A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51" w:type="dxa"/>
                  <w:tcBorders>
                    <w:tl2br w:val="nil"/>
                    <w:tr2bl w:val="nil"/>
                  </w:tcBorders>
                  <w:vAlign w:val="center"/>
                </w:tcPr>
                <w:p w14:paraId="0A43670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0" w:type="dxa"/>
                  <w:tcBorders>
                    <w:tl2br w:val="nil"/>
                    <w:tr2bl w:val="nil"/>
                  </w:tcBorders>
                  <w:vAlign w:val="center"/>
                </w:tcPr>
                <w:p w14:paraId="592ABC0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2ED7E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27" w:type="dxa"/>
                  <w:vMerge w:val="restart"/>
                  <w:tcBorders>
                    <w:tl2br w:val="nil"/>
                    <w:tr2bl w:val="nil"/>
                  </w:tcBorders>
                  <w:vAlign w:val="center"/>
                </w:tcPr>
                <w:p w14:paraId="3639D94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819" w:type="dxa"/>
                  <w:vMerge w:val="restart"/>
                  <w:tcBorders>
                    <w:tl2br w:val="nil"/>
                    <w:tr2bl w:val="nil"/>
                  </w:tcBorders>
                  <w:vAlign w:val="center"/>
                </w:tcPr>
                <w:p w14:paraId="145C13F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lang w:val="en-US" w:eastAsia="zh-CN"/>
                    </w:rPr>
                    <w:t>g/m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lang w:val="en-US" w:eastAsia="zh-CN"/>
                    </w:rPr>
                    <w:t>原料</w:t>
                  </w:r>
                </w:p>
              </w:tc>
              <w:tc>
                <w:tcPr>
                  <w:tcW w:w="900" w:type="dxa"/>
                  <w:tcBorders>
                    <w:tl2br w:val="nil"/>
                    <w:tr2bl w:val="nil"/>
                  </w:tcBorders>
                  <w:vAlign w:val="center"/>
                </w:tcPr>
                <w:p w14:paraId="46007B9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103.9</w:t>
                  </w:r>
                  <w:r>
                    <w:rPr>
                      <w:rFonts w:hint="eastAsia" w:cs="Times New Roman"/>
                      <w:color w:val="auto"/>
                      <w:sz w:val="18"/>
                      <w:szCs w:val="18"/>
                      <w:highlight w:val="none"/>
                      <w:lang w:val="en-US" w:eastAsia="zh-CN"/>
                    </w:rPr>
                    <w:t>（高炉、转炉）</w:t>
                  </w:r>
                </w:p>
              </w:tc>
              <w:tc>
                <w:tcPr>
                  <w:tcW w:w="738" w:type="dxa"/>
                  <w:tcBorders>
                    <w:tl2br w:val="nil"/>
                    <w:tr2bl w:val="nil"/>
                  </w:tcBorders>
                  <w:vAlign w:val="center"/>
                </w:tcPr>
                <w:p w14:paraId="1B7E5B7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64.41</w:t>
                  </w:r>
                </w:p>
              </w:tc>
              <w:tc>
                <w:tcPr>
                  <w:tcW w:w="679" w:type="dxa"/>
                  <w:vMerge w:val="restart"/>
                  <w:tcBorders>
                    <w:tl2br w:val="nil"/>
                    <w:tr2bl w:val="nil"/>
                  </w:tcBorders>
                  <w:vAlign w:val="center"/>
                </w:tcPr>
                <w:p w14:paraId="2823942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布袋除尘器</w:t>
                  </w:r>
                  <w:r>
                    <w:rPr>
                      <w:rFonts w:hint="default" w:ascii="Times New Roman" w:hAnsi="Times New Roman" w:eastAsia="宋体" w:cs="Times New Roman"/>
                      <w:color w:val="auto"/>
                      <w:sz w:val="18"/>
                      <w:szCs w:val="18"/>
                      <w:highlight w:val="none"/>
                      <w:lang w:val="en-US" w:eastAsia="zh-CN"/>
                    </w:rPr>
                    <w:t>处理</w:t>
                  </w:r>
                </w:p>
              </w:tc>
              <w:tc>
                <w:tcPr>
                  <w:tcW w:w="608" w:type="dxa"/>
                  <w:vMerge w:val="restart"/>
                  <w:tcBorders>
                    <w:tl2br w:val="nil"/>
                    <w:tr2bl w:val="nil"/>
                  </w:tcBorders>
                  <w:vAlign w:val="center"/>
                </w:tcPr>
                <w:p w14:paraId="4B888BF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99</w:t>
                  </w:r>
                </w:p>
              </w:tc>
              <w:tc>
                <w:tcPr>
                  <w:tcW w:w="824" w:type="dxa"/>
                  <w:vMerge w:val="restart"/>
                  <w:tcBorders>
                    <w:tl2br w:val="nil"/>
                    <w:tr2bl w:val="nil"/>
                  </w:tcBorders>
                  <w:vAlign w:val="center"/>
                </w:tcPr>
                <w:p w14:paraId="00E16B2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0.878</w:t>
                  </w:r>
                </w:p>
              </w:tc>
              <w:tc>
                <w:tcPr>
                  <w:tcW w:w="771" w:type="dxa"/>
                  <w:vMerge w:val="restart"/>
                  <w:tcBorders>
                    <w:tl2br w:val="nil"/>
                    <w:tr2bl w:val="nil"/>
                  </w:tcBorders>
                  <w:vAlign w:val="center"/>
                </w:tcPr>
                <w:p w14:paraId="08DD90E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0.111</w:t>
                  </w:r>
                </w:p>
              </w:tc>
              <w:tc>
                <w:tcPr>
                  <w:tcW w:w="737" w:type="dxa"/>
                  <w:vMerge w:val="restart"/>
                  <w:tcBorders>
                    <w:tl2br w:val="nil"/>
                    <w:tr2bl w:val="nil"/>
                  </w:tcBorders>
                  <w:vAlign w:val="center"/>
                </w:tcPr>
                <w:p w14:paraId="0890DE0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0.35</w:t>
                  </w:r>
                </w:p>
              </w:tc>
              <w:tc>
                <w:tcPr>
                  <w:tcW w:w="751" w:type="dxa"/>
                  <w:vMerge w:val="restart"/>
                  <w:tcBorders>
                    <w:tl2br w:val="nil"/>
                    <w:tr2bl w:val="nil"/>
                  </w:tcBorders>
                  <w:vAlign w:val="center"/>
                </w:tcPr>
                <w:p w14:paraId="17ADB6F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400" w:type="dxa"/>
                  <w:vMerge w:val="restart"/>
                  <w:tcBorders>
                    <w:tl2br w:val="nil"/>
                    <w:tr2bl w:val="nil"/>
                  </w:tcBorders>
                  <w:vAlign w:val="center"/>
                </w:tcPr>
                <w:p w14:paraId="3208887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109A3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27" w:type="dxa"/>
                  <w:vMerge w:val="continue"/>
                  <w:tcBorders>
                    <w:tl2br w:val="nil"/>
                    <w:tr2bl w:val="nil"/>
                  </w:tcBorders>
                  <w:vAlign w:val="center"/>
                </w:tcPr>
                <w:p w14:paraId="7A784E6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819" w:type="dxa"/>
                  <w:vMerge w:val="continue"/>
                  <w:tcBorders>
                    <w:tl2br w:val="nil"/>
                    <w:tr2bl w:val="nil"/>
                  </w:tcBorders>
                  <w:vAlign w:val="center"/>
                </w:tcPr>
                <w:p w14:paraId="773EAFF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900" w:type="dxa"/>
                  <w:tcBorders>
                    <w:tl2br w:val="nil"/>
                    <w:tr2bl w:val="nil"/>
                  </w:tcBorders>
                  <w:vAlign w:val="center"/>
                </w:tcPr>
                <w:p w14:paraId="7D85D52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103.9</w:t>
                  </w:r>
                  <w:r>
                    <w:rPr>
                      <w:rFonts w:hint="eastAsia" w:cs="Times New Roman"/>
                      <w:color w:val="auto"/>
                      <w:sz w:val="18"/>
                      <w:szCs w:val="18"/>
                      <w:highlight w:val="none"/>
                      <w:lang w:val="en-US" w:eastAsia="zh-CN"/>
                    </w:rPr>
                    <w:t>（焦炉）</w:t>
                  </w:r>
                </w:p>
              </w:tc>
              <w:tc>
                <w:tcPr>
                  <w:tcW w:w="738" w:type="dxa"/>
                  <w:tcBorders>
                    <w:tl2br w:val="nil"/>
                    <w:tr2bl w:val="nil"/>
                  </w:tcBorders>
                  <w:vAlign w:val="center"/>
                </w:tcPr>
                <w:p w14:paraId="71D18E9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23.43</w:t>
                  </w:r>
                </w:p>
              </w:tc>
              <w:tc>
                <w:tcPr>
                  <w:tcW w:w="679" w:type="dxa"/>
                  <w:vMerge w:val="continue"/>
                  <w:tcBorders>
                    <w:tl2br w:val="nil"/>
                    <w:tr2bl w:val="nil"/>
                  </w:tcBorders>
                  <w:vAlign w:val="center"/>
                </w:tcPr>
                <w:p w14:paraId="20BA069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460760C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vMerge w:val="continue"/>
                  <w:tcBorders>
                    <w:tl2br w:val="nil"/>
                    <w:tr2bl w:val="nil"/>
                  </w:tcBorders>
                  <w:vAlign w:val="center"/>
                </w:tcPr>
                <w:p w14:paraId="4F4BEA4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71" w:type="dxa"/>
                  <w:vMerge w:val="continue"/>
                  <w:tcBorders>
                    <w:tl2br w:val="nil"/>
                    <w:tr2bl w:val="nil"/>
                  </w:tcBorders>
                  <w:vAlign w:val="center"/>
                </w:tcPr>
                <w:p w14:paraId="1621993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7" w:type="dxa"/>
                  <w:vMerge w:val="continue"/>
                  <w:tcBorders>
                    <w:tl2br w:val="nil"/>
                    <w:tr2bl w:val="nil"/>
                  </w:tcBorders>
                  <w:vAlign w:val="center"/>
                </w:tcPr>
                <w:p w14:paraId="3CB6DAD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51" w:type="dxa"/>
                  <w:vMerge w:val="continue"/>
                  <w:tcBorders>
                    <w:tl2br w:val="nil"/>
                    <w:tr2bl w:val="nil"/>
                  </w:tcBorders>
                  <w:vAlign w:val="center"/>
                </w:tcPr>
                <w:p w14:paraId="7322392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1B24DD7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5209D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27" w:type="dxa"/>
                  <w:vMerge w:val="continue"/>
                  <w:tcBorders>
                    <w:tl2br w:val="nil"/>
                    <w:tr2bl w:val="nil"/>
                  </w:tcBorders>
                  <w:vAlign w:val="center"/>
                </w:tcPr>
                <w:p w14:paraId="08905F2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819" w:type="dxa"/>
                  <w:vMerge w:val="continue"/>
                  <w:tcBorders>
                    <w:tl2br w:val="nil"/>
                    <w:tr2bl w:val="nil"/>
                  </w:tcBorders>
                  <w:vAlign w:val="center"/>
                </w:tcPr>
                <w:p w14:paraId="3649D27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900" w:type="dxa"/>
                  <w:tcBorders>
                    <w:tl2br w:val="nil"/>
                    <w:tr2bl w:val="nil"/>
                  </w:tcBorders>
                  <w:vAlign w:val="center"/>
                </w:tcPr>
                <w:p w14:paraId="2617541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738" w:type="dxa"/>
                  <w:tcBorders>
                    <w:tl2br w:val="nil"/>
                    <w:tr2bl w:val="nil"/>
                  </w:tcBorders>
                  <w:vAlign w:val="center"/>
                </w:tcPr>
                <w:p w14:paraId="39A5C8F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87.84</w:t>
                  </w:r>
                </w:p>
              </w:tc>
              <w:tc>
                <w:tcPr>
                  <w:tcW w:w="679" w:type="dxa"/>
                  <w:vMerge w:val="continue"/>
                  <w:tcBorders>
                    <w:tl2br w:val="nil"/>
                    <w:tr2bl w:val="nil"/>
                  </w:tcBorders>
                  <w:vAlign w:val="center"/>
                </w:tcPr>
                <w:p w14:paraId="136B3A1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6E2EC8D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vMerge w:val="continue"/>
                  <w:tcBorders>
                    <w:tl2br w:val="nil"/>
                    <w:tr2bl w:val="nil"/>
                  </w:tcBorders>
                  <w:vAlign w:val="center"/>
                </w:tcPr>
                <w:p w14:paraId="0ED3105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71" w:type="dxa"/>
                  <w:vMerge w:val="continue"/>
                  <w:tcBorders>
                    <w:tl2br w:val="nil"/>
                    <w:tr2bl w:val="nil"/>
                  </w:tcBorders>
                  <w:vAlign w:val="center"/>
                </w:tcPr>
                <w:p w14:paraId="18CFBF4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7" w:type="dxa"/>
                  <w:vMerge w:val="continue"/>
                  <w:tcBorders>
                    <w:tl2br w:val="nil"/>
                    <w:tr2bl w:val="nil"/>
                  </w:tcBorders>
                  <w:vAlign w:val="center"/>
                </w:tcPr>
                <w:p w14:paraId="2B53036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51" w:type="dxa"/>
                  <w:vMerge w:val="continue"/>
                  <w:tcBorders>
                    <w:tl2br w:val="nil"/>
                    <w:tr2bl w:val="nil"/>
                  </w:tcBorders>
                  <w:vAlign w:val="center"/>
                </w:tcPr>
                <w:p w14:paraId="2B977A0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659E65A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75BDB1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7" w:type="dxa"/>
                  <w:vMerge w:val="restart"/>
                  <w:tcBorders>
                    <w:tl2br w:val="nil"/>
                    <w:tr2bl w:val="nil"/>
                  </w:tcBorders>
                  <w:vAlign w:val="center"/>
                </w:tcPr>
                <w:p w14:paraId="596D660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819" w:type="dxa"/>
                  <w:vMerge w:val="restart"/>
                  <w:tcBorders>
                    <w:tl2br w:val="nil"/>
                    <w:tr2bl w:val="nil"/>
                  </w:tcBorders>
                  <w:vAlign w:val="center"/>
                </w:tcPr>
                <w:p w14:paraId="52BC2F1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kg/万m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lang w:val="en-US" w:eastAsia="zh-CN"/>
                    </w:rPr>
                    <w:t>原料</w:t>
                  </w:r>
                </w:p>
              </w:tc>
              <w:tc>
                <w:tcPr>
                  <w:tcW w:w="900" w:type="dxa"/>
                  <w:tcBorders>
                    <w:tl2br w:val="nil"/>
                    <w:tr2bl w:val="nil"/>
                  </w:tcBorders>
                  <w:vAlign w:val="center"/>
                </w:tcPr>
                <w:p w14:paraId="7F10E07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0.02S</w:t>
                  </w:r>
                  <w:r>
                    <w:rPr>
                      <w:rFonts w:hint="eastAsia" w:cs="Times New Roman"/>
                      <w:color w:val="auto"/>
                      <w:sz w:val="18"/>
                      <w:szCs w:val="18"/>
                      <w:highlight w:val="none"/>
                      <w:lang w:val="en-US" w:eastAsia="zh-CN"/>
                    </w:rPr>
                    <w:t>（转炉、高炉混合煤气）</w:t>
                  </w:r>
                </w:p>
              </w:tc>
              <w:tc>
                <w:tcPr>
                  <w:tcW w:w="738" w:type="dxa"/>
                  <w:tcBorders>
                    <w:tl2br w:val="nil"/>
                    <w:tr2bl w:val="nil"/>
                  </w:tcBorders>
                  <w:vAlign w:val="center"/>
                </w:tcPr>
                <w:p w14:paraId="70013C2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224.039</w:t>
                  </w:r>
                </w:p>
              </w:tc>
              <w:tc>
                <w:tcPr>
                  <w:tcW w:w="679" w:type="dxa"/>
                  <w:vMerge w:val="restart"/>
                  <w:tcBorders>
                    <w:tl2br w:val="nil"/>
                    <w:tr2bl w:val="nil"/>
                  </w:tcBorders>
                  <w:vAlign w:val="center"/>
                </w:tcPr>
                <w:p w14:paraId="5162A10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钙基干法脱硫</w:t>
                  </w:r>
                </w:p>
              </w:tc>
              <w:tc>
                <w:tcPr>
                  <w:tcW w:w="608" w:type="dxa"/>
                  <w:vMerge w:val="restart"/>
                  <w:tcBorders>
                    <w:tl2br w:val="nil"/>
                    <w:tr2bl w:val="nil"/>
                  </w:tcBorders>
                  <w:vAlign w:val="center"/>
                </w:tcPr>
                <w:p w14:paraId="25628B9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w:t>
                  </w:r>
                </w:p>
              </w:tc>
              <w:tc>
                <w:tcPr>
                  <w:tcW w:w="824" w:type="dxa"/>
                  <w:vMerge w:val="restart"/>
                  <w:tcBorders>
                    <w:tl2br w:val="nil"/>
                    <w:tr2bl w:val="nil"/>
                  </w:tcBorders>
                  <w:vAlign w:val="center"/>
                </w:tcPr>
                <w:p w14:paraId="3F526EB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31.424</w:t>
                  </w:r>
                </w:p>
              </w:tc>
              <w:tc>
                <w:tcPr>
                  <w:tcW w:w="771" w:type="dxa"/>
                  <w:vMerge w:val="restart"/>
                  <w:tcBorders>
                    <w:tl2br w:val="nil"/>
                    <w:tr2bl w:val="nil"/>
                  </w:tcBorders>
                  <w:vAlign w:val="center"/>
                </w:tcPr>
                <w:p w14:paraId="7867F8F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3.968</w:t>
                  </w:r>
                </w:p>
              </w:tc>
              <w:tc>
                <w:tcPr>
                  <w:tcW w:w="737" w:type="dxa"/>
                  <w:vMerge w:val="restart"/>
                  <w:tcBorders>
                    <w:tl2br w:val="nil"/>
                    <w:tr2bl w:val="nil"/>
                  </w:tcBorders>
                  <w:vAlign w:val="center"/>
                </w:tcPr>
                <w:p w14:paraId="2F24EB3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12.4</w:t>
                  </w:r>
                </w:p>
              </w:tc>
              <w:tc>
                <w:tcPr>
                  <w:tcW w:w="751" w:type="dxa"/>
                  <w:vMerge w:val="restart"/>
                  <w:tcBorders>
                    <w:tl2br w:val="nil"/>
                    <w:tr2bl w:val="nil"/>
                  </w:tcBorders>
                  <w:vAlign w:val="center"/>
                </w:tcPr>
                <w:p w14:paraId="2481707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35</w:t>
                  </w:r>
                </w:p>
              </w:tc>
              <w:tc>
                <w:tcPr>
                  <w:tcW w:w="400" w:type="dxa"/>
                  <w:vMerge w:val="restart"/>
                  <w:tcBorders>
                    <w:tl2br w:val="nil"/>
                    <w:tr2bl w:val="nil"/>
                  </w:tcBorders>
                  <w:vAlign w:val="center"/>
                </w:tcPr>
                <w:p w14:paraId="76E8A1C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55D99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7" w:type="dxa"/>
                  <w:vMerge w:val="continue"/>
                  <w:tcBorders>
                    <w:tl2br w:val="nil"/>
                    <w:tr2bl w:val="nil"/>
                  </w:tcBorders>
                  <w:vAlign w:val="center"/>
                </w:tcPr>
                <w:p w14:paraId="1C4CB60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819" w:type="dxa"/>
                  <w:vMerge w:val="continue"/>
                  <w:tcBorders>
                    <w:tl2br w:val="nil"/>
                    <w:tr2bl w:val="nil"/>
                  </w:tcBorders>
                  <w:vAlign w:val="center"/>
                </w:tcPr>
                <w:p w14:paraId="43C40A2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900" w:type="dxa"/>
                  <w:tcBorders>
                    <w:tl2br w:val="nil"/>
                    <w:tr2bl w:val="nil"/>
                  </w:tcBorders>
                  <w:vAlign w:val="center"/>
                </w:tcPr>
                <w:p w14:paraId="59FA605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0.02S</w:t>
                  </w:r>
                  <w:r>
                    <w:rPr>
                      <w:rFonts w:hint="eastAsia" w:cs="Times New Roman"/>
                      <w:color w:val="auto"/>
                      <w:sz w:val="18"/>
                      <w:szCs w:val="18"/>
                      <w:highlight w:val="none"/>
                      <w:lang w:val="en-US" w:eastAsia="zh-CN"/>
                    </w:rPr>
                    <w:t>（焦炉煤气）</w:t>
                  </w:r>
                </w:p>
              </w:tc>
              <w:tc>
                <w:tcPr>
                  <w:tcW w:w="738" w:type="dxa"/>
                  <w:tcBorders>
                    <w:tl2br w:val="nil"/>
                    <w:tr2bl w:val="nil"/>
                  </w:tcBorders>
                  <w:vAlign w:val="center"/>
                </w:tcPr>
                <w:p w14:paraId="480B67D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90.2</w:t>
                  </w:r>
                </w:p>
              </w:tc>
              <w:tc>
                <w:tcPr>
                  <w:tcW w:w="679" w:type="dxa"/>
                  <w:vMerge w:val="continue"/>
                  <w:tcBorders>
                    <w:tl2br w:val="nil"/>
                    <w:tr2bl w:val="nil"/>
                  </w:tcBorders>
                  <w:vAlign w:val="center"/>
                </w:tcPr>
                <w:p w14:paraId="31C43A4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6E30F1F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vMerge w:val="continue"/>
                  <w:tcBorders>
                    <w:tl2br w:val="nil"/>
                    <w:tr2bl w:val="nil"/>
                  </w:tcBorders>
                  <w:vAlign w:val="center"/>
                </w:tcPr>
                <w:p w14:paraId="0A7ECE0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71" w:type="dxa"/>
                  <w:vMerge w:val="continue"/>
                  <w:tcBorders>
                    <w:tl2br w:val="nil"/>
                    <w:tr2bl w:val="nil"/>
                  </w:tcBorders>
                  <w:vAlign w:val="center"/>
                </w:tcPr>
                <w:p w14:paraId="13065D3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7" w:type="dxa"/>
                  <w:vMerge w:val="continue"/>
                  <w:tcBorders>
                    <w:tl2br w:val="nil"/>
                    <w:tr2bl w:val="nil"/>
                  </w:tcBorders>
                  <w:vAlign w:val="center"/>
                </w:tcPr>
                <w:p w14:paraId="3223316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51" w:type="dxa"/>
                  <w:vMerge w:val="continue"/>
                  <w:tcBorders>
                    <w:tl2br w:val="nil"/>
                    <w:tr2bl w:val="nil"/>
                  </w:tcBorders>
                  <w:vAlign w:val="center"/>
                </w:tcPr>
                <w:p w14:paraId="0A60259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284B1AA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6C2D64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7" w:type="dxa"/>
                  <w:vMerge w:val="continue"/>
                  <w:tcBorders>
                    <w:tl2br w:val="nil"/>
                    <w:tr2bl w:val="nil"/>
                  </w:tcBorders>
                  <w:vAlign w:val="center"/>
                </w:tcPr>
                <w:p w14:paraId="0DF04F3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819" w:type="dxa"/>
                  <w:vMerge w:val="continue"/>
                  <w:tcBorders>
                    <w:tl2br w:val="nil"/>
                    <w:tr2bl w:val="nil"/>
                  </w:tcBorders>
                  <w:vAlign w:val="center"/>
                </w:tcPr>
                <w:p w14:paraId="1BF2B76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900" w:type="dxa"/>
                  <w:tcBorders>
                    <w:tl2br w:val="nil"/>
                    <w:tr2bl w:val="nil"/>
                  </w:tcBorders>
                  <w:vAlign w:val="center"/>
                </w:tcPr>
                <w:p w14:paraId="5440DBB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738" w:type="dxa"/>
                  <w:tcBorders>
                    <w:tl2br w:val="nil"/>
                    <w:tr2bl w:val="nil"/>
                  </w:tcBorders>
                  <w:vAlign w:val="center"/>
                </w:tcPr>
                <w:p w14:paraId="278A32B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314.239</w:t>
                  </w:r>
                </w:p>
              </w:tc>
              <w:tc>
                <w:tcPr>
                  <w:tcW w:w="679" w:type="dxa"/>
                  <w:vMerge w:val="continue"/>
                  <w:tcBorders>
                    <w:tl2br w:val="nil"/>
                    <w:tr2bl w:val="nil"/>
                  </w:tcBorders>
                  <w:vAlign w:val="center"/>
                </w:tcPr>
                <w:p w14:paraId="01F7467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67EA0E8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vMerge w:val="continue"/>
                  <w:tcBorders>
                    <w:tl2br w:val="nil"/>
                    <w:tr2bl w:val="nil"/>
                  </w:tcBorders>
                  <w:vAlign w:val="center"/>
                </w:tcPr>
                <w:p w14:paraId="44CA99A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71" w:type="dxa"/>
                  <w:vMerge w:val="continue"/>
                  <w:tcBorders>
                    <w:tl2br w:val="nil"/>
                    <w:tr2bl w:val="nil"/>
                  </w:tcBorders>
                  <w:vAlign w:val="center"/>
                </w:tcPr>
                <w:p w14:paraId="41CD4D4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7" w:type="dxa"/>
                  <w:vMerge w:val="continue"/>
                  <w:tcBorders>
                    <w:tl2br w:val="nil"/>
                    <w:tr2bl w:val="nil"/>
                  </w:tcBorders>
                  <w:vAlign w:val="center"/>
                </w:tcPr>
                <w:p w14:paraId="2CAEC79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51" w:type="dxa"/>
                  <w:vMerge w:val="continue"/>
                  <w:tcBorders>
                    <w:tl2br w:val="nil"/>
                    <w:tr2bl w:val="nil"/>
                  </w:tcBorders>
                  <w:vAlign w:val="center"/>
                </w:tcPr>
                <w:p w14:paraId="57E9536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3977771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38EF4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7" w:type="dxa"/>
                  <w:vMerge w:val="restart"/>
                  <w:tcBorders>
                    <w:tl2br w:val="nil"/>
                    <w:tr2bl w:val="nil"/>
                  </w:tcBorders>
                  <w:vAlign w:val="center"/>
                </w:tcPr>
                <w:p w14:paraId="34F501E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819" w:type="dxa"/>
                  <w:vMerge w:val="restart"/>
                  <w:tcBorders>
                    <w:tl2br w:val="nil"/>
                    <w:tr2bl w:val="nil"/>
                  </w:tcBorders>
                  <w:vAlign w:val="center"/>
                </w:tcPr>
                <w:p w14:paraId="345DD50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kg/万m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lang w:val="en-US" w:eastAsia="zh-CN"/>
                    </w:rPr>
                    <w:t>原料</w:t>
                  </w:r>
                </w:p>
              </w:tc>
              <w:tc>
                <w:tcPr>
                  <w:tcW w:w="900" w:type="dxa"/>
                  <w:tcBorders>
                    <w:tl2br w:val="nil"/>
                    <w:tr2bl w:val="nil"/>
                  </w:tcBorders>
                  <w:vAlign w:val="center"/>
                </w:tcPr>
                <w:p w14:paraId="5210112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0.64（转炉、高炉混合煤气）</w:t>
                  </w:r>
                </w:p>
              </w:tc>
              <w:tc>
                <w:tcPr>
                  <w:tcW w:w="738" w:type="dxa"/>
                  <w:tcBorders>
                    <w:tl2br w:val="nil"/>
                    <w:tr2bl w:val="nil"/>
                  </w:tcBorders>
                  <w:vAlign w:val="center"/>
                </w:tcPr>
                <w:p w14:paraId="11EE709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39.675</w:t>
                  </w:r>
                </w:p>
              </w:tc>
              <w:tc>
                <w:tcPr>
                  <w:tcW w:w="679" w:type="dxa"/>
                  <w:vMerge w:val="restart"/>
                  <w:tcBorders>
                    <w:tl2br w:val="nil"/>
                    <w:tr2bl w:val="nil"/>
                  </w:tcBorders>
                  <w:vAlign w:val="center"/>
                </w:tcPr>
                <w:p w14:paraId="3856C19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低氮燃烧+SCR脱硝技术</w:t>
                  </w:r>
                </w:p>
              </w:tc>
              <w:tc>
                <w:tcPr>
                  <w:tcW w:w="608" w:type="dxa"/>
                  <w:vMerge w:val="restart"/>
                  <w:tcBorders>
                    <w:tl2br w:val="nil"/>
                    <w:tr2bl w:val="nil"/>
                  </w:tcBorders>
                  <w:vAlign w:val="center"/>
                </w:tcPr>
                <w:p w14:paraId="02399B6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w:t>
                  </w:r>
                </w:p>
              </w:tc>
              <w:tc>
                <w:tcPr>
                  <w:tcW w:w="824" w:type="dxa"/>
                  <w:vMerge w:val="restart"/>
                  <w:tcBorders>
                    <w:tl2br w:val="nil"/>
                    <w:tr2bl w:val="nil"/>
                  </w:tcBorders>
                  <w:vAlign w:val="center"/>
                </w:tcPr>
                <w:p w14:paraId="47861AF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42.167</w:t>
                  </w:r>
                </w:p>
              </w:tc>
              <w:tc>
                <w:tcPr>
                  <w:tcW w:w="771" w:type="dxa"/>
                  <w:vMerge w:val="restart"/>
                  <w:tcBorders>
                    <w:tl2br w:val="nil"/>
                    <w:tr2bl w:val="nil"/>
                  </w:tcBorders>
                  <w:vAlign w:val="center"/>
                </w:tcPr>
                <w:p w14:paraId="2D2A675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5.324</w:t>
                  </w:r>
                </w:p>
              </w:tc>
              <w:tc>
                <w:tcPr>
                  <w:tcW w:w="737" w:type="dxa"/>
                  <w:vMerge w:val="restart"/>
                  <w:tcBorders>
                    <w:tl2br w:val="nil"/>
                    <w:tr2bl w:val="nil"/>
                  </w:tcBorders>
                  <w:vAlign w:val="center"/>
                </w:tcPr>
                <w:p w14:paraId="19482DA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16.64</w:t>
                  </w:r>
                </w:p>
              </w:tc>
              <w:tc>
                <w:tcPr>
                  <w:tcW w:w="751" w:type="dxa"/>
                  <w:vMerge w:val="restart"/>
                  <w:tcBorders>
                    <w:tl2br w:val="nil"/>
                    <w:tr2bl w:val="nil"/>
                  </w:tcBorders>
                  <w:vAlign w:val="center"/>
                </w:tcPr>
                <w:p w14:paraId="0795756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w:t>
                  </w:r>
                </w:p>
              </w:tc>
              <w:tc>
                <w:tcPr>
                  <w:tcW w:w="400" w:type="dxa"/>
                  <w:vMerge w:val="restart"/>
                  <w:tcBorders>
                    <w:tl2br w:val="nil"/>
                    <w:tr2bl w:val="nil"/>
                  </w:tcBorders>
                  <w:vAlign w:val="center"/>
                </w:tcPr>
                <w:p w14:paraId="421E379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00B5A1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7" w:type="dxa"/>
                  <w:vMerge w:val="continue"/>
                  <w:tcBorders>
                    <w:tl2br w:val="nil"/>
                    <w:tr2bl w:val="nil"/>
                  </w:tcBorders>
                  <w:vAlign w:val="center"/>
                </w:tcPr>
                <w:p w14:paraId="6EC3BA9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819" w:type="dxa"/>
                  <w:vMerge w:val="continue"/>
                  <w:tcBorders>
                    <w:tl2br w:val="nil"/>
                    <w:tr2bl w:val="nil"/>
                  </w:tcBorders>
                  <w:vAlign w:val="center"/>
                </w:tcPr>
                <w:p w14:paraId="2DBFE03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900" w:type="dxa"/>
                  <w:tcBorders>
                    <w:tl2br w:val="nil"/>
                    <w:tr2bl w:val="nil"/>
                  </w:tcBorders>
                  <w:vAlign w:val="center"/>
                </w:tcPr>
                <w:p w14:paraId="0DD1615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16.94（焦炉煤气）</w:t>
                  </w:r>
                </w:p>
              </w:tc>
              <w:tc>
                <w:tcPr>
                  <w:tcW w:w="738" w:type="dxa"/>
                  <w:tcBorders>
                    <w:tl2br w:val="nil"/>
                    <w:tr2bl w:val="nil"/>
                  </w:tcBorders>
                  <w:vAlign w:val="center"/>
                </w:tcPr>
                <w:p w14:paraId="7F734F7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381.997</w:t>
                  </w:r>
                </w:p>
              </w:tc>
              <w:tc>
                <w:tcPr>
                  <w:tcW w:w="679" w:type="dxa"/>
                  <w:vMerge w:val="continue"/>
                  <w:tcBorders>
                    <w:tl2br w:val="nil"/>
                    <w:tr2bl w:val="nil"/>
                  </w:tcBorders>
                  <w:vAlign w:val="center"/>
                </w:tcPr>
                <w:p w14:paraId="2FC07CE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486E5F8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vMerge w:val="continue"/>
                  <w:tcBorders>
                    <w:tl2br w:val="nil"/>
                    <w:tr2bl w:val="nil"/>
                  </w:tcBorders>
                  <w:vAlign w:val="center"/>
                </w:tcPr>
                <w:p w14:paraId="1D6E037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71" w:type="dxa"/>
                  <w:vMerge w:val="continue"/>
                  <w:tcBorders>
                    <w:tl2br w:val="nil"/>
                    <w:tr2bl w:val="nil"/>
                  </w:tcBorders>
                  <w:vAlign w:val="center"/>
                </w:tcPr>
                <w:p w14:paraId="67967B1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7" w:type="dxa"/>
                  <w:vMerge w:val="continue"/>
                  <w:tcBorders>
                    <w:tl2br w:val="nil"/>
                    <w:tr2bl w:val="nil"/>
                  </w:tcBorders>
                  <w:vAlign w:val="center"/>
                </w:tcPr>
                <w:p w14:paraId="4C5F65D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51" w:type="dxa"/>
                  <w:vMerge w:val="continue"/>
                  <w:tcBorders>
                    <w:tl2br w:val="nil"/>
                    <w:tr2bl w:val="nil"/>
                  </w:tcBorders>
                  <w:vAlign w:val="center"/>
                </w:tcPr>
                <w:p w14:paraId="5E04823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7A0D69E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2DEDB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7" w:type="dxa"/>
                  <w:vMerge w:val="continue"/>
                  <w:tcBorders>
                    <w:tl2br w:val="nil"/>
                    <w:tr2bl w:val="nil"/>
                  </w:tcBorders>
                  <w:vAlign w:val="center"/>
                </w:tcPr>
                <w:p w14:paraId="79A49AE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819" w:type="dxa"/>
                  <w:vMerge w:val="continue"/>
                  <w:tcBorders>
                    <w:tl2br w:val="nil"/>
                    <w:tr2bl w:val="nil"/>
                  </w:tcBorders>
                  <w:vAlign w:val="center"/>
                </w:tcPr>
                <w:p w14:paraId="7F7112E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color w:val="auto"/>
                    </w:rPr>
                  </w:pPr>
                </w:p>
              </w:tc>
              <w:tc>
                <w:tcPr>
                  <w:tcW w:w="900" w:type="dxa"/>
                  <w:tcBorders>
                    <w:tl2br w:val="nil"/>
                    <w:tr2bl w:val="nil"/>
                  </w:tcBorders>
                  <w:vAlign w:val="center"/>
                </w:tcPr>
                <w:p w14:paraId="0EAAB6F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738" w:type="dxa"/>
                  <w:tcBorders>
                    <w:tl2br w:val="nil"/>
                    <w:tr2bl w:val="nil"/>
                  </w:tcBorders>
                  <w:vAlign w:val="center"/>
                </w:tcPr>
                <w:p w14:paraId="79F56C9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421.672</w:t>
                  </w:r>
                </w:p>
              </w:tc>
              <w:tc>
                <w:tcPr>
                  <w:tcW w:w="679" w:type="dxa"/>
                  <w:vMerge w:val="continue"/>
                  <w:tcBorders>
                    <w:tl2br w:val="nil"/>
                    <w:tr2bl w:val="nil"/>
                  </w:tcBorders>
                  <w:vAlign w:val="center"/>
                </w:tcPr>
                <w:p w14:paraId="0DE6DE2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8" w:type="dxa"/>
                  <w:vMerge w:val="continue"/>
                  <w:tcBorders>
                    <w:tl2br w:val="nil"/>
                    <w:tr2bl w:val="nil"/>
                  </w:tcBorders>
                  <w:vAlign w:val="center"/>
                </w:tcPr>
                <w:p w14:paraId="0D22750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4" w:type="dxa"/>
                  <w:vMerge w:val="continue"/>
                  <w:tcBorders>
                    <w:tl2br w:val="nil"/>
                    <w:tr2bl w:val="nil"/>
                  </w:tcBorders>
                  <w:vAlign w:val="center"/>
                </w:tcPr>
                <w:p w14:paraId="642E8CE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71" w:type="dxa"/>
                  <w:vMerge w:val="continue"/>
                  <w:tcBorders>
                    <w:tl2br w:val="nil"/>
                    <w:tr2bl w:val="nil"/>
                  </w:tcBorders>
                  <w:vAlign w:val="center"/>
                </w:tcPr>
                <w:p w14:paraId="3E620A8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37" w:type="dxa"/>
                  <w:vMerge w:val="continue"/>
                  <w:tcBorders>
                    <w:tl2br w:val="nil"/>
                    <w:tr2bl w:val="nil"/>
                  </w:tcBorders>
                  <w:vAlign w:val="center"/>
                </w:tcPr>
                <w:p w14:paraId="10B0609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751" w:type="dxa"/>
                  <w:vMerge w:val="continue"/>
                  <w:tcBorders>
                    <w:tl2br w:val="nil"/>
                    <w:tr2bl w:val="nil"/>
                  </w:tcBorders>
                  <w:vAlign w:val="center"/>
                </w:tcPr>
                <w:p w14:paraId="5DB2B7A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dxa"/>
                  <w:vMerge w:val="continue"/>
                  <w:tcBorders>
                    <w:tl2br w:val="nil"/>
                    <w:tr2bl w:val="nil"/>
                  </w:tcBorders>
                  <w:vAlign w:val="center"/>
                </w:tcPr>
                <w:p w14:paraId="3F18973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5347E0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54" w:type="dxa"/>
                  <w:gridSpan w:val="11"/>
                  <w:tcBorders>
                    <w:tl2br w:val="nil"/>
                    <w:tr2bl w:val="nil"/>
                  </w:tcBorders>
                  <w:vAlign w:val="center"/>
                </w:tcPr>
                <w:p w14:paraId="0FCEC3A4">
                  <w:pPr>
                    <w:keepNext w:val="0"/>
                    <w:keepLines w:val="0"/>
                    <w:widowControl/>
                    <w:suppressLineNumbers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1、根据业主提供的仙福公司高炉煤气成分分析表，H</w:t>
                  </w:r>
                  <w:r>
                    <w:rPr>
                      <w:rFonts w:hint="default" w:ascii="Times New Roman" w:hAnsi="Times New Roman" w:eastAsia="宋体" w:cs="Times New Roman"/>
                      <w:color w:val="auto"/>
                      <w:kern w:val="0"/>
                      <w:sz w:val="18"/>
                      <w:szCs w:val="18"/>
                      <w:vertAlign w:val="subscript"/>
                      <w:lang w:val="en-US" w:eastAsia="zh-CN" w:bidi="ar"/>
                    </w:rPr>
                    <w:t>2</w:t>
                  </w:r>
                  <w:r>
                    <w:rPr>
                      <w:rFonts w:hint="default" w:ascii="Times New Roman" w:hAnsi="Times New Roman" w:eastAsia="宋体" w:cs="Times New Roman"/>
                      <w:color w:val="auto"/>
                      <w:kern w:val="0"/>
                      <w:sz w:val="18"/>
                      <w:szCs w:val="18"/>
                      <w:lang w:val="en-US" w:eastAsia="zh-CN" w:bidi="ar"/>
                    </w:rPr>
                    <w:t>S浓度为</w:t>
                  </w:r>
                  <w:r>
                    <w:rPr>
                      <w:rFonts w:hint="eastAsia" w:cs="Times New Roman"/>
                      <w:color w:val="auto"/>
                      <w:kern w:val="0"/>
                      <w:sz w:val="18"/>
                      <w:szCs w:val="18"/>
                      <w:lang w:val="en-US" w:eastAsia="zh-CN" w:bidi="ar"/>
                    </w:rPr>
                    <w:t>192N</w:t>
                  </w:r>
                  <w:r>
                    <w:rPr>
                      <w:rFonts w:hint="default" w:ascii="Times New Roman" w:hAnsi="Times New Roman" w:eastAsia="宋体" w:cs="Times New Roman"/>
                      <w:color w:val="auto"/>
                      <w:kern w:val="0"/>
                      <w:sz w:val="18"/>
                      <w:szCs w:val="18"/>
                      <w:lang w:val="en-US" w:eastAsia="zh-CN" w:bidi="ar"/>
                    </w:rPr>
                    <w:t>mg/m</w:t>
                  </w:r>
                  <w:r>
                    <w:rPr>
                      <w:rFonts w:hint="eastAsia"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，则S含量浓度为</w:t>
                  </w:r>
                  <w:r>
                    <w:rPr>
                      <w:rFonts w:hint="eastAsia" w:cs="Times New Roman"/>
                      <w:color w:val="auto"/>
                      <w:kern w:val="0"/>
                      <w:sz w:val="18"/>
                      <w:szCs w:val="18"/>
                      <w:lang w:val="en-US" w:eastAsia="zh-CN" w:bidi="ar"/>
                    </w:rPr>
                    <w:t>180.7N</w:t>
                  </w:r>
                  <w:r>
                    <w:rPr>
                      <w:rFonts w:hint="default" w:ascii="Times New Roman" w:hAnsi="Times New Roman" w:eastAsia="宋体" w:cs="Times New Roman"/>
                      <w:color w:val="auto"/>
                      <w:kern w:val="0"/>
                      <w:sz w:val="18"/>
                      <w:szCs w:val="18"/>
                      <w:lang w:val="en-US" w:eastAsia="zh-CN" w:bidi="ar"/>
                    </w:rPr>
                    <w:t>mg/m</w:t>
                  </w:r>
                  <w:r>
                    <w:rPr>
                      <w:rFonts w:hint="eastAsia"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；焦炉煤气中S含量浓度为200</w:t>
                  </w:r>
                  <w:r>
                    <w:rPr>
                      <w:rFonts w:hint="eastAsia" w:cs="Times New Roman"/>
                      <w:color w:val="auto"/>
                      <w:kern w:val="0"/>
                      <w:sz w:val="18"/>
                      <w:szCs w:val="18"/>
                      <w:lang w:val="en-US" w:eastAsia="zh-CN" w:bidi="ar"/>
                    </w:rPr>
                    <w:t>N</w:t>
                  </w:r>
                  <w:r>
                    <w:rPr>
                      <w:rFonts w:hint="default" w:ascii="Times New Roman" w:hAnsi="Times New Roman" w:eastAsia="宋体" w:cs="Times New Roman"/>
                      <w:color w:val="auto"/>
                      <w:kern w:val="0"/>
                      <w:sz w:val="18"/>
                      <w:szCs w:val="18"/>
                      <w:lang w:val="en-US" w:eastAsia="zh-CN" w:bidi="ar"/>
                    </w:rPr>
                    <w:t>mg/m</w:t>
                  </w:r>
                  <w:r>
                    <w:rPr>
                      <w:rFonts w:hint="eastAsia"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w:t>
                  </w:r>
                </w:p>
                <w:p w14:paraId="703F04A6">
                  <w:pPr>
                    <w:keepNext w:val="0"/>
                    <w:keepLines w:val="0"/>
                    <w:widowControl/>
                    <w:suppressLineNumbers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2、根据</w:t>
                  </w:r>
                  <w:r>
                    <w:rPr>
                      <w:rFonts w:hint="eastAsia" w:ascii="Times New Roman" w:hAnsi="Times New Roman" w:eastAsia="宋体" w:cs="Times New Roman"/>
                      <w:color w:val="auto"/>
                      <w:kern w:val="0"/>
                      <w:sz w:val="18"/>
                      <w:szCs w:val="18"/>
                      <w:lang w:val="en-US" w:eastAsia="zh-CN" w:bidi="ar"/>
                    </w:rPr>
                    <w:t>建设单位提供资料，钙基干法脱硫工艺脱硫效率为90%以上</w:t>
                  </w:r>
                  <w:r>
                    <w:rPr>
                      <w:rFonts w:hint="default" w:ascii="Times New Roman" w:hAnsi="Times New Roman" w:eastAsia="宋体" w:cs="Times New Roman"/>
                      <w:color w:val="auto"/>
                      <w:kern w:val="0"/>
                      <w:sz w:val="18"/>
                      <w:szCs w:val="18"/>
                      <w:lang w:val="en-US" w:eastAsia="zh-CN" w:bidi="ar"/>
                    </w:rPr>
                    <w:t>，本项目按9</w:t>
                  </w:r>
                  <w:r>
                    <w:rPr>
                      <w:rFonts w:hint="eastAsia" w:ascii="Times New Roman" w:hAnsi="Times New Roman" w:eastAsia="宋体" w:cs="Times New Roman"/>
                      <w:color w:val="auto"/>
                      <w:kern w:val="0"/>
                      <w:sz w:val="18"/>
                      <w:szCs w:val="18"/>
                      <w:lang w:val="en-US" w:eastAsia="zh-CN" w:bidi="ar"/>
                    </w:rPr>
                    <w:t>0</w:t>
                  </w:r>
                  <w:r>
                    <w:rPr>
                      <w:rFonts w:hint="default" w:ascii="Times New Roman" w:hAnsi="Times New Roman" w:eastAsia="宋体" w:cs="Times New Roman"/>
                      <w:color w:val="auto"/>
                      <w:kern w:val="0"/>
                      <w:sz w:val="18"/>
                      <w:szCs w:val="18"/>
                      <w:lang w:val="en-US" w:eastAsia="zh-CN" w:bidi="ar"/>
                    </w:rPr>
                    <w:t>%计算。</w:t>
                  </w:r>
                </w:p>
                <w:p w14:paraId="343918A0">
                  <w:pPr>
                    <w:keepNext w:val="0"/>
                    <w:keepLines w:val="0"/>
                    <w:widowControl/>
                    <w:suppressLineNumbers w:val="0"/>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0"/>
                      <w:sz w:val="18"/>
                      <w:szCs w:val="18"/>
                      <w:lang w:val="en-US" w:eastAsia="zh-CN" w:bidi="ar"/>
                    </w:rPr>
                    <w:t>3、根据《污染源源强核算技术指南 火电》（HJ 888—2018），低氮燃烧器（LNB）对NO</w:t>
                  </w:r>
                  <w:r>
                    <w:rPr>
                      <w:rFonts w:hint="eastAsia" w:ascii="Times New Roman" w:hAnsi="Times New Roman" w:eastAsia="宋体" w:cs="Times New Roman"/>
                      <w:color w:val="auto"/>
                      <w:kern w:val="0"/>
                      <w:sz w:val="18"/>
                      <w:szCs w:val="18"/>
                      <w:lang w:val="en-US" w:eastAsia="zh-CN" w:bidi="ar"/>
                    </w:rPr>
                    <w:t>x</w:t>
                  </w:r>
                  <w:r>
                    <w:rPr>
                      <w:rFonts w:hint="default" w:ascii="Times New Roman" w:hAnsi="Times New Roman" w:eastAsia="宋体" w:cs="Times New Roman"/>
                      <w:color w:val="auto"/>
                      <w:kern w:val="0"/>
                      <w:sz w:val="18"/>
                      <w:szCs w:val="18"/>
                      <w:lang w:val="en-US" w:eastAsia="zh-CN" w:bidi="ar"/>
                    </w:rPr>
                    <w:t>降低率20~50%，采用SCR对NO</w:t>
                  </w:r>
                  <w:r>
                    <w:rPr>
                      <w:rFonts w:hint="eastAsia" w:ascii="Times New Roman" w:hAnsi="Times New Roman" w:eastAsia="宋体" w:cs="Times New Roman"/>
                      <w:color w:val="auto"/>
                      <w:kern w:val="0"/>
                      <w:sz w:val="18"/>
                      <w:szCs w:val="18"/>
                      <w:lang w:val="en-US" w:eastAsia="zh-CN" w:bidi="ar"/>
                    </w:rPr>
                    <w:t>x</w:t>
                  </w:r>
                  <w:r>
                    <w:rPr>
                      <w:rFonts w:hint="default" w:ascii="Times New Roman" w:hAnsi="Times New Roman" w:eastAsia="宋体" w:cs="Times New Roman"/>
                      <w:color w:val="auto"/>
                      <w:kern w:val="0"/>
                      <w:sz w:val="18"/>
                      <w:szCs w:val="18"/>
                      <w:lang w:val="en-US" w:eastAsia="zh-CN" w:bidi="ar"/>
                    </w:rPr>
                    <w:t>去除效率为50-90%，本项目</w:t>
                  </w:r>
                  <w:r>
                    <w:rPr>
                      <w:rFonts w:hint="eastAsia" w:cs="Times New Roman"/>
                      <w:color w:val="auto"/>
                      <w:kern w:val="0"/>
                      <w:sz w:val="18"/>
                      <w:szCs w:val="18"/>
                      <w:lang w:val="en-US" w:eastAsia="zh-CN" w:bidi="ar"/>
                    </w:rPr>
                    <w:t>采用低氮燃烧+SCR脱硝，</w:t>
                  </w:r>
                  <w:r>
                    <w:rPr>
                      <w:rFonts w:hint="default" w:ascii="Times New Roman" w:hAnsi="Times New Roman" w:eastAsia="宋体" w:cs="Times New Roman"/>
                      <w:color w:val="auto"/>
                      <w:kern w:val="0"/>
                      <w:sz w:val="18"/>
                      <w:szCs w:val="18"/>
                      <w:lang w:val="en-US" w:eastAsia="zh-CN" w:bidi="ar"/>
                    </w:rPr>
                    <w:t>NO</w:t>
                  </w:r>
                  <w:r>
                    <w:rPr>
                      <w:rFonts w:hint="eastAsia" w:ascii="Times New Roman" w:hAnsi="Times New Roman" w:eastAsia="宋体" w:cs="Times New Roman"/>
                      <w:color w:val="auto"/>
                      <w:kern w:val="0"/>
                      <w:sz w:val="18"/>
                      <w:szCs w:val="18"/>
                      <w:lang w:val="en-US" w:eastAsia="zh-CN" w:bidi="ar"/>
                    </w:rPr>
                    <w:t>x</w:t>
                  </w:r>
                  <w:r>
                    <w:rPr>
                      <w:rFonts w:hint="default" w:ascii="Times New Roman" w:hAnsi="Times New Roman" w:eastAsia="宋体" w:cs="Times New Roman"/>
                      <w:color w:val="auto"/>
                      <w:kern w:val="0"/>
                      <w:sz w:val="18"/>
                      <w:szCs w:val="18"/>
                      <w:lang w:val="en-US" w:eastAsia="zh-CN" w:bidi="ar"/>
                    </w:rPr>
                    <w:t>去除效率按</w:t>
                  </w:r>
                  <w:r>
                    <w:rPr>
                      <w:rFonts w:hint="eastAsia" w:cs="Times New Roman"/>
                      <w:color w:val="auto"/>
                      <w:kern w:val="0"/>
                      <w:sz w:val="18"/>
                      <w:szCs w:val="18"/>
                      <w:lang w:val="en-US" w:eastAsia="zh-CN" w:bidi="ar"/>
                    </w:rPr>
                    <w:t>90</w:t>
                  </w:r>
                  <w:r>
                    <w:rPr>
                      <w:rFonts w:hint="default" w:ascii="Times New Roman" w:hAnsi="Times New Roman" w:eastAsia="宋体" w:cs="Times New Roman"/>
                      <w:color w:val="auto"/>
                      <w:kern w:val="0"/>
                      <w:sz w:val="18"/>
                      <w:szCs w:val="18"/>
                      <w:lang w:val="en-US" w:eastAsia="zh-CN" w:bidi="ar"/>
                    </w:rPr>
                    <w:t>%计。</w:t>
                  </w:r>
                </w:p>
              </w:tc>
            </w:tr>
          </w:tbl>
          <w:p w14:paraId="64776B3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w:t>
            </w:r>
            <w:r>
              <w:rPr>
                <w:rFonts w:hint="eastAsia" w:cs="Times New Roman"/>
                <w:b/>
                <w:bCs/>
                <w:color w:val="auto"/>
                <w:kern w:val="0"/>
                <w:sz w:val="24"/>
                <w:szCs w:val="24"/>
                <w:lang w:val="en-US" w:eastAsia="zh-CN" w:bidi="ar"/>
              </w:rPr>
              <w:t>3</w:t>
            </w:r>
            <w:r>
              <w:rPr>
                <w:rFonts w:hint="eastAsia" w:ascii="Times New Roman" w:hAnsi="Times New Roman" w:cs="Times New Roman"/>
                <w:b/>
                <w:bCs/>
                <w:color w:val="auto"/>
                <w:kern w:val="0"/>
                <w:sz w:val="24"/>
                <w:szCs w:val="24"/>
                <w:lang w:val="en-US" w:eastAsia="zh-CN" w:bidi="ar"/>
              </w:rPr>
              <w:t>）灰仓</w:t>
            </w:r>
          </w:p>
          <w:p w14:paraId="5C9F51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lang w:val="en-US" w:eastAsia="zh-CN" w:bidi="ar"/>
              </w:rPr>
              <w:t>本项目设置1个灰仓，容积为</w:t>
            </w:r>
            <w:r>
              <w:rPr>
                <w:rFonts w:hint="eastAsia" w:ascii="Times New Roman" w:hAnsi="Times New Roman" w:eastAsia="宋体" w:cs="Times New Roman"/>
                <w:color w:val="auto"/>
                <w:kern w:val="0"/>
                <w:sz w:val="24"/>
                <w:szCs w:val="24"/>
                <w:lang w:val="en-US" w:eastAsia="zh-CN"/>
              </w:rPr>
              <w:t>135</w:t>
            </w:r>
            <w:r>
              <w:rPr>
                <w:rFonts w:hint="eastAsia" w:ascii="Times New Roman" w:hAnsi="Times New Roman" w:eastAsia="宋体" w:cs="Times New Roman"/>
                <w:color w:val="auto"/>
                <w:kern w:val="0"/>
                <w:sz w:val="24"/>
                <w:szCs w:val="24"/>
              </w:rPr>
              <w:t>m</w:t>
            </w:r>
            <w:r>
              <w:rPr>
                <w:rFonts w:hint="eastAsia" w:ascii="Times New Roman" w:hAnsi="Times New Roman" w:eastAsia="宋体" w:cs="Times New Roman"/>
                <w:color w:val="auto"/>
                <w:kern w:val="0"/>
                <w:sz w:val="24"/>
                <w:szCs w:val="24"/>
                <w:vertAlign w:val="superscript"/>
              </w:rPr>
              <w:t>3</w:t>
            </w:r>
            <w:r>
              <w:rPr>
                <w:rFonts w:hint="eastAsia" w:ascii="Times New Roman" w:hAnsi="Times New Roman" w:eastAsia="宋体" w:cs="Times New Roman"/>
                <w:color w:val="auto"/>
                <w:kern w:val="0"/>
                <w:sz w:val="24"/>
                <w:szCs w:val="24"/>
                <w:vertAlign w:val="baseline"/>
                <w:lang w:eastAsia="zh-CN"/>
              </w:rPr>
              <w:t>，</w:t>
            </w:r>
            <w:r>
              <w:rPr>
                <w:rFonts w:hint="eastAsia" w:ascii="Times New Roman" w:hAnsi="Times New Roman" w:eastAsia="宋体" w:cs="Times New Roman"/>
                <w:color w:val="auto"/>
                <w:kern w:val="0"/>
                <w:sz w:val="24"/>
                <w:szCs w:val="24"/>
                <w:vertAlign w:val="baseline"/>
                <w:lang w:val="en-US" w:eastAsia="zh-CN"/>
              </w:rPr>
              <w:t>灰仓设计为全封闭，仓顶设有布袋除尘器1台，除尘效率为99%，灰仓产生的粉尘经除尘后</w:t>
            </w:r>
            <w:r>
              <w:rPr>
                <w:rFonts w:hint="eastAsia" w:cs="Times New Roman"/>
                <w:color w:val="auto"/>
                <w:kern w:val="0"/>
                <w:sz w:val="24"/>
                <w:szCs w:val="24"/>
                <w:vertAlign w:val="baseline"/>
                <w:lang w:val="en-US" w:eastAsia="zh-CN"/>
              </w:rPr>
              <w:t>和锅炉烟气一同排出</w:t>
            </w:r>
            <w:r>
              <w:rPr>
                <w:rFonts w:hint="eastAsia" w:ascii="Times New Roman" w:hAnsi="Times New Roman" w:eastAsia="宋体" w:cs="Times New Roman"/>
                <w:color w:val="auto"/>
                <w:kern w:val="0"/>
                <w:sz w:val="24"/>
                <w:szCs w:val="24"/>
                <w:vertAlign w:val="baseline"/>
                <w:lang w:val="en-US" w:eastAsia="zh-CN"/>
              </w:rPr>
              <w:t>。类比《第二次全国污染源普查工业污染源产排污染系数手册（第三十分册）》中“3021水泥制品制造业”相关产排污系数，物料输送储存工序产生工业粉尘0.13千克/吨-水泥粉料进行核算扬尘产生源强，</w:t>
            </w:r>
            <w:r>
              <w:rPr>
                <w:rFonts w:hint="eastAsia" w:cs="Times New Roman"/>
                <w:color w:val="auto"/>
                <w:kern w:val="0"/>
                <w:sz w:val="24"/>
                <w:szCs w:val="24"/>
                <w:vertAlign w:val="baseline"/>
                <w:lang w:val="en-US" w:eastAsia="zh-CN"/>
              </w:rPr>
              <w:t>根据核算，脱硫灰产生量为1129.93</w:t>
            </w:r>
            <w:r>
              <w:rPr>
                <w:rFonts w:hint="eastAsia" w:ascii="Times New Roman" w:hAnsi="Times New Roman" w:eastAsia="宋体" w:cs="Times New Roman"/>
                <w:color w:val="auto"/>
                <w:kern w:val="0"/>
                <w:sz w:val="24"/>
                <w:szCs w:val="24"/>
                <w:vertAlign w:val="baseline"/>
                <w:lang w:val="en-US" w:eastAsia="zh-CN"/>
              </w:rPr>
              <w:t>t/a</w:t>
            </w:r>
            <w:r>
              <w:rPr>
                <w:rFonts w:hint="eastAsia" w:cs="Times New Roman"/>
                <w:color w:val="auto"/>
                <w:kern w:val="0"/>
                <w:sz w:val="24"/>
                <w:szCs w:val="24"/>
                <w:vertAlign w:val="baseline"/>
                <w:lang w:val="en-US" w:eastAsia="zh-CN"/>
              </w:rPr>
              <w:t>，灰仓粉尘产生量为0.147</w:t>
            </w:r>
            <w:r>
              <w:rPr>
                <w:rFonts w:hint="eastAsia" w:ascii="Times New Roman" w:hAnsi="Times New Roman" w:eastAsia="宋体" w:cs="Times New Roman"/>
                <w:color w:val="auto"/>
                <w:kern w:val="0"/>
                <w:sz w:val="24"/>
                <w:szCs w:val="24"/>
                <w:vertAlign w:val="baseline"/>
                <w:lang w:val="en-US" w:eastAsia="zh-CN"/>
              </w:rPr>
              <w:t>t/a</w:t>
            </w:r>
            <w:r>
              <w:rPr>
                <w:rFonts w:hint="eastAsia" w:cs="Times New Roman"/>
                <w:color w:val="auto"/>
                <w:kern w:val="0"/>
                <w:sz w:val="24"/>
                <w:szCs w:val="24"/>
                <w:vertAlign w:val="baseline"/>
                <w:lang w:val="en-US" w:eastAsia="zh-CN"/>
              </w:rPr>
              <w:t>，类比同类项目，本项目脱硫灰全年卸料时间为20h，</w:t>
            </w:r>
            <w:r>
              <w:rPr>
                <w:rFonts w:hint="eastAsia" w:ascii="Times New Roman" w:hAnsi="Times New Roman" w:eastAsia="宋体" w:cs="Times New Roman"/>
                <w:color w:val="auto"/>
                <w:kern w:val="0"/>
                <w:sz w:val="24"/>
                <w:szCs w:val="24"/>
                <w:vertAlign w:val="baseline"/>
                <w:lang w:val="en-US" w:eastAsia="zh-CN"/>
              </w:rPr>
              <w:t>经处理效率99%的除尘器处理后排放量为</w:t>
            </w:r>
            <w:r>
              <w:rPr>
                <w:rFonts w:hint="eastAsia" w:cs="Times New Roman"/>
                <w:color w:val="auto"/>
                <w:kern w:val="0"/>
                <w:sz w:val="24"/>
                <w:szCs w:val="24"/>
                <w:vertAlign w:val="baseline"/>
                <w:lang w:val="en-US" w:eastAsia="zh-CN"/>
              </w:rPr>
              <w:t>0.0015</w:t>
            </w:r>
            <w:r>
              <w:rPr>
                <w:rFonts w:hint="eastAsia" w:ascii="Times New Roman" w:hAnsi="Times New Roman" w:eastAsia="宋体" w:cs="Times New Roman"/>
                <w:color w:val="auto"/>
                <w:kern w:val="0"/>
                <w:sz w:val="24"/>
                <w:szCs w:val="24"/>
                <w:vertAlign w:val="baseline"/>
                <w:lang w:val="en-US" w:eastAsia="zh-CN"/>
              </w:rPr>
              <w:t>t/a，排放速率为</w:t>
            </w:r>
            <w:r>
              <w:rPr>
                <w:rFonts w:hint="eastAsia" w:cs="Times New Roman"/>
                <w:color w:val="auto"/>
                <w:kern w:val="0"/>
                <w:sz w:val="24"/>
                <w:szCs w:val="24"/>
                <w:vertAlign w:val="baseline"/>
                <w:lang w:val="en-US" w:eastAsia="zh-CN"/>
              </w:rPr>
              <w:t>0.075</w:t>
            </w:r>
            <w:r>
              <w:rPr>
                <w:rFonts w:hint="eastAsia" w:ascii="Times New Roman" w:hAnsi="Times New Roman" w:eastAsia="宋体" w:cs="Times New Roman"/>
                <w:color w:val="auto"/>
                <w:kern w:val="0"/>
                <w:sz w:val="24"/>
                <w:szCs w:val="24"/>
                <w:vertAlign w:val="baseline"/>
                <w:lang w:val="en-US" w:eastAsia="zh-CN"/>
              </w:rPr>
              <w:t>kg/h，排放浓度为</w:t>
            </w:r>
            <w:r>
              <w:rPr>
                <w:rFonts w:hint="eastAsia" w:cs="Times New Roman"/>
                <w:color w:val="auto"/>
                <w:kern w:val="0"/>
                <w:sz w:val="24"/>
                <w:szCs w:val="24"/>
                <w:vertAlign w:val="baseline"/>
                <w:lang w:val="en-US" w:eastAsia="zh-CN"/>
              </w:rPr>
              <w:t>0.234</w:t>
            </w:r>
            <w:r>
              <w:rPr>
                <w:rFonts w:hint="eastAsia" w:ascii="Times New Roman" w:hAnsi="Times New Roman" w:eastAsia="宋体" w:cs="Times New Roman"/>
                <w:color w:val="auto"/>
                <w:kern w:val="0"/>
                <w:sz w:val="24"/>
                <w:szCs w:val="24"/>
                <w:vertAlign w:val="baseline"/>
                <w:lang w:val="en-US" w:eastAsia="zh-CN"/>
              </w:rPr>
              <w:t>mg/m</w:t>
            </w:r>
            <w:r>
              <w:rPr>
                <w:rFonts w:hint="eastAsia"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vertAlign w:val="baseline"/>
                <w:lang w:val="en-US" w:eastAsia="zh-CN"/>
              </w:rPr>
              <w:t>。</w:t>
            </w:r>
          </w:p>
          <w:p w14:paraId="5D6D1D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4.6.2大气污染物产排污情况</w:t>
            </w:r>
          </w:p>
          <w:p w14:paraId="66050E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vertAlign w:val="baseline"/>
                <w:lang w:val="en-US" w:eastAsia="zh-CN"/>
              </w:rPr>
              <w:t>本项目大气污染物产排污情况见下表。</w:t>
            </w:r>
          </w:p>
          <w:p w14:paraId="2E65C51D">
            <w:pPr>
              <w:keepNext w:val="0"/>
              <w:keepLines w:val="0"/>
              <w:widowControl/>
              <w:suppressLineNumbers w:val="0"/>
              <w:ind w:left="0" w:leftChars="0" w:right="0" w:rightChars="0" w:firstLine="0" w:firstLineChars="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表4-3 本项目大气污染物产排污情况一览表</w:t>
            </w:r>
          </w:p>
          <w:tbl>
            <w:tblPr>
              <w:tblStyle w:val="1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746"/>
              <w:gridCol w:w="559"/>
              <w:gridCol w:w="639"/>
              <w:gridCol w:w="658"/>
              <w:gridCol w:w="1175"/>
              <w:gridCol w:w="1087"/>
              <w:gridCol w:w="1056"/>
              <w:gridCol w:w="730"/>
              <w:gridCol w:w="802"/>
            </w:tblGrid>
            <w:tr w14:paraId="467B32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vMerge w:val="restart"/>
                  <w:tcBorders>
                    <w:tl2br w:val="nil"/>
                    <w:tr2bl w:val="nil"/>
                  </w:tcBorders>
                  <w:noWrap w:val="0"/>
                  <w:vAlign w:val="center"/>
                </w:tcPr>
                <w:p w14:paraId="6ED643A7">
                  <w:pPr>
                    <w:adjustRightInd w:val="0"/>
                    <w:snapToGrid w:val="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序号</w:t>
                  </w:r>
                </w:p>
              </w:tc>
              <w:tc>
                <w:tcPr>
                  <w:tcW w:w="475" w:type="pct"/>
                  <w:vMerge w:val="restart"/>
                  <w:tcBorders>
                    <w:tl2br w:val="nil"/>
                    <w:tr2bl w:val="nil"/>
                  </w:tcBorders>
                  <w:noWrap w:val="0"/>
                  <w:vAlign w:val="center"/>
                </w:tcPr>
                <w:p w14:paraId="52CCB5C2">
                  <w:pPr>
                    <w:adjustRightInd w:val="0"/>
                    <w:snapToGrid w:val="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排放编号</w:t>
                  </w:r>
                </w:p>
              </w:tc>
              <w:tc>
                <w:tcPr>
                  <w:tcW w:w="356" w:type="pct"/>
                  <w:vMerge w:val="restart"/>
                  <w:tcBorders>
                    <w:tl2br w:val="nil"/>
                    <w:tr2bl w:val="nil"/>
                  </w:tcBorders>
                  <w:noWrap w:val="0"/>
                  <w:vAlign w:val="center"/>
                </w:tcPr>
                <w:p w14:paraId="57BCA48A">
                  <w:pPr>
                    <w:adjustRightInd w:val="0"/>
                    <w:snapToGrid w:val="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污染物</w:t>
                  </w:r>
                </w:p>
              </w:tc>
              <w:tc>
                <w:tcPr>
                  <w:tcW w:w="407" w:type="pct"/>
                  <w:vMerge w:val="restart"/>
                  <w:tcBorders>
                    <w:tl2br w:val="nil"/>
                    <w:tr2bl w:val="nil"/>
                  </w:tcBorders>
                  <w:noWrap w:val="0"/>
                  <w:vAlign w:val="center"/>
                </w:tcPr>
                <w:p w14:paraId="3ECE691E">
                  <w:pPr>
                    <w:adjustRightInd w:val="0"/>
                    <w:snapToGrid w:val="0"/>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核算方法</w:t>
                  </w:r>
                </w:p>
              </w:tc>
              <w:tc>
                <w:tcPr>
                  <w:tcW w:w="419" w:type="pct"/>
                  <w:vMerge w:val="restart"/>
                  <w:tcBorders>
                    <w:tl2br w:val="nil"/>
                    <w:tr2bl w:val="nil"/>
                  </w:tcBorders>
                  <w:noWrap w:val="0"/>
                  <w:vAlign w:val="center"/>
                </w:tcPr>
                <w:p w14:paraId="4E99A6A3">
                  <w:pPr>
                    <w:adjustRightInd w:val="0"/>
                    <w:snapToGrid w:val="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主要防治措施</w:t>
                  </w:r>
                </w:p>
              </w:tc>
              <w:tc>
                <w:tcPr>
                  <w:tcW w:w="1440" w:type="pct"/>
                  <w:gridSpan w:val="2"/>
                  <w:tcBorders>
                    <w:tl2br w:val="nil"/>
                    <w:tr2bl w:val="nil"/>
                  </w:tcBorders>
                  <w:noWrap w:val="0"/>
                  <w:vAlign w:val="center"/>
                </w:tcPr>
                <w:p w14:paraId="7B483A05">
                  <w:pPr>
                    <w:adjustRightInd w:val="0"/>
                    <w:snapToGrid w:val="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国家或地方污染物排放标准</w:t>
                  </w:r>
                </w:p>
              </w:tc>
              <w:tc>
                <w:tcPr>
                  <w:tcW w:w="672" w:type="pct"/>
                  <w:vMerge w:val="restart"/>
                  <w:tcBorders>
                    <w:tl2br w:val="nil"/>
                    <w:tr2bl w:val="nil"/>
                  </w:tcBorders>
                  <w:noWrap w:val="0"/>
                  <w:vAlign w:val="center"/>
                </w:tcPr>
                <w:p w14:paraId="281B6161">
                  <w:pPr>
                    <w:adjustRightInd w:val="0"/>
                    <w:snapToGrid w:val="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排放浓度（mg/m</w:t>
                  </w:r>
                  <w:r>
                    <w:rPr>
                      <w:rFonts w:hint="default" w:ascii="Times New Roman" w:hAnsi="Times New Roman" w:eastAsia="宋体" w:cs="Times New Roman"/>
                      <w:b w:val="0"/>
                      <w:bCs w:val="0"/>
                      <w:color w:val="000000" w:themeColor="text1"/>
                      <w:sz w:val="18"/>
                      <w:szCs w:val="18"/>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18"/>
                      <w:szCs w:val="18"/>
                      <w14:textFill>
                        <w14:solidFill>
                          <w14:schemeClr w14:val="tx1"/>
                        </w14:solidFill>
                      </w14:textFill>
                    </w:rPr>
                    <w:t>）</w:t>
                  </w:r>
                </w:p>
              </w:tc>
              <w:tc>
                <w:tcPr>
                  <w:tcW w:w="465" w:type="pct"/>
                  <w:vMerge w:val="restart"/>
                  <w:tcBorders>
                    <w:tl2br w:val="nil"/>
                    <w:tr2bl w:val="nil"/>
                  </w:tcBorders>
                  <w:noWrap w:val="0"/>
                  <w:vAlign w:val="center"/>
                </w:tcPr>
                <w:p w14:paraId="29634E17">
                  <w:pPr>
                    <w:adjustRightInd w:val="0"/>
                    <w:snapToGrid w:val="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排放速率kg/h</w:t>
                  </w:r>
                </w:p>
              </w:tc>
              <w:tc>
                <w:tcPr>
                  <w:tcW w:w="510" w:type="pct"/>
                  <w:vMerge w:val="restart"/>
                  <w:tcBorders>
                    <w:tl2br w:val="nil"/>
                    <w:tr2bl w:val="nil"/>
                  </w:tcBorders>
                  <w:noWrap w:val="0"/>
                  <w:vAlign w:val="center"/>
                </w:tcPr>
                <w:p w14:paraId="088DFCF1">
                  <w:pPr>
                    <w:adjustRightInd w:val="0"/>
                    <w:snapToGrid w:val="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年排放量（t/a）</w:t>
                  </w:r>
                </w:p>
              </w:tc>
            </w:tr>
            <w:tr w14:paraId="1812D4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vMerge w:val="continue"/>
                  <w:tcBorders>
                    <w:tl2br w:val="nil"/>
                    <w:tr2bl w:val="nil"/>
                  </w:tcBorders>
                  <w:noWrap w:val="0"/>
                  <w:vAlign w:val="center"/>
                </w:tcPr>
                <w:p w14:paraId="081D3B5C">
                  <w:pPr>
                    <w:widowControl/>
                    <w:jc w:val="left"/>
                    <w:rPr>
                      <w:rFonts w:hint="default" w:ascii="Times New Roman" w:hAnsi="Times New Roman" w:eastAsia="宋体" w:cs="Times New Roman"/>
                      <w:b/>
                      <w:bCs/>
                      <w:color w:val="auto"/>
                      <w:sz w:val="18"/>
                      <w:szCs w:val="18"/>
                    </w:rPr>
                  </w:pPr>
                </w:p>
              </w:tc>
              <w:tc>
                <w:tcPr>
                  <w:tcW w:w="475" w:type="pct"/>
                  <w:vMerge w:val="continue"/>
                  <w:tcBorders>
                    <w:tl2br w:val="nil"/>
                    <w:tr2bl w:val="nil"/>
                  </w:tcBorders>
                  <w:noWrap w:val="0"/>
                  <w:vAlign w:val="center"/>
                </w:tcPr>
                <w:p w14:paraId="2585C007">
                  <w:pPr>
                    <w:widowControl/>
                    <w:jc w:val="left"/>
                    <w:rPr>
                      <w:rFonts w:hint="default" w:ascii="Times New Roman" w:hAnsi="Times New Roman" w:eastAsia="宋体" w:cs="Times New Roman"/>
                      <w:b/>
                      <w:bCs/>
                      <w:color w:val="auto"/>
                      <w:sz w:val="18"/>
                      <w:szCs w:val="18"/>
                    </w:rPr>
                  </w:pPr>
                </w:p>
              </w:tc>
              <w:tc>
                <w:tcPr>
                  <w:tcW w:w="356" w:type="pct"/>
                  <w:vMerge w:val="continue"/>
                  <w:tcBorders>
                    <w:tl2br w:val="nil"/>
                    <w:tr2bl w:val="nil"/>
                  </w:tcBorders>
                  <w:noWrap w:val="0"/>
                  <w:vAlign w:val="center"/>
                </w:tcPr>
                <w:p w14:paraId="6FA1885F">
                  <w:pPr>
                    <w:widowControl/>
                    <w:jc w:val="left"/>
                    <w:rPr>
                      <w:rFonts w:hint="default" w:ascii="Times New Roman" w:hAnsi="Times New Roman" w:eastAsia="宋体" w:cs="Times New Roman"/>
                      <w:b/>
                      <w:bCs/>
                      <w:color w:val="auto"/>
                      <w:sz w:val="18"/>
                      <w:szCs w:val="18"/>
                    </w:rPr>
                  </w:pPr>
                </w:p>
              </w:tc>
              <w:tc>
                <w:tcPr>
                  <w:tcW w:w="407" w:type="pct"/>
                  <w:vMerge w:val="continue"/>
                  <w:tcBorders>
                    <w:tl2br w:val="nil"/>
                    <w:tr2bl w:val="nil"/>
                  </w:tcBorders>
                  <w:noWrap w:val="0"/>
                  <w:vAlign w:val="center"/>
                </w:tcPr>
                <w:p w14:paraId="7FAB315E">
                  <w:pPr>
                    <w:widowControl/>
                    <w:jc w:val="left"/>
                    <w:rPr>
                      <w:rFonts w:hint="default" w:ascii="Times New Roman" w:hAnsi="Times New Roman" w:eastAsia="宋体" w:cs="Times New Roman"/>
                      <w:b/>
                      <w:bCs/>
                      <w:color w:val="auto"/>
                      <w:sz w:val="18"/>
                      <w:szCs w:val="18"/>
                    </w:rPr>
                  </w:pPr>
                </w:p>
              </w:tc>
              <w:tc>
                <w:tcPr>
                  <w:tcW w:w="419" w:type="pct"/>
                  <w:vMerge w:val="continue"/>
                  <w:tcBorders>
                    <w:tl2br w:val="nil"/>
                    <w:tr2bl w:val="nil"/>
                  </w:tcBorders>
                  <w:noWrap w:val="0"/>
                  <w:vAlign w:val="center"/>
                </w:tcPr>
                <w:p w14:paraId="4AE2D662">
                  <w:pPr>
                    <w:widowControl/>
                    <w:jc w:val="left"/>
                    <w:rPr>
                      <w:rFonts w:hint="default" w:ascii="Times New Roman" w:hAnsi="Times New Roman" w:eastAsia="宋体" w:cs="Times New Roman"/>
                      <w:b/>
                      <w:bCs/>
                      <w:color w:val="auto"/>
                      <w:sz w:val="18"/>
                      <w:szCs w:val="18"/>
                    </w:rPr>
                  </w:pPr>
                </w:p>
              </w:tc>
              <w:tc>
                <w:tcPr>
                  <w:tcW w:w="748" w:type="pct"/>
                  <w:tcBorders>
                    <w:tl2br w:val="nil"/>
                    <w:tr2bl w:val="nil"/>
                  </w:tcBorders>
                  <w:noWrap w:val="0"/>
                  <w:vAlign w:val="center"/>
                </w:tcPr>
                <w:p w14:paraId="088B0749">
                  <w:pPr>
                    <w:adjustRightInd w:val="0"/>
                    <w:snapToGrid w:val="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标准名称</w:t>
                  </w:r>
                </w:p>
              </w:tc>
              <w:tc>
                <w:tcPr>
                  <w:tcW w:w="692" w:type="pct"/>
                  <w:tcBorders>
                    <w:tl2br w:val="nil"/>
                    <w:tr2bl w:val="nil"/>
                  </w:tcBorders>
                  <w:noWrap w:val="0"/>
                  <w:vAlign w:val="center"/>
                </w:tcPr>
                <w:p w14:paraId="6B7DE213">
                  <w:pPr>
                    <w:adjustRightInd w:val="0"/>
                    <w:snapToGrid w:val="0"/>
                    <w:jc w:val="center"/>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浓度限值（mg/m</w:t>
                  </w:r>
                  <w:r>
                    <w:rPr>
                      <w:rFonts w:hint="default" w:ascii="Times New Roman" w:hAnsi="Times New Roman" w:eastAsia="宋体" w:cs="Times New Roman"/>
                      <w:b w:val="0"/>
                      <w:bCs w:val="0"/>
                      <w:color w:val="000000" w:themeColor="text1"/>
                      <w:sz w:val="18"/>
                      <w:szCs w:val="18"/>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18"/>
                      <w:szCs w:val="18"/>
                      <w14:textFill>
                        <w14:solidFill>
                          <w14:schemeClr w14:val="tx1"/>
                        </w14:solidFill>
                      </w14:textFill>
                    </w:rPr>
                    <w:t>）</w:t>
                  </w:r>
                </w:p>
              </w:tc>
              <w:tc>
                <w:tcPr>
                  <w:tcW w:w="672" w:type="pct"/>
                  <w:vMerge w:val="continue"/>
                  <w:tcBorders>
                    <w:tl2br w:val="nil"/>
                    <w:tr2bl w:val="nil"/>
                  </w:tcBorders>
                  <w:noWrap w:val="0"/>
                  <w:vAlign w:val="center"/>
                </w:tcPr>
                <w:p w14:paraId="6B289820">
                  <w:pPr>
                    <w:widowControl/>
                    <w:jc w:val="left"/>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465" w:type="pct"/>
                  <w:vMerge w:val="continue"/>
                  <w:tcBorders>
                    <w:tl2br w:val="nil"/>
                    <w:tr2bl w:val="nil"/>
                  </w:tcBorders>
                  <w:noWrap w:val="0"/>
                  <w:vAlign w:val="center"/>
                </w:tcPr>
                <w:p w14:paraId="13757FBF">
                  <w:pPr>
                    <w:widowControl/>
                    <w:jc w:val="left"/>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510" w:type="pct"/>
                  <w:vMerge w:val="continue"/>
                  <w:tcBorders>
                    <w:tl2br w:val="nil"/>
                    <w:tr2bl w:val="nil"/>
                  </w:tcBorders>
                  <w:noWrap w:val="0"/>
                  <w:vAlign w:val="center"/>
                </w:tcPr>
                <w:p w14:paraId="0DCEB200">
                  <w:pPr>
                    <w:widowControl/>
                    <w:jc w:val="left"/>
                    <w:rPr>
                      <w:rFonts w:hint="default" w:ascii="Times New Roman" w:hAnsi="Times New Roman" w:eastAsia="宋体" w:cs="Times New Roman"/>
                      <w:b/>
                      <w:color w:val="000000" w:themeColor="text1"/>
                      <w:sz w:val="18"/>
                      <w:szCs w:val="18"/>
                      <w14:textFill>
                        <w14:solidFill>
                          <w14:schemeClr w14:val="tx1"/>
                        </w14:solidFill>
                      </w14:textFill>
                    </w:rPr>
                  </w:pPr>
                </w:p>
              </w:tc>
            </w:tr>
            <w:tr w14:paraId="2EA90A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vMerge w:val="restart"/>
                  <w:tcBorders>
                    <w:tl2br w:val="nil"/>
                    <w:tr2bl w:val="nil"/>
                  </w:tcBorders>
                  <w:noWrap w:val="0"/>
                  <w:vAlign w:val="center"/>
                </w:tcPr>
                <w:p w14:paraId="7454D57A">
                  <w:pPr>
                    <w:adjustRightInd w:val="0"/>
                    <w:snapToGri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w:t>
                  </w:r>
                </w:p>
              </w:tc>
              <w:tc>
                <w:tcPr>
                  <w:tcW w:w="475" w:type="pct"/>
                  <w:vMerge w:val="restart"/>
                  <w:tcBorders>
                    <w:tl2br w:val="nil"/>
                    <w:tr2bl w:val="nil"/>
                  </w:tcBorders>
                  <w:noWrap w:val="0"/>
                  <w:vAlign w:val="center"/>
                </w:tcPr>
                <w:p w14:paraId="3974B28A">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rPr>
                    <w:t>DA</w:t>
                  </w:r>
                  <w:r>
                    <w:rPr>
                      <w:rFonts w:hint="eastAsia" w:cs="Times New Roman"/>
                      <w:color w:val="auto"/>
                      <w:sz w:val="18"/>
                      <w:szCs w:val="18"/>
                      <w:lang w:val="en-US" w:eastAsia="zh-CN"/>
                    </w:rPr>
                    <w:t>102</w:t>
                  </w:r>
                </w:p>
              </w:tc>
              <w:tc>
                <w:tcPr>
                  <w:tcW w:w="356" w:type="pct"/>
                  <w:tcBorders>
                    <w:tl2br w:val="nil"/>
                    <w:tr2bl w:val="nil"/>
                  </w:tcBorders>
                  <w:noWrap w:val="0"/>
                  <w:vAlign w:val="center"/>
                </w:tcPr>
                <w:p w14:paraId="73690C6A">
                  <w:pPr>
                    <w:adjustRightInd w:val="0"/>
                    <w:snapToGri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颗粒物</w:t>
                  </w:r>
                </w:p>
              </w:tc>
              <w:tc>
                <w:tcPr>
                  <w:tcW w:w="407" w:type="pct"/>
                  <w:tcBorders>
                    <w:tl2br w:val="nil"/>
                    <w:tr2bl w:val="nil"/>
                  </w:tcBorders>
                  <w:noWrap w:val="0"/>
                  <w:vAlign w:val="center"/>
                </w:tcPr>
                <w:p w14:paraId="0F9A12B6">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产污系数法</w:t>
                  </w:r>
                </w:p>
              </w:tc>
              <w:tc>
                <w:tcPr>
                  <w:tcW w:w="419" w:type="pct"/>
                  <w:vMerge w:val="restart"/>
                  <w:tcBorders>
                    <w:tl2br w:val="nil"/>
                    <w:tr2bl w:val="nil"/>
                  </w:tcBorders>
                  <w:noWrap w:val="0"/>
                  <w:vAlign w:val="center"/>
                </w:tcPr>
                <w:p w14:paraId="524873D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低氮燃烧+SCR脱硝+钙基干法脱硫+布袋除尘器</w:t>
                  </w:r>
                </w:p>
              </w:tc>
              <w:tc>
                <w:tcPr>
                  <w:tcW w:w="748" w:type="pct"/>
                  <w:vMerge w:val="restart"/>
                  <w:tcBorders>
                    <w:tl2br w:val="nil"/>
                    <w:tr2bl w:val="nil"/>
                  </w:tcBorders>
                  <w:noWrap w:val="0"/>
                  <w:vAlign w:val="center"/>
                </w:tcPr>
                <w:p w14:paraId="42CBC65C">
                  <w:pPr>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关于推进实施钢铁行业超低排放的意见》（环大气〔</w:t>
                  </w:r>
                  <w:r>
                    <w:rPr>
                      <w:rFonts w:hint="default" w:ascii="Times New Roman" w:hAnsi="Times New Roman" w:eastAsia="宋体" w:cs="Times New Roman"/>
                      <w:color w:val="auto"/>
                      <w:sz w:val="18"/>
                      <w:szCs w:val="18"/>
                      <w:lang w:val="en-US" w:eastAsia="zh-CN"/>
                    </w:rPr>
                    <w:t>2019</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35</w:t>
                  </w:r>
                  <w:r>
                    <w:rPr>
                      <w:rFonts w:hint="eastAsia" w:ascii="Times New Roman" w:hAnsi="Times New Roman" w:eastAsia="宋体" w:cs="Times New Roman"/>
                      <w:color w:val="auto"/>
                      <w:sz w:val="18"/>
                      <w:szCs w:val="18"/>
                      <w:lang w:val="en-US" w:eastAsia="zh-CN"/>
                    </w:rPr>
                    <w:t>号）超低排放限值</w:t>
                  </w:r>
                </w:p>
              </w:tc>
              <w:tc>
                <w:tcPr>
                  <w:tcW w:w="692" w:type="pct"/>
                  <w:tcBorders>
                    <w:tl2br w:val="nil"/>
                    <w:tr2bl w:val="nil"/>
                  </w:tcBorders>
                  <w:noWrap w:val="0"/>
                  <w:vAlign w:val="center"/>
                </w:tcPr>
                <w:p w14:paraId="30FFB33A">
                  <w:pPr>
                    <w:adjustRightInd w:val="0"/>
                    <w:snapToGrid w:val="0"/>
                    <w:jc w:val="center"/>
                    <w:rPr>
                      <w:rFonts w:hint="eastAsia" w:ascii="Times New Roman" w:hAnsi="Times New Roman" w:eastAsia="宋体" w:cs="Times New Roman"/>
                      <w:bCs/>
                      <w:color w:val="000000" w:themeColor="text1"/>
                      <w:sz w:val="18"/>
                      <w:szCs w:val="18"/>
                      <w:lang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5</w:t>
                  </w:r>
                </w:p>
              </w:tc>
              <w:tc>
                <w:tcPr>
                  <w:tcW w:w="672" w:type="pct"/>
                  <w:tcBorders>
                    <w:tl2br w:val="nil"/>
                    <w:tr2bl w:val="nil"/>
                  </w:tcBorders>
                  <w:noWrap w:val="0"/>
                  <w:vAlign w:val="center"/>
                </w:tcPr>
                <w:p w14:paraId="3AC1AFA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color w:val="auto"/>
                      <w:sz w:val="18"/>
                      <w:szCs w:val="18"/>
                      <w:highlight w:val="none"/>
                      <w:lang w:val="en-US" w:eastAsia="zh-CN"/>
                    </w:rPr>
                    <w:t>0.35</w:t>
                  </w:r>
                </w:p>
              </w:tc>
              <w:tc>
                <w:tcPr>
                  <w:tcW w:w="465" w:type="pct"/>
                  <w:tcBorders>
                    <w:tl2br w:val="nil"/>
                    <w:tr2bl w:val="nil"/>
                  </w:tcBorders>
                  <w:noWrap w:val="0"/>
                  <w:vAlign w:val="center"/>
                </w:tcPr>
                <w:p w14:paraId="6A08FD5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color w:val="auto"/>
                      <w:sz w:val="18"/>
                      <w:szCs w:val="18"/>
                      <w:highlight w:val="none"/>
                      <w:lang w:val="en-US" w:eastAsia="zh-CN"/>
                    </w:rPr>
                    <w:t>0.111</w:t>
                  </w:r>
                </w:p>
              </w:tc>
              <w:tc>
                <w:tcPr>
                  <w:tcW w:w="510" w:type="pct"/>
                  <w:tcBorders>
                    <w:tl2br w:val="nil"/>
                    <w:tr2bl w:val="nil"/>
                  </w:tcBorders>
                  <w:noWrap w:val="0"/>
                  <w:vAlign w:val="center"/>
                </w:tcPr>
                <w:p w14:paraId="114009E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color w:val="auto"/>
                      <w:sz w:val="18"/>
                      <w:szCs w:val="18"/>
                      <w:highlight w:val="none"/>
                      <w:lang w:val="en-US" w:eastAsia="zh-CN"/>
                    </w:rPr>
                    <w:t>0.880</w:t>
                  </w:r>
                </w:p>
              </w:tc>
            </w:tr>
            <w:tr w14:paraId="07D09A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vMerge w:val="continue"/>
                  <w:tcBorders>
                    <w:tl2br w:val="nil"/>
                    <w:tr2bl w:val="nil"/>
                  </w:tcBorders>
                  <w:noWrap w:val="0"/>
                  <w:vAlign w:val="center"/>
                </w:tcPr>
                <w:p w14:paraId="322EBEDF">
                  <w:pPr>
                    <w:adjustRightInd w:val="0"/>
                    <w:snapToGrid w:val="0"/>
                    <w:jc w:val="center"/>
                    <w:rPr>
                      <w:rFonts w:hint="default" w:ascii="Times New Roman" w:hAnsi="Times New Roman" w:eastAsia="宋体" w:cs="Times New Roman"/>
                      <w:bCs/>
                      <w:color w:val="auto"/>
                      <w:sz w:val="18"/>
                      <w:szCs w:val="18"/>
                    </w:rPr>
                  </w:pPr>
                </w:p>
              </w:tc>
              <w:tc>
                <w:tcPr>
                  <w:tcW w:w="475" w:type="pct"/>
                  <w:vMerge w:val="continue"/>
                  <w:tcBorders>
                    <w:tl2br w:val="nil"/>
                    <w:tr2bl w:val="nil"/>
                  </w:tcBorders>
                  <w:noWrap w:val="0"/>
                  <w:vAlign w:val="center"/>
                </w:tcPr>
                <w:p w14:paraId="45BA1030">
                  <w:pPr>
                    <w:widowControl/>
                    <w:jc w:val="center"/>
                    <w:rPr>
                      <w:rFonts w:hint="default" w:ascii="Times New Roman" w:hAnsi="Times New Roman" w:eastAsia="宋体" w:cs="Times New Roman"/>
                      <w:color w:val="auto"/>
                      <w:sz w:val="18"/>
                      <w:szCs w:val="18"/>
                    </w:rPr>
                  </w:pPr>
                </w:p>
              </w:tc>
              <w:tc>
                <w:tcPr>
                  <w:tcW w:w="356" w:type="pct"/>
                  <w:tcBorders>
                    <w:tl2br w:val="nil"/>
                    <w:tr2bl w:val="nil"/>
                  </w:tcBorders>
                  <w:noWrap w:val="0"/>
                  <w:vAlign w:val="center"/>
                </w:tcPr>
                <w:p w14:paraId="4D0A7F7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二氧化硫</w:t>
                  </w:r>
                </w:p>
              </w:tc>
              <w:tc>
                <w:tcPr>
                  <w:tcW w:w="407" w:type="pct"/>
                  <w:tcBorders>
                    <w:tl2br w:val="nil"/>
                    <w:tr2bl w:val="nil"/>
                  </w:tcBorders>
                  <w:noWrap w:val="0"/>
                  <w:vAlign w:val="center"/>
                </w:tcPr>
                <w:p w14:paraId="59D52D58">
                  <w:pPr>
                    <w:adjustRightInd w:val="0"/>
                    <w:snapToGrid w:val="0"/>
                    <w:jc w:val="center"/>
                    <w:rPr>
                      <w:rFonts w:hint="default" w:ascii="Times New Roman" w:hAnsi="Times New Roman" w:eastAsia="宋体" w:cs="Times New Roman"/>
                      <w:color w:val="auto"/>
                      <w:sz w:val="18"/>
                      <w:szCs w:val="18"/>
                    </w:rPr>
                  </w:pPr>
                  <w:r>
                    <w:rPr>
                      <w:rFonts w:hint="eastAsia" w:cs="Times New Roman"/>
                      <w:bCs/>
                      <w:color w:val="auto"/>
                      <w:sz w:val="18"/>
                      <w:szCs w:val="18"/>
                      <w:lang w:val="en-US" w:eastAsia="zh-CN"/>
                    </w:rPr>
                    <w:t>产污系数法</w:t>
                  </w:r>
                </w:p>
              </w:tc>
              <w:tc>
                <w:tcPr>
                  <w:tcW w:w="419" w:type="pct"/>
                  <w:vMerge w:val="continue"/>
                  <w:tcBorders>
                    <w:tl2br w:val="nil"/>
                    <w:tr2bl w:val="nil"/>
                  </w:tcBorders>
                  <w:noWrap w:val="0"/>
                  <w:vAlign w:val="center"/>
                </w:tcPr>
                <w:p w14:paraId="342E0A5D">
                  <w:pPr>
                    <w:adjustRightInd w:val="0"/>
                    <w:snapToGrid w:val="0"/>
                    <w:jc w:val="center"/>
                    <w:rPr>
                      <w:rFonts w:hint="default" w:ascii="Times New Roman" w:hAnsi="Times New Roman" w:eastAsia="宋体" w:cs="Times New Roman"/>
                      <w:color w:val="auto"/>
                      <w:kern w:val="0"/>
                      <w:sz w:val="18"/>
                      <w:szCs w:val="18"/>
                    </w:rPr>
                  </w:pPr>
                </w:p>
              </w:tc>
              <w:tc>
                <w:tcPr>
                  <w:tcW w:w="748" w:type="pct"/>
                  <w:vMerge w:val="continue"/>
                  <w:tcBorders>
                    <w:tl2br w:val="nil"/>
                    <w:tr2bl w:val="nil"/>
                  </w:tcBorders>
                  <w:noWrap w:val="0"/>
                  <w:vAlign w:val="center"/>
                </w:tcPr>
                <w:p w14:paraId="26FFE6EE">
                  <w:pPr>
                    <w:adjustRightInd w:val="0"/>
                    <w:snapToGrid w:val="0"/>
                    <w:jc w:val="center"/>
                    <w:rPr>
                      <w:rFonts w:hint="default" w:ascii="Times New Roman" w:hAnsi="Times New Roman" w:eastAsia="宋体" w:cs="Times New Roman"/>
                      <w:bCs/>
                      <w:color w:val="000000" w:themeColor="text1"/>
                      <w:sz w:val="18"/>
                      <w:szCs w:val="18"/>
                      <w14:textFill>
                        <w14:solidFill>
                          <w14:schemeClr w14:val="tx1"/>
                        </w14:solidFill>
                      </w14:textFill>
                    </w:rPr>
                  </w:pPr>
                </w:p>
              </w:tc>
              <w:tc>
                <w:tcPr>
                  <w:tcW w:w="692" w:type="pct"/>
                  <w:tcBorders>
                    <w:tl2br w:val="nil"/>
                    <w:tr2bl w:val="nil"/>
                  </w:tcBorders>
                  <w:noWrap w:val="0"/>
                  <w:vAlign w:val="center"/>
                </w:tcPr>
                <w:p w14:paraId="0D6A8132">
                  <w:pPr>
                    <w:adjustRightInd w:val="0"/>
                    <w:snapToGrid w:val="0"/>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35</w:t>
                  </w:r>
                </w:p>
              </w:tc>
              <w:tc>
                <w:tcPr>
                  <w:tcW w:w="672" w:type="pct"/>
                  <w:tcBorders>
                    <w:tl2br w:val="nil"/>
                    <w:tr2bl w:val="nil"/>
                  </w:tcBorders>
                  <w:noWrap w:val="0"/>
                  <w:vAlign w:val="center"/>
                </w:tcPr>
                <w:p w14:paraId="761825A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color w:val="auto"/>
                      <w:sz w:val="18"/>
                      <w:szCs w:val="18"/>
                      <w:highlight w:val="none"/>
                      <w:lang w:val="en-US" w:eastAsia="zh-CN"/>
                    </w:rPr>
                    <w:t>12.4</w:t>
                  </w:r>
                </w:p>
              </w:tc>
              <w:tc>
                <w:tcPr>
                  <w:tcW w:w="465" w:type="pct"/>
                  <w:tcBorders>
                    <w:tl2br w:val="nil"/>
                    <w:tr2bl w:val="nil"/>
                  </w:tcBorders>
                  <w:noWrap w:val="0"/>
                  <w:vAlign w:val="center"/>
                </w:tcPr>
                <w:p w14:paraId="318C741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color w:val="auto"/>
                      <w:sz w:val="18"/>
                      <w:szCs w:val="18"/>
                      <w:highlight w:val="none"/>
                      <w:lang w:val="en-US" w:eastAsia="zh-CN"/>
                    </w:rPr>
                    <w:t>3.968</w:t>
                  </w:r>
                </w:p>
              </w:tc>
              <w:tc>
                <w:tcPr>
                  <w:tcW w:w="510" w:type="pct"/>
                  <w:tcBorders>
                    <w:tl2br w:val="nil"/>
                    <w:tr2bl w:val="nil"/>
                  </w:tcBorders>
                  <w:noWrap w:val="0"/>
                  <w:vAlign w:val="center"/>
                </w:tcPr>
                <w:p w14:paraId="4DD1323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color w:val="auto"/>
                      <w:sz w:val="18"/>
                      <w:szCs w:val="18"/>
                      <w:highlight w:val="none"/>
                      <w:lang w:val="en-US" w:eastAsia="zh-CN"/>
                    </w:rPr>
                    <w:t>31.424</w:t>
                  </w:r>
                </w:p>
              </w:tc>
            </w:tr>
            <w:tr w14:paraId="11AC5D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vMerge w:val="continue"/>
                  <w:tcBorders>
                    <w:tl2br w:val="nil"/>
                    <w:tr2bl w:val="nil"/>
                  </w:tcBorders>
                  <w:noWrap w:val="0"/>
                  <w:vAlign w:val="center"/>
                </w:tcPr>
                <w:p w14:paraId="1846AE0C">
                  <w:pPr>
                    <w:adjustRightInd w:val="0"/>
                    <w:snapToGrid w:val="0"/>
                    <w:jc w:val="center"/>
                    <w:rPr>
                      <w:rFonts w:hint="default" w:ascii="Times New Roman" w:hAnsi="Times New Roman" w:eastAsia="宋体" w:cs="Times New Roman"/>
                      <w:bCs/>
                      <w:color w:val="auto"/>
                      <w:sz w:val="18"/>
                      <w:szCs w:val="18"/>
                    </w:rPr>
                  </w:pPr>
                </w:p>
              </w:tc>
              <w:tc>
                <w:tcPr>
                  <w:tcW w:w="475" w:type="pct"/>
                  <w:vMerge w:val="continue"/>
                  <w:tcBorders>
                    <w:tl2br w:val="nil"/>
                    <w:tr2bl w:val="nil"/>
                  </w:tcBorders>
                  <w:noWrap w:val="0"/>
                  <w:vAlign w:val="center"/>
                </w:tcPr>
                <w:p w14:paraId="4C2184A2">
                  <w:pPr>
                    <w:widowControl/>
                    <w:jc w:val="center"/>
                    <w:rPr>
                      <w:rFonts w:hint="default" w:ascii="Times New Roman" w:hAnsi="Times New Roman" w:eastAsia="宋体" w:cs="Times New Roman"/>
                      <w:color w:val="auto"/>
                      <w:sz w:val="18"/>
                      <w:szCs w:val="18"/>
                    </w:rPr>
                  </w:pPr>
                </w:p>
              </w:tc>
              <w:tc>
                <w:tcPr>
                  <w:tcW w:w="356" w:type="pct"/>
                  <w:tcBorders>
                    <w:tl2br w:val="nil"/>
                    <w:tr2bl w:val="nil"/>
                  </w:tcBorders>
                  <w:noWrap w:val="0"/>
                  <w:vAlign w:val="center"/>
                </w:tcPr>
                <w:p w14:paraId="2955020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氮氧化物</w:t>
                  </w:r>
                </w:p>
              </w:tc>
              <w:tc>
                <w:tcPr>
                  <w:tcW w:w="407" w:type="pct"/>
                  <w:tcBorders>
                    <w:tl2br w:val="nil"/>
                    <w:tr2bl w:val="nil"/>
                  </w:tcBorders>
                  <w:noWrap w:val="0"/>
                  <w:vAlign w:val="center"/>
                </w:tcPr>
                <w:p w14:paraId="57A2FEC3">
                  <w:pPr>
                    <w:adjustRightInd w:val="0"/>
                    <w:snapToGrid w:val="0"/>
                    <w:jc w:val="center"/>
                    <w:rPr>
                      <w:rFonts w:hint="default" w:ascii="Times New Roman" w:hAnsi="Times New Roman" w:eastAsia="宋体" w:cs="Times New Roman"/>
                      <w:color w:val="auto"/>
                      <w:sz w:val="18"/>
                      <w:szCs w:val="18"/>
                    </w:rPr>
                  </w:pPr>
                  <w:r>
                    <w:rPr>
                      <w:rFonts w:hint="eastAsia" w:cs="Times New Roman"/>
                      <w:bCs/>
                      <w:color w:val="auto"/>
                      <w:sz w:val="18"/>
                      <w:szCs w:val="18"/>
                      <w:lang w:val="en-US" w:eastAsia="zh-CN"/>
                    </w:rPr>
                    <w:t>产污系数法</w:t>
                  </w:r>
                </w:p>
              </w:tc>
              <w:tc>
                <w:tcPr>
                  <w:tcW w:w="419" w:type="pct"/>
                  <w:vMerge w:val="continue"/>
                  <w:tcBorders>
                    <w:tl2br w:val="nil"/>
                    <w:tr2bl w:val="nil"/>
                  </w:tcBorders>
                  <w:noWrap w:val="0"/>
                  <w:vAlign w:val="center"/>
                </w:tcPr>
                <w:p w14:paraId="2AE8E7FF">
                  <w:pPr>
                    <w:adjustRightInd w:val="0"/>
                    <w:snapToGrid w:val="0"/>
                    <w:jc w:val="center"/>
                    <w:rPr>
                      <w:rFonts w:hint="default" w:ascii="Times New Roman" w:hAnsi="Times New Roman" w:eastAsia="宋体" w:cs="Times New Roman"/>
                      <w:color w:val="auto"/>
                      <w:kern w:val="0"/>
                      <w:sz w:val="18"/>
                      <w:szCs w:val="18"/>
                    </w:rPr>
                  </w:pPr>
                </w:p>
              </w:tc>
              <w:tc>
                <w:tcPr>
                  <w:tcW w:w="748" w:type="pct"/>
                  <w:vMerge w:val="continue"/>
                  <w:tcBorders>
                    <w:tl2br w:val="nil"/>
                    <w:tr2bl w:val="nil"/>
                  </w:tcBorders>
                  <w:noWrap w:val="0"/>
                  <w:vAlign w:val="center"/>
                </w:tcPr>
                <w:p w14:paraId="6F8F68A6">
                  <w:pPr>
                    <w:adjustRightInd w:val="0"/>
                    <w:snapToGrid w:val="0"/>
                    <w:jc w:val="center"/>
                    <w:rPr>
                      <w:rFonts w:hint="default" w:ascii="Times New Roman" w:hAnsi="Times New Roman" w:eastAsia="宋体" w:cs="Times New Roman"/>
                      <w:bCs/>
                      <w:color w:val="000000" w:themeColor="text1"/>
                      <w:sz w:val="18"/>
                      <w:szCs w:val="18"/>
                      <w14:textFill>
                        <w14:solidFill>
                          <w14:schemeClr w14:val="tx1"/>
                        </w14:solidFill>
                      </w14:textFill>
                    </w:rPr>
                  </w:pPr>
                </w:p>
              </w:tc>
              <w:tc>
                <w:tcPr>
                  <w:tcW w:w="692" w:type="pct"/>
                  <w:tcBorders>
                    <w:tl2br w:val="nil"/>
                    <w:tr2bl w:val="nil"/>
                  </w:tcBorders>
                  <w:noWrap w:val="0"/>
                  <w:vAlign w:val="center"/>
                </w:tcPr>
                <w:p w14:paraId="333C8083">
                  <w:pPr>
                    <w:adjustRightInd w:val="0"/>
                    <w:snapToGrid w:val="0"/>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50</w:t>
                  </w:r>
                </w:p>
              </w:tc>
              <w:tc>
                <w:tcPr>
                  <w:tcW w:w="672" w:type="pct"/>
                  <w:tcBorders>
                    <w:tl2br w:val="nil"/>
                    <w:tr2bl w:val="nil"/>
                  </w:tcBorders>
                  <w:noWrap w:val="0"/>
                  <w:vAlign w:val="center"/>
                </w:tcPr>
                <w:p w14:paraId="40A485E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16.64</w:t>
                  </w:r>
                </w:p>
              </w:tc>
              <w:tc>
                <w:tcPr>
                  <w:tcW w:w="465" w:type="pct"/>
                  <w:tcBorders>
                    <w:tl2br w:val="nil"/>
                    <w:tr2bl w:val="nil"/>
                  </w:tcBorders>
                  <w:noWrap w:val="0"/>
                  <w:vAlign w:val="center"/>
                </w:tcPr>
                <w:p w14:paraId="3A1228A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5.324</w:t>
                  </w:r>
                </w:p>
              </w:tc>
              <w:tc>
                <w:tcPr>
                  <w:tcW w:w="510" w:type="pct"/>
                  <w:tcBorders>
                    <w:tl2br w:val="nil"/>
                    <w:tr2bl w:val="nil"/>
                  </w:tcBorders>
                  <w:noWrap w:val="0"/>
                  <w:vAlign w:val="center"/>
                </w:tcPr>
                <w:p w14:paraId="3E45FC8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42.167</w:t>
                  </w:r>
                </w:p>
              </w:tc>
            </w:tr>
            <w:tr w14:paraId="32E844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52" w:type="pct"/>
                  <w:vMerge w:val="continue"/>
                  <w:tcBorders>
                    <w:tl2br w:val="nil"/>
                    <w:tr2bl w:val="nil"/>
                  </w:tcBorders>
                  <w:noWrap w:val="0"/>
                  <w:vAlign w:val="center"/>
                </w:tcPr>
                <w:p w14:paraId="01C22968">
                  <w:pPr>
                    <w:adjustRightInd w:val="0"/>
                    <w:snapToGrid w:val="0"/>
                    <w:jc w:val="center"/>
                    <w:rPr>
                      <w:rFonts w:hint="default" w:ascii="Times New Roman" w:hAnsi="Times New Roman" w:eastAsia="宋体" w:cs="Times New Roman"/>
                      <w:bCs/>
                      <w:color w:val="auto"/>
                      <w:sz w:val="18"/>
                      <w:szCs w:val="18"/>
                    </w:rPr>
                  </w:pPr>
                </w:p>
              </w:tc>
              <w:tc>
                <w:tcPr>
                  <w:tcW w:w="475" w:type="pct"/>
                  <w:vMerge w:val="continue"/>
                  <w:tcBorders>
                    <w:tl2br w:val="nil"/>
                    <w:tr2bl w:val="nil"/>
                  </w:tcBorders>
                  <w:noWrap w:val="0"/>
                  <w:vAlign w:val="center"/>
                </w:tcPr>
                <w:p w14:paraId="5C8ED531">
                  <w:pPr>
                    <w:widowControl/>
                    <w:jc w:val="center"/>
                    <w:rPr>
                      <w:rFonts w:hint="default" w:ascii="Times New Roman" w:hAnsi="Times New Roman" w:eastAsia="宋体" w:cs="Times New Roman"/>
                      <w:color w:val="auto"/>
                      <w:sz w:val="18"/>
                      <w:szCs w:val="18"/>
                    </w:rPr>
                  </w:pPr>
                </w:p>
              </w:tc>
              <w:tc>
                <w:tcPr>
                  <w:tcW w:w="356" w:type="pct"/>
                  <w:tcBorders>
                    <w:tl2br w:val="nil"/>
                    <w:tr2bl w:val="nil"/>
                  </w:tcBorders>
                  <w:noWrap w:val="0"/>
                  <w:vAlign w:val="center"/>
                </w:tcPr>
                <w:p w14:paraId="7BFB1FDB">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407" w:type="pct"/>
                  <w:tcBorders>
                    <w:tl2br w:val="nil"/>
                    <w:tr2bl w:val="nil"/>
                  </w:tcBorders>
                  <w:noWrap w:val="0"/>
                  <w:vAlign w:val="center"/>
                </w:tcPr>
                <w:p w14:paraId="2453EF2A">
                  <w:pPr>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419" w:type="pct"/>
                  <w:tcBorders>
                    <w:tl2br w:val="nil"/>
                    <w:tr2bl w:val="nil"/>
                  </w:tcBorders>
                  <w:noWrap w:val="0"/>
                  <w:vAlign w:val="center"/>
                </w:tcPr>
                <w:p w14:paraId="036D54C8">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w:t>
                  </w:r>
                </w:p>
              </w:tc>
              <w:tc>
                <w:tcPr>
                  <w:tcW w:w="748" w:type="pct"/>
                  <w:vMerge w:val="continue"/>
                  <w:tcBorders>
                    <w:tl2br w:val="nil"/>
                    <w:tr2bl w:val="nil"/>
                  </w:tcBorders>
                  <w:noWrap w:val="0"/>
                  <w:vAlign w:val="center"/>
                </w:tcPr>
                <w:p w14:paraId="45C0FC8D">
                  <w:pPr>
                    <w:adjustRightInd w:val="0"/>
                    <w:snapToGrid w:val="0"/>
                    <w:jc w:val="center"/>
                    <w:rPr>
                      <w:rFonts w:hint="default" w:ascii="Times New Roman" w:hAnsi="Times New Roman" w:eastAsia="宋体" w:cs="Times New Roman"/>
                      <w:bCs/>
                      <w:color w:val="000000" w:themeColor="text1"/>
                      <w:sz w:val="18"/>
                      <w:szCs w:val="18"/>
                      <w14:textFill>
                        <w14:solidFill>
                          <w14:schemeClr w14:val="tx1"/>
                        </w14:solidFill>
                      </w14:textFill>
                    </w:rPr>
                  </w:pPr>
                </w:p>
              </w:tc>
              <w:tc>
                <w:tcPr>
                  <w:tcW w:w="692" w:type="pct"/>
                  <w:tcBorders>
                    <w:tl2br w:val="nil"/>
                    <w:tr2bl w:val="nil"/>
                  </w:tcBorders>
                  <w:noWrap w:val="0"/>
                  <w:vAlign w:val="center"/>
                </w:tcPr>
                <w:p w14:paraId="68FBCB0F">
                  <w:pPr>
                    <w:adjustRightInd w:val="0"/>
                    <w:snapToGrid w:val="0"/>
                    <w:jc w:val="center"/>
                    <w:rPr>
                      <w:rFonts w:hint="default"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75kg/h</w:t>
                  </w:r>
                </w:p>
              </w:tc>
              <w:tc>
                <w:tcPr>
                  <w:tcW w:w="672" w:type="pct"/>
                  <w:tcBorders>
                    <w:tl2br w:val="nil"/>
                    <w:tr2bl w:val="nil"/>
                  </w:tcBorders>
                  <w:noWrap w:val="0"/>
                  <w:vAlign w:val="center"/>
                </w:tcPr>
                <w:p w14:paraId="06F14F7D">
                  <w:pPr>
                    <w:adjustRightInd w:val="0"/>
                    <w:snapToGrid w:val="0"/>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5.544</w:t>
                  </w:r>
                </w:p>
              </w:tc>
              <w:tc>
                <w:tcPr>
                  <w:tcW w:w="465" w:type="pct"/>
                  <w:tcBorders>
                    <w:tl2br w:val="nil"/>
                    <w:tr2bl w:val="nil"/>
                  </w:tcBorders>
                  <w:noWrap w:val="0"/>
                  <w:vAlign w:val="center"/>
                </w:tcPr>
                <w:p w14:paraId="671A7082">
                  <w:pPr>
                    <w:adjustRightInd w:val="0"/>
                    <w:snapToGrid w:val="0"/>
                    <w:jc w:val="center"/>
                    <w:rPr>
                      <w:rFonts w:hint="default"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0.7</w:t>
                  </w:r>
                </w:p>
              </w:tc>
              <w:tc>
                <w:tcPr>
                  <w:tcW w:w="510" w:type="pct"/>
                  <w:tcBorders>
                    <w:tl2br w:val="nil"/>
                    <w:tr2bl w:val="nil"/>
                  </w:tcBorders>
                  <w:noWrap w:val="0"/>
                  <w:vAlign w:val="center"/>
                </w:tcPr>
                <w:p w14:paraId="4C9F7D2F">
                  <w:pPr>
                    <w:adjustRightInd w:val="0"/>
                    <w:snapToGrid w:val="0"/>
                    <w:jc w:val="center"/>
                    <w:rPr>
                      <w:rFonts w:hint="default" w:cs="Times New Roman"/>
                      <w:bCs/>
                      <w:color w:val="000000" w:themeColor="text1"/>
                      <w:sz w:val="18"/>
                      <w:szCs w:val="18"/>
                      <w:lang w:val="en-US" w:eastAsia="zh-CN"/>
                      <w14:textFill>
                        <w14:solidFill>
                          <w14:schemeClr w14:val="tx1"/>
                        </w14:solidFill>
                      </w14:textFill>
                    </w:rPr>
                  </w:pPr>
                  <w:r>
                    <w:rPr>
                      <w:rFonts w:hint="eastAsia" w:cs="Times New Roman"/>
                      <w:bCs/>
                      <w:color w:val="000000" w:themeColor="text1"/>
                      <w:sz w:val="18"/>
                      <w:szCs w:val="18"/>
                      <w:lang w:val="en-US" w:eastAsia="zh-CN"/>
                      <w14:textFill>
                        <w14:solidFill>
                          <w14:schemeClr w14:val="tx1"/>
                        </w14:solidFill>
                      </w14:textFill>
                    </w:rPr>
                    <w:t>2.5</w:t>
                  </w:r>
                </w:p>
              </w:tc>
            </w:tr>
          </w:tbl>
          <w:p w14:paraId="231EF89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4.6.3污染防治措施</w:t>
            </w:r>
          </w:p>
          <w:p w14:paraId="63C5BF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1、本项目利用的高炉煤气</w:t>
            </w:r>
            <w:r>
              <w:rPr>
                <w:rFonts w:hint="eastAsia" w:cs="Times New Roman"/>
                <w:color w:val="000000"/>
                <w:kern w:val="0"/>
                <w:sz w:val="24"/>
                <w:szCs w:val="24"/>
                <w:lang w:val="en-US" w:eastAsia="zh-CN" w:bidi="ar"/>
              </w:rPr>
              <w:t>、转炉煤气以及焦炉煤气</w:t>
            </w:r>
            <w:r>
              <w:rPr>
                <w:rFonts w:hint="default" w:ascii="Times New Roman" w:hAnsi="Times New Roman" w:eastAsia="宋体" w:cs="Times New Roman"/>
                <w:color w:val="000000"/>
                <w:kern w:val="0"/>
                <w:sz w:val="24"/>
                <w:szCs w:val="24"/>
                <w:lang w:val="en-US" w:eastAsia="zh-CN" w:bidi="ar"/>
              </w:rPr>
              <w:t>为净化后煤气，已经过重力、旋风、布袋除尘处理。</w:t>
            </w:r>
          </w:p>
          <w:p w14:paraId="20518B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kern w:val="0"/>
                <w:sz w:val="24"/>
                <w:szCs w:val="24"/>
                <w:lang w:val="en-US" w:eastAsia="zh-CN" w:bidi="ar"/>
              </w:rPr>
              <w:t>2、锅炉设置低氮燃烧器，采用低氮燃烧技术，锅炉烟气经</w:t>
            </w:r>
            <w:r>
              <w:rPr>
                <w:rFonts w:hint="eastAsia" w:cs="Times New Roman"/>
                <w:color w:val="000000"/>
                <w:kern w:val="0"/>
                <w:sz w:val="24"/>
                <w:szCs w:val="24"/>
                <w:lang w:val="en-US" w:eastAsia="zh-CN" w:bidi="ar"/>
              </w:rPr>
              <w:t>SCR脱硝+</w:t>
            </w:r>
            <w:r>
              <w:rPr>
                <w:rFonts w:hint="eastAsia" w:ascii="Times New Roman" w:hAnsi="Times New Roman" w:eastAsia="宋体" w:cs="Times New Roman"/>
                <w:color w:val="000000"/>
                <w:kern w:val="0"/>
                <w:sz w:val="24"/>
                <w:szCs w:val="24"/>
                <w:lang w:val="en-US" w:eastAsia="zh-CN" w:bidi="ar"/>
              </w:rPr>
              <w:t>钙基干</w:t>
            </w:r>
            <w:r>
              <w:rPr>
                <w:rFonts w:hint="default" w:ascii="Times New Roman" w:hAnsi="Times New Roman" w:eastAsia="宋体" w:cs="Times New Roman"/>
                <w:color w:val="000000"/>
                <w:kern w:val="0"/>
                <w:sz w:val="24"/>
                <w:szCs w:val="24"/>
                <w:lang w:val="en-US" w:eastAsia="zh-CN" w:bidi="ar"/>
              </w:rPr>
              <w:t>法脱硫+</w:t>
            </w:r>
            <w:r>
              <w:rPr>
                <w:rFonts w:hint="eastAsia" w:ascii="Times New Roman" w:hAnsi="Times New Roman" w:eastAsia="宋体" w:cs="Times New Roman"/>
                <w:color w:val="000000"/>
                <w:kern w:val="0"/>
                <w:sz w:val="24"/>
                <w:szCs w:val="24"/>
                <w:lang w:val="en-US" w:eastAsia="zh-CN" w:bidi="ar"/>
              </w:rPr>
              <w:t>布袋除尘</w:t>
            </w:r>
            <w:r>
              <w:rPr>
                <w:rFonts w:hint="default" w:ascii="Times New Roman" w:hAnsi="Times New Roman" w:eastAsia="宋体" w:cs="Times New Roman"/>
                <w:color w:val="000000"/>
                <w:kern w:val="0"/>
                <w:sz w:val="24"/>
                <w:szCs w:val="24"/>
                <w:lang w:val="en-US" w:eastAsia="zh-CN" w:bidi="ar"/>
              </w:rPr>
              <w:t>后，通过1根高</w:t>
            </w:r>
            <w:r>
              <w:rPr>
                <w:rFonts w:hint="eastAsia" w:cs="Times New Roman"/>
                <w:color w:val="000000"/>
                <w:kern w:val="0"/>
                <w:sz w:val="24"/>
                <w:szCs w:val="24"/>
                <w:lang w:val="en-US" w:eastAsia="zh-CN" w:bidi="ar"/>
              </w:rPr>
              <w:t>80</w:t>
            </w:r>
            <w:r>
              <w:rPr>
                <w:rFonts w:hint="default" w:ascii="Times New Roman" w:hAnsi="Times New Roman" w:eastAsia="宋体" w:cs="Times New Roman"/>
                <w:color w:val="auto"/>
                <w:kern w:val="0"/>
                <w:sz w:val="24"/>
                <w:szCs w:val="24"/>
                <w:lang w:val="en-US" w:eastAsia="zh-CN" w:bidi="ar"/>
              </w:rPr>
              <w:t>m排气筒排放。</w:t>
            </w:r>
          </w:p>
          <w:p w14:paraId="4F9908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3、锅炉燃烧废气装设烟气自动连续监测系统；监测项目包括：SO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、烟尘、NOx、O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、烟温、流量等，并与生态环境管理部门联网；</w:t>
            </w:r>
          </w:p>
          <w:p w14:paraId="2C348A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4、脱硫灰采用筒仓贮存，筒仓顶部配套布袋除尘器，废气布袋除尘器处理后和锅炉废气一同通过1根80m高排气筒排放。</w:t>
            </w:r>
          </w:p>
          <w:p w14:paraId="3DB097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、设置1个集中控制室，采用仪电一体化控制系统（DCS），该系统采用全自动操作的控制和管理模块，企业应加强脱硝装置的维护工作，确保脱硝装置进、出口的数据准确性，从而准确的调节喷</w:t>
            </w:r>
            <w:r>
              <w:rPr>
                <w:rFonts w:hint="eastAsia" w:cs="Times New Roman"/>
                <w:color w:val="000000"/>
                <w:kern w:val="0"/>
                <w:sz w:val="24"/>
                <w:szCs w:val="24"/>
                <w:lang w:val="en-US" w:eastAsia="zh-CN" w:bidi="ar"/>
              </w:rPr>
              <w:t>氨水</w:t>
            </w:r>
            <w:r>
              <w:rPr>
                <w:rFonts w:hint="default" w:ascii="Times New Roman" w:hAnsi="Times New Roman" w:eastAsia="宋体" w:cs="Times New Roman"/>
                <w:color w:val="000000"/>
                <w:kern w:val="0"/>
                <w:sz w:val="24"/>
                <w:szCs w:val="24"/>
                <w:lang w:val="en-US" w:eastAsia="zh-CN" w:bidi="ar"/>
              </w:rPr>
              <w:t>溶液量。</w:t>
            </w:r>
          </w:p>
          <w:p w14:paraId="51BCC74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4.6.4达标性分析</w:t>
            </w:r>
          </w:p>
          <w:p w14:paraId="78A520E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color w:val="000000"/>
                <w:kern w:val="0"/>
                <w:sz w:val="24"/>
                <w:szCs w:val="24"/>
                <w:vertAlign w:val="baseline"/>
                <w:lang w:val="en-US" w:eastAsia="zh-CN" w:bidi="ar"/>
              </w:rPr>
            </w:pPr>
            <w:r>
              <w:rPr>
                <w:rFonts w:hint="eastAsia" w:ascii="Times New Roman" w:hAnsi="Times New Roman" w:eastAsia="宋体" w:cs="Times New Roman"/>
                <w:color w:val="000000"/>
                <w:kern w:val="0"/>
                <w:sz w:val="24"/>
                <w:szCs w:val="24"/>
                <w:lang w:val="en-US" w:eastAsia="zh-CN" w:bidi="ar"/>
              </w:rPr>
              <w:t>根据源强核算结果可知，</w:t>
            </w:r>
            <w:r>
              <w:rPr>
                <w:rFonts w:hint="eastAsia" w:ascii="Times New Roman" w:hAnsi="Times New Roman" w:cs="Times New Roman"/>
                <w:color w:val="000000"/>
                <w:kern w:val="0"/>
                <w:sz w:val="24"/>
                <w:szCs w:val="24"/>
                <w:lang w:val="en-US" w:eastAsia="zh-CN" w:bidi="ar"/>
              </w:rPr>
              <w:t>锅炉废气中颗粒物排放浓度为</w:t>
            </w:r>
            <w:r>
              <w:rPr>
                <w:rFonts w:hint="eastAsia" w:cs="Times New Roman"/>
                <w:color w:val="000000"/>
                <w:kern w:val="0"/>
                <w:sz w:val="24"/>
                <w:szCs w:val="24"/>
                <w:lang w:val="en-US" w:eastAsia="zh-CN" w:bidi="ar"/>
              </w:rPr>
              <w:t>0.35</w:t>
            </w:r>
            <w:r>
              <w:rPr>
                <w:rFonts w:hint="default" w:ascii="Times New Roman" w:hAnsi="Times New Roman" w:eastAsia="宋体" w:cs="Times New Roman"/>
                <w:color w:val="000000"/>
                <w:kern w:val="0"/>
                <w:sz w:val="24"/>
                <w:szCs w:val="24"/>
                <w:lang w:val="en-US" w:eastAsia="zh-CN" w:bidi="ar"/>
              </w:rPr>
              <w:t>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cs="Times New Roman"/>
                <w:color w:val="000000"/>
                <w:kern w:val="0"/>
                <w:sz w:val="24"/>
                <w:szCs w:val="24"/>
                <w:vertAlign w:val="baseline"/>
                <w:lang w:val="en-US" w:eastAsia="zh-CN" w:bidi="ar"/>
              </w:rPr>
              <w:t>，</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24"/>
                <w:szCs w:val="24"/>
                <w:vertAlign w:val="subscript"/>
                <w:lang w:val="en-US" w:eastAsia="zh-CN" w:bidi="ar"/>
              </w:rPr>
              <w:t>2</w:t>
            </w:r>
            <w:r>
              <w:rPr>
                <w:rFonts w:hint="eastAsia" w:ascii="Times New Roman" w:hAnsi="Times New Roman" w:cs="Times New Roman"/>
                <w:color w:val="000000"/>
                <w:kern w:val="0"/>
                <w:sz w:val="24"/>
                <w:szCs w:val="24"/>
                <w:vertAlign w:val="baseline"/>
                <w:lang w:val="en-US" w:eastAsia="zh-CN" w:bidi="ar"/>
              </w:rPr>
              <w:t>排放浓度为12.4</w:t>
            </w:r>
            <w:r>
              <w:rPr>
                <w:rFonts w:hint="default" w:ascii="Times New Roman" w:hAnsi="Times New Roman" w:eastAsia="宋体" w:cs="Times New Roman"/>
                <w:color w:val="000000"/>
                <w:kern w:val="0"/>
                <w:sz w:val="24"/>
                <w:szCs w:val="24"/>
                <w:lang w:val="en-US" w:eastAsia="zh-CN" w:bidi="ar"/>
              </w:rPr>
              <w:t>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cs="Times New Roman"/>
                <w:color w:val="000000"/>
                <w:kern w:val="0"/>
                <w:sz w:val="24"/>
                <w:szCs w:val="24"/>
                <w:vertAlign w:val="baseline"/>
                <w:lang w:val="en-US" w:eastAsia="zh-CN" w:bidi="ar"/>
              </w:rPr>
              <w:t>，</w:t>
            </w:r>
            <w:r>
              <w:rPr>
                <w:rFonts w:hint="default" w:ascii="Times New Roman" w:hAnsi="Times New Roman" w:eastAsia="宋体" w:cs="Times New Roman"/>
                <w:color w:val="000000"/>
                <w:kern w:val="0"/>
                <w:sz w:val="24"/>
                <w:szCs w:val="24"/>
                <w:lang w:val="en-US" w:eastAsia="zh-CN" w:bidi="ar"/>
              </w:rPr>
              <w:t>NOx</w:t>
            </w:r>
            <w:r>
              <w:rPr>
                <w:rFonts w:hint="eastAsia" w:ascii="Times New Roman" w:hAnsi="Times New Roman" w:cs="Times New Roman"/>
                <w:color w:val="000000"/>
                <w:kern w:val="0"/>
                <w:sz w:val="24"/>
                <w:szCs w:val="24"/>
                <w:lang w:val="en-US" w:eastAsia="zh-CN" w:bidi="ar"/>
              </w:rPr>
              <w:t>排放浓度为</w:t>
            </w:r>
            <w:r>
              <w:rPr>
                <w:rFonts w:hint="eastAsia" w:cs="Times New Roman"/>
                <w:color w:val="000000"/>
                <w:kern w:val="0"/>
                <w:sz w:val="24"/>
                <w:szCs w:val="24"/>
                <w:lang w:val="en-US" w:eastAsia="zh-CN" w:bidi="ar"/>
              </w:rPr>
              <w:t>16.64</w:t>
            </w:r>
            <w:r>
              <w:rPr>
                <w:rFonts w:hint="default" w:ascii="Times New Roman" w:hAnsi="Times New Roman" w:eastAsia="宋体" w:cs="Times New Roman"/>
                <w:color w:val="000000"/>
                <w:kern w:val="0"/>
                <w:sz w:val="24"/>
                <w:szCs w:val="24"/>
                <w:lang w:val="en-US" w:eastAsia="zh-CN" w:bidi="ar"/>
              </w:rPr>
              <w:t>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cs="Times New Roman"/>
                <w:color w:val="000000"/>
                <w:kern w:val="0"/>
                <w:sz w:val="24"/>
                <w:szCs w:val="24"/>
                <w:vertAlign w:val="baseline"/>
                <w:lang w:val="en-US" w:eastAsia="zh-CN" w:bidi="ar"/>
              </w:rPr>
              <w:t>，均满足《关于推进实施钢铁行业超低排放的意见》（环大气〔2019〕35号）中自备电厂中超低排放限值要求。</w:t>
            </w:r>
          </w:p>
          <w:p w14:paraId="1E3F1CE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color w:val="000000"/>
                <w:kern w:val="0"/>
                <w:sz w:val="24"/>
                <w:szCs w:val="24"/>
                <w:vertAlign w:val="baseline"/>
                <w:lang w:val="en-US" w:eastAsia="zh-CN" w:bidi="ar"/>
              </w:rPr>
            </w:pPr>
            <w:r>
              <w:rPr>
                <w:rFonts w:hint="eastAsia" w:ascii="Times New Roman" w:hAnsi="Times New Roman" w:cs="Times New Roman"/>
                <w:color w:val="000000"/>
                <w:kern w:val="0"/>
                <w:sz w:val="24"/>
                <w:szCs w:val="24"/>
                <w:vertAlign w:val="baseline"/>
                <w:lang w:val="en-US" w:eastAsia="zh-CN" w:bidi="ar"/>
              </w:rPr>
              <w:t>脱硝系统中氨逃逸量为</w:t>
            </w:r>
            <w:r>
              <w:rPr>
                <w:rFonts w:hint="eastAsia" w:cs="Times New Roman"/>
                <w:color w:val="000000"/>
                <w:kern w:val="0"/>
                <w:sz w:val="24"/>
                <w:szCs w:val="24"/>
                <w:vertAlign w:val="baseline"/>
                <w:lang w:val="en-US" w:eastAsia="zh-CN" w:bidi="ar"/>
              </w:rPr>
              <w:t>0.700</w:t>
            </w:r>
            <w:r>
              <w:rPr>
                <w:rFonts w:hint="default" w:ascii="Times New Roman" w:hAnsi="Times New Roman" w:cs="Times New Roman"/>
                <w:color w:val="000000"/>
                <w:kern w:val="0"/>
                <w:sz w:val="24"/>
                <w:szCs w:val="24"/>
                <w:vertAlign w:val="baseline"/>
                <w:lang w:val="en-US" w:eastAsia="zh-CN" w:bidi="ar"/>
              </w:rPr>
              <w:t>kg/h</w:t>
            </w:r>
            <w:r>
              <w:rPr>
                <w:rFonts w:hint="eastAsia" w:ascii="Times New Roman" w:hAnsi="Times New Roman" w:cs="Times New Roman"/>
                <w:color w:val="000000"/>
                <w:kern w:val="0"/>
                <w:sz w:val="24"/>
                <w:szCs w:val="24"/>
                <w:vertAlign w:val="baseline"/>
                <w:lang w:val="en-US" w:eastAsia="zh-CN" w:bidi="ar"/>
              </w:rPr>
              <w:t>，满足《恶臭污染物排放标准》（</w:t>
            </w:r>
            <w:r>
              <w:rPr>
                <w:rFonts w:hint="default" w:ascii="Times New Roman" w:hAnsi="Times New Roman" w:cs="Times New Roman"/>
                <w:color w:val="000000"/>
                <w:kern w:val="0"/>
                <w:sz w:val="24"/>
                <w:szCs w:val="24"/>
                <w:vertAlign w:val="baseline"/>
                <w:lang w:val="en-US" w:eastAsia="zh-CN" w:bidi="ar"/>
              </w:rPr>
              <w:t>GB14554-93</w:t>
            </w:r>
            <w:r>
              <w:rPr>
                <w:rFonts w:hint="eastAsia" w:ascii="Times New Roman" w:hAnsi="Times New Roman" w:cs="Times New Roman"/>
                <w:color w:val="000000"/>
                <w:kern w:val="0"/>
                <w:sz w:val="24"/>
                <w:szCs w:val="24"/>
                <w:vertAlign w:val="baseline"/>
                <w:lang w:val="en-US" w:eastAsia="zh-CN" w:bidi="ar"/>
              </w:rPr>
              <w:t>）表</w:t>
            </w:r>
            <w:r>
              <w:rPr>
                <w:rFonts w:hint="default" w:ascii="Times New Roman" w:hAnsi="Times New Roman" w:cs="Times New Roman"/>
                <w:color w:val="000000"/>
                <w:kern w:val="0"/>
                <w:sz w:val="24"/>
                <w:szCs w:val="24"/>
                <w:vertAlign w:val="baseline"/>
                <w:lang w:val="en-US" w:eastAsia="zh-CN" w:bidi="ar"/>
              </w:rPr>
              <w:t>2</w:t>
            </w:r>
            <w:r>
              <w:rPr>
                <w:rFonts w:hint="eastAsia" w:ascii="Times New Roman" w:hAnsi="Times New Roman" w:cs="Times New Roman"/>
                <w:color w:val="000000"/>
                <w:kern w:val="0"/>
                <w:sz w:val="24"/>
                <w:szCs w:val="24"/>
                <w:vertAlign w:val="baseline"/>
                <w:lang w:val="en-US" w:eastAsia="zh-CN" w:bidi="ar"/>
              </w:rPr>
              <w:t>中氨排放速率要求，即</w:t>
            </w:r>
            <w:r>
              <w:rPr>
                <w:rFonts w:hint="default" w:ascii="Times New Roman" w:hAnsi="Times New Roman" w:cs="Times New Roman"/>
                <w:color w:val="000000"/>
                <w:kern w:val="0"/>
                <w:sz w:val="24"/>
                <w:szCs w:val="24"/>
                <w:vertAlign w:val="baseline"/>
                <w:lang w:val="en-US" w:eastAsia="zh-CN" w:bidi="ar"/>
              </w:rPr>
              <w:t>75kg/h</w:t>
            </w:r>
            <w:r>
              <w:rPr>
                <w:rFonts w:hint="eastAsia" w:ascii="Times New Roman" w:hAnsi="Times New Roman" w:cs="Times New Roman"/>
                <w:color w:val="000000"/>
                <w:kern w:val="0"/>
                <w:sz w:val="24"/>
                <w:szCs w:val="24"/>
                <w:vertAlign w:val="baseline"/>
                <w:lang w:val="en-US" w:eastAsia="zh-CN" w:bidi="ar"/>
              </w:rPr>
              <w:t>。</w:t>
            </w:r>
          </w:p>
          <w:p w14:paraId="1F4300E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4.6.</w:t>
            </w: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措施可行性分析</w:t>
            </w:r>
          </w:p>
          <w:p w14:paraId="0605E5D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auto"/>
                <w:sz w:val="24"/>
                <w:lang w:val="en-US" w:eastAsia="zh-CN"/>
              </w:rPr>
              <w:t>1）锅炉燃烧烟气处理措施可行性分析</w:t>
            </w:r>
          </w:p>
          <w:p w14:paraId="651EE89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本项目为利用高炉、转炉、焦炉煤气进行发电，本项目采用的污染治理技术属于《火电厂污染防治可行技术指南》（</w:t>
            </w:r>
            <w:r>
              <w:rPr>
                <w:rFonts w:hint="default" w:ascii="Times New Roman" w:hAnsi="Times New Roman" w:eastAsia="宋体" w:cs="Times New Roman"/>
                <w:color w:val="000000"/>
                <w:kern w:val="0"/>
                <w:sz w:val="24"/>
                <w:szCs w:val="24"/>
                <w:lang w:val="en-US" w:eastAsia="zh-CN" w:bidi="ar"/>
              </w:rPr>
              <w:t>HJ2301-2017</w:t>
            </w:r>
            <w:r>
              <w:rPr>
                <w:rFonts w:hint="eastAsia" w:ascii="Times New Roman" w:hAnsi="Times New Roman" w:eastAsia="宋体" w:cs="Times New Roman"/>
                <w:color w:val="000000"/>
                <w:kern w:val="0"/>
                <w:sz w:val="24"/>
                <w:szCs w:val="24"/>
                <w:lang w:val="en-US" w:eastAsia="zh-CN" w:bidi="ar"/>
              </w:rPr>
              <w:t>）中推荐的可行技术，详见下表：</w:t>
            </w:r>
          </w:p>
          <w:p w14:paraId="4ECBC25D">
            <w:pPr>
              <w:keepNext w:val="0"/>
              <w:keepLines w:val="0"/>
              <w:widowControl/>
              <w:suppressLineNumbers w:val="0"/>
              <w:ind w:left="0" w:leftChars="0" w:right="0" w:rightChars="0" w:firstLine="0" w:firstLineChars="0"/>
              <w:jc w:val="center"/>
              <w:rPr>
                <w:rFonts w:hint="default" w:ascii="Times New Roman" w:hAnsi="Times New Roman" w:eastAsia="宋体" w:cs="Times New Roman"/>
                <w:sz w:val="21"/>
                <w:szCs w:val="21"/>
              </w:rPr>
            </w:pPr>
            <w:r>
              <w:rPr>
                <w:rFonts w:hint="eastAsia" w:ascii="黑体" w:hAnsi="黑体" w:eastAsia="黑体" w:cs="黑体"/>
                <w:b w:val="0"/>
                <w:bCs w:val="0"/>
                <w:color w:val="000000"/>
                <w:kern w:val="0"/>
                <w:sz w:val="21"/>
                <w:szCs w:val="21"/>
                <w:lang w:val="en-US" w:eastAsia="zh-CN" w:bidi="ar"/>
              </w:rPr>
              <w:t>表4-4 本项目废气治理措施与可行技术对比</w:t>
            </w:r>
          </w:p>
          <w:tbl>
            <w:tblPr>
              <w:tblStyle w:val="18"/>
              <w:tblW w:w="77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4072"/>
              <w:gridCol w:w="1714"/>
              <w:gridCol w:w="773"/>
            </w:tblGrid>
            <w:tr w14:paraId="1B9AAC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tcBorders>
                    <w:tl2br w:val="nil"/>
                    <w:tr2bl w:val="nil"/>
                  </w:tcBorders>
                  <w:vAlign w:val="center"/>
                </w:tcPr>
                <w:p w14:paraId="25A06A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类别</w:t>
                  </w:r>
                </w:p>
              </w:tc>
              <w:tc>
                <w:tcPr>
                  <w:tcW w:w="4072" w:type="dxa"/>
                  <w:tcBorders>
                    <w:tl2br w:val="nil"/>
                    <w:tr2bl w:val="nil"/>
                  </w:tcBorders>
                  <w:vAlign w:val="center"/>
                </w:tcPr>
                <w:p w14:paraId="0CF6DE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HJ2301-2017推荐技术</w:t>
                  </w:r>
                </w:p>
              </w:tc>
              <w:tc>
                <w:tcPr>
                  <w:tcW w:w="1714" w:type="dxa"/>
                  <w:tcBorders>
                    <w:tl2br w:val="nil"/>
                    <w:tr2bl w:val="nil"/>
                  </w:tcBorders>
                  <w:vAlign w:val="center"/>
                </w:tcPr>
                <w:p w14:paraId="5534C8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本项目采取措施</w:t>
                  </w:r>
                </w:p>
              </w:tc>
              <w:tc>
                <w:tcPr>
                  <w:tcW w:w="773" w:type="dxa"/>
                  <w:tcBorders>
                    <w:tl2br w:val="nil"/>
                    <w:tr2bl w:val="nil"/>
                  </w:tcBorders>
                  <w:vAlign w:val="center"/>
                </w:tcPr>
                <w:p w14:paraId="23B981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可行性</w:t>
                  </w:r>
                </w:p>
              </w:tc>
            </w:tr>
            <w:tr w14:paraId="7CD2E1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tcBorders>
                    <w:tl2br w:val="nil"/>
                    <w:tr2bl w:val="nil"/>
                  </w:tcBorders>
                  <w:vAlign w:val="center"/>
                </w:tcPr>
                <w:p w14:paraId="5B2574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除尘</w:t>
                  </w:r>
                </w:p>
              </w:tc>
              <w:tc>
                <w:tcPr>
                  <w:tcW w:w="4072" w:type="dxa"/>
                  <w:tcBorders>
                    <w:tl2br w:val="nil"/>
                    <w:tr2bl w:val="nil"/>
                  </w:tcBorders>
                  <w:vAlign w:val="center"/>
                </w:tcPr>
                <w:p w14:paraId="6D99F0EE">
                  <w:pPr>
                    <w:keepNext w:val="0"/>
                    <w:keepLines w:val="0"/>
                    <w:widowControl/>
                    <w:suppressLineNumbers w:val="0"/>
                    <w:jc w:val="left"/>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电除尘、电袋复合除尘、袋式除尘</w:t>
                  </w:r>
                </w:p>
              </w:tc>
              <w:tc>
                <w:tcPr>
                  <w:tcW w:w="1714" w:type="dxa"/>
                  <w:tcBorders>
                    <w:tl2br w:val="nil"/>
                    <w:tr2bl w:val="nil"/>
                  </w:tcBorders>
                  <w:vAlign w:val="center"/>
                </w:tcPr>
                <w:p w14:paraId="7BCE90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布袋除尘器</w:t>
                  </w:r>
                </w:p>
              </w:tc>
              <w:tc>
                <w:tcPr>
                  <w:tcW w:w="773" w:type="dxa"/>
                  <w:tcBorders>
                    <w:tl2br w:val="nil"/>
                    <w:tr2bl w:val="nil"/>
                  </w:tcBorders>
                  <w:vAlign w:val="center"/>
                </w:tcPr>
                <w:p w14:paraId="32EB5B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可行</w:t>
                  </w:r>
                </w:p>
              </w:tc>
            </w:tr>
            <w:tr w14:paraId="54D146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tcBorders>
                    <w:tl2br w:val="nil"/>
                    <w:tr2bl w:val="nil"/>
                  </w:tcBorders>
                  <w:vAlign w:val="center"/>
                </w:tcPr>
                <w:p w14:paraId="7E40A7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脱硫</w:t>
                  </w:r>
                </w:p>
              </w:tc>
              <w:tc>
                <w:tcPr>
                  <w:tcW w:w="4072" w:type="dxa"/>
                  <w:tcBorders>
                    <w:tl2br w:val="nil"/>
                    <w:tr2bl w:val="nil"/>
                  </w:tcBorders>
                  <w:vAlign w:val="center"/>
                </w:tcPr>
                <w:p w14:paraId="41CB6DCF">
                  <w:pPr>
                    <w:keepNext w:val="0"/>
                    <w:keepLines w:val="0"/>
                    <w:widowControl/>
                    <w:suppressLineNumbers w:val="0"/>
                    <w:jc w:val="left"/>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石灰石-石膏湿法脱硫技术、烟气循环流化床脱硫技术、氨法脱硫技术、海水脱硫技术、活性焦脱硫技术</w:t>
                  </w:r>
                </w:p>
              </w:tc>
              <w:tc>
                <w:tcPr>
                  <w:tcW w:w="1714" w:type="dxa"/>
                  <w:tcBorders>
                    <w:tl2br w:val="nil"/>
                    <w:tr2bl w:val="nil"/>
                  </w:tcBorders>
                  <w:vAlign w:val="center"/>
                </w:tcPr>
                <w:p w14:paraId="0C5E02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钙基干法脱硫</w:t>
                  </w:r>
                </w:p>
              </w:tc>
              <w:tc>
                <w:tcPr>
                  <w:tcW w:w="773" w:type="dxa"/>
                  <w:tcBorders>
                    <w:tl2br w:val="nil"/>
                    <w:tr2bl w:val="nil"/>
                  </w:tcBorders>
                  <w:vAlign w:val="center"/>
                </w:tcPr>
                <w:p w14:paraId="749CC8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可行</w:t>
                  </w:r>
                </w:p>
              </w:tc>
            </w:tr>
            <w:tr w14:paraId="597F6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tcBorders>
                    <w:tl2br w:val="nil"/>
                    <w:tr2bl w:val="nil"/>
                  </w:tcBorders>
                  <w:vAlign w:val="center"/>
                </w:tcPr>
                <w:p w14:paraId="3D73A9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脱硝</w:t>
                  </w:r>
                </w:p>
              </w:tc>
              <w:tc>
                <w:tcPr>
                  <w:tcW w:w="4072" w:type="dxa"/>
                  <w:tcBorders>
                    <w:tl2br w:val="nil"/>
                    <w:tr2bl w:val="nil"/>
                  </w:tcBorders>
                  <w:vAlign w:val="center"/>
                </w:tcPr>
                <w:p w14:paraId="7B835FCF">
                  <w:pPr>
                    <w:keepNext w:val="0"/>
                    <w:keepLines w:val="0"/>
                    <w:widowControl/>
                    <w:suppressLineNumbers w:val="0"/>
                    <w:jc w:val="left"/>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低氮燃烧技术、SCR脱硝技术、SNCR脱硝技术、SNCR-SCR联合脱硝技术</w:t>
                  </w:r>
                </w:p>
              </w:tc>
              <w:tc>
                <w:tcPr>
                  <w:tcW w:w="1714" w:type="dxa"/>
                  <w:tcBorders>
                    <w:tl2br w:val="nil"/>
                    <w:tr2bl w:val="nil"/>
                  </w:tcBorders>
                  <w:vAlign w:val="center"/>
                </w:tcPr>
                <w:p w14:paraId="09098F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SCR脱硝技术</w:t>
                  </w:r>
                </w:p>
              </w:tc>
              <w:tc>
                <w:tcPr>
                  <w:tcW w:w="773" w:type="dxa"/>
                  <w:tcBorders>
                    <w:tl2br w:val="nil"/>
                    <w:tr2bl w:val="nil"/>
                  </w:tcBorders>
                  <w:vAlign w:val="center"/>
                </w:tcPr>
                <w:p w14:paraId="4FA8FC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可行</w:t>
                  </w:r>
                </w:p>
              </w:tc>
            </w:tr>
          </w:tbl>
          <w:p w14:paraId="27F933E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本项目采用</w:t>
            </w:r>
            <w:r>
              <w:rPr>
                <w:rFonts w:hint="eastAsia" w:cs="Times New Roman"/>
                <w:color w:val="000000"/>
                <w:kern w:val="0"/>
                <w:sz w:val="24"/>
                <w:szCs w:val="24"/>
                <w:lang w:val="en-US" w:eastAsia="zh-CN" w:bidi="ar"/>
              </w:rPr>
              <w:t>锅炉采用低氮燃烧技术，锅炉烟气采用SCR脱硝+钙基干法脱硫+布袋除尘器治理措施，</w:t>
            </w:r>
            <w:r>
              <w:rPr>
                <w:rFonts w:hint="eastAsia" w:ascii="Times New Roman" w:hAnsi="Times New Roman" w:eastAsia="宋体" w:cs="Times New Roman"/>
                <w:color w:val="000000"/>
                <w:kern w:val="0"/>
                <w:sz w:val="24"/>
                <w:szCs w:val="24"/>
                <w:lang w:val="en-US" w:eastAsia="zh-CN" w:bidi="ar"/>
              </w:rPr>
              <w:t>属于技术规范推荐的可行技术。</w:t>
            </w:r>
          </w:p>
          <w:p w14:paraId="2760404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lang w:val="en-US" w:eastAsia="zh-CN"/>
              </w:rPr>
            </w:pPr>
            <w:r>
              <w:rPr>
                <w:rFonts w:hint="default" w:ascii="Times New Roman" w:hAnsi="Times New Roman" w:eastAsia="宋体" w:cs="Times New Roman"/>
                <w:b/>
                <w:bCs/>
                <w:color w:val="000000"/>
                <w:kern w:val="0"/>
                <w:sz w:val="24"/>
                <w:szCs w:val="24"/>
                <w:lang w:val="en-US" w:eastAsia="zh-CN" w:bidi="ar"/>
              </w:rPr>
              <w:t>（</w:t>
            </w:r>
            <w:r>
              <w:rPr>
                <w:rFonts w:hint="eastAsia" w:cs="Times New Roman"/>
                <w:b/>
                <w:bCs/>
                <w:color w:val="auto"/>
                <w:sz w:val="24"/>
                <w:lang w:val="en-US" w:eastAsia="zh-CN"/>
              </w:rPr>
              <w:t>2</w:t>
            </w:r>
            <w:r>
              <w:rPr>
                <w:rFonts w:hint="default" w:ascii="Times New Roman" w:hAnsi="Times New Roman" w:eastAsia="宋体" w:cs="Times New Roman"/>
                <w:b/>
                <w:bCs/>
                <w:color w:val="auto"/>
                <w:sz w:val="24"/>
                <w:lang w:val="en-US" w:eastAsia="zh-CN"/>
              </w:rPr>
              <w:t>）</w:t>
            </w:r>
            <w:r>
              <w:rPr>
                <w:rFonts w:hint="eastAsia" w:cs="Times New Roman"/>
                <w:b/>
                <w:bCs/>
                <w:color w:val="auto"/>
                <w:sz w:val="24"/>
                <w:lang w:val="en-US" w:eastAsia="zh-CN"/>
              </w:rPr>
              <w:t>灰仓粉尘处理措施可行性分析</w:t>
            </w:r>
          </w:p>
          <w:p w14:paraId="42E4B6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灰仓粉尘</w:t>
            </w:r>
            <w:r>
              <w:rPr>
                <w:rFonts w:hint="eastAsia" w:cs="Times New Roman"/>
                <w:color w:val="000000"/>
                <w:kern w:val="0"/>
                <w:sz w:val="24"/>
                <w:szCs w:val="24"/>
                <w:lang w:val="en-US" w:eastAsia="zh-CN" w:bidi="ar"/>
              </w:rPr>
              <w:t>经布袋除尘器收集处理，其对粉尘去除效率较高，达到99%以上，属可行技术。</w:t>
            </w:r>
          </w:p>
          <w:p w14:paraId="0A4FAEB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4.6.6技改前后污染物变化情况</w:t>
            </w:r>
          </w:p>
          <w:p w14:paraId="0696DF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经核算本项目技改前后污染物变化情况如下表。</w:t>
            </w:r>
          </w:p>
          <w:p w14:paraId="07954B1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z w:val="24"/>
                <w:szCs w:val="24"/>
                <w:lang w:val="en-US"/>
              </w:rPr>
            </w:pPr>
            <w:r>
              <w:rPr>
                <w:rFonts w:hint="eastAsia" w:ascii="黑体" w:hAnsi="黑体" w:eastAsia="黑体" w:cs="黑体"/>
                <w:b w:val="0"/>
                <w:bCs w:val="0"/>
                <w:color w:val="000000"/>
                <w:kern w:val="0"/>
                <w:sz w:val="21"/>
                <w:szCs w:val="21"/>
                <w:lang w:val="en-US" w:eastAsia="zh-CN" w:bidi="ar"/>
              </w:rPr>
              <w:t>表4-5 本项目技改前后大气污染物变化情况</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308"/>
              <w:gridCol w:w="1309"/>
              <w:gridCol w:w="1309"/>
              <w:gridCol w:w="1309"/>
              <w:gridCol w:w="1309"/>
            </w:tblGrid>
            <w:tr w14:paraId="14B7CA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l2br w:val="nil"/>
                    <w:tr2bl w:val="nil"/>
                  </w:tcBorders>
                  <w:vAlign w:val="center"/>
                </w:tcPr>
                <w:p w14:paraId="0AF0FF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污染物</w:t>
                  </w:r>
                </w:p>
              </w:tc>
              <w:tc>
                <w:tcPr>
                  <w:tcW w:w="1308" w:type="dxa"/>
                  <w:tcBorders>
                    <w:tl2br w:val="nil"/>
                    <w:tr2bl w:val="nil"/>
                  </w:tcBorders>
                  <w:vAlign w:val="center"/>
                </w:tcPr>
                <w:p w14:paraId="291B54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原有项目排放量（t/a）</w:t>
                  </w:r>
                </w:p>
              </w:tc>
              <w:tc>
                <w:tcPr>
                  <w:tcW w:w="1309" w:type="dxa"/>
                  <w:tcBorders>
                    <w:tl2br w:val="nil"/>
                    <w:tr2bl w:val="nil"/>
                  </w:tcBorders>
                  <w:vAlign w:val="center"/>
                </w:tcPr>
                <w:p w14:paraId="678DEF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本项目排放量（t/a）</w:t>
                  </w:r>
                </w:p>
              </w:tc>
              <w:tc>
                <w:tcPr>
                  <w:tcW w:w="1309" w:type="dxa"/>
                  <w:tcBorders>
                    <w:tl2br w:val="nil"/>
                    <w:tr2bl w:val="nil"/>
                  </w:tcBorders>
                  <w:vAlign w:val="center"/>
                </w:tcPr>
                <w:p w14:paraId="3CBE4E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以新带老削减量（t/a）</w:t>
                  </w:r>
                </w:p>
              </w:tc>
              <w:tc>
                <w:tcPr>
                  <w:tcW w:w="1309" w:type="dxa"/>
                  <w:tcBorders>
                    <w:tl2br w:val="nil"/>
                    <w:tr2bl w:val="nil"/>
                  </w:tcBorders>
                  <w:vAlign w:val="center"/>
                </w:tcPr>
                <w:p w14:paraId="3E0F1C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预测排放总量（t/a）</w:t>
                  </w:r>
                </w:p>
              </w:tc>
              <w:tc>
                <w:tcPr>
                  <w:tcW w:w="1309" w:type="dxa"/>
                  <w:tcBorders>
                    <w:tl2br w:val="nil"/>
                    <w:tr2bl w:val="nil"/>
                  </w:tcBorders>
                  <w:vAlign w:val="center"/>
                </w:tcPr>
                <w:p w14:paraId="687D7F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排放增减量（t/a）</w:t>
                  </w:r>
                </w:p>
              </w:tc>
            </w:tr>
            <w:tr w14:paraId="59C83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l2br w:val="nil"/>
                    <w:tr2bl w:val="nil"/>
                  </w:tcBorders>
                  <w:vAlign w:val="center"/>
                </w:tcPr>
                <w:p w14:paraId="62D15F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颗粒物</w:t>
                  </w:r>
                </w:p>
              </w:tc>
              <w:tc>
                <w:tcPr>
                  <w:tcW w:w="1308" w:type="dxa"/>
                  <w:tcBorders>
                    <w:tl2br w:val="nil"/>
                    <w:tr2bl w:val="nil"/>
                  </w:tcBorders>
                  <w:vAlign w:val="center"/>
                </w:tcPr>
                <w:p w14:paraId="764797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14.322</w:t>
                  </w:r>
                </w:p>
              </w:tc>
              <w:tc>
                <w:tcPr>
                  <w:tcW w:w="1309" w:type="dxa"/>
                  <w:tcBorders>
                    <w:tl2br w:val="nil"/>
                    <w:tr2bl w:val="nil"/>
                  </w:tcBorders>
                  <w:vAlign w:val="center"/>
                </w:tcPr>
                <w:p w14:paraId="252CBA9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sz w:val="18"/>
                      <w:szCs w:val="18"/>
                      <w:highlight w:val="none"/>
                      <w:lang w:val="en-US" w:eastAsia="zh-CN"/>
                    </w:rPr>
                    <w:t>0.880</w:t>
                  </w:r>
                </w:p>
              </w:tc>
              <w:tc>
                <w:tcPr>
                  <w:tcW w:w="1309" w:type="dxa"/>
                  <w:tcBorders>
                    <w:tl2br w:val="nil"/>
                    <w:tr2bl w:val="nil"/>
                  </w:tcBorders>
                  <w:vAlign w:val="center"/>
                </w:tcPr>
                <w:p w14:paraId="7AE3A2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kern w:val="0"/>
                      <w:sz w:val="18"/>
                      <w:szCs w:val="18"/>
                      <w:vertAlign w:val="baseline"/>
                      <w:lang w:val="en-US" w:eastAsia="zh-CN" w:bidi="ar"/>
                    </w:rPr>
                    <w:t>14.322</w:t>
                  </w:r>
                </w:p>
              </w:tc>
              <w:tc>
                <w:tcPr>
                  <w:tcW w:w="1309" w:type="dxa"/>
                  <w:tcBorders>
                    <w:tl2br w:val="nil"/>
                    <w:tr2bl w:val="nil"/>
                  </w:tcBorders>
                  <w:vAlign w:val="center"/>
                </w:tcPr>
                <w:p w14:paraId="4F25582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sz w:val="18"/>
                      <w:szCs w:val="18"/>
                      <w:highlight w:val="none"/>
                      <w:lang w:val="en-US" w:eastAsia="zh-CN"/>
                    </w:rPr>
                    <w:t>0.880</w:t>
                  </w:r>
                </w:p>
              </w:tc>
              <w:tc>
                <w:tcPr>
                  <w:tcW w:w="1309" w:type="dxa"/>
                  <w:tcBorders>
                    <w:tl2br w:val="nil"/>
                    <w:tr2bl w:val="nil"/>
                  </w:tcBorders>
                  <w:vAlign w:val="center"/>
                </w:tcPr>
                <w:p w14:paraId="159ADE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w:t>
                  </w:r>
                  <w:r>
                    <w:rPr>
                      <w:rFonts w:hint="eastAsia" w:cs="Times New Roman"/>
                      <w:color w:val="000000"/>
                      <w:kern w:val="0"/>
                      <w:sz w:val="18"/>
                      <w:szCs w:val="18"/>
                      <w:vertAlign w:val="baseline"/>
                      <w:lang w:val="en-US" w:eastAsia="zh-CN" w:bidi="ar"/>
                    </w:rPr>
                    <w:t>13.442</w:t>
                  </w:r>
                </w:p>
              </w:tc>
            </w:tr>
            <w:tr w14:paraId="21E136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l2br w:val="nil"/>
                    <w:tr2bl w:val="nil"/>
                  </w:tcBorders>
                  <w:vAlign w:val="center"/>
                </w:tcPr>
                <w:p w14:paraId="0AB3CEE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308" w:type="dxa"/>
                  <w:tcBorders>
                    <w:tl2br w:val="nil"/>
                    <w:tr2bl w:val="nil"/>
                  </w:tcBorders>
                  <w:vAlign w:val="center"/>
                </w:tcPr>
                <w:p w14:paraId="461951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113.630</w:t>
                  </w:r>
                </w:p>
              </w:tc>
              <w:tc>
                <w:tcPr>
                  <w:tcW w:w="1309" w:type="dxa"/>
                  <w:tcBorders>
                    <w:tl2br w:val="nil"/>
                    <w:tr2bl w:val="nil"/>
                  </w:tcBorders>
                  <w:vAlign w:val="center"/>
                </w:tcPr>
                <w:p w14:paraId="2B3FBB3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sz w:val="18"/>
                      <w:szCs w:val="18"/>
                      <w:highlight w:val="none"/>
                      <w:lang w:val="en-US" w:eastAsia="zh-CN"/>
                    </w:rPr>
                    <w:t>31.424</w:t>
                  </w:r>
                </w:p>
              </w:tc>
              <w:tc>
                <w:tcPr>
                  <w:tcW w:w="1309" w:type="dxa"/>
                  <w:tcBorders>
                    <w:tl2br w:val="nil"/>
                    <w:tr2bl w:val="nil"/>
                  </w:tcBorders>
                  <w:vAlign w:val="center"/>
                </w:tcPr>
                <w:p w14:paraId="763C3C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kern w:val="0"/>
                      <w:sz w:val="18"/>
                      <w:szCs w:val="18"/>
                      <w:vertAlign w:val="baseline"/>
                      <w:lang w:val="en-US" w:eastAsia="zh-CN" w:bidi="ar"/>
                    </w:rPr>
                    <w:t>113.630</w:t>
                  </w:r>
                </w:p>
              </w:tc>
              <w:tc>
                <w:tcPr>
                  <w:tcW w:w="1309" w:type="dxa"/>
                  <w:tcBorders>
                    <w:tl2br w:val="nil"/>
                    <w:tr2bl w:val="nil"/>
                  </w:tcBorders>
                  <w:vAlign w:val="center"/>
                </w:tcPr>
                <w:p w14:paraId="0605654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sz w:val="18"/>
                      <w:szCs w:val="18"/>
                      <w:highlight w:val="none"/>
                      <w:lang w:val="en-US" w:eastAsia="zh-CN"/>
                    </w:rPr>
                    <w:t>31.424</w:t>
                  </w:r>
                </w:p>
              </w:tc>
              <w:tc>
                <w:tcPr>
                  <w:tcW w:w="1309" w:type="dxa"/>
                  <w:tcBorders>
                    <w:tl2br w:val="nil"/>
                    <w:tr2bl w:val="nil"/>
                  </w:tcBorders>
                  <w:vAlign w:val="center"/>
                </w:tcPr>
                <w:p w14:paraId="3D73AE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-82.206</w:t>
                  </w:r>
                </w:p>
              </w:tc>
            </w:tr>
            <w:tr w14:paraId="3A6F21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l2br w:val="nil"/>
                    <w:tr2bl w:val="nil"/>
                  </w:tcBorders>
                  <w:vAlign w:val="center"/>
                </w:tcPr>
                <w:p w14:paraId="5163BEB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1308" w:type="dxa"/>
                  <w:tcBorders>
                    <w:tl2br w:val="nil"/>
                    <w:tr2bl w:val="nil"/>
                  </w:tcBorders>
                  <w:vAlign w:val="center"/>
                </w:tcPr>
                <w:p w14:paraId="0A701E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94.377</w:t>
                  </w:r>
                </w:p>
              </w:tc>
              <w:tc>
                <w:tcPr>
                  <w:tcW w:w="1309" w:type="dxa"/>
                  <w:tcBorders>
                    <w:tl2br w:val="nil"/>
                    <w:tr2bl w:val="nil"/>
                  </w:tcBorders>
                  <w:vAlign w:val="center"/>
                </w:tcPr>
                <w:p w14:paraId="60BC4EB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sz w:val="18"/>
                      <w:szCs w:val="18"/>
                      <w:highlight w:val="none"/>
                      <w:lang w:val="en-US" w:eastAsia="zh-CN"/>
                    </w:rPr>
                    <w:t>42.167</w:t>
                  </w:r>
                </w:p>
              </w:tc>
              <w:tc>
                <w:tcPr>
                  <w:tcW w:w="1309" w:type="dxa"/>
                  <w:tcBorders>
                    <w:tl2br w:val="nil"/>
                    <w:tr2bl w:val="nil"/>
                  </w:tcBorders>
                  <w:vAlign w:val="center"/>
                </w:tcPr>
                <w:p w14:paraId="02EA50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kern w:val="0"/>
                      <w:sz w:val="18"/>
                      <w:szCs w:val="18"/>
                      <w:vertAlign w:val="baseline"/>
                      <w:lang w:val="en-US" w:eastAsia="zh-CN" w:bidi="ar"/>
                    </w:rPr>
                    <w:t>94.377</w:t>
                  </w:r>
                </w:p>
              </w:tc>
              <w:tc>
                <w:tcPr>
                  <w:tcW w:w="1309" w:type="dxa"/>
                  <w:tcBorders>
                    <w:tl2br w:val="nil"/>
                    <w:tr2bl w:val="nil"/>
                  </w:tcBorders>
                  <w:vAlign w:val="center"/>
                </w:tcPr>
                <w:p w14:paraId="182EFEE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eastAsia" w:cs="Times New Roman"/>
                      <w:color w:val="auto"/>
                      <w:sz w:val="18"/>
                      <w:szCs w:val="18"/>
                      <w:highlight w:val="none"/>
                      <w:lang w:val="en-US" w:eastAsia="zh-CN"/>
                    </w:rPr>
                    <w:t>42.167</w:t>
                  </w:r>
                </w:p>
              </w:tc>
              <w:tc>
                <w:tcPr>
                  <w:tcW w:w="1309" w:type="dxa"/>
                  <w:tcBorders>
                    <w:tl2br w:val="nil"/>
                    <w:tr2bl w:val="nil"/>
                  </w:tcBorders>
                  <w:vAlign w:val="center"/>
                </w:tcPr>
                <w:p w14:paraId="0E0286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w:t>
                  </w:r>
                  <w:r>
                    <w:rPr>
                      <w:rFonts w:hint="eastAsia" w:cs="Times New Roman"/>
                      <w:color w:val="000000"/>
                      <w:kern w:val="0"/>
                      <w:sz w:val="18"/>
                      <w:szCs w:val="18"/>
                      <w:vertAlign w:val="baseline"/>
                      <w:lang w:val="en-US" w:eastAsia="zh-CN" w:bidi="ar"/>
                    </w:rPr>
                    <w:t>52.21</w:t>
                  </w:r>
                </w:p>
              </w:tc>
            </w:tr>
            <w:tr w14:paraId="42D22E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l2br w:val="nil"/>
                    <w:tr2bl w:val="nil"/>
                  </w:tcBorders>
                  <w:vAlign w:val="center"/>
                </w:tcPr>
                <w:p w14:paraId="3BCEC30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氨</w:t>
                  </w:r>
                </w:p>
              </w:tc>
              <w:tc>
                <w:tcPr>
                  <w:tcW w:w="1308" w:type="dxa"/>
                  <w:tcBorders>
                    <w:tl2br w:val="nil"/>
                    <w:tr2bl w:val="nil"/>
                  </w:tcBorders>
                  <w:vAlign w:val="center"/>
                </w:tcPr>
                <w:p w14:paraId="74FB76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0</w:t>
                  </w:r>
                </w:p>
              </w:tc>
              <w:tc>
                <w:tcPr>
                  <w:tcW w:w="1309" w:type="dxa"/>
                  <w:tcBorders>
                    <w:tl2br w:val="nil"/>
                    <w:tr2bl w:val="nil"/>
                  </w:tcBorders>
                  <w:vAlign w:val="center"/>
                </w:tcPr>
                <w:p w14:paraId="5EFB8C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5.544</w:t>
                  </w:r>
                </w:p>
              </w:tc>
              <w:tc>
                <w:tcPr>
                  <w:tcW w:w="1309" w:type="dxa"/>
                  <w:tcBorders>
                    <w:tl2br w:val="nil"/>
                    <w:tr2bl w:val="nil"/>
                  </w:tcBorders>
                  <w:vAlign w:val="center"/>
                </w:tcPr>
                <w:p w14:paraId="3D2F96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0</w:t>
                  </w:r>
                </w:p>
              </w:tc>
              <w:tc>
                <w:tcPr>
                  <w:tcW w:w="1309" w:type="dxa"/>
                  <w:tcBorders>
                    <w:tl2br w:val="nil"/>
                    <w:tr2bl w:val="nil"/>
                  </w:tcBorders>
                  <w:vAlign w:val="center"/>
                </w:tcPr>
                <w:p w14:paraId="178118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5.544</w:t>
                  </w:r>
                </w:p>
              </w:tc>
              <w:tc>
                <w:tcPr>
                  <w:tcW w:w="1309" w:type="dxa"/>
                  <w:tcBorders>
                    <w:tl2br w:val="nil"/>
                    <w:tr2bl w:val="nil"/>
                  </w:tcBorders>
                  <w:vAlign w:val="center"/>
                </w:tcPr>
                <w:p w14:paraId="07F3FC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+5.544</w:t>
                  </w:r>
                </w:p>
              </w:tc>
            </w:tr>
          </w:tbl>
          <w:p w14:paraId="73054BC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4.6.7大气环境影响分析</w:t>
            </w:r>
          </w:p>
          <w:p w14:paraId="1DD93A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本项目位于环境空气达标区，锅炉采用低氮燃烧技术，锅炉烟气经</w:t>
            </w:r>
            <w:r>
              <w:rPr>
                <w:rFonts w:hint="eastAsia" w:cs="Times New Roman"/>
                <w:color w:val="000000"/>
                <w:kern w:val="0"/>
                <w:sz w:val="24"/>
                <w:szCs w:val="24"/>
                <w:lang w:val="en-US" w:eastAsia="zh-CN" w:bidi="ar"/>
              </w:rPr>
              <w:t>SCR脱硝+</w:t>
            </w:r>
            <w:r>
              <w:rPr>
                <w:rFonts w:hint="default" w:ascii="Times New Roman" w:hAnsi="Times New Roman" w:eastAsia="宋体" w:cs="Times New Roman"/>
                <w:color w:val="000000"/>
                <w:kern w:val="0"/>
                <w:sz w:val="24"/>
                <w:szCs w:val="24"/>
                <w:lang w:val="en-US" w:eastAsia="zh-CN" w:bidi="ar"/>
              </w:rPr>
              <w:t>脱硫塔（</w:t>
            </w:r>
            <w:r>
              <w:rPr>
                <w:rFonts w:hint="eastAsia" w:ascii="Times New Roman" w:hAnsi="Times New Roman" w:eastAsia="宋体" w:cs="Times New Roman"/>
                <w:color w:val="000000"/>
                <w:kern w:val="0"/>
                <w:sz w:val="24"/>
                <w:szCs w:val="24"/>
                <w:lang w:val="en-US" w:eastAsia="zh-CN" w:bidi="ar"/>
              </w:rPr>
              <w:t>钙基干法脱硫</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布袋除尘</w:t>
            </w:r>
            <w:r>
              <w:rPr>
                <w:rFonts w:hint="default" w:ascii="Times New Roman" w:hAnsi="Times New Roman" w:eastAsia="宋体" w:cs="Times New Roman"/>
                <w:color w:val="000000"/>
                <w:kern w:val="0"/>
                <w:sz w:val="24"/>
                <w:szCs w:val="24"/>
                <w:lang w:val="en-US" w:eastAsia="zh-CN" w:bidi="ar"/>
              </w:rPr>
              <w:t>处理后排放；各废气治理措施均为技术规范推荐的可行技术，经处理后锅炉废气达到《关于推进实施钢铁行业超低排放的意见》（环大气〔2019〕35号）中自备电厂中超低排放限值要求。脱硝系统中氨逃逸量为</w:t>
            </w:r>
            <w:r>
              <w:rPr>
                <w:rFonts w:hint="eastAsia" w:ascii="Times New Roman" w:hAnsi="Times New Roman" w:eastAsia="宋体" w:cs="Times New Roman"/>
                <w:color w:val="000000"/>
                <w:kern w:val="0"/>
                <w:sz w:val="24"/>
                <w:szCs w:val="24"/>
                <w:lang w:val="en-US" w:eastAsia="zh-CN" w:bidi="ar"/>
              </w:rPr>
              <w:t>0.700</w:t>
            </w:r>
            <w:r>
              <w:rPr>
                <w:rFonts w:hint="default" w:ascii="Times New Roman" w:hAnsi="Times New Roman" w:eastAsia="宋体" w:cs="Times New Roman"/>
                <w:color w:val="000000"/>
                <w:kern w:val="0"/>
                <w:sz w:val="24"/>
                <w:szCs w:val="24"/>
                <w:lang w:val="en-US" w:eastAsia="zh-CN" w:bidi="ar"/>
              </w:rPr>
              <w:t>kg/h，满足《恶臭污染物排放标准》（GB14554-93）表2中氨排放速率要求，即75kg/h。</w:t>
            </w:r>
            <w:r>
              <w:rPr>
                <w:rFonts w:hint="eastAsia" w:ascii="宋体" w:hAnsi="宋体" w:eastAsia="宋体" w:cs="宋体"/>
                <w:color w:val="000000"/>
                <w:kern w:val="0"/>
                <w:sz w:val="24"/>
                <w:szCs w:val="24"/>
                <w:lang w:val="en-US" w:eastAsia="zh-CN" w:bidi="ar"/>
              </w:rPr>
              <w:t>本项目建成后全厂大气污染物最终实现消减，本项目发电量达到设计规模污染物消减量为：颗粒物</w:t>
            </w:r>
            <w:r>
              <w:rPr>
                <w:rFonts w:hint="eastAsia" w:ascii="Times New Roman" w:hAnsi="Times New Roman" w:eastAsia="宋体" w:cs="Times New Roman"/>
                <w:color w:val="000000"/>
                <w:kern w:val="0"/>
                <w:sz w:val="24"/>
                <w:szCs w:val="24"/>
                <w:lang w:val="en-US" w:eastAsia="zh-CN" w:bidi="ar"/>
              </w:rPr>
              <w:t>13.442</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24"/>
                <w:szCs w:val="24"/>
                <w:vertAlign w:val="subscript"/>
                <w:lang w:val="en-US" w:eastAsia="zh-CN" w:bidi="ar"/>
              </w:rPr>
              <w:t>2</w:t>
            </w:r>
            <w:r>
              <w:rPr>
                <w:rFonts w:hint="eastAsia" w:ascii="Times New Roman" w:hAnsi="Times New Roman" w:eastAsia="宋体" w:cs="Times New Roman"/>
                <w:color w:val="000000"/>
                <w:kern w:val="0"/>
                <w:sz w:val="24"/>
                <w:szCs w:val="24"/>
                <w:lang w:val="en-US" w:eastAsia="zh-CN" w:bidi="ar"/>
              </w:rPr>
              <w:t>82.206</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w:t>
            </w:r>
            <w:r>
              <w:rPr>
                <w:rFonts w:hint="eastAsia" w:ascii="Times New Roman" w:hAnsi="Times New Roman" w:eastAsia="宋体" w:cs="Times New Roman"/>
                <w:color w:val="000000"/>
                <w:kern w:val="0"/>
                <w:sz w:val="24"/>
                <w:szCs w:val="24"/>
                <w:lang w:val="en-US" w:eastAsia="zh-CN" w:bidi="ar"/>
              </w:rPr>
              <w:t>x52.21</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p>
          <w:p w14:paraId="567869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项目区常年主导风向为西南风，根据现场踏勘，项目区下风向500m范围内无大气保护目标，距离煤气发电项目最近的保护目标为西南面约</w:t>
            </w:r>
            <w:r>
              <w:rPr>
                <w:rFonts w:hint="eastAsia" w:cs="Times New Roman"/>
                <w:color w:val="000000"/>
                <w:kern w:val="0"/>
                <w:sz w:val="24"/>
                <w:szCs w:val="24"/>
                <w:lang w:val="en-US" w:eastAsia="zh-CN" w:bidi="ar"/>
              </w:rPr>
              <w:t>940</w:t>
            </w:r>
            <w:r>
              <w:rPr>
                <w:rFonts w:hint="default" w:ascii="Times New Roman" w:hAnsi="Times New Roman" w:eastAsia="宋体" w:cs="Times New Roman"/>
                <w:color w:val="000000"/>
                <w:kern w:val="0"/>
                <w:sz w:val="24"/>
                <w:szCs w:val="24"/>
                <w:lang w:val="en-US" w:eastAsia="zh-CN" w:bidi="ar"/>
              </w:rPr>
              <w:t>m的大开门村，位于项目区上风向，本项目排放的废气对其影响较小。</w:t>
            </w:r>
          </w:p>
          <w:p w14:paraId="5C81DAA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4.6.8非正常排放</w:t>
            </w:r>
          </w:p>
          <w:p w14:paraId="201A0E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非正常排放情况主要是考虑废气治理设施故障的情况，本项目非正常排放考虑脱</w:t>
            </w:r>
            <w:r>
              <w:rPr>
                <w:rFonts w:hint="eastAsia" w:cs="Times New Roman"/>
                <w:color w:val="000000"/>
                <w:kern w:val="0"/>
                <w:sz w:val="24"/>
                <w:szCs w:val="24"/>
                <w:lang w:val="en-US" w:eastAsia="zh-CN" w:bidi="ar"/>
              </w:rPr>
              <w:t>脱硫塔故障、</w:t>
            </w:r>
            <w:r>
              <w:rPr>
                <w:rFonts w:hint="eastAsia" w:ascii="Times New Roman" w:hAnsi="Times New Roman" w:cs="Times New Roman"/>
                <w:color w:val="000000"/>
                <w:kern w:val="0"/>
                <w:sz w:val="24"/>
                <w:szCs w:val="24"/>
                <w:lang w:val="en-US" w:eastAsia="zh-CN" w:bidi="ar"/>
              </w:rPr>
              <w:t>SCR脱硝故障</w:t>
            </w:r>
            <w:r>
              <w:rPr>
                <w:rFonts w:hint="eastAsia" w:cs="Times New Roman"/>
                <w:color w:val="000000"/>
                <w:kern w:val="0"/>
                <w:sz w:val="24"/>
                <w:szCs w:val="24"/>
                <w:lang w:val="en-US" w:eastAsia="zh-CN" w:bidi="ar"/>
              </w:rPr>
              <w:t>或布袋除尘器故障</w:t>
            </w:r>
            <w:r>
              <w:rPr>
                <w:rFonts w:hint="eastAsia" w:ascii="Times New Roman" w:hAnsi="Times New Roman" w:eastAsia="宋体" w:cs="Times New Roman"/>
                <w:color w:val="000000"/>
                <w:kern w:val="0"/>
                <w:sz w:val="24"/>
                <w:szCs w:val="24"/>
                <w:lang w:val="en-US" w:eastAsia="zh-CN" w:bidi="ar"/>
              </w:rPr>
              <w:t>，主要表现在除尘、脱硫、脱硝效率下降，除尘效率降为</w:t>
            </w:r>
            <w:r>
              <w:rPr>
                <w:rFonts w:hint="eastAsia"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，脱硫效率降为</w:t>
            </w:r>
            <w:r>
              <w:rPr>
                <w:rFonts w:hint="default" w:ascii="Times New Roman" w:hAnsi="Times New Roman" w:eastAsia="宋体" w:cs="Times New Roman"/>
                <w:color w:val="000000"/>
                <w:kern w:val="0"/>
                <w:sz w:val="24"/>
                <w:szCs w:val="24"/>
                <w:lang w:val="en-US" w:eastAsia="zh-CN" w:bidi="ar"/>
              </w:rPr>
              <w:t>60%</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SCR脱硝故障脱硝效率降为55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p>
          <w:p w14:paraId="3EA9404B">
            <w:pPr>
              <w:keepNext w:val="0"/>
              <w:keepLines w:val="0"/>
              <w:widowControl/>
              <w:suppressLineNumbers w:val="0"/>
              <w:ind w:left="0" w:leftChars="0" w:right="0" w:righ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表4-6 锅炉废气非正常排放量核算表</w:t>
            </w:r>
          </w:p>
          <w:tbl>
            <w:tblPr>
              <w:tblStyle w:val="18"/>
              <w:tblW w:w="770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814"/>
              <w:gridCol w:w="975"/>
              <w:gridCol w:w="1104"/>
              <w:gridCol w:w="835"/>
              <w:gridCol w:w="815"/>
              <w:gridCol w:w="2186"/>
            </w:tblGrid>
            <w:tr w14:paraId="4D71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left w:val="nil"/>
                  </w:tcBorders>
                  <w:vAlign w:val="center"/>
                </w:tcPr>
                <w:p w14:paraId="2246AB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非正常排放原因</w:t>
                  </w:r>
                </w:p>
              </w:tc>
              <w:tc>
                <w:tcPr>
                  <w:tcW w:w="814" w:type="dxa"/>
                  <w:vAlign w:val="center"/>
                </w:tcPr>
                <w:p w14:paraId="4F32C1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污染物</w:t>
                  </w:r>
                </w:p>
              </w:tc>
              <w:tc>
                <w:tcPr>
                  <w:tcW w:w="975" w:type="dxa"/>
                  <w:vAlign w:val="center"/>
                </w:tcPr>
                <w:p w14:paraId="18F17E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排放速率（kg/h）</w:t>
                  </w:r>
                </w:p>
              </w:tc>
              <w:tc>
                <w:tcPr>
                  <w:tcW w:w="1104" w:type="dxa"/>
                  <w:vAlign w:val="center"/>
                </w:tcPr>
                <w:p w14:paraId="3C3DFF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排放浓度（mg/m</w:t>
                  </w:r>
                  <w:r>
                    <w:rPr>
                      <w:rFonts w:hint="eastAsia" w:ascii="Times New Roman" w:hAnsi="Times New Roman" w:cs="Times New Roman"/>
                      <w:b w:val="0"/>
                      <w:bCs w:val="0"/>
                      <w:color w:val="000000"/>
                      <w:kern w:val="0"/>
                      <w:sz w:val="18"/>
                      <w:szCs w:val="18"/>
                      <w:vertAlign w:val="superscript"/>
                      <w:lang w:val="en-US" w:eastAsia="zh-CN" w:bidi="ar"/>
                    </w:rPr>
                    <w:t>3</w:t>
                  </w:r>
                  <w:r>
                    <w:rPr>
                      <w:rFonts w:hint="eastAsia" w:ascii="Times New Roman" w:hAnsi="Times New Roman" w:cs="Times New Roman"/>
                      <w:b w:val="0"/>
                      <w:bCs w:val="0"/>
                      <w:color w:val="000000"/>
                      <w:kern w:val="0"/>
                      <w:sz w:val="18"/>
                      <w:szCs w:val="18"/>
                      <w:vertAlign w:val="baseline"/>
                      <w:lang w:val="en-US" w:eastAsia="zh-CN" w:bidi="ar"/>
                    </w:rPr>
                    <w:t>）</w:t>
                  </w:r>
                </w:p>
              </w:tc>
              <w:tc>
                <w:tcPr>
                  <w:tcW w:w="835" w:type="dxa"/>
                  <w:vAlign w:val="center"/>
                </w:tcPr>
                <w:p w14:paraId="544D66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单次持续时间</w:t>
                  </w:r>
                </w:p>
              </w:tc>
              <w:tc>
                <w:tcPr>
                  <w:tcW w:w="815" w:type="dxa"/>
                  <w:vAlign w:val="center"/>
                </w:tcPr>
                <w:p w14:paraId="700B30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年发生频率</w:t>
                  </w:r>
                </w:p>
              </w:tc>
              <w:tc>
                <w:tcPr>
                  <w:tcW w:w="2186" w:type="dxa"/>
                  <w:tcBorders>
                    <w:right w:val="nil"/>
                  </w:tcBorders>
                  <w:vAlign w:val="center"/>
                </w:tcPr>
                <w:p w14:paraId="1D91B1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应对措施</w:t>
                  </w:r>
                </w:p>
              </w:tc>
            </w:tr>
            <w:tr w14:paraId="70C4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left w:val="nil"/>
                  </w:tcBorders>
                  <w:vAlign w:val="center"/>
                </w:tcPr>
                <w:p w14:paraId="06B5B3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除尘器故障</w:t>
                  </w:r>
                </w:p>
              </w:tc>
              <w:tc>
                <w:tcPr>
                  <w:tcW w:w="814" w:type="dxa"/>
                  <w:vAlign w:val="center"/>
                </w:tcPr>
                <w:p w14:paraId="6F1578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粉尘</w:t>
                  </w:r>
                </w:p>
              </w:tc>
              <w:tc>
                <w:tcPr>
                  <w:tcW w:w="975" w:type="dxa"/>
                  <w:vAlign w:val="center"/>
                </w:tcPr>
                <w:p w14:paraId="73AF9C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5.547</w:t>
                  </w:r>
                </w:p>
              </w:tc>
              <w:tc>
                <w:tcPr>
                  <w:tcW w:w="1104" w:type="dxa"/>
                  <w:vAlign w:val="center"/>
                </w:tcPr>
                <w:p w14:paraId="4A8DA7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17.334</w:t>
                  </w:r>
                </w:p>
              </w:tc>
              <w:tc>
                <w:tcPr>
                  <w:tcW w:w="835" w:type="dxa"/>
                  <w:vAlign w:val="center"/>
                </w:tcPr>
                <w:p w14:paraId="44B7671F">
                  <w:pPr>
                    <w:keepNext w:val="0"/>
                    <w:keepLines w:val="0"/>
                    <w:widowControl/>
                    <w:suppressLineNumbers w:val="0"/>
                    <w:ind w:left="0" w:leftChars="0" w:right="0" w:rightChars="0" w:firstLine="0" w:firstLineChars="0"/>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&lt;2h</w:t>
                  </w:r>
                </w:p>
              </w:tc>
              <w:tc>
                <w:tcPr>
                  <w:tcW w:w="815" w:type="dxa"/>
                  <w:vAlign w:val="center"/>
                </w:tcPr>
                <w:p w14:paraId="387F783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w:t>
                  </w:r>
                  <w:r>
                    <w:rPr>
                      <w:rFonts w:hint="eastAsia" w:ascii="Times New Roman" w:hAnsi="Times New Roman" w:eastAsia="宋体" w:cs="Times New Roman"/>
                      <w:color w:val="000000"/>
                      <w:kern w:val="0"/>
                      <w:sz w:val="18"/>
                      <w:szCs w:val="18"/>
                      <w:lang w:val="en-US" w:eastAsia="zh-CN" w:bidi="ar"/>
                    </w:rPr>
                    <w:t>次</w:t>
                  </w:r>
                </w:p>
              </w:tc>
              <w:tc>
                <w:tcPr>
                  <w:tcW w:w="2186" w:type="dxa"/>
                  <w:vMerge w:val="restart"/>
                  <w:tcBorders>
                    <w:right w:val="nil"/>
                  </w:tcBorders>
                  <w:vAlign w:val="center"/>
                </w:tcPr>
                <w:p w14:paraId="65DEBC6E">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在线监测实时监控，出现超标排放时立即停产检修，及时更换故障部件；加强对各废气净化装置的日常维护，提高操作管理水平，提高备品备件的保障水平</w:t>
                  </w:r>
                </w:p>
              </w:tc>
            </w:tr>
            <w:tr w14:paraId="388C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left w:val="nil"/>
                  </w:tcBorders>
                  <w:vAlign w:val="center"/>
                </w:tcPr>
                <w:p w14:paraId="38C2B0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脱硫塔故障</w:t>
                  </w:r>
                </w:p>
              </w:tc>
              <w:tc>
                <w:tcPr>
                  <w:tcW w:w="814" w:type="dxa"/>
                  <w:vAlign w:val="center"/>
                </w:tcPr>
                <w:p w14:paraId="6A36FC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SO</w:t>
                  </w:r>
                  <w:r>
                    <w:rPr>
                      <w:rFonts w:hint="default" w:ascii="Times New Roman" w:hAnsi="Times New Roman" w:eastAsia="宋体" w:cs="Times New Roman"/>
                      <w:color w:val="auto"/>
                      <w:kern w:val="0"/>
                      <w:sz w:val="18"/>
                      <w:szCs w:val="18"/>
                      <w:vertAlign w:val="subscript"/>
                      <w:lang w:val="en-US" w:eastAsia="zh-CN" w:bidi="ar"/>
                    </w:rPr>
                    <w:t>2</w:t>
                  </w:r>
                </w:p>
              </w:tc>
              <w:tc>
                <w:tcPr>
                  <w:tcW w:w="975" w:type="dxa"/>
                  <w:vAlign w:val="center"/>
                </w:tcPr>
                <w:p w14:paraId="1B8699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23.806</w:t>
                  </w:r>
                </w:p>
              </w:tc>
              <w:tc>
                <w:tcPr>
                  <w:tcW w:w="1104" w:type="dxa"/>
                  <w:vAlign w:val="center"/>
                </w:tcPr>
                <w:p w14:paraId="01B7EB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74.394</w:t>
                  </w:r>
                </w:p>
              </w:tc>
              <w:tc>
                <w:tcPr>
                  <w:tcW w:w="835" w:type="dxa"/>
                  <w:vAlign w:val="center"/>
                </w:tcPr>
                <w:p w14:paraId="41BED4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&lt;</w:t>
                  </w:r>
                  <w:r>
                    <w:rPr>
                      <w:rFonts w:hint="eastAsia" w:ascii="Times New Roman" w:hAnsi="Times New Roman" w:cs="Times New Roman"/>
                      <w:color w:val="000000"/>
                      <w:kern w:val="0"/>
                      <w:sz w:val="18"/>
                      <w:szCs w:val="18"/>
                      <w:lang w:val="en-US" w:eastAsia="zh-CN" w:bidi="ar"/>
                    </w:rPr>
                    <w:t>0.5</w:t>
                  </w:r>
                  <w:r>
                    <w:rPr>
                      <w:rFonts w:hint="default" w:ascii="Times New Roman" w:hAnsi="Times New Roman" w:eastAsia="宋体" w:cs="Times New Roman"/>
                      <w:color w:val="000000"/>
                      <w:kern w:val="0"/>
                      <w:sz w:val="18"/>
                      <w:szCs w:val="18"/>
                      <w:lang w:val="en-US" w:eastAsia="zh-CN" w:bidi="ar"/>
                    </w:rPr>
                    <w:t>h</w:t>
                  </w:r>
                </w:p>
              </w:tc>
              <w:tc>
                <w:tcPr>
                  <w:tcW w:w="815" w:type="dxa"/>
                  <w:vAlign w:val="center"/>
                </w:tcPr>
                <w:p w14:paraId="0814AB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1~2</w:t>
                  </w:r>
                  <w:r>
                    <w:rPr>
                      <w:rFonts w:hint="eastAsia" w:ascii="Times New Roman" w:hAnsi="Times New Roman" w:eastAsia="宋体" w:cs="Times New Roman"/>
                      <w:color w:val="000000"/>
                      <w:kern w:val="0"/>
                      <w:sz w:val="18"/>
                      <w:szCs w:val="18"/>
                      <w:lang w:val="en-US" w:eastAsia="zh-CN" w:bidi="ar"/>
                    </w:rPr>
                    <w:t>次</w:t>
                  </w:r>
                </w:p>
              </w:tc>
              <w:tc>
                <w:tcPr>
                  <w:tcW w:w="2186" w:type="dxa"/>
                  <w:vMerge w:val="continue"/>
                  <w:tcBorders>
                    <w:right w:val="nil"/>
                  </w:tcBorders>
                  <w:vAlign w:val="center"/>
                </w:tcPr>
                <w:p w14:paraId="61C55A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p>
              </w:tc>
            </w:tr>
            <w:tr w14:paraId="1F7A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left w:val="nil"/>
                  </w:tcBorders>
                  <w:vAlign w:val="center"/>
                </w:tcPr>
                <w:p w14:paraId="53E4BD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SCR故障</w:t>
                  </w:r>
                </w:p>
              </w:tc>
              <w:tc>
                <w:tcPr>
                  <w:tcW w:w="814" w:type="dxa"/>
                  <w:vAlign w:val="center"/>
                </w:tcPr>
                <w:p w14:paraId="62F26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NO</w:t>
                  </w:r>
                  <w:r>
                    <w:rPr>
                      <w:rFonts w:hint="eastAsia" w:ascii="Times New Roman" w:hAnsi="Times New Roman" w:eastAsia="宋体" w:cs="Times New Roman"/>
                      <w:color w:val="auto"/>
                      <w:kern w:val="0"/>
                      <w:sz w:val="18"/>
                      <w:szCs w:val="18"/>
                      <w:lang w:val="en-US" w:eastAsia="zh-CN" w:bidi="ar"/>
                    </w:rPr>
                    <w:t>x</w:t>
                  </w:r>
                </w:p>
              </w:tc>
              <w:tc>
                <w:tcPr>
                  <w:tcW w:w="975" w:type="dxa"/>
                  <w:vAlign w:val="center"/>
                </w:tcPr>
                <w:p w14:paraId="7761D6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29.283</w:t>
                  </w:r>
                </w:p>
              </w:tc>
              <w:tc>
                <w:tcPr>
                  <w:tcW w:w="1104" w:type="dxa"/>
                  <w:vAlign w:val="center"/>
                </w:tcPr>
                <w:p w14:paraId="103D1E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91.509</w:t>
                  </w:r>
                </w:p>
              </w:tc>
              <w:tc>
                <w:tcPr>
                  <w:tcW w:w="835" w:type="dxa"/>
                  <w:vAlign w:val="center"/>
                </w:tcPr>
                <w:p w14:paraId="1BB9DF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&lt;</w:t>
                  </w:r>
                  <w:r>
                    <w:rPr>
                      <w:rFonts w:hint="eastAsia" w:ascii="Times New Roman" w:hAnsi="Times New Roman" w:cs="Times New Roman"/>
                      <w:color w:val="000000"/>
                      <w:kern w:val="0"/>
                      <w:sz w:val="18"/>
                      <w:szCs w:val="18"/>
                      <w:lang w:val="en-US" w:eastAsia="zh-CN" w:bidi="ar"/>
                    </w:rPr>
                    <w:t>0.5</w:t>
                  </w:r>
                  <w:r>
                    <w:rPr>
                      <w:rFonts w:hint="default" w:ascii="Times New Roman" w:hAnsi="Times New Roman" w:eastAsia="宋体" w:cs="Times New Roman"/>
                      <w:color w:val="000000"/>
                      <w:kern w:val="0"/>
                      <w:sz w:val="18"/>
                      <w:szCs w:val="18"/>
                      <w:lang w:val="en-US" w:eastAsia="zh-CN" w:bidi="ar"/>
                    </w:rPr>
                    <w:t>h</w:t>
                  </w:r>
                </w:p>
              </w:tc>
              <w:tc>
                <w:tcPr>
                  <w:tcW w:w="815" w:type="dxa"/>
                  <w:vAlign w:val="center"/>
                </w:tcPr>
                <w:p w14:paraId="3A5470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1~2</w:t>
                  </w:r>
                  <w:r>
                    <w:rPr>
                      <w:rFonts w:hint="eastAsia" w:ascii="Times New Roman" w:hAnsi="Times New Roman" w:eastAsia="宋体" w:cs="Times New Roman"/>
                      <w:color w:val="000000"/>
                      <w:kern w:val="0"/>
                      <w:sz w:val="18"/>
                      <w:szCs w:val="18"/>
                      <w:lang w:val="en-US" w:eastAsia="zh-CN" w:bidi="ar"/>
                    </w:rPr>
                    <w:t>次</w:t>
                  </w:r>
                </w:p>
              </w:tc>
              <w:tc>
                <w:tcPr>
                  <w:tcW w:w="2186" w:type="dxa"/>
                  <w:vMerge w:val="continue"/>
                  <w:tcBorders>
                    <w:right w:val="nil"/>
                  </w:tcBorders>
                  <w:vAlign w:val="center"/>
                </w:tcPr>
                <w:p w14:paraId="7BF5B7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p>
              </w:tc>
            </w:tr>
          </w:tbl>
          <w:p w14:paraId="7C45DA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非正常情况下，锅炉废气出现超标情况，为了保护大气环境，防止锅炉废气对区域大气环境产生影响，建设单位应加强日常操作管理、操作员工严格按照设备操作规程进行操作，安排专人负责常见故障检修、设备定期保养等，杜绝非正常排放的发生。</w:t>
            </w:r>
            <w:r>
              <w:rPr>
                <w:rFonts w:hint="default" w:ascii="Times New Roman" w:hAnsi="Times New Roman" w:cs="Times New Roman"/>
                <w:color w:val="auto"/>
                <w:sz w:val="24"/>
                <w:highlight w:val="none"/>
                <w:lang w:val="zh-CN"/>
              </w:rPr>
              <w:t>由于非正常工况出现的时间较短，对区域环境空气质量产生的影响只是暂时的，建设单位应采取措施，尽量避免该情况的发生。</w:t>
            </w:r>
            <w:r>
              <w:rPr>
                <w:rFonts w:hint="default" w:ascii="Times New Roman" w:hAnsi="Times New Roman" w:cs="Times New Roman"/>
                <w:color w:val="auto"/>
                <w:sz w:val="24"/>
                <w:highlight w:val="none"/>
                <w:lang w:val="en-US" w:eastAsia="zh-CN"/>
              </w:rPr>
              <w:t>当出现非正常排放情况时企业应</w:t>
            </w:r>
            <w:r>
              <w:rPr>
                <w:rFonts w:hint="eastAsia" w:ascii="Times New Roman" w:hAnsi="Times New Roman" w:cs="Times New Roman"/>
                <w:color w:val="auto"/>
                <w:sz w:val="24"/>
                <w:highlight w:val="none"/>
                <w:lang w:val="en-US" w:eastAsia="zh-CN"/>
              </w:rPr>
              <w:t>立即</w:t>
            </w:r>
            <w:r>
              <w:rPr>
                <w:rFonts w:hint="default" w:ascii="Times New Roman" w:hAnsi="Times New Roman" w:cs="Times New Roman"/>
                <w:color w:val="auto"/>
                <w:sz w:val="24"/>
                <w:highlight w:val="none"/>
                <w:lang w:val="en-US" w:eastAsia="zh-CN"/>
              </w:rPr>
              <w:t>降低生产负荷减少污染排放直至停止生产，待事故检修完成后恢复生产。</w:t>
            </w:r>
          </w:p>
          <w:p w14:paraId="75B3828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4.6.9排气筒高度设置合理性</w:t>
            </w:r>
          </w:p>
          <w:p w14:paraId="1D1BDA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snapToGrid w:val="0"/>
                <w:color w:val="auto"/>
                <w:kern w:val="0"/>
                <w:sz w:val="24"/>
              </w:rPr>
              <w:t>根据</w:t>
            </w:r>
            <w:r>
              <w:rPr>
                <w:rFonts w:hint="default" w:ascii="Times New Roman" w:hAnsi="Times New Roman" w:cs="Times New Roman"/>
                <w:color w:val="auto"/>
                <w:sz w:val="24"/>
              </w:rPr>
              <w:t>《锅炉大气污染物排放标准》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GB13271-2014</w:t>
            </w:r>
            <w:r>
              <w:rPr>
                <w:rFonts w:hint="default" w:ascii="Times New Roman" w:hAnsi="Times New Roman" w:cs="Times New Roman"/>
                <w:color w:val="auto"/>
                <w:sz w:val="24"/>
                <w:lang w:eastAsia="zh-CN"/>
              </w:rPr>
              <w:t>）</w:t>
            </w:r>
            <w:r>
              <w:rPr>
                <w:rFonts w:hint="default" w:ascii="Times New Roman" w:hAnsi="Times New Roman" w:cs="Times New Roman"/>
                <w:snapToGrid w:val="0"/>
                <w:color w:val="auto"/>
                <w:kern w:val="0"/>
                <w:sz w:val="24"/>
              </w:rPr>
              <w:t>：</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lang w:val="en-US" w:eastAsia="zh-CN"/>
              </w:rPr>
              <w:t>4.5每个新建燃煤锅炉房只能设一根烟囱，烟囱高度应根据锅炉房装机总容量，按表4规定执行，燃油、燃气锅炉烟囱不低于8米，锅炉烟囱的具体高度按批复的环境影响评价文件确定</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。新建锅炉房的烟囱周围半径200m距离内有建筑物时，其烟囱应高出最高建筑物3m以上。</w:t>
            </w:r>
          </w:p>
          <w:p w14:paraId="0EB95D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ascii="Times New Roman" w:hAnsi="Times New Roman" w:eastAsia="宋体" w:cs="Times New Roman"/>
                <w:color w:val="auto"/>
                <w:sz w:val="24"/>
                <w:highlight w:val="none"/>
              </w:rPr>
              <w:t>该场地南邻新</w:t>
            </w:r>
            <w:r>
              <w:rPr>
                <w:rFonts w:hint="default"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rPr>
              <w:t>高炉，东侧为铁水运输铁路，北侧为成品露天堆场，西侧为原</w:t>
            </w:r>
            <w:r>
              <w:rPr>
                <w:rFonts w:hint="default"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rPr>
              <w:t>高炉循环水泵房、风机房及</w:t>
            </w:r>
            <w:r>
              <w:rPr>
                <w:rFonts w:hint="default" w:ascii="Times New Roman" w:hAnsi="Times New Roman" w:eastAsia="宋体" w:cs="Times New Roman"/>
                <w:color w:val="auto"/>
                <w:sz w:val="24"/>
                <w:highlight w:val="none"/>
              </w:rPr>
              <w:t>G213</w:t>
            </w:r>
            <w:r>
              <w:rPr>
                <w:rFonts w:hint="eastAsia" w:ascii="Times New Roman" w:hAnsi="Times New Roman" w:eastAsia="宋体" w:cs="Times New Roman"/>
                <w:color w:val="auto"/>
                <w:sz w:val="24"/>
                <w:highlight w:val="none"/>
              </w:rPr>
              <w:t>国道</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szCs w:val="24"/>
                <w:lang w:val="en-US" w:eastAsia="zh-CN" w:bidi="ar"/>
              </w:rPr>
              <w:t>本项目燃气锅炉烟囱排放口周围半径200m范围内建筑物最高为高炉车间，高于本项目厂房最高点约40m</w:t>
            </w:r>
            <w:r>
              <w:rPr>
                <w:rFonts w:hint="eastAsia" w:cs="Times New Roman"/>
                <w:color w:val="auto"/>
                <w:kern w:val="0"/>
                <w:sz w:val="24"/>
                <w:szCs w:val="24"/>
                <w:lang w:val="en-US" w:eastAsia="zh-CN" w:bidi="ar"/>
              </w:rPr>
              <w:t>。</w:t>
            </w:r>
          </w:p>
          <w:p w14:paraId="603381B4">
            <w:pPr>
              <w:pStyle w:val="21"/>
              <w:jc w:val="both"/>
              <w:rPr>
                <w:rFonts w:hint="default"/>
                <w:color w:val="auto"/>
                <w:lang w:val="en-US" w:eastAsia="zh-CN"/>
              </w:rPr>
            </w:pPr>
            <w:r>
              <w:rPr>
                <w:rFonts w:hint="eastAsia" w:ascii="Times New Roman" w:hAnsi="Times New Roman" w:cs="Times New Roman"/>
                <w:snapToGrid w:val="0"/>
                <w:color w:val="auto"/>
                <w:kern w:val="0"/>
                <w:sz w:val="24"/>
                <w:lang w:val="en-US" w:eastAsia="zh-CN"/>
              </w:rPr>
              <w:t>项目设置</w:t>
            </w:r>
            <w:r>
              <w:rPr>
                <w:rFonts w:hint="eastAsia" w:cs="Times New Roman"/>
                <w:snapToGrid w:val="0"/>
                <w:color w:val="auto"/>
                <w:kern w:val="0"/>
                <w:sz w:val="24"/>
                <w:lang w:val="en-US" w:eastAsia="zh-CN"/>
              </w:rPr>
              <w:t>1</w:t>
            </w:r>
            <w:r>
              <w:rPr>
                <w:rFonts w:hint="eastAsia" w:ascii="Times New Roman" w:hAnsi="Times New Roman" w:cs="Times New Roman"/>
                <w:snapToGrid w:val="0"/>
                <w:color w:val="auto"/>
                <w:kern w:val="0"/>
                <w:sz w:val="24"/>
                <w:lang w:val="en-US" w:eastAsia="zh-CN"/>
              </w:rPr>
              <w:t>台</w:t>
            </w:r>
            <w:r>
              <w:rPr>
                <w:rFonts w:hint="eastAsia" w:cs="Times New Roman"/>
                <w:snapToGrid w:val="0"/>
                <w:color w:val="auto"/>
                <w:kern w:val="0"/>
                <w:sz w:val="24"/>
                <w:lang w:val="en-US" w:eastAsia="zh-CN"/>
              </w:rPr>
              <w:t>260</w:t>
            </w:r>
            <w:r>
              <w:rPr>
                <w:rFonts w:hint="eastAsia" w:ascii="Times New Roman" w:hAnsi="Times New Roman" w:cs="Times New Roman"/>
                <w:snapToGrid w:val="0"/>
                <w:color w:val="auto"/>
                <w:kern w:val="0"/>
                <w:sz w:val="24"/>
                <w:lang w:val="en-US" w:eastAsia="zh-CN"/>
              </w:rPr>
              <w:t>t/h的煤气</w:t>
            </w:r>
            <w:r>
              <w:rPr>
                <w:rFonts w:hint="eastAsia" w:cs="Times New Roman"/>
                <w:snapToGrid w:val="0"/>
                <w:color w:val="auto"/>
                <w:kern w:val="0"/>
                <w:sz w:val="24"/>
                <w:lang w:val="en-US" w:eastAsia="zh-CN"/>
              </w:rPr>
              <w:t>锅炉</w:t>
            </w:r>
            <w:r>
              <w:rPr>
                <w:rFonts w:hint="eastAsia" w:ascii="Times New Roman" w:hAnsi="Times New Roman" w:cs="Times New Roman"/>
                <w:snapToGrid w:val="0"/>
                <w:color w:val="auto"/>
                <w:kern w:val="0"/>
                <w:sz w:val="24"/>
                <w:lang w:val="en-US" w:eastAsia="zh-CN"/>
              </w:rPr>
              <w:t>，</w:t>
            </w:r>
            <w:r>
              <w:rPr>
                <w:rFonts w:hint="eastAsia" w:cs="Times New Roman"/>
                <w:snapToGrid w:val="0"/>
                <w:color w:val="auto"/>
                <w:kern w:val="0"/>
                <w:sz w:val="24"/>
                <w:lang w:val="en-US" w:eastAsia="zh-CN"/>
              </w:rPr>
              <w:t>根据项目可行性研究报告，本项目锅炉废气排气筒设置80</w:t>
            </w:r>
            <w:r>
              <w:rPr>
                <w:rFonts w:hint="eastAsia" w:ascii="Times New Roman" w:hAnsi="Times New Roman" w:cs="Times New Roman"/>
                <w:snapToGrid w:val="0"/>
                <w:color w:val="auto"/>
                <w:kern w:val="0"/>
                <w:sz w:val="24"/>
                <w:lang w:val="en-US" w:eastAsia="zh-CN"/>
              </w:rPr>
              <w:t>m</w:t>
            </w:r>
            <w:r>
              <w:rPr>
                <w:rFonts w:hint="default" w:ascii="Times New Roman" w:hAnsi="Times New Roman" w:cs="Times New Roman"/>
                <w:bCs/>
                <w:color w:val="auto"/>
                <w:sz w:val="24"/>
                <w:szCs w:val="24"/>
                <w:lang w:val="en-US" w:eastAsia="zh-CN"/>
              </w:rPr>
              <w:t>。</w:t>
            </w:r>
          </w:p>
          <w:p w14:paraId="64CFC1F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b/>
                <w:bCs/>
                <w:color w:val="auto"/>
                <w:sz w:val="24"/>
                <w:lang w:val="en-US" w:eastAsia="zh-CN"/>
              </w:rPr>
              <w:t>4.6.10排污口管理</w:t>
            </w:r>
          </w:p>
          <w:p w14:paraId="73BFF4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ascii="Times New Roman" w:hAnsi="Times New Roman" w:cs="Times New Roman"/>
                <w:color w:val="000000"/>
                <w:kern w:val="0"/>
                <w:sz w:val="24"/>
                <w:szCs w:val="24"/>
                <w:lang w:val="en-US" w:eastAsia="zh-CN" w:bidi="ar"/>
              </w:rPr>
              <w:t>设置废气排放口</w:t>
            </w:r>
            <w:r>
              <w:rPr>
                <w:rFonts w:hint="eastAsia" w:cs="Times New Roman"/>
                <w:color w:val="000000"/>
                <w:kern w:val="0"/>
                <w:sz w:val="24"/>
                <w:szCs w:val="24"/>
                <w:lang w:val="en-US" w:eastAsia="zh-CN" w:bidi="ar"/>
              </w:rPr>
              <w:t>1</w:t>
            </w:r>
            <w:r>
              <w:rPr>
                <w:rFonts w:hint="eastAsia" w:ascii="Times New Roman" w:hAnsi="Times New Roman" w:cs="Times New Roman"/>
                <w:color w:val="000000"/>
                <w:kern w:val="0"/>
                <w:sz w:val="24"/>
                <w:szCs w:val="24"/>
                <w:lang w:val="en-US" w:eastAsia="zh-CN" w:bidi="ar"/>
              </w:rPr>
              <w:t>个，为</w:t>
            </w:r>
            <w:r>
              <w:rPr>
                <w:rFonts w:hint="eastAsia" w:cs="Times New Roman"/>
                <w:color w:val="000000"/>
                <w:kern w:val="0"/>
                <w:sz w:val="24"/>
                <w:szCs w:val="24"/>
                <w:lang w:val="en-US" w:eastAsia="zh-CN" w:bidi="ar"/>
              </w:rPr>
              <w:t>灰仓</w:t>
            </w:r>
            <w:r>
              <w:rPr>
                <w:rFonts w:hint="eastAsia" w:ascii="Times New Roman" w:hAnsi="Times New Roman" w:cs="Times New Roman"/>
                <w:color w:val="000000"/>
                <w:kern w:val="0"/>
                <w:sz w:val="24"/>
                <w:szCs w:val="24"/>
                <w:lang w:val="en-US" w:eastAsia="zh-CN" w:bidi="ar"/>
              </w:rPr>
              <w:t>锅炉废气排放口，其编号按仙福公司现有排气筒编号顺延，锅炉废气排放筒须安装废气自动监控设施，并与生态环境部门监测中心联网。污染源排放口基本情况详见下表所示。</w:t>
            </w:r>
          </w:p>
          <w:p w14:paraId="14663291">
            <w:pPr>
              <w:keepNext w:val="0"/>
              <w:keepLines w:val="0"/>
              <w:widowControl/>
              <w:suppressLineNumbers w:val="0"/>
              <w:ind w:left="0" w:leftChars="0" w:right="0" w:righ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color w:val="000000"/>
                <w:kern w:val="0"/>
                <w:sz w:val="21"/>
                <w:szCs w:val="21"/>
                <w:lang w:val="en-US" w:eastAsia="zh-CN" w:bidi="ar"/>
              </w:rPr>
              <w:t>表4-7 污染源排放口基本情况统计表</w:t>
            </w:r>
          </w:p>
          <w:tbl>
            <w:tblPr>
              <w:tblStyle w:val="18"/>
              <w:tblW w:w="773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717"/>
              <w:gridCol w:w="723"/>
              <w:gridCol w:w="778"/>
              <w:gridCol w:w="641"/>
              <w:gridCol w:w="1348"/>
              <w:gridCol w:w="1168"/>
              <w:gridCol w:w="1255"/>
            </w:tblGrid>
            <w:tr w14:paraId="1242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Merge w:val="restart"/>
                  <w:tcBorders>
                    <w:left w:val="nil"/>
                  </w:tcBorders>
                  <w:vAlign w:val="center"/>
                </w:tcPr>
                <w:p w14:paraId="225BB1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排放口编号及名称</w:t>
                  </w:r>
                </w:p>
              </w:tc>
              <w:tc>
                <w:tcPr>
                  <w:tcW w:w="2218" w:type="dxa"/>
                  <w:gridSpan w:val="3"/>
                  <w:vAlign w:val="center"/>
                </w:tcPr>
                <w:p w14:paraId="205F81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排放口基本情况</w:t>
                  </w:r>
                </w:p>
              </w:tc>
              <w:tc>
                <w:tcPr>
                  <w:tcW w:w="641" w:type="dxa"/>
                  <w:vMerge w:val="restart"/>
                  <w:vAlign w:val="center"/>
                </w:tcPr>
                <w:p w14:paraId="4CA0B8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排放口类型</w:t>
                  </w:r>
                </w:p>
              </w:tc>
              <w:tc>
                <w:tcPr>
                  <w:tcW w:w="2516" w:type="dxa"/>
                  <w:gridSpan w:val="2"/>
                  <w:vAlign w:val="center"/>
                </w:tcPr>
                <w:p w14:paraId="48680A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排放口地理坐标</w:t>
                  </w:r>
                </w:p>
              </w:tc>
              <w:tc>
                <w:tcPr>
                  <w:tcW w:w="1255" w:type="dxa"/>
                  <w:vMerge w:val="restart"/>
                  <w:tcBorders>
                    <w:right w:val="nil"/>
                  </w:tcBorders>
                  <w:vAlign w:val="center"/>
                </w:tcPr>
                <w:p w14:paraId="2841F1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排放标准</w:t>
                  </w:r>
                </w:p>
              </w:tc>
            </w:tr>
            <w:tr w14:paraId="70B7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Merge w:val="continue"/>
                  <w:tcBorders>
                    <w:left w:val="nil"/>
                  </w:tcBorders>
                  <w:vAlign w:val="center"/>
                </w:tcPr>
                <w:p w14:paraId="000F0C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p>
              </w:tc>
              <w:tc>
                <w:tcPr>
                  <w:tcW w:w="717" w:type="dxa"/>
                  <w:vAlign w:val="center"/>
                </w:tcPr>
                <w:p w14:paraId="55D5BD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高度（m）</w:t>
                  </w:r>
                </w:p>
              </w:tc>
              <w:tc>
                <w:tcPr>
                  <w:tcW w:w="723" w:type="dxa"/>
                  <w:vAlign w:val="center"/>
                </w:tcPr>
                <w:p w14:paraId="0D8F46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内径（m）</w:t>
                  </w:r>
                </w:p>
              </w:tc>
              <w:tc>
                <w:tcPr>
                  <w:tcW w:w="778" w:type="dxa"/>
                  <w:vAlign w:val="center"/>
                </w:tcPr>
                <w:p w14:paraId="4C8353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温度（℃）</w:t>
                  </w:r>
                </w:p>
              </w:tc>
              <w:tc>
                <w:tcPr>
                  <w:tcW w:w="641" w:type="dxa"/>
                  <w:vMerge w:val="continue"/>
                  <w:vAlign w:val="center"/>
                </w:tcPr>
                <w:p w14:paraId="5E15E2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p>
              </w:tc>
              <w:tc>
                <w:tcPr>
                  <w:tcW w:w="1348" w:type="dxa"/>
                  <w:vAlign w:val="center"/>
                </w:tcPr>
                <w:p w14:paraId="1B774D69">
                  <w:pPr>
                    <w:keepNext w:val="0"/>
                    <w:keepLines w:val="0"/>
                    <w:widowControl/>
                    <w:suppressLineNumbers w:val="0"/>
                    <w:ind w:left="0" w:leftChars="0" w:right="0" w:rightChars="0" w:firstLine="0" w:firstLineChars="0"/>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X</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p>
              </w:tc>
              <w:tc>
                <w:tcPr>
                  <w:tcW w:w="1168" w:type="dxa"/>
                  <w:vAlign w:val="center"/>
                </w:tcPr>
                <w:p w14:paraId="7EEA9C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Y</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p>
              </w:tc>
              <w:tc>
                <w:tcPr>
                  <w:tcW w:w="1255" w:type="dxa"/>
                  <w:vMerge w:val="continue"/>
                  <w:tcBorders>
                    <w:right w:val="nil"/>
                  </w:tcBorders>
                  <w:vAlign w:val="center"/>
                </w:tcPr>
                <w:p w14:paraId="332052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p>
              </w:tc>
            </w:tr>
            <w:tr w14:paraId="4549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Borders>
                    <w:left w:val="nil"/>
                  </w:tcBorders>
                  <w:vAlign w:val="center"/>
                </w:tcPr>
                <w:p w14:paraId="57980D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灰仓</w:t>
                  </w:r>
                  <w:r>
                    <w:rPr>
                      <w:rFonts w:hint="eastAsia" w:ascii="Times New Roman" w:hAnsi="Times New Roman" w:cs="Times New Roman"/>
                      <w:b w:val="0"/>
                      <w:bCs w:val="0"/>
                      <w:color w:val="000000"/>
                      <w:kern w:val="0"/>
                      <w:sz w:val="18"/>
                      <w:szCs w:val="18"/>
                      <w:vertAlign w:val="baseline"/>
                      <w:lang w:val="en-US" w:eastAsia="zh-CN" w:bidi="ar"/>
                    </w:rPr>
                    <w:t>锅炉废气排气筒（DA</w:t>
                  </w:r>
                  <w:r>
                    <w:rPr>
                      <w:rFonts w:hint="eastAsia" w:cs="Times New Roman"/>
                      <w:b w:val="0"/>
                      <w:bCs w:val="0"/>
                      <w:color w:val="000000"/>
                      <w:kern w:val="0"/>
                      <w:sz w:val="18"/>
                      <w:szCs w:val="18"/>
                      <w:vertAlign w:val="baseline"/>
                      <w:lang w:val="en-US" w:eastAsia="zh-CN" w:bidi="ar"/>
                    </w:rPr>
                    <w:t>102</w:t>
                  </w:r>
                  <w:r>
                    <w:rPr>
                      <w:rFonts w:hint="eastAsia" w:ascii="Times New Roman" w:hAnsi="Times New Roman" w:cs="Times New Roman"/>
                      <w:b w:val="0"/>
                      <w:bCs w:val="0"/>
                      <w:color w:val="000000"/>
                      <w:kern w:val="0"/>
                      <w:sz w:val="18"/>
                      <w:szCs w:val="18"/>
                      <w:vertAlign w:val="baseline"/>
                      <w:lang w:val="en-US" w:eastAsia="zh-CN" w:bidi="ar"/>
                    </w:rPr>
                    <w:t>）</w:t>
                  </w:r>
                </w:p>
              </w:tc>
              <w:tc>
                <w:tcPr>
                  <w:tcW w:w="717" w:type="dxa"/>
                  <w:vAlign w:val="center"/>
                </w:tcPr>
                <w:p w14:paraId="4E455B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80</w:t>
                  </w:r>
                </w:p>
              </w:tc>
              <w:tc>
                <w:tcPr>
                  <w:tcW w:w="723" w:type="dxa"/>
                  <w:vAlign w:val="center"/>
                </w:tcPr>
                <w:p w14:paraId="0C9E92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3</w:t>
                  </w:r>
                </w:p>
              </w:tc>
              <w:tc>
                <w:tcPr>
                  <w:tcW w:w="778" w:type="dxa"/>
                  <w:vAlign w:val="center"/>
                </w:tcPr>
                <w:p w14:paraId="516934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50</w:t>
                  </w:r>
                </w:p>
              </w:tc>
              <w:tc>
                <w:tcPr>
                  <w:tcW w:w="641" w:type="dxa"/>
                  <w:vAlign w:val="center"/>
                </w:tcPr>
                <w:p w14:paraId="46DE42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主要排放口</w:t>
                  </w:r>
                </w:p>
              </w:tc>
              <w:tc>
                <w:tcPr>
                  <w:tcW w:w="1348" w:type="dxa"/>
                  <w:vAlign w:val="center"/>
                </w:tcPr>
                <w:p w14:paraId="1681D8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102°11′11.35</w:t>
                  </w:r>
                  <w:r>
                    <w:rPr>
                      <w:rFonts w:hint="eastAsia" w:ascii="Times New Roman" w:hAnsi="Times New Roman" w:cs="Times New Roman"/>
                      <w:b w:val="0"/>
                      <w:bCs w:val="0"/>
                      <w:color w:val="000000"/>
                      <w:kern w:val="0"/>
                      <w:sz w:val="18"/>
                      <w:szCs w:val="18"/>
                      <w:vertAlign w:val="baseline"/>
                      <w:lang w:val="en-US" w:eastAsia="zh-CN" w:bidi="ar"/>
                    </w:rPr>
                    <w:t>5</w:t>
                  </w:r>
                  <w:r>
                    <w:rPr>
                      <w:rFonts w:hint="default" w:ascii="Times New Roman" w:hAnsi="Times New Roman" w:cs="Times New Roman"/>
                      <w:b w:val="0"/>
                      <w:bCs w:val="0"/>
                      <w:color w:val="000000"/>
                      <w:kern w:val="0"/>
                      <w:sz w:val="18"/>
                      <w:szCs w:val="18"/>
                      <w:vertAlign w:val="baseline"/>
                      <w:lang w:val="en-US" w:eastAsia="zh-CN" w:bidi="ar"/>
                    </w:rPr>
                    <w:t>″</w:t>
                  </w:r>
                </w:p>
              </w:tc>
              <w:tc>
                <w:tcPr>
                  <w:tcW w:w="1168" w:type="dxa"/>
                  <w:vAlign w:val="center"/>
                </w:tcPr>
                <w:p w14:paraId="5385EE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24°0′46.068″</w:t>
                  </w:r>
                </w:p>
              </w:tc>
              <w:tc>
                <w:tcPr>
                  <w:tcW w:w="1255" w:type="dxa"/>
                  <w:tcBorders>
                    <w:right w:val="nil"/>
                  </w:tcBorders>
                  <w:vAlign w:val="center"/>
                </w:tcPr>
                <w:p w14:paraId="22B2B4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《关于推进实施钢铁行业超低排放的意见》中自备电厂标准限值</w:t>
                  </w:r>
                  <w:r>
                    <w:rPr>
                      <w:rFonts w:hint="eastAsia" w:ascii="Times New Roman" w:hAnsi="Times New Roman" w:cs="Times New Roman"/>
                      <w:b w:val="0"/>
                      <w:bCs w:val="0"/>
                      <w:color w:val="000000"/>
                      <w:kern w:val="0"/>
                      <w:sz w:val="18"/>
                      <w:szCs w:val="18"/>
                      <w:vertAlign w:val="baseline"/>
                      <w:lang w:val="en-US" w:eastAsia="zh-CN" w:bidi="ar"/>
                    </w:rPr>
                    <w:t>。</w:t>
                  </w:r>
                </w:p>
              </w:tc>
            </w:tr>
          </w:tbl>
          <w:p w14:paraId="3D0DA2A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4.6.11监测计划</w:t>
            </w:r>
          </w:p>
          <w:p w14:paraId="7FD369B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auto"/>
                <w:sz w:val="24"/>
                <w:lang w:val="en-US" w:eastAsia="zh-CN"/>
              </w:rPr>
            </w:pPr>
            <w:r>
              <w:rPr>
                <w:rFonts w:hint="eastAsia" w:cs="Times New Roman"/>
                <w:b/>
                <w:bCs/>
                <w:color w:val="auto"/>
                <w:sz w:val="24"/>
                <w:lang w:val="en-US" w:eastAsia="zh-CN"/>
              </w:rPr>
              <w:t>（1）竣工环保验收监测</w:t>
            </w:r>
          </w:p>
          <w:p w14:paraId="252E2E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按照“环保三同时”要求，项目建成投产后及时组织竣工环境保护验收，项目环保竣工验收监测见下表所示。</w:t>
            </w:r>
          </w:p>
          <w:p w14:paraId="74255D3D">
            <w:pPr>
              <w:keepNext w:val="0"/>
              <w:keepLines w:val="0"/>
              <w:widowControl/>
              <w:suppressLineNumbers w:val="0"/>
              <w:ind w:left="0" w:leftChars="0" w:right="0" w:righ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表4-8 环境监测一览表</w:t>
            </w:r>
          </w:p>
          <w:tbl>
            <w:tblPr>
              <w:tblStyle w:val="1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339"/>
              <w:gridCol w:w="1198"/>
              <w:gridCol w:w="2327"/>
              <w:gridCol w:w="2539"/>
            </w:tblGrid>
            <w:tr w14:paraId="37524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l2br w:val="nil"/>
                    <w:tr2bl w:val="nil"/>
                  </w:tcBorders>
                  <w:shd w:val="clear" w:color="auto" w:fill="auto"/>
                  <w:vAlign w:val="center"/>
                </w:tcPr>
                <w:p w14:paraId="074C864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853" w:type="pct"/>
                  <w:tcBorders>
                    <w:tl2br w:val="nil"/>
                    <w:tr2bl w:val="nil"/>
                  </w:tcBorders>
                  <w:shd w:val="clear" w:color="auto" w:fill="auto"/>
                  <w:vAlign w:val="center"/>
                </w:tcPr>
                <w:p w14:paraId="5D543C2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监测点位</w:t>
                  </w:r>
                </w:p>
              </w:tc>
              <w:tc>
                <w:tcPr>
                  <w:tcW w:w="763" w:type="pct"/>
                  <w:tcBorders>
                    <w:tl2br w:val="nil"/>
                    <w:tr2bl w:val="nil"/>
                  </w:tcBorders>
                  <w:shd w:val="clear" w:color="auto" w:fill="auto"/>
                  <w:vAlign w:val="center"/>
                </w:tcPr>
                <w:p w14:paraId="4DE6A1C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监测因子</w:t>
                  </w:r>
                </w:p>
              </w:tc>
              <w:tc>
                <w:tcPr>
                  <w:tcW w:w="1482" w:type="pct"/>
                  <w:tcBorders>
                    <w:tl2br w:val="nil"/>
                    <w:tr2bl w:val="nil"/>
                  </w:tcBorders>
                  <w:shd w:val="clear" w:color="auto" w:fill="auto"/>
                  <w:vAlign w:val="center"/>
                </w:tcPr>
                <w:p w14:paraId="770B6D4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时间及频率</w:t>
                  </w:r>
                </w:p>
              </w:tc>
              <w:tc>
                <w:tcPr>
                  <w:tcW w:w="1617" w:type="pct"/>
                  <w:tcBorders>
                    <w:tl2br w:val="nil"/>
                    <w:tr2bl w:val="nil"/>
                  </w:tcBorders>
                  <w:vAlign w:val="center"/>
                </w:tcPr>
                <w:p w14:paraId="54FE205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排放标准</w:t>
                  </w:r>
                </w:p>
              </w:tc>
            </w:tr>
            <w:tr w14:paraId="7E334C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l2br w:val="nil"/>
                    <w:tr2bl w:val="nil"/>
                  </w:tcBorders>
                  <w:shd w:val="clear" w:color="auto" w:fill="auto"/>
                  <w:vAlign w:val="center"/>
                </w:tcPr>
                <w:p w14:paraId="117626F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1</w:t>
                  </w:r>
                </w:p>
              </w:tc>
              <w:tc>
                <w:tcPr>
                  <w:tcW w:w="853" w:type="pct"/>
                  <w:tcBorders>
                    <w:tl2br w:val="nil"/>
                    <w:tr2bl w:val="nil"/>
                  </w:tcBorders>
                  <w:shd w:val="clear" w:color="auto" w:fill="auto"/>
                  <w:vAlign w:val="center"/>
                </w:tcPr>
                <w:p w14:paraId="0707ED6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灰仓</w:t>
                  </w:r>
                  <w:r>
                    <w:rPr>
                      <w:rFonts w:hint="default" w:ascii="Times New Roman" w:hAnsi="Times New Roman" w:eastAsia="宋体" w:cs="Times New Roman"/>
                      <w:color w:val="auto"/>
                      <w:sz w:val="18"/>
                      <w:szCs w:val="18"/>
                      <w:highlight w:val="none"/>
                      <w:lang w:val="en-US" w:eastAsia="zh-CN"/>
                    </w:rPr>
                    <w:t>锅炉废气排放口</w:t>
                  </w:r>
                </w:p>
              </w:tc>
              <w:tc>
                <w:tcPr>
                  <w:tcW w:w="763" w:type="pct"/>
                  <w:tcBorders>
                    <w:tl2br w:val="nil"/>
                    <w:tr2bl w:val="nil"/>
                  </w:tcBorders>
                  <w:shd w:val="clear" w:color="auto" w:fill="auto"/>
                  <w:vAlign w:val="center"/>
                </w:tcPr>
                <w:p w14:paraId="18E162A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烟尘、SO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p>
              </w:tc>
              <w:tc>
                <w:tcPr>
                  <w:tcW w:w="1482" w:type="pct"/>
                  <w:tcBorders>
                    <w:tl2br w:val="nil"/>
                    <w:tr2bl w:val="nil"/>
                  </w:tcBorders>
                  <w:shd w:val="clear" w:color="auto" w:fill="auto"/>
                  <w:vAlign w:val="center"/>
                </w:tcPr>
                <w:p w14:paraId="433A4D7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竣工验收时，连续监测2天，每天采样3次</w:t>
                  </w:r>
                </w:p>
              </w:tc>
              <w:tc>
                <w:tcPr>
                  <w:tcW w:w="1617" w:type="pct"/>
                  <w:tcBorders>
                    <w:tl2br w:val="nil"/>
                    <w:tr2bl w:val="nil"/>
                  </w:tcBorders>
                  <w:vAlign w:val="center"/>
                </w:tcPr>
                <w:p w14:paraId="6EEAAE3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rPr>
                    <w:t>《关于推进实施钢铁行业超低排放的意见》</w:t>
                  </w:r>
                  <w:r>
                    <w:rPr>
                      <w:rFonts w:hint="default" w:ascii="Times New Roman" w:hAnsi="Times New Roman" w:eastAsia="宋体" w:cs="Times New Roman"/>
                      <w:color w:val="auto"/>
                      <w:sz w:val="18"/>
                      <w:szCs w:val="18"/>
                      <w:highlight w:val="none"/>
                      <w:lang w:eastAsia="zh-CN"/>
                    </w:rPr>
                    <w:t>中自备电厂标准限值。</w:t>
                  </w:r>
                </w:p>
              </w:tc>
            </w:tr>
            <w:tr w14:paraId="065119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tcBorders>
                    <w:tl2br w:val="nil"/>
                    <w:tr2bl w:val="nil"/>
                  </w:tcBorders>
                  <w:shd w:val="clear" w:color="auto" w:fill="auto"/>
                  <w:vAlign w:val="center"/>
                </w:tcPr>
                <w:p w14:paraId="4EC5059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853" w:type="pct"/>
                  <w:tcBorders>
                    <w:tl2br w:val="nil"/>
                    <w:tr2bl w:val="nil"/>
                  </w:tcBorders>
                  <w:shd w:val="clear" w:color="auto" w:fill="auto"/>
                  <w:vAlign w:val="center"/>
                </w:tcPr>
                <w:p w14:paraId="4361F4D0">
                  <w:pPr>
                    <w:keepNext w:val="0"/>
                    <w:keepLines w:val="0"/>
                    <w:widowControl/>
                    <w:suppressLineNumbers w:val="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000000"/>
                      <w:kern w:val="0"/>
                      <w:sz w:val="18"/>
                      <w:szCs w:val="18"/>
                      <w:lang w:val="en-US" w:eastAsia="zh-CN" w:bidi="ar"/>
                    </w:rPr>
                    <w:t>厂界（上风向1个、下风向3个，共4个）</w:t>
                  </w:r>
                </w:p>
              </w:tc>
              <w:tc>
                <w:tcPr>
                  <w:tcW w:w="763" w:type="pct"/>
                  <w:tcBorders>
                    <w:tl2br w:val="nil"/>
                    <w:tr2bl w:val="nil"/>
                  </w:tcBorders>
                  <w:shd w:val="clear" w:color="auto" w:fill="auto"/>
                  <w:vAlign w:val="center"/>
                </w:tcPr>
                <w:p w14:paraId="76498BC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氨</w:t>
                  </w:r>
                </w:p>
              </w:tc>
              <w:tc>
                <w:tcPr>
                  <w:tcW w:w="1482" w:type="pct"/>
                  <w:tcBorders>
                    <w:tl2br w:val="nil"/>
                    <w:tr2bl w:val="nil"/>
                  </w:tcBorders>
                  <w:shd w:val="clear" w:color="auto" w:fill="auto"/>
                  <w:vAlign w:val="center"/>
                </w:tcPr>
                <w:p w14:paraId="03AEB66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竣工验收时，连续监测2天，每天采样</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次</w:t>
                  </w:r>
                </w:p>
              </w:tc>
              <w:tc>
                <w:tcPr>
                  <w:tcW w:w="1617" w:type="pct"/>
                  <w:tcBorders>
                    <w:tl2br w:val="nil"/>
                    <w:tr2bl w:val="nil"/>
                  </w:tcBorders>
                  <w:vAlign w:val="center"/>
                </w:tcPr>
                <w:p w14:paraId="78BFC3C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氨执行《恶臭污染物排放标准》（GB14554-93）。</w:t>
                  </w:r>
                </w:p>
              </w:tc>
            </w:tr>
          </w:tbl>
          <w:p w14:paraId="0B158DF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auto"/>
                <w:sz w:val="24"/>
                <w:lang w:val="en-US" w:eastAsia="zh-CN"/>
              </w:rPr>
            </w:pPr>
            <w:r>
              <w:rPr>
                <w:rFonts w:hint="eastAsia" w:cs="Times New Roman"/>
                <w:b/>
                <w:bCs/>
                <w:color w:val="auto"/>
                <w:sz w:val="24"/>
                <w:lang w:val="en-US" w:eastAsia="zh-CN"/>
              </w:rPr>
              <w:t>（2）自行监测</w:t>
            </w:r>
          </w:p>
          <w:p w14:paraId="74A5F0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本项目新增废气排放口—</w:t>
            </w:r>
            <w:r>
              <w:rPr>
                <w:rFonts w:hint="eastAsia" w:cs="Times New Roman"/>
                <w:color w:val="000000"/>
                <w:kern w:val="0"/>
                <w:sz w:val="24"/>
                <w:szCs w:val="24"/>
                <w:lang w:val="en-US" w:eastAsia="zh-CN" w:bidi="ar"/>
              </w:rPr>
              <w:t>灰仓</w:t>
            </w:r>
            <w:r>
              <w:rPr>
                <w:rFonts w:hint="default" w:ascii="Times New Roman" w:hAnsi="Times New Roman" w:eastAsia="宋体" w:cs="Times New Roman"/>
                <w:color w:val="000000"/>
                <w:kern w:val="0"/>
                <w:sz w:val="24"/>
                <w:szCs w:val="24"/>
                <w:lang w:val="en-US" w:eastAsia="zh-CN" w:bidi="ar"/>
              </w:rPr>
              <w:t>锅炉废气排放口（DA</w:t>
            </w:r>
            <w:r>
              <w:rPr>
                <w:rFonts w:hint="eastAsia" w:cs="Times New Roman"/>
                <w:color w:val="000000"/>
                <w:kern w:val="0"/>
                <w:sz w:val="24"/>
                <w:szCs w:val="24"/>
                <w:lang w:val="en-US" w:eastAsia="zh-CN" w:bidi="ar"/>
              </w:rPr>
              <w:t>102</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参照《排污单位自行监测技术指南 火力发电及锅炉》（HJ820-2017）中自行监测管理要求，开展自行监测，监测因子及监测频次如</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p>
          <w:p w14:paraId="0AAF4387">
            <w:pPr>
              <w:keepNext w:val="0"/>
              <w:keepLines w:val="0"/>
              <w:widowControl/>
              <w:suppressLineNumbers w:val="0"/>
              <w:ind w:left="0" w:leftChars="0" w:right="0" w:rightChars="0" w:firstLine="0" w:firstLineChars="0"/>
              <w:jc w:val="center"/>
              <w:rPr>
                <w:rFonts w:hint="default" w:ascii="黑体" w:hAnsi="黑体" w:eastAsia="黑体" w:cs="黑体"/>
                <w:b w:val="0"/>
                <w:bCs w:val="0"/>
                <w:sz w:val="21"/>
                <w:szCs w:val="21"/>
                <w:lang w:val="en-US"/>
              </w:rPr>
            </w:pPr>
            <w:r>
              <w:rPr>
                <w:rFonts w:hint="eastAsia" w:ascii="黑体" w:hAnsi="黑体" w:eastAsia="黑体" w:cs="黑体"/>
                <w:b w:val="0"/>
                <w:bCs w:val="0"/>
                <w:color w:val="000000"/>
                <w:kern w:val="0"/>
                <w:sz w:val="21"/>
                <w:szCs w:val="21"/>
                <w:lang w:val="en-US" w:eastAsia="zh-CN" w:bidi="ar"/>
              </w:rPr>
              <w:t>表4-9 自行监测方案一览表</w:t>
            </w:r>
          </w:p>
          <w:tbl>
            <w:tblPr>
              <w:tblStyle w:val="18"/>
              <w:tblW w:w="773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2408"/>
              <w:gridCol w:w="2663"/>
              <w:gridCol w:w="1934"/>
            </w:tblGrid>
            <w:tr w14:paraId="55DC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Borders>
                    <w:left w:val="nil"/>
                  </w:tcBorders>
                  <w:vAlign w:val="center"/>
                </w:tcPr>
                <w:p w14:paraId="569E4C0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序号</w:t>
                  </w:r>
                </w:p>
              </w:tc>
              <w:tc>
                <w:tcPr>
                  <w:tcW w:w="2408" w:type="dxa"/>
                  <w:vAlign w:val="center"/>
                </w:tcPr>
                <w:p w14:paraId="36531BE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监测点位</w:t>
                  </w:r>
                </w:p>
              </w:tc>
              <w:tc>
                <w:tcPr>
                  <w:tcW w:w="2663" w:type="dxa"/>
                  <w:vAlign w:val="center"/>
                </w:tcPr>
                <w:p w14:paraId="2FA2583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监测因子</w:t>
                  </w:r>
                </w:p>
              </w:tc>
              <w:tc>
                <w:tcPr>
                  <w:tcW w:w="1934" w:type="dxa"/>
                  <w:tcBorders>
                    <w:right w:val="nil"/>
                  </w:tcBorders>
                  <w:vAlign w:val="center"/>
                </w:tcPr>
                <w:p w14:paraId="5696E54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时间及频率</w:t>
                  </w:r>
                </w:p>
              </w:tc>
            </w:tr>
            <w:tr w14:paraId="26BF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vMerge w:val="restart"/>
                  <w:tcBorders>
                    <w:left w:val="nil"/>
                  </w:tcBorders>
                  <w:vAlign w:val="center"/>
                </w:tcPr>
                <w:p w14:paraId="1460230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w:t>
                  </w:r>
                </w:p>
              </w:tc>
              <w:tc>
                <w:tcPr>
                  <w:tcW w:w="2408" w:type="dxa"/>
                  <w:vMerge w:val="restart"/>
                  <w:vAlign w:val="center"/>
                </w:tcPr>
                <w:p w14:paraId="14ACFCC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灰仓</w:t>
                  </w:r>
                  <w:r>
                    <w:rPr>
                      <w:rFonts w:hint="default" w:ascii="Times New Roman" w:hAnsi="Times New Roman" w:eastAsia="宋体" w:cs="Times New Roman"/>
                      <w:color w:val="000000"/>
                      <w:kern w:val="0"/>
                      <w:sz w:val="18"/>
                      <w:szCs w:val="18"/>
                      <w:lang w:val="en-US" w:eastAsia="zh-CN" w:bidi="ar"/>
                    </w:rPr>
                    <w:t>锅炉</w:t>
                  </w:r>
                  <w:r>
                    <w:rPr>
                      <w:rFonts w:hint="default" w:ascii="Times New Roman" w:hAnsi="Times New Roman" w:cs="Times New Roman"/>
                      <w:color w:val="000000"/>
                      <w:kern w:val="0"/>
                      <w:sz w:val="18"/>
                      <w:szCs w:val="18"/>
                      <w:lang w:val="en-US" w:eastAsia="zh-CN" w:bidi="ar"/>
                    </w:rPr>
                    <w:t>废气排放口</w:t>
                  </w:r>
                  <w:r>
                    <w:rPr>
                      <w:rFonts w:hint="default" w:ascii="Times New Roman" w:hAnsi="Times New Roman" w:eastAsia="宋体" w:cs="Times New Roman"/>
                      <w:color w:val="000000"/>
                      <w:kern w:val="0"/>
                      <w:sz w:val="18"/>
                      <w:szCs w:val="18"/>
                      <w:lang w:val="en-US" w:eastAsia="zh-CN" w:bidi="ar"/>
                    </w:rPr>
                    <w:t>（DA</w:t>
                  </w:r>
                  <w:r>
                    <w:rPr>
                      <w:rFonts w:hint="eastAsia" w:cs="Times New Roman"/>
                      <w:color w:val="000000"/>
                      <w:kern w:val="0"/>
                      <w:sz w:val="18"/>
                      <w:szCs w:val="18"/>
                      <w:lang w:val="en-US" w:eastAsia="zh-CN" w:bidi="ar"/>
                    </w:rPr>
                    <w:t>101</w:t>
                  </w:r>
                  <w:r>
                    <w:rPr>
                      <w:rFonts w:hint="default" w:ascii="Times New Roman" w:hAnsi="Times New Roman" w:eastAsia="宋体" w:cs="Times New Roman"/>
                      <w:color w:val="000000"/>
                      <w:kern w:val="0"/>
                      <w:sz w:val="18"/>
                      <w:szCs w:val="18"/>
                      <w:lang w:val="en-US" w:eastAsia="zh-CN" w:bidi="ar"/>
                    </w:rPr>
                    <w:t>）</w:t>
                  </w:r>
                </w:p>
              </w:tc>
              <w:tc>
                <w:tcPr>
                  <w:tcW w:w="2663" w:type="dxa"/>
                  <w:vAlign w:val="center"/>
                </w:tcPr>
                <w:p w14:paraId="5B17139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颗粒物、</w:t>
                  </w:r>
                  <w:r>
                    <w:rPr>
                      <w:rFonts w:hint="default" w:ascii="Times New Roman" w:hAnsi="Times New Roman" w:eastAsia="宋体" w:cs="Times New Roman"/>
                      <w:color w:val="auto"/>
                      <w:sz w:val="18"/>
                      <w:szCs w:val="18"/>
                      <w:highlight w:val="none"/>
                      <w:lang w:val="en-US" w:eastAsia="zh-CN"/>
                    </w:rPr>
                    <w:t>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p>
              </w:tc>
              <w:tc>
                <w:tcPr>
                  <w:tcW w:w="1934" w:type="dxa"/>
                  <w:tcBorders>
                    <w:right w:val="nil"/>
                  </w:tcBorders>
                  <w:vAlign w:val="center"/>
                </w:tcPr>
                <w:p w14:paraId="66DFB0A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自动监测</w:t>
                  </w:r>
                </w:p>
              </w:tc>
            </w:tr>
            <w:tr w14:paraId="1C33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vMerge w:val="continue"/>
                  <w:tcBorders>
                    <w:left w:val="nil"/>
                  </w:tcBorders>
                  <w:vAlign w:val="center"/>
                </w:tcPr>
                <w:p w14:paraId="4390054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2408" w:type="dxa"/>
                  <w:vMerge w:val="continue"/>
                  <w:vAlign w:val="center"/>
                </w:tcPr>
                <w:p w14:paraId="336282E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2663" w:type="dxa"/>
                  <w:vAlign w:val="center"/>
                </w:tcPr>
                <w:p w14:paraId="5A07067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林格曼黑度</w:t>
                  </w:r>
                </w:p>
              </w:tc>
              <w:tc>
                <w:tcPr>
                  <w:tcW w:w="1934" w:type="dxa"/>
                  <w:tcBorders>
                    <w:right w:val="nil"/>
                  </w:tcBorders>
                  <w:vAlign w:val="center"/>
                </w:tcPr>
                <w:p w14:paraId="0A20F95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1次/季</w:t>
                  </w:r>
                </w:p>
              </w:tc>
            </w:tr>
          </w:tbl>
          <w:p w14:paraId="34A1CDE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4.6.12小结</w:t>
            </w:r>
          </w:p>
          <w:p w14:paraId="5E5A42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项目区域属于环境空气二类功能区，根据202</w:t>
            </w:r>
            <w:r>
              <w:rPr>
                <w:rFonts w:hint="eastAsia"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年新平县</w:t>
            </w:r>
            <w:r>
              <w:rPr>
                <w:rFonts w:hint="eastAsia" w:cs="Times New Roman"/>
                <w:color w:val="000000"/>
                <w:kern w:val="0"/>
                <w:sz w:val="24"/>
                <w:szCs w:val="24"/>
                <w:lang w:val="en-US" w:eastAsia="zh-CN" w:bidi="ar"/>
              </w:rPr>
              <w:t>环境监测站的环境空气质量指数（AQI）有效监测数据</w:t>
            </w:r>
            <w:r>
              <w:rPr>
                <w:rFonts w:hint="default" w:ascii="Times New Roman" w:hAnsi="Times New Roman" w:eastAsia="宋体" w:cs="Times New Roman"/>
                <w:color w:val="000000"/>
                <w:kern w:val="0"/>
                <w:sz w:val="24"/>
                <w:szCs w:val="24"/>
                <w:lang w:val="en-US" w:eastAsia="zh-CN" w:bidi="ar"/>
              </w:rPr>
              <w:t>，六项基本指标满足《环境空气质量标准》（GB3095-20</w:t>
            </w:r>
            <w:r>
              <w:rPr>
                <w:rFonts w:hint="eastAsia" w:cs="Times New Roman"/>
                <w:color w:val="000000"/>
                <w:kern w:val="0"/>
                <w:sz w:val="24"/>
                <w:szCs w:val="24"/>
                <w:lang w:val="en-US" w:eastAsia="zh-CN" w:bidi="ar"/>
              </w:rPr>
              <w:t>26</w:t>
            </w:r>
            <w:r>
              <w:rPr>
                <w:rFonts w:hint="default" w:ascii="Times New Roman" w:hAnsi="Times New Roman" w:eastAsia="宋体" w:cs="Times New Roman"/>
                <w:color w:val="000000"/>
                <w:kern w:val="0"/>
                <w:sz w:val="24"/>
                <w:szCs w:val="24"/>
                <w:lang w:val="en-US" w:eastAsia="zh-CN" w:bidi="ar"/>
              </w:rPr>
              <w:t>）中二级标准</w:t>
            </w:r>
            <w:r>
              <w:rPr>
                <w:rFonts w:hint="eastAsia" w:cs="Times New Roman"/>
                <w:color w:val="000000"/>
                <w:kern w:val="0"/>
                <w:sz w:val="24"/>
                <w:szCs w:val="24"/>
                <w:lang w:val="en-US" w:eastAsia="zh-CN" w:bidi="ar"/>
              </w:rPr>
              <w:t>过渡阶段浓度限值</w:t>
            </w:r>
            <w:r>
              <w:rPr>
                <w:rFonts w:hint="default" w:ascii="Times New Roman" w:hAnsi="Times New Roman" w:eastAsia="宋体" w:cs="Times New Roman"/>
                <w:color w:val="000000"/>
                <w:kern w:val="0"/>
                <w:sz w:val="24"/>
                <w:szCs w:val="24"/>
                <w:lang w:val="en-US" w:eastAsia="zh-CN" w:bidi="ar"/>
              </w:rPr>
              <w:t>，为达标区。本项目采取的废气治理措施均为技术规范推荐的可行技术，在严格采取污染治理措施后，本项目废气均达标排放。</w:t>
            </w:r>
          </w:p>
          <w:p w14:paraId="1DC449C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4.7噪声</w:t>
            </w:r>
          </w:p>
          <w:p w14:paraId="3EF3465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4.7.1噪声源强</w:t>
            </w:r>
          </w:p>
          <w:p w14:paraId="627C07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color w:val="000000"/>
                <w:kern w:val="0"/>
                <w:sz w:val="24"/>
                <w:szCs w:val="24"/>
                <w:lang w:val="en-US" w:eastAsia="zh-CN" w:bidi="ar"/>
              </w:rPr>
              <w:t>电厂的噪声主要有化学水站、锅炉房、汽轮机房、循环水站等工作时设备产生的机械噪声、空气动力噪声、电磁噪声，噪声源大部分集中在主厂房内。项目设备选用低噪声设备，大型设备基座设置减震垫；风机、锅炉放散阀等设置消声器；对泵与管道连接处采取软连接，减轻因管道共振产生的噪声；化学水站、锅炉房等设备均设置在室内，利用墙体隔声，综合噪声强度可降低20dB（A），经调查，项目噪声源强详见</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p>
        </w:tc>
      </w:tr>
    </w:tbl>
    <w:p w14:paraId="290D2711">
      <w:pPr>
        <w:rPr>
          <w:rFonts w:hint="eastAsia"/>
          <w:lang w:val="en-US" w:eastAsia="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4738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362E2507">
            <w:pPr>
              <w:ind w:left="0" w:leftChars="0" w:right="0" w:righ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表4-10噪声源强调查清单（室外声源）</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2027"/>
              <w:gridCol w:w="902"/>
              <w:gridCol w:w="986"/>
              <w:gridCol w:w="988"/>
              <w:gridCol w:w="1324"/>
              <w:gridCol w:w="2460"/>
              <w:gridCol w:w="1162"/>
              <w:gridCol w:w="2105"/>
              <w:gridCol w:w="1382"/>
            </w:tblGrid>
            <w:tr w14:paraId="5D3690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0" w:type="pct"/>
                  <w:vMerge w:val="restart"/>
                  <w:tcBorders>
                    <w:tl2br w:val="nil"/>
                    <w:tr2bl w:val="nil"/>
                  </w:tcBorders>
                  <w:noWrap w:val="0"/>
                  <w:vAlign w:val="center"/>
                </w:tcPr>
                <w:p w14:paraId="56837A0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序号</w:t>
                  </w:r>
                </w:p>
              </w:tc>
              <w:tc>
                <w:tcPr>
                  <w:tcW w:w="726" w:type="pct"/>
                  <w:vMerge w:val="restart"/>
                  <w:tcBorders>
                    <w:tl2br w:val="nil"/>
                    <w:tr2bl w:val="nil"/>
                  </w:tcBorders>
                  <w:noWrap w:val="0"/>
                  <w:vAlign w:val="center"/>
                </w:tcPr>
                <w:p w14:paraId="22D664C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声源名称</w:t>
                  </w:r>
                </w:p>
              </w:tc>
              <w:tc>
                <w:tcPr>
                  <w:tcW w:w="323" w:type="pct"/>
                  <w:vMerge w:val="restart"/>
                  <w:tcBorders>
                    <w:tl2br w:val="nil"/>
                    <w:tr2bl w:val="nil"/>
                  </w:tcBorders>
                  <w:noWrap w:val="0"/>
                  <w:vAlign w:val="center"/>
                </w:tcPr>
                <w:p w14:paraId="70BA431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型号</w:t>
                  </w:r>
                </w:p>
              </w:tc>
              <w:tc>
                <w:tcPr>
                  <w:tcW w:w="1181" w:type="pct"/>
                  <w:gridSpan w:val="3"/>
                  <w:tcBorders>
                    <w:tl2br w:val="nil"/>
                    <w:tr2bl w:val="nil"/>
                  </w:tcBorders>
                  <w:noWrap w:val="0"/>
                  <w:vAlign w:val="center"/>
                </w:tcPr>
                <w:p w14:paraId="4C972D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空间相对位置/m</w:t>
                  </w:r>
                </w:p>
              </w:tc>
              <w:tc>
                <w:tcPr>
                  <w:tcW w:w="1297" w:type="pct"/>
                  <w:gridSpan w:val="2"/>
                  <w:tcBorders>
                    <w:tl2br w:val="nil"/>
                    <w:tr2bl w:val="nil"/>
                  </w:tcBorders>
                  <w:noWrap w:val="0"/>
                  <w:vAlign w:val="center"/>
                </w:tcPr>
                <w:p w14:paraId="416327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声源源强（任选一种）</w:t>
                  </w:r>
                </w:p>
              </w:tc>
              <w:tc>
                <w:tcPr>
                  <w:tcW w:w="754" w:type="pct"/>
                  <w:vMerge w:val="restart"/>
                  <w:tcBorders>
                    <w:tl2br w:val="nil"/>
                    <w:tr2bl w:val="nil"/>
                  </w:tcBorders>
                  <w:noWrap w:val="0"/>
                  <w:vAlign w:val="center"/>
                </w:tcPr>
                <w:p w14:paraId="3368536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声源控制措施</w:t>
                  </w:r>
                </w:p>
              </w:tc>
              <w:tc>
                <w:tcPr>
                  <w:tcW w:w="495" w:type="pct"/>
                  <w:vMerge w:val="restart"/>
                  <w:tcBorders>
                    <w:tl2br w:val="nil"/>
                    <w:tr2bl w:val="nil"/>
                  </w:tcBorders>
                  <w:noWrap w:val="0"/>
                  <w:vAlign w:val="center"/>
                </w:tcPr>
                <w:p w14:paraId="7C8A790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运行时段</w:t>
                  </w:r>
                </w:p>
              </w:tc>
            </w:tr>
            <w:tr w14:paraId="1E6B0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0" w:type="pct"/>
                  <w:vMerge w:val="continue"/>
                  <w:tcBorders>
                    <w:tl2br w:val="nil"/>
                    <w:tr2bl w:val="nil"/>
                  </w:tcBorders>
                  <w:noWrap w:val="0"/>
                  <w:vAlign w:val="center"/>
                </w:tcPr>
                <w:p w14:paraId="29A2523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726" w:type="pct"/>
                  <w:vMerge w:val="continue"/>
                  <w:tcBorders>
                    <w:tl2br w:val="nil"/>
                    <w:tr2bl w:val="nil"/>
                  </w:tcBorders>
                  <w:noWrap w:val="0"/>
                  <w:vAlign w:val="center"/>
                </w:tcPr>
                <w:p w14:paraId="1C39D8B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323" w:type="pct"/>
                  <w:vMerge w:val="continue"/>
                  <w:tcBorders>
                    <w:tl2br w:val="nil"/>
                    <w:tr2bl w:val="nil"/>
                  </w:tcBorders>
                  <w:noWrap w:val="0"/>
                  <w:vAlign w:val="center"/>
                </w:tcPr>
                <w:p w14:paraId="493D86B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353" w:type="pct"/>
                  <w:tcBorders>
                    <w:tl2br w:val="nil"/>
                    <w:tr2bl w:val="nil"/>
                  </w:tcBorders>
                  <w:noWrap w:val="0"/>
                  <w:vAlign w:val="center"/>
                </w:tcPr>
                <w:p w14:paraId="23F71F2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X</w:t>
                  </w:r>
                </w:p>
              </w:tc>
              <w:tc>
                <w:tcPr>
                  <w:tcW w:w="354" w:type="pct"/>
                  <w:tcBorders>
                    <w:tl2br w:val="nil"/>
                    <w:tr2bl w:val="nil"/>
                  </w:tcBorders>
                  <w:noWrap w:val="0"/>
                  <w:vAlign w:val="center"/>
                </w:tcPr>
                <w:p w14:paraId="65327F4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Y</w:t>
                  </w:r>
                </w:p>
              </w:tc>
              <w:tc>
                <w:tcPr>
                  <w:tcW w:w="474" w:type="pct"/>
                  <w:tcBorders>
                    <w:tl2br w:val="nil"/>
                    <w:tr2bl w:val="nil"/>
                  </w:tcBorders>
                  <w:noWrap w:val="0"/>
                  <w:vAlign w:val="center"/>
                </w:tcPr>
                <w:p w14:paraId="5FB858F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Z</w:t>
                  </w:r>
                </w:p>
              </w:tc>
              <w:tc>
                <w:tcPr>
                  <w:tcW w:w="881" w:type="pct"/>
                  <w:tcBorders>
                    <w:tl2br w:val="nil"/>
                    <w:tr2bl w:val="nil"/>
                  </w:tcBorders>
                  <w:noWrap w:val="0"/>
                  <w:vAlign w:val="center"/>
                </w:tcPr>
                <w:p w14:paraId="1F57E9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（声压级/距声源距离）/（dB</w:t>
                  </w:r>
                  <w:r>
                    <w:rPr>
                      <w:rFonts w:hint="eastAsia" w:cs="Times New Roman"/>
                      <w:b w:val="0"/>
                      <w:bCs w:val="0"/>
                      <w:color w:val="auto"/>
                      <w:sz w:val="18"/>
                      <w:szCs w:val="18"/>
                      <w:highlight w:val="none"/>
                      <w:lang w:eastAsia="zh-CN"/>
                    </w:rPr>
                    <w:t>（</w:t>
                  </w:r>
                  <w:r>
                    <w:rPr>
                      <w:rFonts w:hint="eastAsia" w:cs="Times New Roman"/>
                      <w:b w:val="0"/>
                      <w:bCs w:val="0"/>
                      <w:color w:val="auto"/>
                      <w:sz w:val="18"/>
                      <w:szCs w:val="18"/>
                      <w:highlight w:val="none"/>
                      <w:lang w:val="en-US" w:eastAsia="zh-CN"/>
                    </w:rPr>
                    <w:t>A</w:t>
                  </w:r>
                  <w:r>
                    <w:rPr>
                      <w:rFonts w:hint="eastAsia"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rPr>
                    <w:t>/m）</w:t>
                  </w:r>
                </w:p>
              </w:tc>
              <w:tc>
                <w:tcPr>
                  <w:tcW w:w="416" w:type="pct"/>
                  <w:tcBorders>
                    <w:tl2br w:val="nil"/>
                    <w:tr2bl w:val="nil"/>
                  </w:tcBorders>
                  <w:noWrap w:val="0"/>
                  <w:vAlign w:val="center"/>
                </w:tcPr>
                <w:p w14:paraId="4F5E1A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声功率级/dB</w:t>
                  </w:r>
                  <w:r>
                    <w:rPr>
                      <w:rFonts w:hint="eastAsia" w:cs="Times New Roman"/>
                      <w:b w:val="0"/>
                      <w:bCs w:val="0"/>
                      <w:color w:val="auto"/>
                      <w:sz w:val="18"/>
                      <w:szCs w:val="18"/>
                      <w:highlight w:val="none"/>
                      <w:lang w:eastAsia="zh-CN"/>
                    </w:rPr>
                    <w:t>（</w:t>
                  </w:r>
                  <w:r>
                    <w:rPr>
                      <w:rFonts w:hint="eastAsia" w:cs="Times New Roman"/>
                      <w:b w:val="0"/>
                      <w:bCs w:val="0"/>
                      <w:color w:val="auto"/>
                      <w:sz w:val="18"/>
                      <w:szCs w:val="18"/>
                      <w:highlight w:val="none"/>
                      <w:lang w:val="en-US" w:eastAsia="zh-CN"/>
                    </w:rPr>
                    <w:t>A</w:t>
                  </w:r>
                  <w:r>
                    <w:rPr>
                      <w:rFonts w:hint="eastAsia" w:cs="Times New Roman"/>
                      <w:b w:val="0"/>
                      <w:bCs w:val="0"/>
                      <w:color w:val="auto"/>
                      <w:sz w:val="18"/>
                      <w:szCs w:val="18"/>
                      <w:highlight w:val="none"/>
                      <w:lang w:eastAsia="zh-CN"/>
                    </w:rPr>
                    <w:t>）</w:t>
                  </w:r>
                </w:p>
              </w:tc>
              <w:tc>
                <w:tcPr>
                  <w:tcW w:w="754" w:type="pct"/>
                  <w:vMerge w:val="continue"/>
                  <w:tcBorders>
                    <w:tl2br w:val="nil"/>
                    <w:tr2bl w:val="nil"/>
                  </w:tcBorders>
                  <w:noWrap w:val="0"/>
                  <w:vAlign w:val="center"/>
                </w:tcPr>
                <w:p w14:paraId="7ACEDE5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495" w:type="pct"/>
                  <w:vMerge w:val="continue"/>
                  <w:tcBorders>
                    <w:tl2br w:val="nil"/>
                    <w:tr2bl w:val="nil"/>
                  </w:tcBorders>
                  <w:noWrap w:val="0"/>
                  <w:vAlign w:val="center"/>
                </w:tcPr>
                <w:p w14:paraId="14BD9F6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r>
            <w:tr w14:paraId="06EBC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20" w:type="pct"/>
                  <w:tcBorders>
                    <w:tl2br w:val="nil"/>
                    <w:tr2bl w:val="nil"/>
                  </w:tcBorders>
                  <w:noWrap w:val="0"/>
                  <w:vAlign w:val="center"/>
                </w:tcPr>
                <w:p w14:paraId="4C508C2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w:t>
                  </w:r>
                </w:p>
              </w:tc>
              <w:tc>
                <w:tcPr>
                  <w:tcW w:w="726" w:type="pct"/>
                  <w:tcBorders>
                    <w:tl2br w:val="nil"/>
                    <w:tr2bl w:val="nil"/>
                  </w:tcBorders>
                  <w:noWrap w:val="0"/>
                  <w:vAlign w:val="center"/>
                </w:tcPr>
                <w:p w14:paraId="2829364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机械通风冷却塔</w:t>
                  </w:r>
                </w:p>
              </w:tc>
              <w:tc>
                <w:tcPr>
                  <w:tcW w:w="323" w:type="pct"/>
                  <w:tcBorders>
                    <w:tl2br w:val="nil"/>
                    <w:tr2bl w:val="nil"/>
                  </w:tcBorders>
                  <w:noWrap w:val="0"/>
                  <w:vAlign w:val="center"/>
                </w:tcPr>
                <w:p w14:paraId="3D0E3E63">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986" w:type="dxa"/>
                  <w:tcBorders>
                    <w:tl2br w:val="nil"/>
                    <w:tr2bl w:val="nil"/>
                  </w:tcBorders>
                  <w:noWrap w:val="0"/>
                  <w:vAlign w:val="center"/>
                </w:tcPr>
                <w:p w14:paraId="40AA9F3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33</w:t>
                  </w:r>
                </w:p>
              </w:tc>
              <w:tc>
                <w:tcPr>
                  <w:tcW w:w="988" w:type="dxa"/>
                  <w:tcBorders>
                    <w:tl2br w:val="nil"/>
                    <w:tr2bl w:val="nil"/>
                  </w:tcBorders>
                  <w:noWrap w:val="0"/>
                  <w:vAlign w:val="center"/>
                </w:tcPr>
                <w:p w14:paraId="26F062C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w:t>
                  </w:r>
                </w:p>
              </w:tc>
              <w:tc>
                <w:tcPr>
                  <w:tcW w:w="474" w:type="pct"/>
                  <w:tcBorders>
                    <w:tl2br w:val="nil"/>
                    <w:tr2bl w:val="nil"/>
                  </w:tcBorders>
                  <w:noWrap w:val="0"/>
                  <w:vAlign w:val="center"/>
                </w:tcPr>
                <w:p w14:paraId="5409C83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w:t>
                  </w:r>
                </w:p>
              </w:tc>
              <w:tc>
                <w:tcPr>
                  <w:tcW w:w="881" w:type="pct"/>
                  <w:tcBorders>
                    <w:tl2br w:val="nil"/>
                    <w:tr2bl w:val="nil"/>
                  </w:tcBorders>
                  <w:noWrap w:val="0"/>
                  <w:vAlign w:val="center"/>
                </w:tcPr>
                <w:p w14:paraId="3705104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416" w:type="pct"/>
                  <w:tcBorders>
                    <w:tl2br w:val="nil"/>
                    <w:tr2bl w:val="nil"/>
                  </w:tcBorders>
                  <w:noWrap w:val="0"/>
                  <w:vAlign w:val="center"/>
                </w:tcPr>
                <w:p w14:paraId="5D7AEDD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85</w:t>
                  </w:r>
                </w:p>
              </w:tc>
              <w:tc>
                <w:tcPr>
                  <w:tcW w:w="754" w:type="pct"/>
                  <w:tcBorders>
                    <w:tl2br w:val="nil"/>
                    <w:tr2bl w:val="nil"/>
                  </w:tcBorders>
                  <w:noWrap w:val="0"/>
                  <w:vAlign w:val="center"/>
                </w:tcPr>
                <w:p w14:paraId="49D4556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color w:val="auto"/>
                      <w:sz w:val="18"/>
                      <w:szCs w:val="18"/>
                      <w:highlight w:val="none"/>
                      <w:lang w:val="en-US" w:eastAsia="zh-CN"/>
                    </w:rPr>
                    <w:t>选用低噪声设备</w:t>
                  </w:r>
                </w:p>
              </w:tc>
              <w:tc>
                <w:tcPr>
                  <w:tcW w:w="495" w:type="pct"/>
                  <w:tcBorders>
                    <w:tl2br w:val="nil"/>
                    <w:tr2bl w:val="nil"/>
                  </w:tcBorders>
                  <w:noWrap w:val="0"/>
                  <w:vAlign w:val="center"/>
                </w:tcPr>
                <w:p w14:paraId="6C0CD79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r>
            <w:tr w14:paraId="38D9A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20" w:type="pct"/>
                  <w:tcBorders>
                    <w:tl2br w:val="nil"/>
                    <w:tr2bl w:val="nil"/>
                  </w:tcBorders>
                  <w:noWrap w:val="0"/>
                  <w:vAlign w:val="center"/>
                </w:tcPr>
                <w:p w14:paraId="52609A9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w:t>
                  </w:r>
                </w:p>
              </w:tc>
              <w:tc>
                <w:tcPr>
                  <w:tcW w:w="2027" w:type="dxa"/>
                  <w:tcBorders>
                    <w:tl2br w:val="nil"/>
                    <w:tr2bl w:val="nil"/>
                  </w:tcBorders>
                  <w:noWrap w:val="0"/>
                  <w:vAlign w:val="center"/>
                </w:tcPr>
                <w:p w14:paraId="179D168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送风机及电机</w:t>
                  </w:r>
                </w:p>
              </w:tc>
              <w:tc>
                <w:tcPr>
                  <w:tcW w:w="323" w:type="pct"/>
                  <w:tcBorders>
                    <w:tl2br w:val="nil"/>
                    <w:tr2bl w:val="nil"/>
                  </w:tcBorders>
                  <w:noWrap w:val="0"/>
                  <w:vAlign w:val="center"/>
                </w:tcPr>
                <w:p w14:paraId="1A556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986" w:type="dxa"/>
                  <w:tcBorders>
                    <w:tl2br w:val="nil"/>
                    <w:tr2bl w:val="nil"/>
                  </w:tcBorders>
                  <w:noWrap w:val="0"/>
                  <w:vAlign w:val="center"/>
                </w:tcPr>
                <w:p w14:paraId="60098F17">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67</w:t>
                  </w:r>
                </w:p>
              </w:tc>
              <w:tc>
                <w:tcPr>
                  <w:tcW w:w="988" w:type="dxa"/>
                  <w:tcBorders>
                    <w:tl2br w:val="nil"/>
                    <w:tr2bl w:val="nil"/>
                  </w:tcBorders>
                  <w:noWrap w:val="0"/>
                  <w:vAlign w:val="center"/>
                </w:tcPr>
                <w:p w14:paraId="329AD165">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-139</w:t>
                  </w:r>
                </w:p>
              </w:tc>
              <w:tc>
                <w:tcPr>
                  <w:tcW w:w="474" w:type="pct"/>
                  <w:tcBorders>
                    <w:tl2br w:val="nil"/>
                    <w:tr2bl w:val="nil"/>
                  </w:tcBorders>
                  <w:noWrap w:val="0"/>
                  <w:vAlign w:val="center"/>
                </w:tcPr>
                <w:p w14:paraId="4597DCB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w:t>
                  </w:r>
                </w:p>
              </w:tc>
              <w:tc>
                <w:tcPr>
                  <w:tcW w:w="881" w:type="pct"/>
                  <w:tcBorders>
                    <w:tl2br w:val="nil"/>
                    <w:tr2bl w:val="nil"/>
                  </w:tcBorders>
                  <w:noWrap w:val="0"/>
                  <w:vAlign w:val="center"/>
                </w:tcPr>
                <w:p w14:paraId="77A42B4D">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416" w:type="pct"/>
                  <w:tcBorders>
                    <w:tl2br w:val="nil"/>
                    <w:tr2bl w:val="nil"/>
                  </w:tcBorders>
                  <w:noWrap w:val="0"/>
                  <w:vAlign w:val="center"/>
                </w:tcPr>
                <w:p w14:paraId="6A5A9C6C">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w:t>
                  </w:r>
                </w:p>
              </w:tc>
              <w:tc>
                <w:tcPr>
                  <w:tcW w:w="754" w:type="pct"/>
                  <w:tcBorders>
                    <w:tl2br w:val="nil"/>
                    <w:tr2bl w:val="nil"/>
                  </w:tcBorders>
                  <w:noWrap w:val="0"/>
                  <w:vAlign w:val="center"/>
                </w:tcPr>
                <w:p w14:paraId="4218C4A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减震</w:t>
                  </w:r>
                </w:p>
              </w:tc>
              <w:tc>
                <w:tcPr>
                  <w:tcW w:w="495" w:type="pct"/>
                  <w:tcBorders>
                    <w:tl2br w:val="nil"/>
                    <w:tr2bl w:val="nil"/>
                  </w:tcBorders>
                  <w:noWrap w:val="0"/>
                  <w:vAlign w:val="center"/>
                </w:tcPr>
                <w:p w14:paraId="60710C77">
                  <w:pPr>
                    <w:keepNext w:val="0"/>
                    <w:keepLines w:val="0"/>
                    <w:suppressLineNumbers w:val="0"/>
                    <w:bidi w:val="0"/>
                    <w:spacing w:before="0" w:beforeAutospacing="0" w:after="0" w:afterAutospacing="0"/>
                    <w:ind w:left="0" w:leftChars="0" w:right="0" w:rightChars="0" w:firstLine="0" w:firstLineChars="0"/>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r>
            <w:tr w14:paraId="603C9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20" w:type="pct"/>
                  <w:tcBorders>
                    <w:tl2br w:val="nil"/>
                    <w:tr2bl w:val="nil"/>
                  </w:tcBorders>
                  <w:noWrap w:val="0"/>
                  <w:vAlign w:val="center"/>
                </w:tcPr>
                <w:p w14:paraId="4159EF5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w:t>
                  </w:r>
                </w:p>
              </w:tc>
              <w:tc>
                <w:tcPr>
                  <w:tcW w:w="2027" w:type="dxa"/>
                  <w:tcBorders>
                    <w:tl2br w:val="nil"/>
                    <w:tr2bl w:val="nil"/>
                  </w:tcBorders>
                  <w:noWrap w:val="0"/>
                  <w:vAlign w:val="center"/>
                </w:tcPr>
                <w:p w14:paraId="1E19C97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引风机及电机</w:t>
                  </w:r>
                </w:p>
              </w:tc>
              <w:tc>
                <w:tcPr>
                  <w:tcW w:w="323" w:type="pct"/>
                  <w:tcBorders>
                    <w:tl2br w:val="nil"/>
                    <w:tr2bl w:val="nil"/>
                  </w:tcBorders>
                  <w:noWrap w:val="0"/>
                  <w:vAlign w:val="center"/>
                </w:tcPr>
                <w:p w14:paraId="03D83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986" w:type="dxa"/>
                  <w:tcBorders>
                    <w:tl2br w:val="nil"/>
                    <w:tr2bl w:val="nil"/>
                  </w:tcBorders>
                  <w:noWrap w:val="0"/>
                  <w:vAlign w:val="center"/>
                </w:tcPr>
                <w:p w14:paraId="613F1B8C">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82</w:t>
                  </w:r>
                </w:p>
              </w:tc>
              <w:tc>
                <w:tcPr>
                  <w:tcW w:w="988" w:type="dxa"/>
                  <w:tcBorders>
                    <w:tl2br w:val="nil"/>
                    <w:tr2bl w:val="nil"/>
                  </w:tcBorders>
                  <w:noWrap w:val="0"/>
                  <w:vAlign w:val="center"/>
                </w:tcPr>
                <w:p w14:paraId="288C0758">
                  <w:pPr>
                    <w:pStyle w:val="29"/>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-144</w:t>
                  </w:r>
                </w:p>
              </w:tc>
              <w:tc>
                <w:tcPr>
                  <w:tcW w:w="474" w:type="pct"/>
                  <w:tcBorders>
                    <w:tl2br w:val="nil"/>
                    <w:tr2bl w:val="nil"/>
                  </w:tcBorders>
                  <w:noWrap w:val="0"/>
                  <w:vAlign w:val="center"/>
                </w:tcPr>
                <w:p w14:paraId="098C643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w:t>
                  </w:r>
                </w:p>
              </w:tc>
              <w:tc>
                <w:tcPr>
                  <w:tcW w:w="881" w:type="pct"/>
                  <w:tcBorders>
                    <w:tl2br w:val="nil"/>
                    <w:tr2bl w:val="nil"/>
                  </w:tcBorders>
                  <w:noWrap w:val="0"/>
                  <w:vAlign w:val="center"/>
                </w:tcPr>
                <w:p w14:paraId="73A85438">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416" w:type="pct"/>
                  <w:tcBorders>
                    <w:tl2br w:val="nil"/>
                    <w:tr2bl w:val="nil"/>
                  </w:tcBorders>
                  <w:noWrap w:val="0"/>
                  <w:vAlign w:val="center"/>
                </w:tcPr>
                <w:p w14:paraId="60E5CD53">
                  <w:pPr>
                    <w:pStyle w:val="29"/>
                    <w:keepNext w:val="0"/>
                    <w:keepLines w:val="0"/>
                    <w:suppressLineNumbers w:val="0"/>
                    <w:bidi w:val="0"/>
                    <w:spacing w:before="0" w:beforeAutospacing="0" w:after="0" w:afterAutospacing="0"/>
                    <w:ind w:left="0" w:leftChars="0" w:right="0" w:rightChars="0" w:firstLine="0" w:firstLineChars="0"/>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w:t>
                  </w:r>
                </w:p>
              </w:tc>
              <w:tc>
                <w:tcPr>
                  <w:tcW w:w="754" w:type="pct"/>
                  <w:tcBorders>
                    <w:tl2br w:val="nil"/>
                    <w:tr2bl w:val="nil"/>
                  </w:tcBorders>
                  <w:noWrap w:val="0"/>
                  <w:vAlign w:val="center"/>
                </w:tcPr>
                <w:p w14:paraId="5CD640C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减震</w:t>
                  </w:r>
                </w:p>
              </w:tc>
              <w:tc>
                <w:tcPr>
                  <w:tcW w:w="495" w:type="pct"/>
                  <w:tcBorders>
                    <w:tl2br w:val="nil"/>
                    <w:tr2bl w:val="nil"/>
                  </w:tcBorders>
                  <w:noWrap w:val="0"/>
                  <w:vAlign w:val="center"/>
                </w:tcPr>
                <w:p w14:paraId="7BAB3429">
                  <w:pPr>
                    <w:keepNext w:val="0"/>
                    <w:keepLines w:val="0"/>
                    <w:suppressLineNumbers w:val="0"/>
                    <w:bidi w:val="0"/>
                    <w:spacing w:before="0" w:beforeAutospacing="0" w:after="0" w:afterAutospacing="0"/>
                    <w:ind w:left="0" w:leftChars="0" w:right="0" w:rightChars="0" w:firstLine="0" w:firstLineChars="0"/>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r>
          </w:tbl>
          <w:p w14:paraId="008A9E82">
            <w:pPr>
              <w:ind w:left="0" w:leftChars="0" w:right="0" w:rightChars="0" w:firstLine="0" w:firstLineChars="0"/>
              <w:jc w:val="center"/>
              <w:rPr>
                <w:rFonts w:hint="default"/>
                <w:lang w:val="en-US" w:eastAsia="zh-CN"/>
              </w:rPr>
            </w:pPr>
            <w:r>
              <w:rPr>
                <w:rFonts w:hint="eastAsia" w:ascii="黑体" w:hAnsi="黑体" w:eastAsia="黑体" w:cs="黑体"/>
                <w:b w:val="0"/>
                <w:bCs w:val="0"/>
                <w:sz w:val="21"/>
                <w:szCs w:val="21"/>
                <w:lang w:val="en-US" w:eastAsia="zh-CN"/>
              </w:rPr>
              <w:t>表4-11噪声源强调查清单（室内声源）</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
              <w:gridCol w:w="2023"/>
              <w:gridCol w:w="786"/>
              <w:gridCol w:w="911"/>
              <w:gridCol w:w="672"/>
              <w:gridCol w:w="2462"/>
              <w:gridCol w:w="693"/>
              <w:gridCol w:w="714"/>
              <w:gridCol w:w="528"/>
              <w:gridCol w:w="662"/>
              <w:gridCol w:w="838"/>
              <w:gridCol w:w="1034"/>
              <w:gridCol w:w="766"/>
              <w:gridCol w:w="805"/>
              <w:gridCol w:w="648"/>
            </w:tblGrid>
            <w:tr w14:paraId="4A46F1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 w:type="pct"/>
                  <w:vMerge w:val="restart"/>
                  <w:tcBorders>
                    <w:tl2br w:val="nil"/>
                    <w:tr2bl w:val="nil"/>
                  </w:tcBorders>
                  <w:noWrap w:val="0"/>
                  <w:vAlign w:val="center"/>
                </w:tcPr>
                <w:p w14:paraId="70199FC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序号</w:t>
                  </w:r>
                </w:p>
              </w:tc>
              <w:tc>
                <w:tcPr>
                  <w:tcW w:w="725" w:type="pct"/>
                  <w:vMerge w:val="restart"/>
                  <w:tcBorders>
                    <w:tl2br w:val="nil"/>
                    <w:tr2bl w:val="nil"/>
                  </w:tcBorders>
                  <w:noWrap w:val="0"/>
                  <w:vAlign w:val="center"/>
                </w:tcPr>
                <w:p w14:paraId="0EC6CEC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声源名称</w:t>
                  </w:r>
                </w:p>
              </w:tc>
              <w:tc>
                <w:tcPr>
                  <w:tcW w:w="281" w:type="pct"/>
                  <w:vMerge w:val="restart"/>
                  <w:tcBorders>
                    <w:tl2br w:val="nil"/>
                    <w:tr2bl w:val="nil"/>
                  </w:tcBorders>
                  <w:noWrap w:val="0"/>
                  <w:vAlign w:val="center"/>
                </w:tcPr>
                <w:p w14:paraId="03589CB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型号</w:t>
                  </w:r>
                </w:p>
              </w:tc>
              <w:tc>
                <w:tcPr>
                  <w:tcW w:w="567" w:type="pct"/>
                  <w:gridSpan w:val="2"/>
                  <w:tcBorders>
                    <w:tl2br w:val="nil"/>
                    <w:tr2bl w:val="nil"/>
                  </w:tcBorders>
                  <w:noWrap w:val="0"/>
                  <w:vAlign w:val="center"/>
                </w:tcPr>
                <w:p w14:paraId="4B3B6B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声源源强（任选一种）</w:t>
                  </w:r>
                </w:p>
              </w:tc>
              <w:tc>
                <w:tcPr>
                  <w:tcW w:w="882" w:type="pct"/>
                  <w:vMerge w:val="restart"/>
                  <w:tcBorders>
                    <w:tl2br w:val="nil"/>
                    <w:tr2bl w:val="nil"/>
                  </w:tcBorders>
                  <w:noWrap w:val="0"/>
                  <w:vAlign w:val="center"/>
                </w:tcPr>
                <w:p w14:paraId="718CAF1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声源控制措施</w:t>
                  </w:r>
                </w:p>
              </w:tc>
              <w:tc>
                <w:tcPr>
                  <w:tcW w:w="693" w:type="pct"/>
                  <w:gridSpan w:val="3"/>
                  <w:tcBorders>
                    <w:tl2br w:val="nil"/>
                    <w:tr2bl w:val="nil"/>
                  </w:tcBorders>
                  <w:noWrap w:val="0"/>
                  <w:vAlign w:val="center"/>
                </w:tcPr>
                <w:p w14:paraId="57EA66C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空间相对位置/m</w:t>
                  </w:r>
                </w:p>
              </w:tc>
              <w:tc>
                <w:tcPr>
                  <w:tcW w:w="237" w:type="pct"/>
                  <w:vMerge w:val="restart"/>
                  <w:tcBorders>
                    <w:tl2br w:val="nil"/>
                    <w:tr2bl w:val="nil"/>
                  </w:tcBorders>
                  <w:noWrap w:val="0"/>
                  <w:vAlign w:val="center"/>
                </w:tcPr>
                <w:p w14:paraId="39B40F9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距室内边界距离（m）</w:t>
                  </w:r>
                </w:p>
              </w:tc>
              <w:tc>
                <w:tcPr>
                  <w:tcW w:w="300" w:type="pct"/>
                  <w:vMerge w:val="restart"/>
                  <w:tcBorders>
                    <w:tl2br w:val="nil"/>
                    <w:tr2bl w:val="nil"/>
                  </w:tcBorders>
                  <w:noWrap w:val="0"/>
                  <w:vAlign w:val="center"/>
                </w:tcPr>
                <w:p w14:paraId="2FFE8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室内边界声级/dB</w:t>
                  </w:r>
                  <w:r>
                    <w:rPr>
                      <w:rFonts w:hint="eastAsia" w:cs="Times New Roman"/>
                      <w:color w:val="auto"/>
                      <w:sz w:val="18"/>
                      <w:szCs w:val="18"/>
                      <w:highlight w:val="none"/>
                      <w:lang w:val="en-US" w:eastAsia="zh-CN"/>
                    </w:rPr>
                    <w:t>（A）</w:t>
                  </w:r>
                </w:p>
              </w:tc>
              <w:tc>
                <w:tcPr>
                  <w:tcW w:w="370" w:type="pct"/>
                  <w:vMerge w:val="restart"/>
                  <w:tcBorders>
                    <w:tl2br w:val="nil"/>
                    <w:tr2bl w:val="nil"/>
                  </w:tcBorders>
                  <w:noWrap w:val="0"/>
                  <w:vAlign w:val="center"/>
                </w:tcPr>
                <w:p w14:paraId="6FCB4ED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运行时段</w:t>
                  </w:r>
                </w:p>
              </w:tc>
              <w:tc>
                <w:tcPr>
                  <w:tcW w:w="274" w:type="pct"/>
                  <w:vMerge w:val="restart"/>
                  <w:tcBorders>
                    <w:tl2br w:val="nil"/>
                    <w:tr2bl w:val="nil"/>
                  </w:tcBorders>
                  <w:noWrap w:val="0"/>
                  <w:vAlign w:val="center"/>
                </w:tcPr>
                <w:p w14:paraId="6533637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建筑物插入损失dB（A）</w:t>
                  </w:r>
                </w:p>
              </w:tc>
              <w:tc>
                <w:tcPr>
                  <w:tcW w:w="520" w:type="pct"/>
                  <w:gridSpan w:val="2"/>
                  <w:tcBorders>
                    <w:tl2br w:val="nil"/>
                    <w:tr2bl w:val="nil"/>
                  </w:tcBorders>
                  <w:noWrap w:val="0"/>
                  <w:vAlign w:val="center"/>
                </w:tcPr>
                <w:p w14:paraId="21DD18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建筑物外噪声</w:t>
                  </w:r>
                </w:p>
              </w:tc>
            </w:tr>
            <w:tr w14:paraId="612A1C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 w:type="pct"/>
                  <w:vMerge w:val="continue"/>
                  <w:tcBorders>
                    <w:tl2br w:val="nil"/>
                    <w:tr2bl w:val="nil"/>
                  </w:tcBorders>
                  <w:noWrap w:val="0"/>
                  <w:vAlign w:val="center"/>
                </w:tcPr>
                <w:p w14:paraId="512C749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725" w:type="pct"/>
                  <w:vMerge w:val="continue"/>
                  <w:tcBorders>
                    <w:tl2br w:val="nil"/>
                    <w:tr2bl w:val="nil"/>
                  </w:tcBorders>
                  <w:noWrap w:val="0"/>
                  <w:vAlign w:val="center"/>
                </w:tcPr>
                <w:p w14:paraId="6F833E2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281" w:type="pct"/>
                  <w:vMerge w:val="continue"/>
                  <w:tcBorders>
                    <w:tl2br w:val="nil"/>
                    <w:tr2bl w:val="nil"/>
                  </w:tcBorders>
                  <w:noWrap w:val="0"/>
                  <w:vAlign w:val="center"/>
                </w:tcPr>
                <w:p w14:paraId="492DECF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326" w:type="pct"/>
                  <w:tcBorders>
                    <w:tl2br w:val="nil"/>
                    <w:tr2bl w:val="nil"/>
                  </w:tcBorders>
                  <w:noWrap w:val="0"/>
                  <w:vAlign w:val="center"/>
                </w:tcPr>
                <w:p w14:paraId="1EB478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（声压级/距声源距离）/（dB</w:t>
                  </w:r>
                  <w:r>
                    <w:rPr>
                      <w:rFonts w:hint="eastAsia" w:cs="Times New Roman"/>
                      <w:color w:val="auto"/>
                      <w:sz w:val="18"/>
                      <w:szCs w:val="18"/>
                      <w:highlight w:val="none"/>
                      <w:lang w:val="en-US" w:eastAsia="zh-CN"/>
                    </w:rPr>
                    <w:t>（A）</w:t>
                  </w:r>
                  <w:r>
                    <w:rPr>
                      <w:rFonts w:hint="default" w:ascii="Times New Roman" w:hAnsi="Times New Roman" w:eastAsia="宋体" w:cs="Times New Roman"/>
                      <w:color w:val="auto"/>
                      <w:sz w:val="18"/>
                      <w:szCs w:val="18"/>
                      <w:highlight w:val="none"/>
                      <w:lang w:val="en-US" w:eastAsia="zh-CN"/>
                    </w:rPr>
                    <w:t>/m）</w:t>
                  </w:r>
                </w:p>
              </w:tc>
              <w:tc>
                <w:tcPr>
                  <w:tcW w:w="240" w:type="pct"/>
                  <w:tcBorders>
                    <w:tl2br w:val="nil"/>
                    <w:tr2bl w:val="nil"/>
                  </w:tcBorders>
                  <w:noWrap w:val="0"/>
                  <w:vAlign w:val="center"/>
                </w:tcPr>
                <w:p w14:paraId="27386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声功率级/dB</w:t>
                  </w:r>
                  <w:r>
                    <w:rPr>
                      <w:rFonts w:hint="eastAsia" w:cs="Times New Roman"/>
                      <w:color w:val="auto"/>
                      <w:sz w:val="18"/>
                      <w:szCs w:val="18"/>
                      <w:highlight w:val="none"/>
                      <w:lang w:val="en-US" w:eastAsia="zh-CN"/>
                    </w:rPr>
                    <w:t>（A）</w:t>
                  </w:r>
                </w:p>
              </w:tc>
              <w:tc>
                <w:tcPr>
                  <w:tcW w:w="882" w:type="pct"/>
                  <w:vMerge w:val="continue"/>
                  <w:tcBorders>
                    <w:tl2br w:val="nil"/>
                    <w:tr2bl w:val="nil"/>
                  </w:tcBorders>
                  <w:noWrap w:val="0"/>
                  <w:vAlign w:val="center"/>
                </w:tcPr>
                <w:p w14:paraId="11D9E2F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248" w:type="pct"/>
                  <w:tcBorders>
                    <w:tl2br w:val="nil"/>
                    <w:tr2bl w:val="nil"/>
                  </w:tcBorders>
                  <w:noWrap w:val="0"/>
                  <w:vAlign w:val="center"/>
                </w:tcPr>
                <w:p w14:paraId="221D487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X</w:t>
                  </w:r>
                </w:p>
              </w:tc>
              <w:tc>
                <w:tcPr>
                  <w:tcW w:w="255" w:type="pct"/>
                  <w:tcBorders>
                    <w:tl2br w:val="nil"/>
                    <w:tr2bl w:val="nil"/>
                  </w:tcBorders>
                  <w:noWrap w:val="0"/>
                  <w:vAlign w:val="center"/>
                </w:tcPr>
                <w:p w14:paraId="7BA2A3C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Y</w:t>
                  </w:r>
                </w:p>
              </w:tc>
              <w:tc>
                <w:tcPr>
                  <w:tcW w:w="189" w:type="pct"/>
                  <w:tcBorders>
                    <w:tl2br w:val="nil"/>
                    <w:tr2bl w:val="nil"/>
                  </w:tcBorders>
                  <w:noWrap w:val="0"/>
                  <w:vAlign w:val="center"/>
                </w:tcPr>
                <w:p w14:paraId="6290572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Z</w:t>
                  </w:r>
                </w:p>
              </w:tc>
              <w:tc>
                <w:tcPr>
                  <w:tcW w:w="237" w:type="pct"/>
                  <w:vMerge w:val="continue"/>
                  <w:tcBorders>
                    <w:tl2br w:val="nil"/>
                    <w:tr2bl w:val="nil"/>
                  </w:tcBorders>
                  <w:noWrap w:val="0"/>
                  <w:vAlign w:val="center"/>
                </w:tcPr>
                <w:p w14:paraId="0A8164A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300" w:type="pct"/>
                  <w:vMerge w:val="continue"/>
                  <w:tcBorders>
                    <w:tl2br w:val="nil"/>
                    <w:tr2bl w:val="nil"/>
                  </w:tcBorders>
                  <w:noWrap w:val="0"/>
                  <w:vAlign w:val="center"/>
                </w:tcPr>
                <w:p w14:paraId="21421F2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370" w:type="pct"/>
                  <w:vMerge w:val="continue"/>
                  <w:tcBorders>
                    <w:tl2br w:val="nil"/>
                    <w:tr2bl w:val="nil"/>
                  </w:tcBorders>
                  <w:noWrap w:val="0"/>
                  <w:vAlign w:val="center"/>
                </w:tcPr>
                <w:p w14:paraId="31B21B9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274" w:type="pct"/>
                  <w:vMerge w:val="continue"/>
                  <w:tcBorders>
                    <w:tl2br w:val="nil"/>
                    <w:tr2bl w:val="nil"/>
                  </w:tcBorders>
                  <w:noWrap w:val="0"/>
                  <w:vAlign w:val="center"/>
                </w:tcPr>
                <w:p w14:paraId="1213354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p>
              </w:tc>
              <w:tc>
                <w:tcPr>
                  <w:tcW w:w="288" w:type="pct"/>
                  <w:tcBorders>
                    <w:tl2br w:val="nil"/>
                    <w:tr2bl w:val="nil"/>
                  </w:tcBorders>
                  <w:noWrap w:val="0"/>
                  <w:vAlign w:val="center"/>
                </w:tcPr>
                <w:p w14:paraId="6B1D5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声压级</w:t>
                  </w:r>
                </w:p>
                <w:p w14:paraId="5E1DF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/dB</w:t>
                  </w:r>
                  <w:r>
                    <w:rPr>
                      <w:rFonts w:hint="eastAsia" w:cs="Times New Roman"/>
                      <w:color w:val="auto"/>
                      <w:sz w:val="18"/>
                      <w:szCs w:val="18"/>
                      <w:highlight w:val="none"/>
                      <w:lang w:val="en-US" w:eastAsia="zh-CN"/>
                    </w:rPr>
                    <w:t>（A）</w:t>
                  </w:r>
                </w:p>
              </w:tc>
              <w:tc>
                <w:tcPr>
                  <w:tcW w:w="232" w:type="pct"/>
                  <w:tcBorders>
                    <w:tl2br w:val="nil"/>
                    <w:tr2bl w:val="nil"/>
                  </w:tcBorders>
                  <w:noWrap w:val="0"/>
                  <w:vAlign w:val="center"/>
                </w:tcPr>
                <w:p w14:paraId="5B49E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建筑物外距离</w:t>
                  </w:r>
                </w:p>
              </w:tc>
            </w:tr>
            <w:tr w14:paraId="34C8F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6C933BC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725" w:type="pct"/>
                  <w:tcBorders>
                    <w:tl2br w:val="nil"/>
                    <w:tr2bl w:val="nil"/>
                  </w:tcBorders>
                  <w:noWrap w:val="0"/>
                  <w:vAlign w:val="center"/>
                </w:tcPr>
                <w:p w14:paraId="5F76538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火检冷却风机及电机</w:t>
                  </w:r>
                </w:p>
              </w:tc>
              <w:tc>
                <w:tcPr>
                  <w:tcW w:w="281" w:type="pct"/>
                  <w:tcBorders>
                    <w:tl2br w:val="nil"/>
                    <w:tr2bl w:val="nil"/>
                  </w:tcBorders>
                  <w:noWrap w:val="0"/>
                  <w:vAlign w:val="center"/>
                </w:tcPr>
                <w:p w14:paraId="1CB9EC8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7DEFC6F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E0083D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w:t>
                  </w:r>
                </w:p>
              </w:tc>
              <w:tc>
                <w:tcPr>
                  <w:tcW w:w="882" w:type="pct"/>
                  <w:tcBorders>
                    <w:tl2br w:val="nil"/>
                    <w:tr2bl w:val="nil"/>
                  </w:tcBorders>
                  <w:noWrap w:val="0"/>
                  <w:vAlign w:val="center"/>
                </w:tcPr>
                <w:p w14:paraId="4DA986D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0BAAA4C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82</w:t>
                  </w:r>
                </w:p>
              </w:tc>
              <w:tc>
                <w:tcPr>
                  <w:tcW w:w="255" w:type="pct"/>
                  <w:tcBorders>
                    <w:tl2br w:val="nil"/>
                    <w:tr2bl w:val="nil"/>
                  </w:tcBorders>
                  <w:noWrap w:val="0"/>
                  <w:vAlign w:val="center"/>
                </w:tcPr>
                <w:p w14:paraId="126F06E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-97</w:t>
                  </w:r>
                </w:p>
              </w:tc>
              <w:tc>
                <w:tcPr>
                  <w:tcW w:w="189" w:type="pct"/>
                  <w:tcBorders>
                    <w:tl2br w:val="nil"/>
                    <w:tr2bl w:val="nil"/>
                  </w:tcBorders>
                  <w:noWrap w:val="0"/>
                  <w:vAlign w:val="center"/>
                </w:tcPr>
                <w:p w14:paraId="2C8DADE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4989158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0B3D200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82.97</w:t>
                  </w:r>
                </w:p>
              </w:tc>
              <w:tc>
                <w:tcPr>
                  <w:tcW w:w="370" w:type="pct"/>
                  <w:tcBorders>
                    <w:tl2br w:val="nil"/>
                    <w:tr2bl w:val="nil"/>
                  </w:tcBorders>
                  <w:noWrap w:val="0"/>
                  <w:vAlign w:val="center"/>
                </w:tcPr>
                <w:p w14:paraId="37D5D74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49A89E5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3BF2EF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51.93</w:t>
                  </w:r>
                </w:p>
              </w:tc>
              <w:tc>
                <w:tcPr>
                  <w:tcW w:w="232" w:type="pct"/>
                  <w:tcBorders>
                    <w:tl2br w:val="nil"/>
                    <w:tr2bl w:val="nil"/>
                  </w:tcBorders>
                  <w:noWrap w:val="0"/>
                  <w:vAlign w:val="center"/>
                </w:tcPr>
                <w:p w14:paraId="7BA0F7C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5FC153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7241EB0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w:t>
                  </w:r>
                </w:p>
              </w:tc>
              <w:tc>
                <w:tcPr>
                  <w:tcW w:w="725" w:type="pct"/>
                  <w:tcBorders>
                    <w:tl2br w:val="nil"/>
                    <w:tr2bl w:val="nil"/>
                  </w:tcBorders>
                  <w:noWrap w:val="0"/>
                  <w:vAlign w:val="center"/>
                </w:tcPr>
                <w:p w14:paraId="6D44F7F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汽轮机</w:t>
                  </w:r>
                </w:p>
              </w:tc>
              <w:tc>
                <w:tcPr>
                  <w:tcW w:w="281" w:type="pct"/>
                  <w:tcBorders>
                    <w:tl2br w:val="nil"/>
                    <w:tr2bl w:val="nil"/>
                  </w:tcBorders>
                  <w:noWrap w:val="0"/>
                  <w:vAlign w:val="center"/>
                </w:tcPr>
                <w:p w14:paraId="0D2EABB1">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D214D0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6F9D79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95</w:t>
                  </w:r>
                </w:p>
              </w:tc>
              <w:tc>
                <w:tcPr>
                  <w:tcW w:w="882" w:type="pct"/>
                  <w:tcBorders>
                    <w:tl2br w:val="nil"/>
                    <w:tr2bl w:val="nil"/>
                  </w:tcBorders>
                  <w:noWrap w:val="0"/>
                  <w:vAlign w:val="center"/>
                </w:tcPr>
                <w:p w14:paraId="395F22F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6A0CF8E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255" w:type="pct"/>
                  <w:tcBorders>
                    <w:tl2br w:val="nil"/>
                    <w:tr2bl w:val="nil"/>
                  </w:tcBorders>
                  <w:noWrap w:val="0"/>
                  <w:vAlign w:val="center"/>
                </w:tcPr>
                <w:p w14:paraId="4A1F645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-110</w:t>
                  </w:r>
                </w:p>
              </w:tc>
              <w:tc>
                <w:tcPr>
                  <w:tcW w:w="189" w:type="pct"/>
                  <w:tcBorders>
                    <w:tl2br w:val="nil"/>
                    <w:tr2bl w:val="nil"/>
                  </w:tcBorders>
                  <w:noWrap w:val="0"/>
                  <w:vAlign w:val="center"/>
                </w:tcPr>
                <w:p w14:paraId="301143D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484E734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29369D8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87.97</w:t>
                  </w:r>
                </w:p>
              </w:tc>
              <w:tc>
                <w:tcPr>
                  <w:tcW w:w="370" w:type="pct"/>
                  <w:tcBorders>
                    <w:tl2br w:val="nil"/>
                    <w:tr2bl w:val="nil"/>
                  </w:tcBorders>
                  <w:noWrap w:val="0"/>
                  <w:vAlign w:val="center"/>
                </w:tcPr>
                <w:p w14:paraId="155C2C0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488B847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23868E4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56.93</w:t>
                  </w:r>
                </w:p>
              </w:tc>
              <w:tc>
                <w:tcPr>
                  <w:tcW w:w="232" w:type="pct"/>
                  <w:tcBorders>
                    <w:tl2br w:val="nil"/>
                    <w:tr2bl w:val="nil"/>
                  </w:tcBorders>
                  <w:noWrap w:val="0"/>
                  <w:vAlign w:val="center"/>
                </w:tcPr>
                <w:p w14:paraId="6B47751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69A7A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48168E1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w:t>
                  </w:r>
                </w:p>
              </w:tc>
              <w:tc>
                <w:tcPr>
                  <w:tcW w:w="725" w:type="pct"/>
                  <w:tcBorders>
                    <w:tl2br w:val="nil"/>
                    <w:tr2bl w:val="nil"/>
                  </w:tcBorders>
                  <w:noWrap w:val="0"/>
                  <w:vAlign w:val="center"/>
                </w:tcPr>
                <w:p w14:paraId="067F3EF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发电机</w:t>
                  </w:r>
                </w:p>
              </w:tc>
              <w:tc>
                <w:tcPr>
                  <w:tcW w:w="281" w:type="pct"/>
                  <w:tcBorders>
                    <w:tl2br w:val="nil"/>
                    <w:tr2bl w:val="nil"/>
                  </w:tcBorders>
                  <w:noWrap w:val="0"/>
                  <w:vAlign w:val="center"/>
                </w:tcPr>
                <w:p w14:paraId="7EA08C4B">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ADF2CC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370E8A7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w:t>
                  </w:r>
                </w:p>
              </w:tc>
              <w:tc>
                <w:tcPr>
                  <w:tcW w:w="882" w:type="pct"/>
                  <w:tcBorders>
                    <w:tl2br w:val="nil"/>
                    <w:tr2bl w:val="nil"/>
                  </w:tcBorders>
                  <w:noWrap w:val="0"/>
                  <w:vAlign w:val="center"/>
                </w:tcPr>
                <w:p w14:paraId="7B572F2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77F49F8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w:t>
                  </w:r>
                </w:p>
              </w:tc>
              <w:tc>
                <w:tcPr>
                  <w:tcW w:w="255" w:type="pct"/>
                  <w:tcBorders>
                    <w:tl2br w:val="nil"/>
                    <w:tr2bl w:val="nil"/>
                  </w:tcBorders>
                  <w:noWrap w:val="0"/>
                  <w:vAlign w:val="center"/>
                </w:tcPr>
                <w:p w14:paraId="6385B1A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19</w:t>
                  </w:r>
                </w:p>
              </w:tc>
              <w:tc>
                <w:tcPr>
                  <w:tcW w:w="189" w:type="pct"/>
                  <w:tcBorders>
                    <w:tl2br w:val="nil"/>
                    <w:tr2bl w:val="nil"/>
                  </w:tcBorders>
                  <w:noWrap w:val="0"/>
                  <w:vAlign w:val="center"/>
                </w:tcPr>
                <w:p w14:paraId="1C52A58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4080A99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89F7E6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82.97</w:t>
                  </w:r>
                </w:p>
              </w:tc>
              <w:tc>
                <w:tcPr>
                  <w:tcW w:w="370" w:type="pct"/>
                  <w:tcBorders>
                    <w:tl2br w:val="nil"/>
                    <w:tr2bl w:val="nil"/>
                  </w:tcBorders>
                  <w:noWrap w:val="0"/>
                  <w:vAlign w:val="center"/>
                </w:tcPr>
                <w:p w14:paraId="62BE5D0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3FB12A6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1F792B2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51.93</w:t>
                  </w:r>
                </w:p>
              </w:tc>
              <w:tc>
                <w:tcPr>
                  <w:tcW w:w="232" w:type="pct"/>
                  <w:tcBorders>
                    <w:tl2br w:val="nil"/>
                    <w:tr2bl w:val="nil"/>
                  </w:tcBorders>
                  <w:noWrap w:val="0"/>
                  <w:vAlign w:val="center"/>
                </w:tcPr>
                <w:p w14:paraId="54D3DE0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1502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1F8AC5D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w:t>
                  </w:r>
                </w:p>
              </w:tc>
              <w:tc>
                <w:tcPr>
                  <w:tcW w:w="725" w:type="pct"/>
                  <w:tcBorders>
                    <w:tl2br w:val="nil"/>
                    <w:tr2bl w:val="nil"/>
                  </w:tcBorders>
                  <w:noWrap w:val="0"/>
                  <w:vAlign w:val="center"/>
                </w:tcPr>
                <w:p w14:paraId="167F47D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凝结水泵</w:t>
                  </w:r>
                </w:p>
              </w:tc>
              <w:tc>
                <w:tcPr>
                  <w:tcW w:w="281" w:type="pct"/>
                  <w:tcBorders>
                    <w:tl2br w:val="nil"/>
                    <w:tr2bl w:val="nil"/>
                  </w:tcBorders>
                  <w:noWrap w:val="0"/>
                  <w:vAlign w:val="center"/>
                </w:tcPr>
                <w:p w14:paraId="111C87AF">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62ADB8B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77D8C9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32882AF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1484700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25</w:t>
                  </w:r>
                </w:p>
              </w:tc>
              <w:tc>
                <w:tcPr>
                  <w:tcW w:w="255" w:type="pct"/>
                  <w:tcBorders>
                    <w:tl2br w:val="nil"/>
                    <w:tr2bl w:val="nil"/>
                  </w:tcBorders>
                  <w:noWrap w:val="0"/>
                  <w:vAlign w:val="center"/>
                </w:tcPr>
                <w:p w14:paraId="1C1D5CC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-57</w:t>
                  </w:r>
                </w:p>
              </w:tc>
              <w:tc>
                <w:tcPr>
                  <w:tcW w:w="189" w:type="pct"/>
                  <w:tcBorders>
                    <w:tl2br w:val="nil"/>
                    <w:tr2bl w:val="nil"/>
                  </w:tcBorders>
                  <w:noWrap w:val="0"/>
                  <w:vAlign w:val="center"/>
                </w:tcPr>
                <w:p w14:paraId="3AA14A2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2BB734C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66C7222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34CA692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409EE83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480AA14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3EF9C0B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018BC8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7C84383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w:t>
                  </w:r>
                </w:p>
              </w:tc>
              <w:tc>
                <w:tcPr>
                  <w:tcW w:w="725" w:type="pct"/>
                  <w:tcBorders>
                    <w:tl2br w:val="nil"/>
                    <w:tr2bl w:val="nil"/>
                  </w:tcBorders>
                  <w:noWrap w:val="0"/>
                  <w:vAlign w:val="center"/>
                </w:tcPr>
                <w:p w14:paraId="1EDF927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低加疏水泵</w:t>
                  </w:r>
                </w:p>
              </w:tc>
              <w:tc>
                <w:tcPr>
                  <w:tcW w:w="281" w:type="pct"/>
                  <w:tcBorders>
                    <w:tl2br w:val="nil"/>
                    <w:tr2bl w:val="nil"/>
                  </w:tcBorders>
                  <w:noWrap w:val="0"/>
                  <w:vAlign w:val="center"/>
                </w:tcPr>
                <w:p w14:paraId="6FC3DB8A">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39E38CD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3F96339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2D2FFF4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583A45A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255" w:type="pct"/>
                  <w:tcBorders>
                    <w:tl2br w:val="nil"/>
                    <w:tr2bl w:val="nil"/>
                  </w:tcBorders>
                  <w:noWrap w:val="0"/>
                  <w:vAlign w:val="center"/>
                </w:tcPr>
                <w:p w14:paraId="2919DB0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14</w:t>
                  </w:r>
                </w:p>
              </w:tc>
              <w:tc>
                <w:tcPr>
                  <w:tcW w:w="189" w:type="pct"/>
                  <w:tcBorders>
                    <w:tl2br w:val="nil"/>
                    <w:tr2bl w:val="nil"/>
                  </w:tcBorders>
                  <w:noWrap w:val="0"/>
                  <w:vAlign w:val="center"/>
                </w:tcPr>
                <w:p w14:paraId="7C750B1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5197A77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04769EE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0DD77CC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69C25A0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357EF67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21DDF2D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6A0336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3C89D77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w:t>
                  </w:r>
                </w:p>
              </w:tc>
              <w:tc>
                <w:tcPr>
                  <w:tcW w:w="725" w:type="pct"/>
                  <w:tcBorders>
                    <w:tl2br w:val="nil"/>
                    <w:tr2bl w:val="nil"/>
                  </w:tcBorders>
                  <w:noWrap w:val="0"/>
                  <w:vAlign w:val="center"/>
                </w:tcPr>
                <w:p w14:paraId="0CEB3C3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水环真空泵</w:t>
                  </w:r>
                </w:p>
              </w:tc>
              <w:tc>
                <w:tcPr>
                  <w:tcW w:w="281" w:type="pct"/>
                  <w:tcBorders>
                    <w:tl2br w:val="nil"/>
                    <w:tr2bl w:val="nil"/>
                  </w:tcBorders>
                  <w:noWrap w:val="0"/>
                  <w:vAlign w:val="center"/>
                </w:tcPr>
                <w:p w14:paraId="6AD28E1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438BA38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8FDB4A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68064B7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005E038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73</w:t>
                  </w:r>
                </w:p>
              </w:tc>
              <w:tc>
                <w:tcPr>
                  <w:tcW w:w="255" w:type="pct"/>
                  <w:tcBorders>
                    <w:tl2br w:val="nil"/>
                    <w:tr2bl w:val="nil"/>
                  </w:tcBorders>
                  <w:noWrap w:val="0"/>
                  <w:vAlign w:val="center"/>
                </w:tcPr>
                <w:p w14:paraId="684CFBC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-139</w:t>
                  </w:r>
                </w:p>
              </w:tc>
              <w:tc>
                <w:tcPr>
                  <w:tcW w:w="189" w:type="pct"/>
                  <w:tcBorders>
                    <w:tl2br w:val="nil"/>
                    <w:tr2bl w:val="nil"/>
                  </w:tcBorders>
                  <w:noWrap w:val="0"/>
                  <w:vAlign w:val="center"/>
                </w:tcPr>
                <w:p w14:paraId="52DB78E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6B71BF5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733F181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083AC10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76570D4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54FC1D0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7BE3D67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0AEB93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1C0F898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w:t>
                  </w:r>
                </w:p>
              </w:tc>
              <w:tc>
                <w:tcPr>
                  <w:tcW w:w="725" w:type="pct"/>
                  <w:tcBorders>
                    <w:tl2br w:val="nil"/>
                    <w:tr2bl w:val="nil"/>
                  </w:tcBorders>
                  <w:noWrap w:val="0"/>
                  <w:vAlign w:val="center"/>
                </w:tcPr>
                <w:p w14:paraId="35A9275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电动双沟桥式起重机</w:t>
                  </w:r>
                </w:p>
              </w:tc>
              <w:tc>
                <w:tcPr>
                  <w:tcW w:w="281" w:type="pct"/>
                  <w:tcBorders>
                    <w:tl2br w:val="nil"/>
                    <w:tr2bl w:val="nil"/>
                  </w:tcBorders>
                  <w:noWrap w:val="0"/>
                  <w:vAlign w:val="center"/>
                </w:tcPr>
                <w:p w14:paraId="11905D5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4442C48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030D3A6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5C5BE3C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0AC8E18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23</w:t>
                  </w:r>
                </w:p>
              </w:tc>
              <w:tc>
                <w:tcPr>
                  <w:tcW w:w="255" w:type="pct"/>
                  <w:tcBorders>
                    <w:tl2br w:val="nil"/>
                    <w:tr2bl w:val="nil"/>
                  </w:tcBorders>
                  <w:noWrap w:val="0"/>
                  <w:vAlign w:val="center"/>
                </w:tcPr>
                <w:p w14:paraId="632771F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-58</w:t>
                  </w:r>
                </w:p>
              </w:tc>
              <w:tc>
                <w:tcPr>
                  <w:tcW w:w="189" w:type="pct"/>
                  <w:tcBorders>
                    <w:tl2br w:val="nil"/>
                    <w:tr2bl w:val="nil"/>
                  </w:tcBorders>
                  <w:noWrap w:val="0"/>
                  <w:vAlign w:val="center"/>
                </w:tcPr>
                <w:p w14:paraId="51CF4C9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6CD1017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711DB77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4257F6B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E4338A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6ECB2DE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092DAA1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0D8CB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61B454E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w:t>
                  </w:r>
                </w:p>
              </w:tc>
              <w:tc>
                <w:tcPr>
                  <w:tcW w:w="725" w:type="pct"/>
                  <w:tcBorders>
                    <w:tl2br w:val="nil"/>
                    <w:tr2bl w:val="nil"/>
                  </w:tcBorders>
                  <w:noWrap w:val="0"/>
                  <w:vAlign w:val="center"/>
                </w:tcPr>
                <w:p w14:paraId="6E1D807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电动给水泵</w:t>
                  </w:r>
                </w:p>
              </w:tc>
              <w:tc>
                <w:tcPr>
                  <w:tcW w:w="281" w:type="pct"/>
                  <w:tcBorders>
                    <w:tl2br w:val="nil"/>
                    <w:tr2bl w:val="nil"/>
                  </w:tcBorders>
                  <w:noWrap w:val="0"/>
                  <w:vAlign w:val="center"/>
                </w:tcPr>
                <w:p w14:paraId="0692CCD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034DFE7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E56A0D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2E1E8B9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21E6F5B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52</w:t>
                  </w:r>
                </w:p>
              </w:tc>
              <w:tc>
                <w:tcPr>
                  <w:tcW w:w="255" w:type="pct"/>
                  <w:tcBorders>
                    <w:tl2br w:val="nil"/>
                    <w:tr2bl w:val="nil"/>
                  </w:tcBorders>
                  <w:noWrap w:val="0"/>
                  <w:vAlign w:val="center"/>
                </w:tcPr>
                <w:p w14:paraId="0CFB42C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-153</w:t>
                  </w:r>
                </w:p>
              </w:tc>
              <w:tc>
                <w:tcPr>
                  <w:tcW w:w="189" w:type="pct"/>
                  <w:tcBorders>
                    <w:tl2br w:val="nil"/>
                    <w:tr2bl w:val="nil"/>
                  </w:tcBorders>
                  <w:noWrap w:val="0"/>
                  <w:vAlign w:val="center"/>
                </w:tcPr>
                <w:p w14:paraId="46BEA7E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7FF8265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6F9773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2A236B3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1A3EB04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302E725B">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6986DBD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4075D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63BAB53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w:t>
                  </w:r>
                </w:p>
              </w:tc>
              <w:tc>
                <w:tcPr>
                  <w:tcW w:w="725" w:type="pct"/>
                  <w:tcBorders>
                    <w:tl2br w:val="nil"/>
                    <w:tr2bl w:val="nil"/>
                  </w:tcBorders>
                  <w:noWrap w:val="0"/>
                  <w:vAlign w:val="center"/>
                </w:tcPr>
                <w:p w14:paraId="4A17C2C0">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000000"/>
                      <w:sz w:val="18"/>
                      <w:szCs w:val="18"/>
                      <w:lang w:val="en-US" w:eastAsia="zh-CN"/>
                    </w:rPr>
                    <w:t>润滑油真空滤油机</w:t>
                  </w:r>
                </w:p>
              </w:tc>
              <w:tc>
                <w:tcPr>
                  <w:tcW w:w="281" w:type="pct"/>
                  <w:tcBorders>
                    <w:tl2br w:val="nil"/>
                    <w:tr2bl w:val="nil"/>
                  </w:tcBorders>
                  <w:noWrap w:val="0"/>
                  <w:vAlign w:val="center"/>
                </w:tcPr>
                <w:p w14:paraId="7DB6B1C7">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68BC0DB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4850796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24A0548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2A564B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30</w:t>
                  </w:r>
                </w:p>
              </w:tc>
              <w:tc>
                <w:tcPr>
                  <w:tcW w:w="255" w:type="pct"/>
                  <w:tcBorders>
                    <w:tl2br w:val="nil"/>
                    <w:tr2bl w:val="nil"/>
                  </w:tcBorders>
                  <w:noWrap w:val="0"/>
                  <w:vAlign w:val="center"/>
                </w:tcPr>
                <w:p w14:paraId="0B389A6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32</w:t>
                  </w:r>
                </w:p>
              </w:tc>
              <w:tc>
                <w:tcPr>
                  <w:tcW w:w="189" w:type="pct"/>
                  <w:tcBorders>
                    <w:tl2br w:val="nil"/>
                    <w:tr2bl w:val="nil"/>
                  </w:tcBorders>
                  <w:noWrap w:val="0"/>
                  <w:vAlign w:val="center"/>
                </w:tcPr>
                <w:p w14:paraId="379E761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7D13FBC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412364F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0E22CC4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A67427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0D8C025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7F4C6AF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6EF895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47EDB67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w:t>
                  </w:r>
                </w:p>
              </w:tc>
              <w:tc>
                <w:tcPr>
                  <w:tcW w:w="725" w:type="pct"/>
                  <w:tcBorders>
                    <w:tl2br w:val="nil"/>
                    <w:tr2bl w:val="nil"/>
                  </w:tcBorders>
                  <w:noWrap w:val="0"/>
                  <w:vAlign w:val="center"/>
                </w:tcPr>
                <w:p w14:paraId="358DE88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循环水泵</w:t>
                  </w:r>
                </w:p>
              </w:tc>
              <w:tc>
                <w:tcPr>
                  <w:tcW w:w="281" w:type="pct"/>
                  <w:tcBorders>
                    <w:tl2br w:val="nil"/>
                    <w:tr2bl w:val="nil"/>
                  </w:tcBorders>
                  <w:noWrap w:val="0"/>
                  <w:vAlign w:val="center"/>
                </w:tcPr>
                <w:p w14:paraId="4E013F8B">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12A0D66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653E3A8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0E9B8C0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3D4B432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w:t>
                  </w:r>
                </w:p>
              </w:tc>
              <w:tc>
                <w:tcPr>
                  <w:tcW w:w="255" w:type="pct"/>
                  <w:tcBorders>
                    <w:tl2br w:val="nil"/>
                    <w:tr2bl w:val="nil"/>
                  </w:tcBorders>
                  <w:noWrap w:val="0"/>
                  <w:vAlign w:val="center"/>
                </w:tcPr>
                <w:p w14:paraId="148F294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-50</w:t>
                  </w:r>
                </w:p>
              </w:tc>
              <w:tc>
                <w:tcPr>
                  <w:tcW w:w="189" w:type="pct"/>
                  <w:tcBorders>
                    <w:tl2br w:val="nil"/>
                    <w:tr2bl w:val="nil"/>
                  </w:tcBorders>
                  <w:noWrap w:val="0"/>
                  <w:vAlign w:val="center"/>
                </w:tcPr>
                <w:p w14:paraId="2E55BA0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6FD95EE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203E98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6C4C289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12605FC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0E1587F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142ED0D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3AE7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3F44184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11</w:t>
                  </w:r>
                </w:p>
              </w:tc>
              <w:tc>
                <w:tcPr>
                  <w:tcW w:w="725" w:type="pct"/>
                  <w:tcBorders>
                    <w:tl2br w:val="nil"/>
                    <w:tr2bl w:val="nil"/>
                  </w:tcBorders>
                  <w:noWrap w:val="0"/>
                  <w:vAlign w:val="center"/>
                </w:tcPr>
                <w:p w14:paraId="0A02064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旁滤水泵</w:t>
                  </w:r>
                </w:p>
              </w:tc>
              <w:tc>
                <w:tcPr>
                  <w:tcW w:w="281" w:type="pct"/>
                  <w:tcBorders>
                    <w:tl2br w:val="nil"/>
                    <w:tr2bl w:val="nil"/>
                  </w:tcBorders>
                  <w:noWrap w:val="0"/>
                  <w:vAlign w:val="center"/>
                </w:tcPr>
                <w:p w14:paraId="55C781B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AA2D7B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355A86D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61A12FC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3B58964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-16</w:t>
                  </w:r>
                </w:p>
              </w:tc>
              <w:tc>
                <w:tcPr>
                  <w:tcW w:w="255" w:type="pct"/>
                  <w:tcBorders>
                    <w:tl2br w:val="nil"/>
                    <w:tr2bl w:val="nil"/>
                  </w:tcBorders>
                  <w:noWrap w:val="0"/>
                  <w:vAlign w:val="center"/>
                </w:tcPr>
                <w:p w14:paraId="13B0C66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-40</w:t>
                  </w:r>
                </w:p>
              </w:tc>
              <w:tc>
                <w:tcPr>
                  <w:tcW w:w="189" w:type="pct"/>
                  <w:tcBorders>
                    <w:tl2br w:val="nil"/>
                    <w:tr2bl w:val="nil"/>
                  </w:tcBorders>
                  <w:noWrap w:val="0"/>
                  <w:vAlign w:val="center"/>
                </w:tcPr>
                <w:p w14:paraId="214BA1C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0C8B2B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115BD1E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41E070A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73FB83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674B275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4D05FAD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1B74C4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0762946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12</w:t>
                  </w:r>
                </w:p>
              </w:tc>
              <w:tc>
                <w:tcPr>
                  <w:tcW w:w="725" w:type="pct"/>
                  <w:tcBorders>
                    <w:tl2br w:val="nil"/>
                    <w:tr2bl w:val="nil"/>
                  </w:tcBorders>
                  <w:noWrap w:val="0"/>
                  <w:vAlign w:val="center"/>
                </w:tcPr>
                <w:p w14:paraId="797AC25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循环水增压泵</w:t>
                  </w:r>
                </w:p>
              </w:tc>
              <w:tc>
                <w:tcPr>
                  <w:tcW w:w="281" w:type="pct"/>
                  <w:tcBorders>
                    <w:tl2br w:val="nil"/>
                    <w:tr2bl w:val="nil"/>
                  </w:tcBorders>
                  <w:noWrap w:val="0"/>
                  <w:vAlign w:val="center"/>
                </w:tcPr>
                <w:p w14:paraId="792A724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1CE0552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075B771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67549D7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59365AF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w:t>
                  </w:r>
                </w:p>
              </w:tc>
              <w:tc>
                <w:tcPr>
                  <w:tcW w:w="255" w:type="pct"/>
                  <w:tcBorders>
                    <w:tl2br w:val="nil"/>
                    <w:tr2bl w:val="nil"/>
                  </w:tcBorders>
                  <w:noWrap w:val="0"/>
                  <w:vAlign w:val="center"/>
                </w:tcPr>
                <w:p w14:paraId="551C4A1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-38</w:t>
                  </w:r>
                </w:p>
              </w:tc>
              <w:tc>
                <w:tcPr>
                  <w:tcW w:w="189" w:type="pct"/>
                  <w:tcBorders>
                    <w:tl2br w:val="nil"/>
                    <w:tr2bl w:val="nil"/>
                  </w:tcBorders>
                  <w:noWrap w:val="0"/>
                  <w:vAlign w:val="center"/>
                </w:tcPr>
                <w:p w14:paraId="337B0DB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46B8915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09C462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41BE722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6CE5152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5102D13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5710871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1BB79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4E0F18C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13</w:t>
                  </w:r>
                </w:p>
              </w:tc>
              <w:tc>
                <w:tcPr>
                  <w:tcW w:w="725" w:type="pct"/>
                  <w:tcBorders>
                    <w:tl2br w:val="nil"/>
                    <w:tr2bl w:val="nil"/>
                  </w:tcBorders>
                  <w:noWrap w:val="0"/>
                  <w:vAlign w:val="center"/>
                </w:tcPr>
                <w:p w14:paraId="700C4DA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电动单梁悬挂起重机</w:t>
                  </w:r>
                </w:p>
              </w:tc>
              <w:tc>
                <w:tcPr>
                  <w:tcW w:w="281" w:type="pct"/>
                  <w:tcBorders>
                    <w:tl2br w:val="nil"/>
                    <w:tr2bl w:val="nil"/>
                  </w:tcBorders>
                  <w:noWrap w:val="0"/>
                  <w:vAlign w:val="center"/>
                </w:tcPr>
                <w:p w14:paraId="5FF9B19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AA2FDF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133190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0C2B127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6851FD7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92</w:t>
                  </w:r>
                </w:p>
              </w:tc>
              <w:tc>
                <w:tcPr>
                  <w:tcW w:w="255" w:type="pct"/>
                  <w:tcBorders>
                    <w:tl2br w:val="nil"/>
                    <w:tr2bl w:val="nil"/>
                  </w:tcBorders>
                  <w:noWrap w:val="0"/>
                  <w:vAlign w:val="center"/>
                </w:tcPr>
                <w:p w14:paraId="73A0C37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-166</w:t>
                  </w:r>
                </w:p>
              </w:tc>
              <w:tc>
                <w:tcPr>
                  <w:tcW w:w="189" w:type="pct"/>
                  <w:tcBorders>
                    <w:tl2br w:val="nil"/>
                    <w:tr2bl w:val="nil"/>
                  </w:tcBorders>
                  <w:noWrap w:val="0"/>
                  <w:vAlign w:val="center"/>
                </w:tcPr>
                <w:p w14:paraId="7159A4A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7A8FE3F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12B7834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2D2F27D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29F15E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6C481F8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2854EEB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17B5F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0D335D2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14</w:t>
                  </w:r>
                </w:p>
              </w:tc>
              <w:tc>
                <w:tcPr>
                  <w:tcW w:w="725" w:type="pct"/>
                  <w:tcBorders>
                    <w:tl2br w:val="nil"/>
                    <w:tr2bl w:val="nil"/>
                  </w:tcBorders>
                  <w:noWrap w:val="0"/>
                  <w:vAlign w:val="center"/>
                </w:tcPr>
                <w:p w14:paraId="0FFC49F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潜污泵</w:t>
                  </w:r>
                </w:p>
              </w:tc>
              <w:tc>
                <w:tcPr>
                  <w:tcW w:w="281" w:type="pct"/>
                  <w:tcBorders>
                    <w:tl2br w:val="nil"/>
                    <w:tr2bl w:val="nil"/>
                  </w:tcBorders>
                  <w:noWrap w:val="0"/>
                  <w:vAlign w:val="center"/>
                </w:tcPr>
                <w:p w14:paraId="3216684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226F5CF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601179F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0BFD73A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98B417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29</w:t>
                  </w:r>
                </w:p>
              </w:tc>
              <w:tc>
                <w:tcPr>
                  <w:tcW w:w="255" w:type="pct"/>
                  <w:tcBorders>
                    <w:tl2br w:val="nil"/>
                    <w:tr2bl w:val="nil"/>
                  </w:tcBorders>
                  <w:noWrap w:val="0"/>
                  <w:vAlign w:val="center"/>
                </w:tcPr>
                <w:p w14:paraId="4D52721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w:t>
                  </w:r>
                </w:p>
              </w:tc>
              <w:tc>
                <w:tcPr>
                  <w:tcW w:w="189" w:type="pct"/>
                  <w:tcBorders>
                    <w:tl2br w:val="nil"/>
                    <w:tr2bl w:val="nil"/>
                  </w:tcBorders>
                  <w:noWrap w:val="0"/>
                  <w:vAlign w:val="center"/>
                </w:tcPr>
                <w:p w14:paraId="59D305A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17B718D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0EFBE72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5E2F9E5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82DD8E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1CC358A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4ED5EF0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6E5049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157D713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15</w:t>
                  </w:r>
                </w:p>
              </w:tc>
              <w:tc>
                <w:tcPr>
                  <w:tcW w:w="725" w:type="pct"/>
                  <w:tcBorders>
                    <w:tl2br w:val="nil"/>
                    <w:tr2bl w:val="nil"/>
                  </w:tcBorders>
                  <w:noWrap w:val="0"/>
                  <w:vAlign w:val="center"/>
                </w:tcPr>
                <w:p w14:paraId="20E1345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排污降温池自吸泵</w:t>
                  </w:r>
                </w:p>
              </w:tc>
              <w:tc>
                <w:tcPr>
                  <w:tcW w:w="281" w:type="pct"/>
                  <w:tcBorders>
                    <w:tl2br w:val="nil"/>
                    <w:tr2bl w:val="nil"/>
                  </w:tcBorders>
                  <w:noWrap w:val="0"/>
                  <w:vAlign w:val="center"/>
                </w:tcPr>
                <w:p w14:paraId="2F48353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10CC59B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5EF889E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37F4744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03449BF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24</w:t>
                  </w:r>
                </w:p>
              </w:tc>
              <w:tc>
                <w:tcPr>
                  <w:tcW w:w="255" w:type="pct"/>
                  <w:tcBorders>
                    <w:tl2br w:val="nil"/>
                    <w:tr2bl w:val="nil"/>
                  </w:tcBorders>
                  <w:noWrap w:val="0"/>
                  <w:vAlign w:val="center"/>
                </w:tcPr>
                <w:p w14:paraId="199AD15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47</w:t>
                  </w:r>
                </w:p>
              </w:tc>
              <w:tc>
                <w:tcPr>
                  <w:tcW w:w="189" w:type="pct"/>
                  <w:tcBorders>
                    <w:tl2br w:val="nil"/>
                    <w:tr2bl w:val="nil"/>
                  </w:tcBorders>
                  <w:noWrap w:val="0"/>
                  <w:vAlign w:val="center"/>
                </w:tcPr>
                <w:p w14:paraId="6643EA1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6A48C53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26A0838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15CABE7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236DB36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2F75A49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5A7AB49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4244CD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77351E5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16</w:t>
                  </w:r>
                </w:p>
              </w:tc>
              <w:tc>
                <w:tcPr>
                  <w:tcW w:w="725" w:type="pct"/>
                  <w:tcBorders>
                    <w:tl2br w:val="nil"/>
                    <w:tr2bl w:val="nil"/>
                  </w:tcBorders>
                  <w:noWrap w:val="0"/>
                  <w:vAlign w:val="center"/>
                </w:tcPr>
                <w:p w14:paraId="41B4C33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再循环泵</w:t>
                  </w:r>
                </w:p>
              </w:tc>
              <w:tc>
                <w:tcPr>
                  <w:tcW w:w="281" w:type="pct"/>
                  <w:tcBorders>
                    <w:tl2br w:val="nil"/>
                    <w:tr2bl w:val="nil"/>
                  </w:tcBorders>
                  <w:noWrap w:val="0"/>
                  <w:vAlign w:val="center"/>
                </w:tcPr>
                <w:p w14:paraId="3CAE489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4455007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9A5503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14A7CFD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81CE6F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31</w:t>
                  </w:r>
                </w:p>
              </w:tc>
              <w:tc>
                <w:tcPr>
                  <w:tcW w:w="255" w:type="pct"/>
                  <w:tcBorders>
                    <w:tl2br w:val="nil"/>
                    <w:tr2bl w:val="nil"/>
                  </w:tcBorders>
                  <w:noWrap w:val="0"/>
                  <w:vAlign w:val="center"/>
                </w:tcPr>
                <w:p w14:paraId="55EE973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w:t>
                  </w:r>
                </w:p>
              </w:tc>
              <w:tc>
                <w:tcPr>
                  <w:tcW w:w="189" w:type="pct"/>
                  <w:tcBorders>
                    <w:tl2br w:val="nil"/>
                    <w:tr2bl w:val="nil"/>
                  </w:tcBorders>
                  <w:noWrap w:val="0"/>
                  <w:vAlign w:val="center"/>
                </w:tcPr>
                <w:p w14:paraId="0E9CB3C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6BD2D2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429337B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31931BC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6654B9A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56BB883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15B5637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789AD3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3FF1E27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17</w:t>
                  </w:r>
                </w:p>
              </w:tc>
              <w:tc>
                <w:tcPr>
                  <w:tcW w:w="725" w:type="pct"/>
                  <w:tcBorders>
                    <w:tl2br w:val="nil"/>
                    <w:tr2bl w:val="nil"/>
                  </w:tcBorders>
                  <w:noWrap w:val="0"/>
                  <w:vAlign w:val="center"/>
                </w:tcPr>
                <w:p w14:paraId="79363E3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排烟风机</w:t>
                  </w:r>
                </w:p>
              </w:tc>
              <w:tc>
                <w:tcPr>
                  <w:tcW w:w="281" w:type="pct"/>
                  <w:tcBorders>
                    <w:tl2br w:val="nil"/>
                    <w:tr2bl w:val="nil"/>
                  </w:tcBorders>
                  <w:noWrap w:val="0"/>
                  <w:vAlign w:val="center"/>
                </w:tcPr>
                <w:p w14:paraId="73E9C3E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329A965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2B7C7B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80</w:t>
                  </w:r>
                </w:p>
              </w:tc>
              <w:tc>
                <w:tcPr>
                  <w:tcW w:w="882" w:type="pct"/>
                  <w:tcBorders>
                    <w:tl2br w:val="nil"/>
                    <w:tr2bl w:val="nil"/>
                  </w:tcBorders>
                  <w:noWrap w:val="0"/>
                  <w:vAlign w:val="center"/>
                </w:tcPr>
                <w:p w14:paraId="6805050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227B791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103</w:t>
                  </w:r>
                </w:p>
              </w:tc>
              <w:tc>
                <w:tcPr>
                  <w:tcW w:w="255" w:type="pct"/>
                  <w:tcBorders>
                    <w:tl2br w:val="nil"/>
                    <w:tr2bl w:val="nil"/>
                  </w:tcBorders>
                  <w:noWrap w:val="0"/>
                  <w:vAlign w:val="center"/>
                </w:tcPr>
                <w:p w14:paraId="6229B9F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-150</w:t>
                  </w:r>
                </w:p>
              </w:tc>
              <w:tc>
                <w:tcPr>
                  <w:tcW w:w="189" w:type="pct"/>
                  <w:tcBorders>
                    <w:tl2br w:val="nil"/>
                    <w:tr2bl w:val="nil"/>
                  </w:tcBorders>
                  <w:noWrap w:val="0"/>
                  <w:vAlign w:val="center"/>
                </w:tcPr>
                <w:p w14:paraId="4A6D488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57B09AA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2E8EC67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70" w:type="pct"/>
                  <w:tcBorders>
                    <w:tl2br w:val="nil"/>
                    <w:tr2bl w:val="nil"/>
                  </w:tcBorders>
                  <w:noWrap w:val="0"/>
                  <w:vAlign w:val="center"/>
                </w:tcPr>
                <w:p w14:paraId="4B98767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7E6EEA3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0CAC0BB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41.93</w:t>
                  </w:r>
                </w:p>
              </w:tc>
              <w:tc>
                <w:tcPr>
                  <w:tcW w:w="232" w:type="pct"/>
                  <w:tcBorders>
                    <w:tl2br w:val="nil"/>
                    <w:tr2bl w:val="nil"/>
                  </w:tcBorders>
                  <w:noWrap w:val="0"/>
                  <w:vAlign w:val="center"/>
                </w:tcPr>
                <w:p w14:paraId="79BD3C4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3FB74D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02D772B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18</w:t>
                  </w:r>
                </w:p>
              </w:tc>
              <w:tc>
                <w:tcPr>
                  <w:tcW w:w="725" w:type="pct"/>
                  <w:tcBorders>
                    <w:tl2br w:val="nil"/>
                    <w:tr2bl w:val="nil"/>
                  </w:tcBorders>
                  <w:noWrap w:val="0"/>
                  <w:vAlign w:val="center"/>
                </w:tcPr>
                <w:p w14:paraId="38E7220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抽流风机</w:t>
                  </w:r>
                </w:p>
              </w:tc>
              <w:tc>
                <w:tcPr>
                  <w:tcW w:w="281" w:type="pct"/>
                  <w:tcBorders>
                    <w:tl2br w:val="nil"/>
                    <w:tr2bl w:val="nil"/>
                  </w:tcBorders>
                  <w:noWrap w:val="0"/>
                  <w:vAlign w:val="center"/>
                </w:tcPr>
                <w:p w14:paraId="3824367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6BD355C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C56565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80</w:t>
                  </w:r>
                </w:p>
              </w:tc>
              <w:tc>
                <w:tcPr>
                  <w:tcW w:w="882" w:type="pct"/>
                  <w:tcBorders>
                    <w:tl2br w:val="nil"/>
                    <w:tr2bl w:val="nil"/>
                  </w:tcBorders>
                  <w:noWrap w:val="0"/>
                  <w:vAlign w:val="center"/>
                </w:tcPr>
                <w:p w14:paraId="7A626BD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DFBE05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255" w:type="pct"/>
                  <w:tcBorders>
                    <w:tl2br w:val="nil"/>
                    <w:tr2bl w:val="nil"/>
                  </w:tcBorders>
                  <w:noWrap w:val="0"/>
                  <w:vAlign w:val="center"/>
                </w:tcPr>
                <w:p w14:paraId="4250FE1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-156</w:t>
                  </w:r>
                </w:p>
              </w:tc>
              <w:tc>
                <w:tcPr>
                  <w:tcW w:w="189" w:type="pct"/>
                  <w:tcBorders>
                    <w:tl2br w:val="nil"/>
                    <w:tr2bl w:val="nil"/>
                  </w:tcBorders>
                  <w:noWrap w:val="0"/>
                  <w:vAlign w:val="center"/>
                </w:tcPr>
                <w:p w14:paraId="028C58C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1C066A6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shd w:val="clear" w:color="auto" w:fill="auto"/>
                  <w:noWrap w:val="0"/>
                  <w:vAlign w:val="center"/>
                </w:tcPr>
                <w:p w14:paraId="0BA7622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70" w:type="pct"/>
                  <w:tcBorders>
                    <w:tl2br w:val="nil"/>
                    <w:tr2bl w:val="nil"/>
                  </w:tcBorders>
                  <w:noWrap w:val="0"/>
                  <w:vAlign w:val="center"/>
                </w:tcPr>
                <w:p w14:paraId="79C668B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42B1FAD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032A5E0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41.93</w:t>
                  </w:r>
                </w:p>
              </w:tc>
              <w:tc>
                <w:tcPr>
                  <w:tcW w:w="232" w:type="pct"/>
                  <w:tcBorders>
                    <w:tl2br w:val="nil"/>
                    <w:tr2bl w:val="nil"/>
                  </w:tcBorders>
                  <w:noWrap w:val="0"/>
                  <w:vAlign w:val="center"/>
                </w:tcPr>
                <w:p w14:paraId="07F88C5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77A8E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76EFA3D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19</w:t>
                  </w:r>
                </w:p>
              </w:tc>
              <w:tc>
                <w:tcPr>
                  <w:tcW w:w="725" w:type="pct"/>
                  <w:tcBorders>
                    <w:tl2br w:val="nil"/>
                    <w:tr2bl w:val="nil"/>
                  </w:tcBorders>
                  <w:noWrap w:val="0"/>
                  <w:vAlign w:val="center"/>
                </w:tcPr>
                <w:p w14:paraId="39A3FB48">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冷风型工业柜机</w:t>
                  </w:r>
                </w:p>
              </w:tc>
              <w:tc>
                <w:tcPr>
                  <w:tcW w:w="281" w:type="pct"/>
                  <w:tcBorders>
                    <w:tl2br w:val="nil"/>
                    <w:tr2bl w:val="nil"/>
                  </w:tcBorders>
                  <w:noWrap w:val="0"/>
                  <w:vAlign w:val="center"/>
                </w:tcPr>
                <w:p w14:paraId="360071B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0A0293E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413F9C2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2E98CF7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39ADF50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44</w:t>
                  </w:r>
                </w:p>
              </w:tc>
              <w:tc>
                <w:tcPr>
                  <w:tcW w:w="255" w:type="pct"/>
                  <w:tcBorders>
                    <w:tl2br w:val="nil"/>
                    <w:tr2bl w:val="nil"/>
                  </w:tcBorders>
                  <w:noWrap w:val="0"/>
                  <w:vAlign w:val="center"/>
                </w:tcPr>
                <w:p w14:paraId="3DF8112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-137</w:t>
                  </w:r>
                </w:p>
              </w:tc>
              <w:tc>
                <w:tcPr>
                  <w:tcW w:w="189" w:type="pct"/>
                  <w:tcBorders>
                    <w:tl2br w:val="nil"/>
                    <w:tr2bl w:val="nil"/>
                  </w:tcBorders>
                  <w:noWrap w:val="0"/>
                  <w:vAlign w:val="center"/>
                </w:tcPr>
                <w:p w14:paraId="389C4CC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2AE6E7E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78EDFE3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75D93CF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4256175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559F9F8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4B04374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7180C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46" w:type="pct"/>
                  <w:tcBorders>
                    <w:tl2br w:val="nil"/>
                    <w:tr2bl w:val="nil"/>
                  </w:tcBorders>
                  <w:noWrap w:val="0"/>
                  <w:vAlign w:val="center"/>
                </w:tcPr>
                <w:p w14:paraId="69760A1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w:t>
                  </w:r>
                </w:p>
              </w:tc>
              <w:tc>
                <w:tcPr>
                  <w:tcW w:w="725" w:type="pct"/>
                  <w:tcBorders>
                    <w:tl2br w:val="nil"/>
                    <w:tr2bl w:val="nil"/>
                  </w:tcBorders>
                  <w:noWrap w:val="0"/>
                  <w:vAlign w:val="center"/>
                </w:tcPr>
                <w:p w14:paraId="3D120C7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稀释风机</w:t>
                  </w:r>
                </w:p>
              </w:tc>
              <w:tc>
                <w:tcPr>
                  <w:tcW w:w="281" w:type="pct"/>
                  <w:tcBorders>
                    <w:tl2br w:val="nil"/>
                    <w:tr2bl w:val="nil"/>
                  </w:tcBorders>
                  <w:noWrap w:val="0"/>
                  <w:vAlign w:val="center"/>
                </w:tcPr>
                <w:p w14:paraId="640D441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059CBE3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78346C7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80</w:t>
                  </w:r>
                </w:p>
              </w:tc>
              <w:tc>
                <w:tcPr>
                  <w:tcW w:w="882" w:type="pct"/>
                  <w:tcBorders>
                    <w:tl2br w:val="nil"/>
                    <w:tr2bl w:val="nil"/>
                  </w:tcBorders>
                  <w:noWrap w:val="0"/>
                  <w:vAlign w:val="center"/>
                </w:tcPr>
                <w:p w14:paraId="765C06D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0FDBDA7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255" w:type="pct"/>
                  <w:tcBorders>
                    <w:tl2br w:val="nil"/>
                    <w:tr2bl w:val="nil"/>
                  </w:tcBorders>
                  <w:noWrap w:val="0"/>
                  <w:vAlign w:val="center"/>
                </w:tcPr>
                <w:p w14:paraId="2C2B420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35</w:t>
                  </w:r>
                </w:p>
              </w:tc>
              <w:tc>
                <w:tcPr>
                  <w:tcW w:w="189" w:type="pct"/>
                  <w:tcBorders>
                    <w:tl2br w:val="nil"/>
                    <w:tr2bl w:val="nil"/>
                  </w:tcBorders>
                  <w:noWrap w:val="0"/>
                  <w:vAlign w:val="center"/>
                </w:tcPr>
                <w:p w14:paraId="3099AAD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1A166E7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shd w:val="clear" w:color="auto" w:fill="auto"/>
                  <w:noWrap w:val="0"/>
                  <w:vAlign w:val="center"/>
                </w:tcPr>
                <w:p w14:paraId="300208D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70" w:type="pct"/>
                  <w:tcBorders>
                    <w:tl2br w:val="nil"/>
                    <w:tr2bl w:val="nil"/>
                  </w:tcBorders>
                  <w:noWrap w:val="0"/>
                  <w:vAlign w:val="center"/>
                </w:tcPr>
                <w:p w14:paraId="44D075C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279F054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420356F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41.93</w:t>
                  </w:r>
                </w:p>
              </w:tc>
              <w:tc>
                <w:tcPr>
                  <w:tcW w:w="232" w:type="pct"/>
                  <w:tcBorders>
                    <w:tl2br w:val="nil"/>
                    <w:tr2bl w:val="nil"/>
                  </w:tcBorders>
                  <w:noWrap w:val="0"/>
                  <w:vAlign w:val="center"/>
                </w:tcPr>
                <w:p w14:paraId="0A97A2D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4A9AFB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24118F6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21</w:t>
                  </w:r>
                </w:p>
              </w:tc>
              <w:tc>
                <w:tcPr>
                  <w:tcW w:w="725" w:type="pct"/>
                  <w:tcBorders>
                    <w:tl2br w:val="nil"/>
                    <w:tr2bl w:val="nil"/>
                  </w:tcBorders>
                  <w:noWrap w:val="0"/>
                  <w:vAlign w:val="center"/>
                </w:tcPr>
                <w:p w14:paraId="379BD41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稀释风机冷却水增压泵</w:t>
                  </w:r>
                </w:p>
              </w:tc>
              <w:tc>
                <w:tcPr>
                  <w:tcW w:w="281" w:type="pct"/>
                  <w:tcBorders>
                    <w:tl2br w:val="nil"/>
                    <w:tr2bl w:val="nil"/>
                  </w:tcBorders>
                  <w:noWrap w:val="0"/>
                  <w:vAlign w:val="center"/>
                </w:tcPr>
                <w:p w14:paraId="4C0072C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2342C0F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C47BF5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4FF49DC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A5087D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29</w:t>
                  </w:r>
                </w:p>
              </w:tc>
              <w:tc>
                <w:tcPr>
                  <w:tcW w:w="255" w:type="pct"/>
                  <w:tcBorders>
                    <w:tl2br w:val="nil"/>
                    <w:tr2bl w:val="nil"/>
                  </w:tcBorders>
                  <w:noWrap w:val="0"/>
                  <w:vAlign w:val="center"/>
                </w:tcPr>
                <w:p w14:paraId="09A0D44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31</w:t>
                  </w:r>
                </w:p>
              </w:tc>
              <w:tc>
                <w:tcPr>
                  <w:tcW w:w="189" w:type="pct"/>
                  <w:tcBorders>
                    <w:tl2br w:val="nil"/>
                    <w:tr2bl w:val="nil"/>
                  </w:tcBorders>
                  <w:noWrap w:val="0"/>
                  <w:vAlign w:val="center"/>
                </w:tcPr>
                <w:p w14:paraId="1C7E542B">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2A865FE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75B99BA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5454ECD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7946A5E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71525F2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6EFF454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4509F6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37FADAF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22</w:t>
                  </w:r>
                </w:p>
              </w:tc>
              <w:tc>
                <w:tcPr>
                  <w:tcW w:w="725" w:type="pct"/>
                  <w:tcBorders>
                    <w:tl2br w:val="nil"/>
                    <w:tr2bl w:val="nil"/>
                  </w:tcBorders>
                  <w:noWrap w:val="0"/>
                  <w:vAlign w:val="center"/>
                </w:tcPr>
                <w:p w14:paraId="1E508B0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氨水输送泵</w:t>
                  </w:r>
                </w:p>
              </w:tc>
              <w:tc>
                <w:tcPr>
                  <w:tcW w:w="281" w:type="pct"/>
                  <w:tcBorders>
                    <w:tl2br w:val="nil"/>
                    <w:tr2bl w:val="nil"/>
                  </w:tcBorders>
                  <w:noWrap w:val="0"/>
                  <w:vAlign w:val="center"/>
                </w:tcPr>
                <w:p w14:paraId="0CD7883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430D46D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0D2B44C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3F39634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2150EE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255" w:type="pct"/>
                  <w:tcBorders>
                    <w:tl2br w:val="nil"/>
                    <w:tr2bl w:val="nil"/>
                  </w:tcBorders>
                  <w:noWrap w:val="0"/>
                  <w:vAlign w:val="center"/>
                </w:tcPr>
                <w:p w14:paraId="0F46937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-116</w:t>
                  </w:r>
                </w:p>
              </w:tc>
              <w:tc>
                <w:tcPr>
                  <w:tcW w:w="189" w:type="pct"/>
                  <w:tcBorders>
                    <w:tl2br w:val="nil"/>
                    <w:tr2bl w:val="nil"/>
                  </w:tcBorders>
                  <w:noWrap w:val="0"/>
                  <w:vAlign w:val="center"/>
                </w:tcPr>
                <w:p w14:paraId="407F549B">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5EDC35F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70B96AC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534A0A6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702E44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287E891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4475703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658380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5366D01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23</w:t>
                  </w:r>
                </w:p>
              </w:tc>
              <w:tc>
                <w:tcPr>
                  <w:tcW w:w="725" w:type="pct"/>
                  <w:tcBorders>
                    <w:tl2br w:val="nil"/>
                    <w:tr2bl w:val="nil"/>
                  </w:tcBorders>
                  <w:noWrap w:val="0"/>
                  <w:vAlign w:val="center"/>
                </w:tcPr>
                <w:p w14:paraId="4AEF215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卸氨泵</w:t>
                  </w:r>
                </w:p>
              </w:tc>
              <w:tc>
                <w:tcPr>
                  <w:tcW w:w="281" w:type="pct"/>
                  <w:tcBorders>
                    <w:tl2br w:val="nil"/>
                    <w:tr2bl w:val="nil"/>
                  </w:tcBorders>
                  <w:noWrap w:val="0"/>
                  <w:vAlign w:val="center"/>
                </w:tcPr>
                <w:p w14:paraId="7E89E09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012A57D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4AD12C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0082301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5708E9E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w:t>
                  </w:r>
                </w:p>
              </w:tc>
              <w:tc>
                <w:tcPr>
                  <w:tcW w:w="255" w:type="pct"/>
                  <w:tcBorders>
                    <w:tl2br w:val="nil"/>
                    <w:tr2bl w:val="nil"/>
                  </w:tcBorders>
                  <w:noWrap w:val="0"/>
                  <w:vAlign w:val="center"/>
                </w:tcPr>
                <w:p w14:paraId="055D02D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-116</w:t>
                  </w:r>
                </w:p>
              </w:tc>
              <w:tc>
                <w:tcPr>
                  <w:tcW w:w="189" w:type="pct"/>
                  <w:tcBorders>
                    <w:tl2br w:val="nil"/>
                    <w:tr2bl w:val="nil"/>
                  </w:tcBorders>
                  <w:noWrap w:val="0"/>
                  <w:vAlign w:val="center"/>
                </w:tcPr>
                <w:p w14:paraId="1A7BA30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589BD8B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7A38AA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5A3B190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32422C5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51E6BDA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1E50D5B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34F7EC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12F8F23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24</w:t>
                  </w:r>
                </w:p>
              </w:tc>
              <w:tc>
                <w:tcPr>
                  <w:tcW w:w="725" w:type="pct"/>
                  <w:tcBorders>
                    <w:tl2br w:val="nil"/>
                    <w:tr2bl w:val="nil"/>
                  </w:tcBorders>
                  <w:noWrap w:val="0"/>
                  <w:vAlign w:val="center"/>
                </w:tcPr>
                <w:p w14:paraId="7148E5C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废水排出泵</w:t>
                  </w:r>
                </w:p>
              </w:tc>
              <w:tc>
                <w:tcPr>
                  <w:tcW w:w="281" w:type="pct"/>
                  <w:tcBorders>
                    <w:tl2br w:val="nil"/>
                    <w:tr2bl w:val="nil"/>
                  </w:tcBorders>
                  <w:noWrap w:val="0"/>
                  <w:vAlign w:val="center"/>
                </w:tcPr>
                <w:p w14:paraId="4574FBF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72A664B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0E43519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2F99D5E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7DFC3E9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w:t>
                  </w:r>
                </w:p>
              </w:tc>
              <w:tc>
                <w:tcPr>
                  <w:tcW w:w="255" w:type="pct"/>
                  <w:tcBorders>
                    <w:tl2br w:val="nil"/>
                    <w:tr2bl w:val="nil"/>
                  </w:tcBorders>
                  <w:noWrap w:val="0"/>
                  <w:vAlign w:val="center"/>
                </w:tcPr>
                <w:p w14:paraId="0F85DE9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-35</w:t>
                  </w:r>
                </w:p>
              </w:tc>
              <w:tc>
                <w:tcPr>
                  <w:tcW w:w="189" w:type="pct"/>
                  <w:tcBorders>
                    <w:tl2br w:val="nil"/>
                    <w:tr2bl w:val="nil"/>
                  </w:tcBorders>
                  <w:noWrap w:val="0"/>
                  <w:vAlign w:val="center"/>
                </w:tcPr>
                <w:p w14:paraId="52631D9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0B78528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16DA042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439A3A1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4E3819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1C5E171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750352C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0B755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 w:type="pct"/>
                  <w:tcBorders>
                    <w:tl2br w:val="nil"/>
                    <w:tr2bl w:val="nil"/>
                  </w:tcBorders>
                  <w:noWrap w:val="0"/>
                  <w:vAlign w:val="center"/>
                </w:tcPr>
                <w:p w14:paraId="4436A59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25</w:t>
                  </w:r>
                </w:p>
              </w:tc>
              <w:tc>
                <w:tcPr>
                  <w:tcW w:w="725" w:type="pct"/>
                  <w:tcBorders>
                    <w:tl2br w:val="nil"/>
                    <w:tr2bl w:val="nil"/>
                  </w:tcBorders>
                  <w:noWrap w:val="0"/>
                  <w:vAlign w:val="center"/>
                </w:tcPr>
                <w:p w14:paraId="040589D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微型称重给料机</w:t>
                  </w:r>
                </w:p>
              </w:tc>
              <w:tc>
                <w:tcPr>
                  <w:tcW w:w="281" w:type="pct"/>
                  <w:tcBorders>
                    <w:tl2br w:val="nil"/>
                    <w:tr2bl w:val="nil"/>
                  </w:tcBorders>
                  <w:noWrap w:val="0"/>
                  <w:vAlign w:val="center"/>
                </w:tcPr>
                <w:p w14:paraId="0D09BAD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19CF71F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51D7D61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0DC102E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5DFDE53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98</w:t>
                  </w:r>
                </w:p>
              </w:tc>
              <w:tc>
                <w:tcPr>
                  <w:tcW w:w="255" w:type="pct"/>
                  <w:tcBorders>
                    <w:tl2br w:val="nil"/>
                    <w:tr2bl w:val="nil"/>
                  </w:tcBorders>
                  <w:noWrap w:val="0"/>
                  <w:vAlign w:val="center"/>
                </w:tcPr>
                <w:p w14:paraId="1DA19AF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-165</w:t>
                  </w:r>
                </w:p>
              </w:tc>
              <w:tc>
                <w:tcPr>
                  <w:tcW w:w="189" w:type="pct"/>
                  <w:tcBorders>
                    <w:tl2br w:val="nil"/>
                    <w:tr2bl w:val="nil"/>
                  </w:tcBorders>
                  <w:noWrap w:val="0"/>
                  <w:vAlign w:val="center"/>
                </w:tcPr>
                <w:p w14:paraId="4F6265B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38C07B0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1FA1837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24C3FFB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395AD3D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14A9DC8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06FCAB0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7FEABE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 w:type="pct"/>
                  <w:tcBorders>
                    <w:tl2br w:val="nil"/>
                    <w:tr2bl w:val="nil"/>
                  </w:tcBorders>
                  <w:noWrap w:val="0"/>
                  <w:vAlign w:val="center"/>
                </w:tcPr>
                <w:p w14:paraId="44E924C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26</w:t>
                  </w:r>
                </w:p>
              </w:tc>
              <w:tc>
                <w:tcPr>
                  <w:tcW w:w="725" w:type="pct"/>
                  <w:tcBorders>
                    <w:tl2br w:val="nil"/>
                    <w:tr2bl w:val="nil"/>
                  </w:tcBorders>
                  <w:noWrap w:val="0"/>
                  <w:vAlign w:val="center"/>
                </w:tcPr>
                <w:p w14:paraId="40C6A0D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新型给料机</w:t>
                  </w:r>
                </w:p>
              </w:tc>
              <w:tc>
                <w:tcPr>
                  <w:tcW w:w="281" w:type="pct"/>
                  <w:tcBorders>
                    <w:tl2br w:val="nil"/>
                    <w:tr2bl w:val="nil"/>
                  </w:tcBorders>
                  <w:noWrap w:val="0"/>
                  <w:vAlign w:val="center"/>
                </w:tcPr>
                <w:p w14:paraId="168D8BB6">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F08DA5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18F16D8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75</w:t>
                  </w:r>
                </w:p>
              </w:tc>
              <w:tc>
                <w:tcPr>
                  <w:tcW w:w="882" w:type="pct"/>
                  <w:tcBorders>
                    <w:tl2br w:val="nil"/>
                    <w:tr2bl w:val="nil"/>
                  </w:tcBorders>
                  <w:noWrap w:val="0"/>
                  <w:vAlign w:val="center"/>
                </w:tcPr>
                <w:p w14:paraId="2E4CE4B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1BA3621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92</w:t>
                  </w:r>
                </w:p>
              </w:tc>
              <w:tc>
                <w:tcPr>
                  <w:tcW w:w="255" w:type="pct"/>
                  <w:tcBorders>
                    <w:tl2br w:val="nil"/>
                    <w:tr2bl w:val="nil"/>
                  </w:tcBorders>
                  <w:noWrap w:val="0"/>
                  <w:vAlign w:val="center"/>
                </w:tcPr>
                <w:p w14:paraId="085C8C6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-162</w:t>
                  </w:r>
                </w:p>
              </w:tc>
              <w:tc>
                <w:tcPr>
                  <w:tcW w:w="189" w:type="pct"/>
                  <w:tcBorders>
                    <w:tl2br w:val="nil"/>
                    <w:tr2bl w:val="nil"/>
                  </w:tcBorders>
                  <w:noWrap w:val="0"/>
                  <w:vAlign w:val="center"/>
                </w:tcPr>
                <w:p w14:paraId="6F16FC2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0E84313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172AFEA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26DD958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05D68E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266E1B8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28A0EF2C">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5DD21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56B325F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27</w:t>
                  </w:r>
                </w:p>
              </w:tc>
              <w:tc>
                <w:tcPr>
                  <w:tcW w:w="725" w:type="pct"/>
                  <w:tcBorders>
                    <w:tl2br w:val="nil"/>
                    <w:tr2bl w:val="nil"/>
                  </w:tcBorders>
                  <w:noWrap w:val="0"/>
                  <w:vAlign w:val="center"/>
                </w:tcPr>
                <w:p w14:paraId="4D090FC4">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顶轴油泵及电机</w:t>
                  </w:r>
                </w:p>
              </w:tc>
              <w:tc>
                <w:tcPr>
                  <w:tcW w:w="281" w:type="pct"/>
                  <w:tcBorders>
                    <w:tl2br w:val="nil"/>
                    <w:tr2bl w:val="nil"/>
                  </w:tcBorders>
                  <w:noWrap w:val="0"/>
                  <w:vAlign w:val="center"/>
                </w:tcPr>
                <w:p w14:paraId="2BA268D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7F20903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7E7822F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80</w:t>
                  </w:r>
                </w:p>
              </w:tc>
              <w:tc>
                <w:tcPr>
                  <w:tcW w:w="882" w:type="pct"/>
                  <w:tcBorders>
                    <w:tl2br w:val="nil"/>
                    <w:tr2bl w:val="nil"/>
                  </w:tcBorders>
                  <w:noWrap w:val="0"/>
                  <w:vAlign w:val="center"/>
                </w:tcPr>
                <w:p w14:paraId="47F49002">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591182E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36</w:t>
                  </w:r>
                </w:p>
              </w:tc>
              <w:tc>
                <w:tcPr>
                  <w:tcW w:w="255" w:type="pct"/>
                  <w:tcBorders>
                    <w:tl2br w:val="nil"/>
                    <w:tr2bl w:val="nil"/>
                  </w:tcBorders>
                  <w:noWrap w:val="0"/>
                  <w:vAlign w:val="center"/>
                </w:tcPr>
                <w:p w14:paraId="157AC22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35</w:t>
                  </w:r>
                </w:p>
              </w:tc>
              <w:tc>
                <w:tcPr>
                  <w:tcW w:w="189" w:type="pct"/>
                  <w:tcBorders>
                    <w:tl2br w:val="nil"/>
                    <w:tr2bl w:val="nil"/>
                  </w:tcBorders>
                  <w:noWrap w:val="0"/>
                  <w:vAlign w:val="center"/>
                </w:tcPr>
                <w:p w14:paraId="310F745B">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520AF09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36F43A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70" w:type="pct"/>
                  <w:tcBorders>
                    <w:tl2br w:val="nil"/>
                    <w:tr2bl w:val="nil"/>
                  </w:tcBorders>
                  <w:noWrap w:val="0"/>
                  <w:vAlign w:val="center"/>
                </w:tcPr>
                <w:p w14:paraId="3C5C370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5539A73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1CC3A12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41.93</w:t>
                  </w:r>
                </w:p>
              </w:tc>
              <w:tc>
                <w:tcPr>
                  <w:tcW w:w="232" w:type="pct"/>
                  <w:tcBorders>
                    <w:tl2br w:val="nil"/>
                    <w:tr2bl w:val="nil"/>
                  </w:tcBorders>
                  <w:noWrap w:val="0"/>
                  <w:vAlign w:val="center"/>
                </w:tcPr>
                <w:p w14:paraId="1066034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435FA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6DE7424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28</w:t>
                  </w:r>
                </w:p>
              </w:tc>
              <w:tc>
                <w:tcPr>
                  <w:tcW w:w="725" w:type="pct"/>
                  <w:tcBorders>
                    <w:tl2br w:val="nil"/>
                    <w:tr2bl w:val="nil"/>
                  </w:tcBorders>
                  <w:noWrap w:val="0"/>
                  <w:vAlign w:val="center"/>
                </w:tcPr>
                <w:p w14:paraId="792BC33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汽封加热器及风机</w:t>
                  </w:r>
                </w:p>
              </w:tc>
              <w:tc>
                <w:tcPr>
                  <w:tcW w:w="281" w:type="pct"/>
                  <w:tcBorders>
                    <w:tl2br w:val="nil"/>
                    <w:tr2bl w:val="nil"/>
                  </w:tcBorders>
                  <w:noWrap w:val="0"/>
                  <w:vAlign w:val="center"/>
                </w:tcPr>
                <w:p w14:paraId="47BE0B0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44DFC7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20485A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80</w:t>
                  </w:r>
                </w:p>
              </w:tc>
              <w:tc>
                <w:tcPr>
                  <w:tcW w:w="882" w:type="pct"/>
                  <w:tcBorders>
                    <w:tl2br w:val="nil"/>
                    <w:tr2bl w:val="nil"/>
                  </w:tcBorders>
                  <w:noWrap w:val="0"/>
                  <w:vAlign w:val="center"/>
                </w:tcPr>
                <w:p w14:paraId="24EDF67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687C75B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72</w:t>
                  </w:r>
                </w:p>
              </w:tc>
              <w:tc>
                <w:tcPr>
                  <w:tcW w:w="255" w:type="pct"/>
                  <w:tcBorders>
                    <w:tl2br w:val="nil"/>
                    <w:tr2bl w:val="nil"/>
                  </w:tcBorders>
                  <w:noWrap w:val="0"/>
                  <w:vAlign w:val="center"/>
                </w:tcPr>
                <w:p w14:paraId="026D0BD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-120</w:t>
                  </w:r>
                </w:p>
              </w:tc>
              <w:tc>
                <w:tcPr>
                  <w:tcW w:w="189" w:type="pct"/>
                  <w:tcBorders>
                    <w:tl2br w:val="nil"/>
                    <w:tr2bl w:val="nil"/>
                  </w:tcBorders>
                  <w:noWrap w:val="0"/>
                  <w:vAlign w:val="center"/>
                </w:tcPr>
                <w:p w14:paraId="719B838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6F58FED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449357A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70" w:type="pct"/>
                  <w:tcBorders>
                    <w:tl2br w:val="nil"/>
                    <w:tr2bl w:val="nil"/>
                  </w:tcBorders>
                  <w:noWrap w:val="0"/>
                  <w:vAlign w:val="center"/>
                </w:tcPr>
                <w:p w14:paraId="0195AFD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3BB80CA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shd w:val="clear" w:color="auto" w:fill="auto"/>
                  <w:noWrap w:val="0"/>
                  <w:vAlign w:val="center"/>
                </w:tcPr>
                <w:p w14:paraId="58A67E74">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41.93</w:t>
                  </w:r>
                </w:p>
              </w:tc>
              <w:tc>
                <w:tcPr>
                  <w:tcW w:w="232" w:type="pct"/>
                  <w:tcBorders>
                    <w:tl2br w:val="nil"/>
                    <w:tr2bl w:val="nil"/>
                  </w:tcBorders>
                  <w:noWrap w:val="0"/>
                  <w:vAlign w:val="center"/>
                </w:tcPr>
                <w:p w14:paraId="7C06860B">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3EEFF5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394479B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29</w:t>
                  </w:r>
                </w:p>
              </w:tc>
              <w:tc>
                <w:tcPr>
                  <w:tcW w:w="725" w:type="pct"/>
                  <w:tcBorders>
                    <w:tl2br w:val="nil"/>
                    <w:tr2bl w:val="nil"/>
                  </w:tcBorders>
                  <w:noWrap w:val="0"/>
                  <w:vAlign w:val="center"/>
                </w:tcPr>
                <w:p w14:paraId="6E394DF1">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除盐水泵</w:t>
                  </w:r>
                </w:p>
              </w:tc>
              <w:tc>
                <w:tcPr>
                  <w:tcW w:w="281" w:type="pct"/>
                  <w:tcBorders>
                    <w:tl2br w:val="nil"/>
                    <w:tr2bl w:val="nil"/>
                  </w:tcBorders>
                  <w:noWrap w:val="0"/>
                  <w:vAlign w:val="center"/>
                </w:tcPr>
                <w:p w14:paraId="07EFE68F">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5666554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7F89ED9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66D8204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737CF77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29</w:t>
                  </w:r>
                </w:p>
              </w:tc>
              <w:tc>
                <w:tcPr>
                  <w:tcW w:w="255" w:type="pct"/>
                  <w:tcBorders>
                    <w:tl2br w:val="nil"/>
                    <w:tr2bl w:val="nil"/>
                  </w:tcBorders>
                  <w:noWrap w:val="0"/>
                  <w:vAlign w:val="center"/>
                </w:tcPr>
                <w:p w14:paraId="3D1A909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33</w:t>
                  </w:r>
                </w:p>
              </w:tc>
              <w:tc>
                <w:tcPr>
                  <w:tcW w:w="189" w:type="pct"/>
                  <w:tcBorders>
                    <w:tl2br w:val="nil"/>
                    <w:tr2bl w:val="nil"/>
                  </w:tcBorders>
                  <w:noWrap w:val="0"/>
                  <w:vAlign w:val="center"/>
                </w:tcPr>
                <w:p w14:paraId="374BE02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3C0E597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8B9E990">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72FD96B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5ACA75F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06C4B1D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085C068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28333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42F34790">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30</w:t>
                  </w:r>
                </w:p>
              </w:tc>
              <w:tc>
                <w:tcPr>
                  <w:tcW w:w="725" w:type="pct"/>
                  <w:tcBorders>
                    <w:tl2br w:val="nil"/>
                    <w:tr2bl w:val="nil"/>
                  </w:tcBorders>
                  <w:noWrap w:val="0"/>
                  <w:vAlign w:val="center"/>
                </w:tcPr>
                <w:p w14:paraId="3245A7FC">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反渗透提升泵</w:t>
                  </w:r>
                </w:p>
              </w:tc>
              <w:tc>
                <w:tcPr>
                  <w:tcW w:w="281" w:type="pct"/>
                  <w:tcBorders>
                    <w:tl2br w:val="nil"/>
                    <w:tr2bl w:val="nil"/>
                  </w:tcBorders>
                  <w:noWrap w:val="0"/>
                  <w:vAlign w:val="center"/>
                </w:tcPr>
                <w:p w14:paraId="23983172">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19B53667">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20C66D5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099FE3C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4D06180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w:t>
                  </w:r>
                </w:p>
              </w:tc>
              <w:tc>
                <w:tcPr>
                  <w:tcW w:w="255" w:type="pct"/>
                  <w:tcBorders>
                    <w:tl2br w:val="nil"/>
                    <w:tr2bl w:val="nil"/>
                  </w:tcBorders>
                  <w:noWrap w:val="0"/>
                  <w:vAlign w:val="center"/>
                </w:tcPr>
                <w:p w14:paraId="51A7A5B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w:t>
                  </w:r>
                </w:p>
              </w:tc>
              <w:tc>
                <w:tcPr>
                  <w:tcW w:w="189" w:type="pct"/>
                  <w:tcBorders>
                    <w:tl2br w:val="nil"/>
                    <w:tr2bl w:val="nil"/>
                  </w:tcBorders>
                  <w:noWrap w:val="0"/>
                  <w:vAlign w:val="center"/>
                </w:tcPr>
                <w:p w14:paraId="2F1BD7B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03CC7F3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00E1470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385B5D1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3A212F9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72E1140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72A965A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7BA2B5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36F6F691">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31</w:t>
                  </w:r>
                </w:p>
              </w:tc>
              <w:tc>
                <w:tcPr>
                  <w:tcW w:w="725" w:type="pct"/>
                  <w:tcBorders>
                    <w:tl2br w:val="nil"/>
                    <w:tr2bl w:val="nil"/>
                  </w:tcBorders>
                  <w:noWrap w:val="0"/>
                  <w:vAlign w:val="center"/>
                </w:tcPr>
                <w:p w14:paraId="7E8BFC8C">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EDI提升泵</w:t>
                  </w:r>
                </w:p>
              </w:tc>
              <w:tc>
                <w:tcPr>
                  <w:tcW w:w="281" w:type="pct"/>
                  <w:tcBorders>
                    <w:tl2br w:val="nil"/>
                    <w:tr2bl w:val="nil"/>
                  </w:tcBorders>
                  <w:noWrap w:val="0"/>
                  <w:vAlign w:val="center"/>
                </w:tcPr>
                <w:p w14:paraId="4466C29C">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0EC52C7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4458449E">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29C18E4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0C147F7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21</w:t>
                  </w:r>
                </w:p>
              </w:tc>
              <w:tc>
                <w:tcPr>
                  <w:tcW w:w="255" w:type="pct"/>
                  <w:tcBorders>
                    <w:tl2br w:val="nil"/>
                    <w:tr2bl w:val="nil"/>
                  </w:tcBorders>
                  <w:noWrap w:val="0"/>
                  <w:vAlign w:val="center"/>
                </w:tcPr>
                <w:p w14:paraId="3857F3A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w:t>
                  </w:r>
                </w:p>
              </w:tc>
              <w:tc>
                <w:tcPr>
                  <w:tcW w:w="189" w:type="pct"/>
                  <w:tcBorders>
                    <w:tl2br w:val="nil"/>
                    <w:tr2bl w:val="nil"/>
                  </w:tcBorders>
                  <w:noWrap w:val="0"/>
                  <w:vAlign w:val="center"/>
                </w:tcPr>
                <w:p w14:paraId="305475B5">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4D6DD0F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5E2B0C1A">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20356D3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75C31C9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1EC91E26">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2499F1B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1327D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 w:type="pct"/>
                  <w:tcBorders>
                    <w:tl2br w:val="nil"/>
                    <w:tr2bl w:val="nil"/>
                  </w:tcBorders>
                  <w:noWrap w:val="0"/>
                  <w:vAlign w:val="center"/>
                </w:tcPr>
                <w:p w14:paraId="18585AA9">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32</w:t>
                  </w:r>
                </w:p>
              </w:tc>
              <w:tc>
                <w:tcPr>
                  <w:tcW w:w="725" w:type="pct"/>
                  <w:tcBorders>
                    <w:tl2br w:val="nil"/>
                    <w:tr2bl w:val="nil"/>
                  </w:tcBorders>
                  <w:noWrap w:val="0"/>
                  <w:vAlign w:val="center"/>
                </w:tcPr>
                <w:p w14:paraId="67919341">
                  <w:pPr>
                    <w:pStyle w:val="29"/>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冲洗水泵</w:t>
                  </w:r>
                </w:p>
              </w:tc>
              <w:tc>
                <w:tcPr>
                  <w:tcW w:w="281" w:type="pct"/>
                  <w:tcBorders>
                    <w:tl2br w:val="nil"/>
                    <w:tr2bl w:val="nil"/>
                  </w:tcBorders>
                  <w:noWrap w:val="0"/>
                  <w:vAlign w:val="center"/>
                </w:tcPr>
                <w:p w14:paraId="1D99C983">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点源</w:t>
                  </w:r>
                </w:p>
              </w:tc>
              <w:tc>
                <w:tcPr>
                  <w:tcW w:w="326" w:type="pct"/>
                  <w:tcBorders>
                    <w:tl2br w:val="nil"/>
                    <w:tr2bl w:val="nil"/>
                  </w:tcBorders>
                  <w:noWrap w:val="0"/>
                  <w:vAlign w:val="center"/>
                </w:tcPr>
                <w:p w14:paraId="0992F958">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240" w:type="pct"/>
                  <w:tcBorders>
                    <w:tl2br w:val="nil"/>
                    <w:tr2bl w:val="nil"/>
                  </w:tcBorders>
                  <w:noWrap w:val="0"/>
                  <w:vAlign w:val="center"/>
                </w:tcPr>
                <w:p w14:paraId="0A3681CB">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p>
              </w:tc>
              <w:tc>
                <w:tcPr>
                  <w:tcW w:w="882" w:type="pct"/>
                  <w:tcBorders>
                    <w:tl2br w:val="nil"/>
                    <w:tr2bl w:val="nil"/>
                  </w:tcBorders>
                  <w:noWrap w:val="0"/>
                  <w:vAlign w:val="center"/>
                </w:tcPr>
                <w:p w14:paraId="10F514C1">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48" w:type="pct"/>
                  <w:tcBorders>
                    <w:tl2br w:val="nil"/>
                    <w:tr2bl w:val="nil"/>
                  </w:tcBorders>
                  <w:noWrap w:val="0"/>
                  <w:vAlign w:val="center"/>
                </w:tcPr>
                <w:p w14:paraId="7828002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w:t>
                  </w:r>
                </w:p>
              </w:tc>
              <w:tc>
                <w:tcPr>
                  <w:tcW w:w="255" w:type="pct"/>
                  <w:tcBorders>
                    <w:tl2br w:val="nil"/>
                    <w:tr2bl w:val="nil"/>
                  </w:tcBorders>
                  <w:noWrap w:val="0"/>
                  <w:vAlign w:val="center"/>
                </w:tcPr>
                <w:p w14:paraId="6BDDA1D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w:t>
                  </w:r>
                </w:p>
              </w:tc>
              <w:tc>
                <w:tcPr>
                  <w:tcW w:w="189" w:type="pct"/>
                  <w:tcBorders>
                    <w:tl2br w:val="nil"/>
                    <w:tr2bl w:val="nil"/>
                  </w:tcBorders>
                  <w:noWrap w:val="0"/>
                  <w:vAlign w:val="center"/>
                </w:tcPr>
                <w:p w14:paraId="4105C849">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37" w:type="pct"/>
                  <w:tcBorders>
                    <w:tl2br w:val="nil"/>
                    <w:tr2bl w:val="nil"/>
                  </w:tcBorders>
                  <w:noWrap w:val="0"/>
                  <w:vAlign w:val="center"/>
                </w:tcPr>
                <w:p w14:paraId="06F96AB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w:t>
                  </w:r>
                </w:p>
              </w:tc>
              <w:tc>
                <w:tcPr>
                  <w:tcW w:w="300" w:type="pct"/>
                  <w:tcBorders>
                    <w:tl2br w:val="nil"/>
                    <w:tr2bl w:val="nil"/>
                  </w:tcBorders>
                  <w:noWrap w:val="0"/>
                  <w:vAlign w:val="center"/>
                </w:tcPr>
                <w:p w14:paraId="19DEC5F3">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70" w:type="pct"/>
                  <w:tcBorders>
                    <w:tl2br w:val="nil"/>
                    <w:tr2bl w:val="nil"/>
                  </w:tcBorders>
                  <w:noWrap w:val="0"/>
                  <w:vAlign w:val="center"/>
                </w:tcPr>
                <w:p w14:paraId="19AD45A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稳定声源</w:t>
                  </w:r>
                </w:p>
              </w:tc>
              <w:tc>
                <w:tcPr>
                  <w:tcW w:w="274" w:type="pct"/>
                  <w:tcBorders>
                    <w:tl2br w:val="nil"/>
                    <w:tr2bl w:val="nil"/>
                  </w:tcBorders>
                  <w:noWrap w:val="0"/>
                  <w:vAlign w:val="center"/>
                </w:tcPr>
                <w:p w14:paraId="17B2B07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8" w:type="pct"/>
                  <w:tcBorders>
                    <w:tl2br w:val="nil"/>
                    <w:tr2bl w:val="nil"/>
                  </w:tcBorders>
                  <w:noWrap w:val="0"/>
                  <w:vAlign w:val="center"/>
                </w:tcPr>
                <w:p w14:paraId="2C6ECB7D">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32" w:type="pct"/>
                  <w:tcBorders>
                    <w:tl2br w:val="nil"/>
                    <w:tr2bl w:val="nil"/>
                  </w:tcBorders>
                  <w:noWrap w:val="0"/>
                  <w:vAlign w:val="center"/>
                </w:tcPr>
                <w:p w14:paraId="4B376E0F">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bl>
          <w:p w14:paraId="063F6E46">
            <w:pPr>
              <w:ind w:right="0" w:rightChars="0"/>
              <w:jc w:val="center"/>
              <w:rPr>
                <w:rFonts w:hint="default"/>
                <w:vertAlign w:val="baseline"/>
                <w:lang w:val="en-US" w:eastAsia="zh-CN"/>
              </w:rPr>
            </w:pPr>
          </w:p>
        </w:tc>
      </w:tr>
    </w:tbl>
    <w:p w14:paraId="4389922F">
      <w:pPr>
        <w:ind w:left="0" w:leftChars="0" w:right="0" w:rightChars="0" w:firstLine="0" w:firstLineChars="0"/>
        <w:jc w:val="center"/>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7841"/>
      </w:tblGrid>
      <w:tr w14:paraId="2052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14:paraId="788F7CC4">
            <w:pPr>
              <w:ind w:left="0" w:leftChars="0" w:right="0" w:rightChars="0" w:firstLine="0" w:firstLineChars="0"/>
              <w:jc w:val="center"/>
              <w:rPr>
                <w:rFonts w:hint="eastAsia"/>
                <w:vertAlign w:val="baseline"/>
                <w:lang w:val="en-US" w:eastAsia="zh-CN"/>
              </w:rPr>
            </w:pPr>
          </w:p>
        </w:tc>
        <w:tc>
          <w:tcPr>
            <w:tcW w:w="7770" w:type="dxa"/>
          </w:tcPr>
          <w:p w14:paraId="76E5F88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4.7.2预测范围和预测点</w:t>
            </w:r>
          </w:p>
          <w:p w14:paraId="2685DE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本项目噪声预测范围为项目厂界外200m的范围，预测范围内最近关心点为西南面的大开门村，距离项目厂界</w:t>
            </w:r>
            <w:r>
              <w:rPr>
                <w:rFonts w:hint="eastAsia" w:ascii="Times New Roman" w:hAnsi="Times New Roman" w:eastAsia="宋体" w:cs="Times New Roman"/>
                <w:color w:val="000000"/>
                <w:kern w:val="0"/>
                <w:sz w:val="24"/>
                <w:szCs w:val="24"/>
                <w:lang w:val="en-US" w:eastAsia="zh-CN" w:bidi="ar"/>
              </w:rPr>
              <w:t>940</w:t>
            </w:r>
            <w:r>
              <w:rPr>
                <w:rFonts w:hint="default" w:ascii="Times New Roman" w:hAnsi="Times New Roman" w:eastAsia="宋体" w:cs="Times New Roman"/>
                <w:color w:val="000000"/>
                <w:kern w:val="0"/>
                <w:sz w:val="24"/>
                <w:szCs w:val="24"/>
                <w:lang w:val="en-US" w:eastAsia="zh-CN" w:bidi="ar"/>
              </w:rPr>
              <w:t>m。本环评对项目厂界噪声进行预测，分别在项目区东、南、西、北四个厂界各设置一个噪声预测点。</w:t>
            </w:r>
          </w:p>
          <w:p w14:paraId="2949C9A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（一）噪声影响预测分析</w:t>
            </w:r>
          </w:p>
          <w:p w14:paraId="05C8302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（1）室内声源</w:t>
            </w:r>
          </w:p>
          <w:p w14:paraId="722BB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如果已知声源的声压级L（r0），且声源位于地面上，则：</w:t>
            </w:r>
          </w:p>
          <w:p w14:paraId="27FA9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1" o:spt="75" type="#_x0000_t75" style="height:18pt;width:111pt;" o:ole="t" filled="f" o:preferrelative="t" stroked="f" coordsize="21600,21600">
                  <v:path/>
                  <v:fill on="f" focussize="0,0"/>
                  <v:stroke on="f"/>
                  <v:imagedata r:id="rId31" o:title=""/>
                  <o:lock v:ext="edit" aspectratio="t"/>
                  <w10:wrap type="none"/>
                  <w10:anchorlock/>
                </v:shape>
                <o:OLEObject Type="Embed" ProgID="Equation.KSEE3" ShapeID="_x0000_i1031" DrawAspect="Content" ObjectID="_1468075731" r:id="rId30">
                  <o:LockedField>false</o:LockedField>
                </o:OLEObject>
              </w:object>
            </w:r>
          </w:p>
          <w:p w14:paraId="55AF4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计算出某个室内声源靠近围护结构处的声压级：</w:t>
            </w:r>
          </w:p>
          <w:p w14:paraId="6D857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2" o:spt="75" type="#_x0000_t75" style="height:34pt;width:132.95pt;" o:ole="t" filled="f" o:preferrelative="t" stroked="f" coordsize="21600,21600">
                  <v:path/>
                  <v:fill on="f" focussize="0,0"/>
                  <v:stroke on="f"/>
                  <v:imagedata r:id="rId33" o:title=""/>
                  <o:lock v:ext="edit" aspectratio="t"/>
                  <w10:wrap type="none"/>
                  <w10:anchorlock/>
                </v:shape>
                <o:OLEObject Type="Embed" ProgID="Equation.KSEE3" ShapeID="_x0000_i1032" DrawAspect="Content" ObjectID="_1468075732" r:id="rId32">
                  <o:LockedField>false</o:LockedField>
                </o:OLEObject>
              </w:object>
            </w:r>
          </w:p>
          <w:p w14:paraId="06EF7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14:paraId="65504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Lp1——某个室内声源靠近维护结构处的声压级；</w:t>
            </w:r>
          </w:p>
          <w:p w14:paraId="6EB1B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Lw——某个室内声源靠近维护结构处产生的声功率级；</w:t>
            </w:r>
          </w:p>
          <w:p w14:paraId="4F2CA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Q——指向性因数；通常对无指向性声源，当声源放在房间中心时，Q=1；当放在一面墙的中心时，Q=2；当放在两面墙夹角处时，Q=4；当放在三面墙夹角处时，Q=8；</w:t>
            </w:r>
          </w:p>
          <w:p w14:paraId="29DA2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R——房间常数；R=Sa/（1-a），S为房间内表面面积，</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；a为平均吸声系数，本评价a取0.15；</w:t>
            </w:r>
          </w:p>
          <w:p w14:paraId="57EEC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R——声源到靠近围护结构某点处的距离，m。</w:t>
            </w:r>
          </w:p>
          <w:p w14:paraId="185CD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计算出所有室内声源在靠近围护结构处产生的总声压级：</w:t>
            </w:r>
          </w:p>
          <w:p w14:paraId="046E1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3" o:spt="75" type="#_x0000_t75" style="height:42.65pt;width:150.6pt;" o:ole="t" filled="f" o:preferrelative="t" stroked="f" coordsize="21600,21600">
                  <v:path/>
                  <v:fill on="f" focussize="0,0"/>
                  <v:stroke on="f"/>
                  <v:imagedata r:id="rId35" o:title=""/>
                  <o:lock v:ext="edit" aspectratio="t"/>
                  <w10:wrap type="none"/>
                  <w10:anchorlock/>
                </v:shape>
                <o:OLEObject Type="Embed" ProgID="Equation.KSEE3" ShapeID="_x0000_i1033" DrawAspect="Content" ObjectID="_1468075733" r:id="rId34">
                  <o:LockedField>false</o:LockedField>
                </o:OLEObject>
              </w:object>
            </w:r>
          </w:p>
          <w:p w14:paraId="512B5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14:paraId="0C338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4" o:spt="75" type="#_x0000_t75" style="height:19pt;width:18pt;" o:ole="t" filled="f" o:preferrelative="t" stroked="f" coordsize="21600,21600">
                  <v:path/>
                  <v:fill on="f" focussize="0,0"/>
                  <v:stroke on="f"/>
                  <v:imagedata r:id="rId37" o:title=""/>
                  <o:lock v:ext="edit" aspectratio="t"/>
                  <w10:wrap type="none"/>
                  <w10:anchorlock/>
                </v:shape>
                <o:OLEObject Type="Embed" ProgID="Equation.KSEE3" ShapeID="_x0000_i1034" DrawAspect="Content" ObjectID="_1468075734" r:id="rId36">
                  <o:LockedField>false</o:LockedField>
                </o:OLEObject>
              </w:object>
            </w:r>
            <w:r>
              <w:rPr>
                <w:rFonts w:hint="default" w:ascii="Times New Roman" w:hAnsi="Times New Roman" w:eastAsia="宋体" w:cs="Times New Roman"/>
                <w:color w:val="auto"/>
                <w:sz w:val="24"/>
                <w:szCs w:val="24"/>
                <w:highlight w:val="none"/>
                <w:lang w:val="en-US" w:eastAsia="zh-CN"/>
              </w:rPr>
              <w:t>——j声源的声压级，dB（A）；</w:t>
            </w:r>
          </w:p>
          <w:p w14:paraId="7F8FB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N—室内声源总数；</w:t>
            </w:r>
          </w:p>
          <w:p w14:paraId="05E9E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Lp1（T）——靠近围护结构处室内N个声源的叠加声压级，dB（A）；</w:t>
            </w:r>
          </w:p>
          <w:p w14:paraId="77B2A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计算出室外靠近围护结构处的声压级：</w:t>
            </w:r>
          </w:p>
          <w:p w14:paraId="475BB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5" o:spt="75" type="#_x0000_t75" style="height:19pt;width:123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p>
          <w:p w14:paraId="06956B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14:paraId="00124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6" o:spt="75" type="#_x0000_t75" style="height:17pt;width:35pt;" o:ole="t" filled="f" o:preferrelative="t" stroked="f" coordsize="21600,21600">
                  <v:path/>
                  <v:fill on="f" focussize="0,0"/>
                  <v:stroke on="f"/>
                  <v:imagedata r:id="rId41" o:title=""/>
                  <o:lock v:ext="edit" aspectratio="t"/>
                  <w10:wrap type="none"/>
                  <w10:anchorlock/>
                </v:shape>
                <o:OLEObject Type="Embed" ProgID="Equation.KSEE3" ShapeID="_x0000_i1036" DrawAspect="Content" ObjectID="_1468075736" r:id="rId40">
                  <o:LockedField>false</o:LockedField>
                </o:OLEObject>
              </w:object>
            </w:r>
            <w:r>
              <w:rPr>
                <w:rFonts w:hint="default" w:ascii="Times New Roman" w:hAnsi="Times New Roman" w:eastAsia="宋体" w:cs="Times New Roman"/>
                <w:color w:val="auto"/>
                <w:sz w:val="24"/>
                <w:szCs w:val="24"/>
                <w:highlight w:val="none"/>
                <w:lang w:val="en-US" w:eastAsia="zh-CN"/>
              </w:rPr>
              <w:t>——靠近围护结构处室外N个声源的叠加声压级，dB（A）；</w:t>
            </w:r>
          </w:p>
          <w:p w14:paraId="151AD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TL——围护结构的隔声量，dB（A）。</w:t>
            </w:r>
          </w:p>
          <w:p w14:paraId="40DAF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将室外声级Lp2（T）和透声面积换算成等效的室外声源，计算出等效声源的声功率级LW。</w:t>
            </w:r>
          </w:p>
          <w:p w14:paraId="71075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等效室外声源的位置为围护结构的位置，其声功率级为LW，由此按室外声源方法计算等效室外声源在预测点产生的A声级。</w:t>
            </w:r>
          </w:p>
          <w:p w14:paraId="17218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）室外声源</w:t>
            </w:r>
          </w:p>
          <w:p w14:paraId="04A54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计算某个声源在预测点的声压级</w:t>
            </w:r>
          </w:p>
          <w:p w14:paraId="6B5A5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7" o:spt="75" type="#_x0000_t75" style="height:18pt;width:77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p>
          <w:p w14:paraId="78D7D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14:paraId="535FF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8" o:spt="75" type="#_x0000_t75" style="height:17pt;width:24pt;" o:ole="t" filled="f" o:preferrelative="t" stroked="f" coordsize="21600,21600">
                  <v:path/>
                  <v:fill on="f" focussize="0,0"/>
                  <v:stroke on="f"/>
                  <v:imagedata r:id="rId45" o:title=""/>
                  <o:lock v:ext="edit" aspectratio="t"/>
                  <w10:wrap type="none"/>
                  <w10:anchorlock/>
                </v:shape>
                <o:OLEObject Type="Embed" ProgID="Equation.KSEE3" ShapeID="_x0000_i1038" DrawAspect="Content" ObjectID="_1468075738" r:id="rId44">
                  <o:LockedField>false</o:LockedField>
                </o:OLEObject>
              </w:object>
            </w:r>
            <w:r>
              <w:rPr>
                <w:rFonts w:hint="default" w:ascii="Times New Roman" w:hAnsi="Times New Roman" w:eastAsia="宋体" w:cs="Times New Roman"/>
                <w:color w:val="auto"/>
                <w:sz w:val="24"/>
                <w:szCs w:val="24"/>
                <w:highlight w:val="none"/>
                <w:lang w:val="en-US" w:eastAsia="zh-CN"/>
              </w:rPr>
              <w:t>——点声源在预测点产生的声压级，dB（A）；</w:t>
            </w:r>
          </w:p>
          <w:p w14:paraId="260DD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39" o:spt="75" type="#_x0000_t75" style="height:18pt;width:26pt;" o:ole="t" filled="f" o:preferrelative="t" stroked="f" coordsize="21600,21600">
                  <v:path/>
                  <v:fill on="f" focussize="0,0"/>
                  <v:stroke on="f"/>
                  <v:imagedata r:id="rId47" o:title=""/>
                  <o:lock v:ext="edit" aspectratio="t"/>
                  <w10:wrap type="none"/>
                  <w10:anchorlock/>
                </v:shape>
                <o:OLEObject Type="Embed" ProgID="Equation.KSEE3" ShapeID="_x0000_i1039" DrawAspect="Content" ObjectID="_1468075739" r:id="rId46">
                  <o:LockedField>false</o:LockedField>
                </o:OLEObject>
              </w:object>
            </w:r>
            <w:r>
              <w:rPr>
                <w:rFonts w:hint="default" w:ascii="Times New Roman" w:hAnsi="Times New Roman" w:eastAsia="宋体" w:cs="Times New Roman"/>
                <w:color w:val="auto"/>
                <w:sz w:val="24"/>
                <w:szCs w:val="24"/>
                <w:highlight w:val="none"/>
                <w:lang w:val="en-US" w:eastAsia="zh-CN"/>
              </w:rPr>
              <w:t>——参考位置r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处的声压级，dB（A）；</w:t>
            </w:r>
          </w:p>
          <w:p w14:paraId="6A21C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r——预测点距声源的距离，m；</w:t>
            </w:r>
          </w:p>
          <w:p w14:paraId="40E74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40" o:spt="75" type="#_x0000_t75" style="height:18pt;width:11pt;" o:ole="t" filled="f" o:preferrelative="t" stroked="f" coordsize="21600,21600">
                  <v:path/>
                  <v:fill on="f" focussize="0,0"/>
                  <v:stroke on="f"/>
                  <v:imagedata r:id="rId49" o:title=""/>
                  <o:lock v:ext="edit" aspectratio="t"/>
                  <w10:wrap type="none"/>
                  <w10:anchorlock/>
                </v:shape>
                <o:OLEObject Type="Embed" ProgID="Equation.KSEE3" ShapeID="_x0000_i1040" DrawAspect="Content" ObjectID="_1468075740" r:id="rId48">
                  <o:LockedField>false</o:LockedField>
                </o:OLEObject>
              </w:object>
            </w:r>
            <w:r>
              <w:rPr>
                <w:rFonts w:hint="default" w:ascii="Times New Roman" w:hAnsi="Times New Roman" w:eastAsia="宋体" w:cs="Times New Roman"/>
                <w:color w:val="auto"/>
                <w:sz w:val="24"/>
                <w:szCs w:val="24"/>
                <w:highlight w:val="none"/>
                <w:lang w:val="en-US" w:eastAsia="zh-CN"/>
              </w:rPr>
              <w:t>——参考位置距声源的距离，m；</w:t>
            </w:r>
          </w:p>
          <w:p w14:paraId="791C1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A——各种因素引起的衰减量（包括几何发散衰减、声屏障衰减，其计算方法详见</w:t>
            </w:r>
            <w:r>
              <w:rPr>
                <w:rFonts w:hint="eastAsia" w:ascii="Times New Roman" w:hAnsi="Times New Roman" w:eastAsia="宋体" w:cs="Times New Roman"/>
                <w:color w:val="auto"/>
                <w:sz w:val="24"/>
                <w:szCs w:val="24"/>
                <w:highlight w:val="none"/>
                <w:lang w:val="en-US" w:eastAsia="zh-CN"/>
              </w:rPr>
              <w:t>“导则”</w:t>
            </w:r>
            <w:r>
              <w:rPr>
                <w:rFonts w:hint="default" w:ascii="Times New Roman" w:hAnsi="Times New Roman" w:eastAsia="宋体" w:cs="Times New Roman"/>
                <w:color w:val="auto"/>
                <w:sz w:val="24"/>
                <w:szCs w:val="24"/>
                <w:highlight w:val="none"/>
                <w:lang w:val="en-US" w:eastAsia="zh-CN"/>
              </w:rPr>
              <w:t>正文）。</w:t>
            </w:r>
          </w:p>
          <w:p w14:paraId="3D826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）噪声贡献值</w:t>
            </w:r>
          </w:p>
          <w:p w14:paraId="22C1B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设第i室外声源在预测点产生的A声级为LAi</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在T时间内该声源工作时间为ti；第j个等效室外声源在预测点产生的A声级为LAj，在T时间内该声源工作时间为tj，则项目声源对预测点产生的贡献值（Leqg）为：</w:t>
            </w:r>
            <w:r>
              <w:rPr>
                <w:rFonts w:hint="default" w:ascii="Times New Roman" w:hAnsi="Times New Roman" w:eastAsia="宋体" w:cs="Times New Roman"/>
                <w:color w:val="auto"/>
                <w:sz w:val="24"/>
                <w:szCs w:val="24"/>
                <w:highlight w:val="none"/>
                <w:lang w:val="en-US" w:eastAsia="zh-CN"/>
              </w:rPr>
              <w:object>
                <v:shape id="_x0000_i1041" o:spt="75" type="#_x0000_t75" style="height:46.95pt;width:240.65pt;" o:ole="t" filled="f" o:preferrelative="t" stroked="f" coordsize="21600,21600">
                  <v:path/>
                  <v:fill on="f" focussize="0,0"/>
                  <v:stroke on="f"/>
                  <v:imagedata r:id="rId51" o:title=""/>
                  <o:lock v:ext="edit" aspectratio="t"/>
                  <w10:wrap type="none"/>
                  <w10:anchorlock/>
                </v:shape>
                <o:OLEObject Type="Embed" ProgID="Equation.KSEE3" ShapeID="_x0000_i1041" DrawAspect="Content" ObjectID="_1468075741" r:id="rId50">
                  <o:LockedField>false</o:LockedField>
                </o:OLEObject>
              </w:object>
            </w:r>
          </w:p>
          <w:p w14:paraId="78576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式中：tj——在T时间内j声源工作时间，s；</w:t>
            </w:r>
          </w:p>
          <w:p w14:paraId="49105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ti——在T时间内i声源工作时间，s；</w:t>
            </w:r>
          </w:p>
          <w:p w14:paraId="66083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T——用于计算等效声级的时间，s；</w:t>
            </w:r>
          </w:p>
          <w:p w14:paraId="1EA95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N——室外声源个数；</w:t>
            </w:r>
          </w:p>
          <w:p w14:paraId="1DE57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M——等效室外声源个数；</w:t>
            </w:r>
          </w:p>
          <w:p w14:paraId="7BE67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）噪声预测值</w:t>
            </w:r>
          </w:p>
          <w:p w14:paraId="2F9D1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预测点的贡献值和背景值按能量叠加方式计算，公式如下：</w:t>
            </w:r>
          </w:p>
          <w:p w14:paraId="18C26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42" o:spt="75" type="#_x0000_t75" style="height:21pt;width:135pt;" o:ole="t" filled="f" o:preferrelative="t" stroked="f" coordsize="21600,21600">
                  <v:path/>
                  <v:fill on="f" focussize="0,0"/>
                  <v:stroke on="f"/>
                  <v:imagedata r:id="rId53" o:title=""/>
                  <o:lock v:ext="edit" aspectratio="t"/>
                  <w10:wrap type="none"/>
                  <w10:anchorlock/>
                </v:shape>
                <o:OLEObject Type="Embed" ProgID="Equation.KSEE3" ShapeID="_x0000_i1042" DrawAspect="Content" ObjectID="_1468075742" r:id="rId52">
                  <o:LockedField>false</o:LockedField>
                </o:OLEObject>
              </w:object>
            </w:r>
          </w:p>
          <w:p w14:paraId="4FC4B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auto"/>
                <w:sz w:val="24"/>
                <w:szCs w:val="24"/>
                <w:highlight w:val="none"/>
                <w:lang w:val="en-US" w:eastAsia="zh-CN"/>
              </w:rPr>
              <w:object>
                <v:shape id="_x0000_i1043" o:spt="75" type="#_x0000_t75" style="height:19pt;width:17pt;" o:ole="t" filled="f" o:preferrelative="t" stroked="f" coordsize="21600,21600">
                  <v:path/>
                  <v:fill on="f" focussize="0,0"/>
                  <v:stroke on="f"/>
                  <v:imagedata r:id="rId55" o:title=""/>
                  <o:lock v:ext="edit" aspectratio="t"/>
                  <w10:wrap type="none"/>
                  <w10:anchorlock/>
                </v:shape>
                <o:OLEObject Type="Embed" ProgID="Equation.KSEE3" ShapeID="_x0000_i1043" DrawAspect="Content" ObjectID="_1468075743" r:id="rId54">
                  <o:LockedField>false</o:LockedField>
                </o:OLEObject>
              </w:object>
            </w:r>
            <w:r>
              <w:rPr>
                <w:rFonts w:hint="default" w:ascii="Times New Roman" w:hAnsi="Times New Roman" w:eastAsia="宋体" w:cs="Times New Roman"/>
                <w:color w:val="auto"/>
                <w:sz w:val="24"/>
                <w:szCs w:val="24"/>
                <w:highlight w:val="none"/>
                <w:lang w:val="en-US" w:eastAsia="zh-CN"/>
              </w:rPr>
              <w:t>——预测点的噪声预测值，dB；</w:t>
            </w:r>
          </w:p>
          <w:p w14:paraId="499E1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44" o:spt="75" type="#_x0000_t75" style="height:19pt;width:21pt;" o:ole="t" filled="f" o:preferrelative="t" stroked="f" coordsize="21600,21600">
                  <v:path/>
                  <v:fill on="f" focussize="0,0"/>
                  <v:stroke on="f"/>
                  <v:imagedata r:id="rId57" o:title=""/>
                  <o:lock v:ext="edit" aspectratio="t"/>
                  <w10:wrap type="none"/>
                  <w10:anchorlock/>
                </v:shape>
                <o:OLEObject Type="Embed" ProgID="Equation.KSEE3" ShapeID="_x0000_i1044" DrawAspect="Content" ObjectID="_1468075744" r:id="rId56">
                  <o:LockedField>false</o:LockedField>
                </o:OLEObject>
              </w:object>
            </w:r>
            <w:r>
              <w:rPr>
                <w:rFonts w:hint="default" w:ascii="Times New Roman" w:hAnsi="Times New Roman" w:eastAsia="宋体" w:cs="Times New Roman"/>
                <w:color w:val="auto"/>
                <w:sz w:val="24"/>
                <w:szCs w:val="24"/>
                <w:highlight w:val="none"/>
                <w:lang w:val="en-US" w:eastAsia="zh-CN"/>
              </w:rPr>
              <w:t>——声源在预测点产生的噪声贡献值，dB；</w:t>
            </w:r>
          </w:p>
          <w:p w14:paraId="27EE7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45" o:spt="75" type="#_x0000_t75" style="height:19pt;width:21pt;" o:ole="t" filled="f" o:preferrelative="t" stroked="f" coordsize="21600,21600">
                  <v:path/>
                  <v:fill on="f" focussize="0,0"/>
                  <v:stroke on="f"/>
                  <v:imagedata r:id="rId59" o:title=""/>
                  <o:lock v:ext="edit" aspectratio="t"/>
                  <w10:wrap type="none"/>
                  <w10:anchorlock/>
                </v:shape>
                <o:OLEObject Type="Embed" ProgID="Equation.KSEE3" ShapeID="_x0000_i1045" DrawAspect="Content" ObjectID="_1468075745" r:id="rId58">
                  <o:LockedField>false</o:LockedField>
                </o:OLEObject>
              </w:object>
            </w:r>
            <w:r>
              <w:rPr>
                <w:rFonts w:hint="default" w:ascii="Times New Roman" w:hAnsi="Times New Roman" w:eastAsia="宋体" w:cs="Times New Roman"/>
                <w:color w:val="auto"/>
                <w:sz w:val="24"/>
                <w:szCs w:val="24"/>
                <w:highlight w:val="none"/>
                <w:lang w:val="en-US" w:eastAsia="zh-CN"/>
              </w:rPr>
              <w:t>——预测点的背景噪声值，dB。</w:t>
            </w:r>
          </w:p>
          <w:p w14:paraId="5F26DA1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本次环境噪声影响预测采用《环境影响评价技术导则  声环境》（HJ2.4-2021）中推荐的噪声预测模式。</w:t>
            </w:r>
          </w:p>
          <w:p w14:paraId="73870E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预测软件为由北京尚云开发制作并拥有全部版权的EIAProN2021。EIAProN2021以新版噪声导则——《环境影响评价技术导则 声环境》（HJ2.4-2021）的要求为编制依据，功能全面深入、符合新导则要求。</w:t>
            </w:r>
          </w:p>
          <w:p w14:paraId="04038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预测软件版本号：2.5.205。</w:t>
            </w:r>
          </w:p>
          <w:p w14:paraId="4BE3175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lang w:val="en-US" w:eastAsia="zh-CN"/>
              </w:rPr>
              <w:t>4.7.3预测结果</w:t>
            </w:r>
          </w:p>
          <w:p w14:paraId="00846824">
            <w:pPr>
              <w:keepNext w:val="0"/>
              <w:keepLines w:val="0"/>
              <w:pageBreakBefore w:val="0"/>
              <w:widowControl/>
              <w:tabs>
                <w:tab w:val="left" w:pos="540"/>
                <w:tab w:val="left" w:pos="851"/>
                <w:tab w:val="left" w:pos="994"/>
                <w:tab w:val="left" w:pos="1260"/>
                <w:tab w:val="left" w:pos="3108"/>
                <w:tab w:val="left" w:pos="3150"/>
              </w:tabs>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采用上述预测模式，</w:t>
            </w:r>
            <w:r>
              <w:rPr>
                <w:rFonts w:hint="default" w:ascii="Times New Roman" w:hAnsi="Times New Roman" w:eastAsia="宋体" w:cs="Times New Roman"/>
                <w:color w:val="auto"/>
                <w:sz w:val="24"/>
                <w:szCs w:val="24"/>
                <w:highlight w:val="none"/>
                <w:lang w:val="en-US" w:eastAsia="zh-CN"/>
              </w:rPr>
              <w:t>于项目厂界上设置</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个预测点，预测结果如下：</w:t>
            </w:r>
          </w:p>
          <w:p w14:paraId="2ED0B71D">
            <w:pPr>
              <w:pStyle w:val="24"/>
              <w:bidi w:val="0"/>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表4-12  厂界噪声预测结果 单位：dB（A）</w:t>
            </w:r>
          </w:p>
          <w:tbl>
            <w:tblPr>
              <w:tblStyle w:val="1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660"/>
              <w:gridCol w:w="833"/>
              <w:gridCol w:w="1148"/>
              <w:gridCol w:w="1016"/>
              <w:gridCol w:w="862"/>
              <w:gridCol w:w="660"/>
              <w:gridCol w:w="1983"/>
            </w:tblGrid>
            <w:tr w14:paraId="51CEF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tcBorders>
                    <w:tl2br w:val="nil"/>
                    <w:tr2bl w:val="nil"/>
                  </w:tcBorders>
                  <w:vAlign w:val="center"/>
                </w:tcPr>
                <w:p w14:paraId="097351B1">
                  <w:pPr>
                    <w:pStyle w:val="27"/>
                    <w:bidi w:val="0"/>
                    <w:rPr>
                      <w:rFonts w:hint="default"/>
                      <w:color w:val="auto"/>
                      <w:lang w:val="en-US" w:eastAsia="zh-CN"/>
                    </w:rPr>
                  </w:pPr>
                  <w:r>
                    <w:rPr>
                      <w:rFonts w:hint="eastAsia"/>
                      <w:color w:val="auto"/>
                      <w:lang w:val="en-US" w:eastAsia="zh-CN"/>
                    </w:rPr>
                    <w:t>序号</w:t>
                  </w:r>
                </w:p>
              </w:tc>
              <w:tc>
                <w:tcPr>
                  <w:tcW w:w="433" w:type="pct"/>
                  <w:tcBorders>
                    <w:tl2br w:val="nil"/>
                    <w:tr2bl w:val="nil"/>
                  </w:tcBorders>
                  <w:vAlign w:val="center"/>
                </w:tcPr>
                <w:p w14:paraId="0121AFA1">
                  <w:pPr>
                    <w:pStyle w:val="27"/>
                    <w:bidi w:val="0"/>
                    <w:rPr>
                      <w:rFonts w:hint="default"/>
                      <w:color w:val="auto"/>
                      <w:lang w:val="en-US" w:eastAsia="zh-CN"/>
                    </w:rPr>
                  </w:pPr>
                  <w:r>
                    <w:rPr>
                      <w:rFonts w:hint="default"/>
                      <w:color w:val="auto"/>
                      <w:lang w:val="en-US" w:eastAsia="zh-CN"/>
                    </w:rPr>
                    <w:t>测点位置</w:t>
                  </w:r>
                </w:p>
              </w:tc>
              <w:tc>
                <w:tcPr>
                  <w:tcW w:w="546" w:type="pct"/>
                  <w:tcBorders>
                    <w:tl2br w:val="nil"/>
                    <w:tr2bl w:val="nil"/>
                  </w:tcBorders>
                  <w:vAlign w:val="center"/>
                </w:tcPr>
                <w:p w14:paraId="0F6F5AC8">
                  <w:pPr>
                    <w:pStyle w:val="27"/>
                    <w:bidi w:val="0"/>
                    <w:rPr>
                      <w:rFonts w:hint="default"/>
                      <w:color w:val="auto"/>
                      <w:lang w:val="en-US" w:eastAsia="zh-CN"/>
                    </w:rPr>
                  </w:pPr>
                  <w:r>
                    <w:rPr>
                      <w:rFonts w:hint="default"/>
                      <w:color w:val="auto"/>
                      <w:lang w:val="en-US" w:eastAsia="zh-CN"/>
                    </w:rPr>
                    <w:t>预测点</w:t>
                  </w:r>
                </w:p>
              </w:tc>
              <w:tc>
                <w:tcPr>
                  <w:tcW w:w="753" w:type="pct"/>
                  <w:tcBorders>
                    <w:tl2br w:val="nil"/>
                    <w:tr2bl w:val="nil"/>
                  </w:tcBorders>
                  <w:vAlign w:val="center"/>
                </w:tcPr>
                <w:p w14:paraId="00A319F8">
                  <w:pPr>
                    <w:pStyle w:val="27"/>
                    <w:bidi w:val="0"/>
                    <w:rPr>
                      <w:rFonts w:hint="default"/>
                      <w:color w:val="auto"/>
                      <w:lang w:val="en-US" w:eastAsia="zh-CN"/>
                    </w:rPr>
                  </w:pPr>
                  <w:r>
                    <w:rPr>
                      <w:rFonts w:hint="default"/>
                      <w:color w:val="auto"/>
                      <w:lang w:val="en-US" w:eastAsia="zh-CN"/>
                    </w:rPr>
                    <w:t>噪声预测值</w:t>
                  </w:r>
                </w:p>
              </w:tc>
              <w:tc>
                <w:tcPr>
                  <w:tcW w:w="666" w:type="pct"/>
                  <w:tcBorders>
                    <w:tl2br w:val="nil"/>
                    <w:tr2bl w:val="nil"/>
                  </w:tcBorders>
                  <w:vAlign w:val="center"/>
                </w:tcPr>
                <w:p w14:paraId="284C40E9">
                  <w:pPr>
                    <w:pStyle w:val="27"/>
                    <w:bidi w:val="0"/>
                    <w:rPr>
                      <w:rFonts w:hint="default"/>
                      <w:color w:val="auto"/>
                      <w:lang w:val="en-US" w:eastAsia="zh-CN"/>
                    </w:rPr>
                  </w:pPr>
                  <w:r>
                    <w:rPr>
                      <w:rFonts w:hint="default"/>
                      <w:color w:val="auto"/>
                    </w:rPr>
                    <w:t>运行时段</w:t>
                  </w:r>
                </w:p>
              </w:tc>
              <w:tc>
                <w:tcPr>
                  <w:tcW w:w="565" w:type="pct"/>
                  <w:tcBorders>
                    <w:tl2br w:val="nil"/>
                    <w:tr2bl w:val="nil"/>
                  </w:tcBorders>
                  <w:vAlign w:val="center"/>
                </w:tcPr>
                <w:p w14:paraId="6CBFF599">
                  <w:pPr>
                    <w:pStyle w:val="27"/>
                    <w:bidi w:val="0"/>
                    <w:rPr>
                      <w:rFonts w:hint="default"/>
                      <w:color w:val="auto"/>
                      <w:lang w:val="en-US" w:eastAsia="zh-CN"/>
                    </w:rPr>
                  </w:pPr>
                  <w:r>
                    <w:rPr>
                      <w:rFonts w:hint="default"/>
                      <w:color w:val="auto"/>
                      <w:lang w:val="en-US" w:eastAsia="zh-CN"/>
                    </w:rPr>
                    <w:t>标准值</w:t>
                  </w:r>
                </w:p>
              </w:tc>
              <w:tc>
                <w:tcPr>
                  <w:tcW w:w="433" w:type="pct"/>
                  <w:tcBorders>
                    <w:tl2br w:val="nil"/>
                    <w:tr2bl w:val="nil"/>
                  </w:tcBorders>
                  <w:vAlign w:val="center"/>
                </w:tcPr>
                <w:p w14:paraId="2DD46394">
                  <w:pPr>
                    <w:pStyle w:val="2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达标情况</w:t>
                  </w:r>
                </w:p>
              </w:tc>
              <w:tc>
                <w:tcPr>
                  <w:tcW w:w="1300" w:type="pct"/>
                  <w:tcBorders>
                    <w:tl2br w:val="nil"/>
                    <w:tr2bl w:val="nil"/>
                  </w:tcBorders>
                  <w:vAlign w:val="center"/>
                </w:tcPr>
                <w:p w14:paraId="2053C2D2">
                  <w:pPr>
                    <w:pStyle w:val="2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执行标准</w:t>
                  </w:r>
                </w:p>
              </w:tc>
            </w:tr>
            <w:tr w14:paraId="6A68B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restart"/>
                  <w:tcBorders>
                    <w:tl2br w:val="nil"/>
                    <w:tr2bl w:val="nil"/>
                  </w:tcBorders>
                  <w:vAlign w:val="center"/>
                </w:tcPr>
                <w:p w14:paraId="242A5021">
                  <w:pPr>
                    <w:pStyle w:val="27"/>
                    <w:bidi w:val="0"/>
                    <w:rPr>
                      <w:rFonts w:hint="default"/>
                      <w:color w:val="auto"/>
                      <w:lang w:val="en-US" w:eastAsia="zh-CN"/>
                    </w:rPr>
                  </w:pPr>
                  <w:r>
                    <w:rPr>
                      <w:rFonts w:hint="eastAsia"/>
                      <w:color w:val="auto"/>
                      <w:lang w:val="en-US" w:eastAsia="zh-CN"/>
                    </w:rPr>
                    <w:t>1</w:t>
                  </w:r>
                </w:p>
              </w:tc>
              <w:tc>
                <w:tcPr>
                  <w:tcW w:w="433" w:type="pct"/>
                  <w:vMerge w:val="restart"/>
                  <w:tcBorders>
                    <w:tl2br w:val="nil"/>
                    <w:tr2bl w:val="nil"/>
                  </w:tcBorders>
                  <w:vAlign w:val="center"/>
                </w:tcPr>
                <w:p w14:paraId="5F7A68D0">
                  <w:pPr>
                    <w:pStyle w:val="27"/>
                    <w:bidi w:val="0"/>
                    <w:rPr>
                      <w:rFonts w:hint="default"/>
                      <w:color w:val="auto"/>
                      <w:lang w:val="en-US" w:eastAsia="zh-CN"/>
                    </w:rPr>
                  </w:pPr>
                  <w:r>
                    <w:rPr>
                      <w:rFonts w:hint="default"/>
                      <w:color w:val="auto"/>
                      <w:lang w:val="en-US" w:eastAsia="zh-CN"/>
                    </w:rPr>
                    <w:t>厂界</w:t>
                  </w:r>
                </w:p>
              </w:tc>
              <w:tc>
                <w:tcPr>
                  <w:tcW w:w="546" w:type="pct"/>
                  <w:vMerge w:val="restart"/>
                  <w:tcBorders>
                    <w:tl2br w:val="nil"/>
                    <w:tr2bl w:val="nil"/>
                  </w:tcBorders>
                  <w:vAlign w:val="center"/>
                </w:tcPr>
                <w:p w14:paraId="16BA08B0">
                  <w:pPr>
                    <w:pStyle w:val="27"/>
                    <w:bidi w:val="0"/>
                    <w:rPr>
                      <w:rFonts w:hint="default"/>
                      <w:color w:val="auto"/>
                      <w:lang w:val="en-US" w:eastAsia="zh-CN"/>
                    </w:rPr>
                  </w:pPr>
                  <w:r>
                    <w:rPr>
                      <w:rFonts w:hint="default"/>
                      <w:color w:val="auto"/>
                      <w:lang w:val="en-US" w:eastAsia="zh-CN"/>
                    </w:rPr>
                    <w:t>厂界</w:t>
                  </w:r>
                  <w:r>
                    <w:rPr>
                      <w:rFonts w:hint="eastAsia"/>
                      <w:color w:val="auto"/>
                      <w:lang w:val="en-US" w:eastAsia="zh-CN"/>
                    </w:rPr>
                    <w:t>北</w:t>
                  </w:r>
                </w:p>
              </w:tc>
              <w:tc>
                <w:tcPr>
                  <w:tcW w:w="753" w:type="pct"/>
                  <w:tcBorders>
                    <w:tl2br w:val="nil"/>
                    <w:tr2bl w:val="nil"/>
                  </w:tcBorders>
                  <w:vAlign w:val="center"/>
                </w:tcPr>
                <w:p w14:paraId="6458F72B">
                  <w:pPr>
                    <w:pStyle w:val="27"/>
                    <w:bidi w:val="0"/>
                    <w:rPr>
                      <w:rFonts w:hint="default"/>
                      <w:color w:val="auto"/>
                      <w:lang w:val="en-US" w:eastAsia="zh-CN"/>
                    </w:rPr>
                  </w:pPr>
                  <w:r>
                    <w:rPr>
                      <w:rFonts w:hint="eastAsia"/>
                      <w:color w:val="auto"/>
                      <w:lang w:val="en-US" w:eastAsia="zh-CN"/>
                    </w:rPr>
                    <w:t>49.63</w:t>
                  </w:r>
                </w:p>
              </w:tc>
              <w:tc>
                <w:tcPr>
                  <w:tcW w:w="666" w:type="pct"/>
                  <w:tcBorders>
                    <w:tl2br w:val="nil"/>
                    <w:tr2bl w:val="nil"/>
                  </w:tcBorders>
                  <w:vAlign w:val="center"/>
                </w:tcPr>
                <w:p w14:paraId="1F4D6306">
                  <w:pPr>
                    <w:pStyle w:val="27"/>
                    <w:bidi w:val="0"/>
                    <w:rPr>
                      <w:rFonts w:hint="default"/>
                      <w:color w:val="auto"/>
                    </w:rPr>
                  </w:pPr>
                  <w:r>
                    <w:rPr>
                      <w:rFonts w:hint="default"/>
                      <w:color w:val="auto"/>
                      <w:lang w:val="en-US" w:eastAsia="zh-CN"/>
                    </w:rPr>
                    <w:t>昼间</w:t>
                  </w:r>
                </w:p>
              </w:tc>
              <w:tc>
                <w:tcPr>
                  <w:tcW w:w="565" w:type="pct"/>
                  <w:tcBorders>
                    <w:tl2br w:val="nil"/>
                    <w:tr2bl w:val="nil"/>
                  </w:tcBorders>
                  <w:vAlign w:val="center"/>
                </w:tcPr>
                <w:p w14:paraId="6CE681E7">
                  <w:pPr>
                    <w:pStyle w:val="27"/>
                    <w:bidi w:val="0"/>
                    <w:rPr>
                      <w:rFonts w:hint="default"/>
                      <w:color w:val="auto"/>
                      <w:lang w:val="en-US" w:eastAsia="zh-CN"/>
                    </w:rPr>
                  </w:pPr>
                  <w:r>
                    <w:rPr>
                      <w:rFonts w:hint="eastAsia"/>
                      <w:color w:val="auto"/>
                      <w:lang w:val="en-US" w:eastAsia="zh-CN"/>
                    </w:rPr>
                    <w:t>65</w:t>
                  </w:r>
                </w:p>
              </w:tc>
              <w:tc>
                <w:tcPr>
                  <w:tcW w:w="433" w:type="pct"/>
                  <w:tcBorders>
                    <w:tl2br w:val="nil"/>
                    <w:tr2bl w:val="nil"/>
                  </w:tcBorders>
                  <w:vAlign w:val="center"/>
                </w:tcPr>
                <w:p w14:paraId="063F5C46">
                  <w:pPr>
                    <w:pStyle w:val="2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c>
                <w:tcPr>
                  <w:tcW w:w="1300" w:type="pct"/>
                  <w:vMerge w:val="restart"/>
                  <w:tcBorders>
                    <w:tl2br w:val="nil"/>
                    <w:tr2bl w:val="nil"/>
                  </w:tcBorders>
                  <w:vAlign w:val="center"/>
                </w:tcPr>
                <w:p w14:paraId="376C0757">
                  <w:pPr>
                    <w:pStyle w:val="27"/>
                    <w:bidi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《工业企业厂界环境噪声排放标准》（GB12348-2008）</w:t>
                  </w:r>
                  <w:r>
                    <w:rPr>
                      <w:rFonts w:hint="eastAsia"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类标准</w:t>
                  </w:r>
                </w:p>
              </w:tc>
            </w:tr>
            <w:tr w14:paraId="185C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continue"/>
                  <w:tcBorders>
                    <w:tl2br w:val="nil"/>
                    <w:tr2bl w:val="nil"/>
                  </w:tcBorders>
                  <w:vAlign w:val="center"/>
                </w:tcPr>
                <w:p w14:paraId="1F363AB1">
                  <w:pPr>
                    <w:pStyle w:val="27"/>
                    <w:bidi w:val="0"/>
                    <w:rPr>
                      <w:rFonts w:hint="eastAsia"/>
                      <w:color w:val="auto"/>
                      <w:lang w:val="en-US" w:eastAsia="zh-CN"/>
                    </w:rPr>
                  </w:pPr>
                </w:p>
              </w:tc>
              <w:tc>
                <w:tcPr>
                  <w:tcW w:w="433" w:type="pct"/>
                  <w:vMerge w:val="continue"/>
                  <w:tcBorders>
                    <w:tl2br w:val="nil"/>
                    <w:tr2bl w:val="nil"/>
                  </w:tcBorders>
                  <w:vAlign w:val="center"/>
                </w:tcPr>
                <w:p w14:paraId="01E44E18">
                  <w:pPr>
                    <w:pStyle w:val="27"/>
                    <w:bidi w:val="0"/>
                    <w:rPr>
                      <w:rFonts w:hint="default"/>
                      <w:color w:val="auto"/>
                      <w:lang w:val="en-US" w:eastAsia="zh-CN"/>
                    </w:rPr>
                  </w:pPr>
                </w:p>
              </w:tc>
              <w:tc>
                <w:tcPr>
                  <w:tcW w:w="546" w:type="pct"/>
                  <w:vMerge w:val="continue"/>
                  <w:tcBorders>
                    <w:tl2br w:val="nil"/>
                    <w:tr2bl w:val="nil"/>
                  </w:tcBorders>
                  <w:vAlign w:val="center"/>
                </w:tcPr>
                <w:p w14:paraId="588DEFCE">
                  <w:pPr>
                    <w:pStyle w:val="27"/>
                    <w:bidi w:val="0"/>
                    <w:rPr>
                      <w:rFonts w:hint="default"/>
                      <w:color w:val="auto"/>
                      <w:lang w:val="en-US" w:eastAsia="zh-CN"/>
                    </w:rPr>
                  </w:pPr>
                </w:p>
              </w:tc>
              <w:tc>
                <w:tcPr>
                  <w:tcW w:w="753" w:type="pct"/>
                  <w:tcBorders>
                    <w:tl2br w:val="nil"/>
                    <w:tr2bl w:val="nil"/>
                  </w:tcBorders>
                  <w:vAlign w:val="center"/>
                </w:tcPr>
                <w:p w14:paraId="31D2E248">
                  <w:pPr>
                    <w:pStyle w:val="27"/>
                    <w:bidi w:val="0"/>
                    <w:rPr>
                      <w:rFonts w:hint="default"/>
                      <w:color w:val="auto"/>
                      <w:lang w:val="en-US" w:eastAsia="zh-CN"/>
                    </w:rPr>
                  </w:pPr>
                  <w:r>
                    <w:rPr>
                      <w:rFonts w:hint="eastAsia"/>
                      <w:color w:val="auto"/>
                      <w:lang w:val="en-US" w:eastAsia="zh-CN"/>
                    </w:rPr>
                    <w:t>49.63</w:t>
                  </w:r>
                </w:p>
              </w:tc>
              <w:tc>
                <w:tcPr>
                  <w:tcW w:w="666" w:type="pct"/>
                  <w:tcBorders>
                    <w:tl2br w:val="nil"/>
                    <w:tr2bl w:val="nil"/>
                  </w:tcBorders>
                  <w:vAlign w:val="center"/>
                </w:tcPr>
                <w:p w14:paraId="73FC77E8">
                  <w:pPr>
                    <w:pStyle w:val="27"/>
                    <w:bidi w:val="0"/>
                    <w:rPr>
                      <w:rFonts w:hint="default"/>
                      <w:color w:val="auto"/>
                      <w:lang w:val="en-US" w:eastAsia="zh-CN"/>
                    </w:rPr>
                  </w:pPr>
                  <w:r>
                    <w:rPr>
                      <w:rFonts w:hint="eastAsia"/>
                      <w:color w:val="auto"/>
                      <w:lang w:val="en-US" w:eastAsia="zh-CN"/>
                    </w:rPr>
                    <w:t>夜间</w:t>
                  </w:r>
                </w:p>
              </w:tc>
              <w:tc>
                <w:tcPr>
                  <w:tcW w:w="565" w:type="pct"/>
                  <w:tcBorders>
                    <w:tl2br w:val="nil"/>
                    <w:tr2bl w:val="nil"/>
                  </w:tcBorders>
                  <w:vAlign w:val="center"/>
                </w:tcPr>
                <w:p w14:paraId="3F90EF4A">
                  <w:pPr>
                    <w:pStyle w:val="27"/>
                    <w:bidi w:val="0"/>
                    <w:rPr>
                      <w:rFonts w:hint="default"/>
                      <w:color w:val="auto"/>
                      <w:lang w:val="en-US" w:eastAsia="zh-CN"/>
                    </w:rPr>
                  </w:pPr>
                  <w:r>
                    <w:rPr>
                      <w:rFonts w:hint="eastAsia"/>
                      <w:color w:val="auto"/>
                      <w:lang w:val="en-US" w:eastAsia="zh-CN"/>
                    </w:rPr>
                    <w:t>55</w:t>
                  </w:r>
                </w:p>
              </w:tc>
              <w:tc>
                <w:tcPr>
                  <w:tcW w:w="433" w:type="pct"/>
                  <w:tcBorders>
                    <w:tl2br w:val="nil"/>
                    <w:tr2bl w:val="nil"/>
                  </w:tcBorders>
                  <w:vAlign w:val="center"/>
                </w:tcPr>
                <w:p w14:paraId="5C147696">
                  <w:pPr>
                    <w:bidi w:val="0"/>
                    <w:rPr>
                      <w:rFonts w:hint="default" w:ascii="Times New Roman" w:hAnsi="Times New Roman" w:eastAsia="宋体" w:cs="Times New Roman"/>
                      <w:color w:val="auto"/>
                      <w:sz w:val="18"/>
                      <w:szCs w:val="18"/>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65EC8E0C">
                  <w:pPr>
                    <w:pStyle w:val="27"/>
                    <w:bidi w:val="0"/>
                    <w:rPr>
                      <w:rFonts w:hint="default" w:ascii="Times New Roman" w:hAnsi="Times New Roman" w:eastAsia="宋体" w:cs="Times New Roman"/>
                      <w:color w:val="auto"/>
                      <w:sz w:val="18"/>
                      <w:szCs w:val="18"/>
                    </w:rPr>
                  </w:pPr>
                </w:p>
              </w:tc>
            </w:tr>
            <w:tr w14:paraId="07636F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restart"/>
                  <w:tcBorders>
                    <w:tl2br w:val="nil"/>
                    <w:tr2bl w:val="nil"/>
                  </w:tcBorders>
                  <w:vAlign w:val="center"/>
                </w:tcPr>
                <w:p w14:paraId="4A254A88">
                  <w:pPr>
                    <w:pStyle w:val="27"/>
                    <w:bidi w:val="0"/>
                    <w:rPr>
                      <w:rFonts w:hint="default"/>
                      <w:color w:val="auto"/>
                      <w:lang w:val="en-US" w:eastAsia="zh-CN"/>
                    </w:rPr>
                  </w:pPr>
                  <w:r>
                    <w:rPr>
                      <w:rFonts w:hint="eastAsia"/>
                      <w:color w:val="auto"/>
                      <w:lang w:val="en-US" w:eastAsia="zh-CN"/>
                    </w:rPr>
                    <w:t>2</w:t>
                  </w:r>
                </w:p>
              </w:tc>
              <w:tc>
                <w:tcPr>
                  <w:tcW w:w="433" w:type="pct"/>
                  <w:vMerge w:val="continue"/>
                  <w:tcBorders>
                    <w:tl2br w:val="nil"/>
                    <w:tr2bl w:val="nil"/>
                  </w:tcBorders>
                  <w:vAlign w:val="center"/>
                </w:tcPr>
                <w:p w14:paraId="3EE30128">
                  <w:pPr>
                    <w:pStyle w:val="27"/>
                    <w:bidi w:val="0"/>
                    <w:rPr>
                      <w:rFonts w:hint="default"/>
                      <w:color w:val="auto"/>
                      <w:lang w:val="en-US" w:eastAsia="zh-CN"/>
                    </w:rPr>
                  </w:pPr>
                </w:p>
              </w:tc>
              <w:tc>
                <w:tcPr>
                  <w:tcW w:w="546" w:type="pct"/>
                  <w:vMerge w:val="restart"/>
                  <w:tcBorders>
                    <w:tl2br w:val="nil"/>
                    <w:tr2bl w:val="nil"/>
                  </w:tcBorders>
                  <w:vAlign w:val="center"/>
                </w:tcPr>
                <w:p w14:paraId="0A6687C9">
                  <w:pPr>
                    <w:pStyle w:val="27"/>
                    <w:bidi w:val="0"/>
                    <w:rPr>
                      <w:rFonts w:hint="default"/>
                      <w:color w:val="auto"/>
                      <w:lang w:val="en-US" w:eastAsia="zh-CN"/>
                    </w:rPr>
                  </w:pPr>
                  <w:r>
                    <w:rPr>
                      <w:rFonts w:hint="default"/>
                      <w:color w:val="auto"/>
                      <w:lang w:val="en-US" w:eastAsia="zh-CN"/>
                    </w:rPr>
                    <w:t>厂界</w:t>
                  </w:r>
                  <w:r>
                    <w:rPr>
                      <w:rFonts w:hint="eastAsia"/>
                      <w:color w:val="auto"/>
                      <w:lang w:val="en-US" w:eastAsia="zh-CN"/>
                    </w:rPr>
                    <w:t>东</w:t>
                  </w:r>
                </w:p>
              </w:tc>
              <w:tc>
                <w:tcPr>
                  <w:tcW w:w="753" w:type="pct"/>
                  <w:tcBorders>
                    <w:tl2br w:val="nil"/>
                    <w:tr2bl w:val="nil"/>
                  </w:tcBorders>
                  <w:vAlign w:val="center"/>
                </w:tcPr>
                <w:p w14:paraId="31EEC25D">
                  <w:pPr>
                    <w:pStyle w:val="27"/>
                    <w:bidi w:val="0"/>
                    <w:rPr>
                      <w:rFonts w:hint="default"/>
                      <w:color w:val="auto"/>
                      <w:lang w:val="en-US" w:eastAsia="zh-CN"/>
                    </w:rPr>
                  </w:pPr>
                  <w:r>
                    <w:rPr>
                      <w:rFonts w:hint="eastAsia"/>
                      <w:color w:val="auto"/>
                      <w:lang w:val="en-US" w:eastAsia="zh-CN"/>
                    </w:rPr>
                    <w:t>50.28</w:t>
                  </w:r>
                </w:p>
              </w:tc>
              <w:tc>
                <w:tcPr>
                  <w:tcW w:w="666" w:type="pct"/>
                  <w:tcBorders>
                    <w:tl2br w:val="nil"/>
                    <w:tr2bl w:val="nil"/>
                  </w:tcBorders>
                  <w:vAlign w:val="center"/>
                </w:tcPr>
                <w:p w14:paraId="7E71369D">
                  <w:pPr>
                    <w:pStyle w:val="27"/>
                    <w:bidi w:val="0"/>
                    <w:rPr>
                      <w:rFonts w:hint="default"/>
                      <w:color w:val="auto"/>
                    </w:rPr>
                  </w:pPr>
                  <w:r>
                    <w:rPr>
                      <w:rFonts w:hint="default"/>
                      <w:color w:val="auto"/>
                      <w:lang w:val="en-US" w:eastAsia="zh-CN"/>
                    </w:rPr>
                    <w:t>昼间</w:t>
                  </w:r>
                </w:p>
              </w:tc>
              <w:tc>
                <w:tcPr>
                  <w:tcW w:w="565" w:type="pct"/>
                  <w:tcBorders>
                    <w:tl2br w:val="nil"/>
                    <w:tr2bl w:val="nil"/>
                  </w:tcBorders>
                  <w:vAlign w:val="center"/>
                </w:tcPr>
                <w:p w14:paraId="07DD2129">
                  <w:pPr>
                    <w:pStyle w:val="27"/>
                    <w:bidi w:val="0"/>
                    <w:rPr>
                      <w:rFonts w:hint="default"/>
                      <w:color w:val="auto"/>
                      <w:lang w:val="en-US" w:eastAsia="zh-CN"/>
                    </w:rPr>
                  </w:pPr>
                  <w:r>
                    <w:rPr>
                      <w:rFonts w:hint="eastAsia"/>
                      <w:color w:val="auto"/>
                      <w:lang w:val="en-US" w:eastAsia="zh-CN"/>
                    </w:rPr>
                    <w:t>65</w:t>
                  </w:r>
                </w:p>
              </w:tc>
              <w:tc>
                <w:tcPr>
                  <w:tcW w:w="433" w:type="pct"/>
                  <w:tcBorders>
                    <w:tl2br w:val="nil"/>
                    <w:tr2bl w:val="nil"/>
                  </w:tcBorders>
                  <w:vAlign w:val="center"/>
                </w:tcPr>
                <w:p w14:paraId="21AB4431">
                  <w:pPr>
                    <w:bidi w:val="0"/>
                    <w:rPr>
                      <w:rFonts w:hint="default"/>
                      <w:color w:val="auto"/>
                      <w:sz w:val="18"/>
                      <w:szCs w:val="18"/>
                      <w:lang w:val="en-US" w:eastAsia="zh-CN"/>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13A29B44">
                  <w:pPr>
                    <w:pStyle w:val="27"/>
                    <w:bidi w:val="0"/>
                    <w:rPr>
                      <w:rFonts w:hint="default"/>
                      <w:color w:val="auto"/>
                      <w:lang w:val="en-US" w:eastAsia="zh-CN"/>
                    </w:rPr>
                  </w:pPr>
                </w:p>
              </w:tc>
            </w:tr>
            <w:tr w14:paraId="39DEFD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continue"/>
                  <w:tcBorders>
                    <w:tl2br w:val="nil"/>
                    <w:tr2bl w:val="nil"/>
                  </w:tcBorders>
                  <w:vAlign w:val="center"/>
                </w:tcPr>
                <w:p w14:paraId="3D20E077">
                  <w:pPr>
                    <w:pStyle w:val="27"/>
                    <w:bidi w:val="0"/>
                    <w:rPr>
                      <w:rFonts w:hint="eastAsia"/>
                      <w:color w:val="auto"/>
                      <w:lang w:val="en-US" w:eastAsia="zh-CN"/>
                    </w:rPr>
                  </w:pPr>
                </w:p>
              </w:tc>
              <w:tc>
                <w:tcPr>
                  <w:tcW w:w="433" w:type="pct"/>
                  <w:vMerge w:val="continue"/>
                  <w:tcBorders>
                    <w:tl2br w:val="nil"/>
                    <w:tr2bl w:val="nil"/>
                  </w:tcBorders>
                  <w:vAlign w:val="center"/>
                </w:tcPr>
                <w:p w14:paraId="5153A6AA">
                  <w:pPr>
                    <w:pStyle w:val="27"/>
                    <w:bidi w:val="0"/>
                    <w:rPr>
                      <w:rFonts w:hint="default"/>
                      <w:color w:val="auto"/>
                      <w:lang w:val="en-US" w:eastAsia="zh-CN"/>
                    </w:rPr>
                  </w:pPr>
                </w:p>
              </w:tc>
              <w:tc>
                <w:tcPr>
                  <w:tcW w:w="546" w:type="pct"/>
                  <w:vMerge w:val="continue"/>
                  <w:tcBorders>
                    <w:tl2br w:val="nil"/>
                    <w:tr2bl w:val="nil"/>
                  </w:tcBorders>
                  <w:vAlign w:val="center"/>
                </w:tcPr>
                <w:p w14:paraId="410A14B2">
                  <w:pPr>
                    <w:pStyle w:val="27"/>
                    <w:bidi w:val="0"/>
                    <w:rPr>
                      <w:rFonts w:hint="default"/>
                      <w:color w:val="auto"/>
                      <w:lang w:val="en-US" w:eastAsia="zh-CN"/>
                    </w:rPr>
                  </w:pPr>
                </w:p>
              </w:tc>
              <w:tc>
                <w:tcPr>
                  <w:tcW w:w="753" w:type="pct"/>
                  <w:tcBorders>
                    <w:tl2br w:val="nil"/>
                    <w:tr2bl w:val="nil"/>
                  </w:tcBorders>
                  <w:vAlign w:val="center"/>
                </w:tcPr>
                <w:p w14:paraId="2E0C198D">
                  <w:pPr>
                    <w:pStyle w:val="27"/>
                    <w:bidi w:val="0"/>
                    <w:rPr>
                      <w:rFonts w:hint="default"/>
                      <w:color w:val="auto"/>
                      <w:lang w:val="en-US" w:eastAsia="zh-CN"/>
                    </w:rPr>
                  </w:pPr>
                  <w:r>
                    <w:rPr>
                      <w:rFonts w:hint="eastAsia"/>
                      <w:color w:val="auto"/>
                      <w:lang w:val="en-US" w:eastAsia="zh-CN"/>
                    </w:rPr>
                    <w:t>50.28</w:t>
                  </w:r>
                </w:p>
              </w:tc>
              <w:tc>
                <w:tcPr>
                  <w:tcW w:w="666" w:type="pct"/>
                  <w:tcBorders>
                    <w:tl2br w:val="nil"/>
                    <w:tr2bl w:val="nil"/>
                  </w:tcBorders>
                  <w:vAlign w:val="center"/>
                </w:tcPr>
                <w:p w14:paraId="1343BE3D">
                  <w:pPr>
                    <w:pStyle w:val="27"/>
                    <w:bidi w:val="0"/>
                    <w:rPr>
                      <w:rFonts w:hint="default"/>
                      <w:color w:val="auto"/>
                      <w:lang w:val="en-US" w:eastAsia="zh-CN"/>
                    </w:rPr>
                  </w:pPr>
                  <w:r>
                    <w:rPr>
                      <w:rFonts w:hint="eastAsia"/>
                      <w:color w:val="auto"/>
                      <w:lang w:val="en-US" w:eastAsia="zh-CN"/>
                    </w:rPr>
                    <w:t>夜间</w:t>
                  </w:r>
                </w:p>
              </w:tc>
              <w:tc>
                <w:tcPr>
                  <w:tcW w:w="565" w:type="pct"/>
                  <w:tcBorders>
                    <w:tl2br w:val="nil"/>
                    <w:tr2bl w:val="nil"/>
                  </w:tcBorders>
                  <w:vAlign w:val="center"/>
                </w:tcPr>
                <w:p w14:paraId="697A1F20">
                  <w:pPr>
                    <w:pStyle w:val="27"/>
                    <w:bidi w:val="0"/>
                    <w:rPr>
                      <w:rFonts w:hint="default"/>
                      <w:color w:val="auto"/>
                      <w:lang w:val="en-US" w:eastAsia="zh-CN"/>
                    </w:rPr>
                  </w:pPr>
                  <w:r>
                    <w:rPr>
                      <w:rFonts w:hint="eastAsia"/>
                      <w:color w:val="auto"/>
                      <w:lang w:val="en-US" w:eastAsia="zh-CN"/>
                    </w:rPr>
                    <w:t>55</w:t>
                  </w:r>
                </w:p>
              </w:tc>
              <w:tc>
                <w:tcPr>
                  <w:tcW w:w="433" w:type="pct"/>
                  <w:tcBorders>
                    <w:tl2br w:val="nil"/>
                    <w:tr2bl w:val="nil"/>
                  </w:tcBorders>
                  <w:vAlign w:val="center"/>
                </w:tcPr>
                <w:p w14:paraId="3B553DCB">
                  <w:pPr>
                    <w:bidi w:val="0"/>
                    <w:rPr>
                      <w:rFonts w:hint="default"/>
                      <w:color w:val="auto"/>
                      <w:sz w:val="18"/>
                      <w:szCs w:val="18"/>
                      <w:lang w:val="en-US" w:eastAsia="zh-CN"/>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3FEC5C51">
                  <w:pPr>
                    <w:pStyle w:val="27"/>
                    <w:bidi w:val="0"/>
                    <w:rPr>
                      <w:rFonts w:hint="default"/>
                      <w:color w:val="auto"/>
                      <w:lang w:val="en-US" w:eastAsia="zh-CN"/>
                    </w:rPr>
                  </w:pPr>
                </w:p>
              </w:tc>
            </w:tr>
            <w:tr w14:paraId="6D80D6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restart"/>
                  <w:tcBorders>
                    <w:tl2br w:val="nil"/>
                    <w:tr2bl w:val="nil"/>
                  </w:tcBorders>
                  <w:vAlign w:val="center"/>
                </w:tcPr>
                <w:p w14:paraId="75E26ECC">
                  <w:pPr>
                    <w:pStyle w:val="27"/>
                    <w:bidi w:val="0"/>
                    <w:rPr>
                      <w:rFonts w:hint="default"/>
                      <w:color w:val="auto"/>
                      <w:lang w:val="en-US" w:eastAsia="zh-CN"/>
                    </w:rPr>
                  </w:pPr>
                  <w:r>
                    <w:rPr>
                      <w:rFonts w:hint="eastAsia"/>
                      <w:color w:val="auto"/>
                      <w:lang w:val="en-US" w:eastAsia="zh-CN"/>
                    </w:rPr>
                    <w:t>3</w:t>
                  </w:r>
                </w:p>
              </w:tc>
              <w:tc>
                <w:tcPr>
                  <w:tcW w:w="433" w:type="pct"/>
                  <w:vMerge w:val="continue"/>
                  <w:tcBorders>
                    <w:tl2br w:val="nil"/>
                    <w:tr2bl w:val="nil"/>
                  </w:tcBorders>
                  <w:vAlign w:val="center"/>
                </w:tcPr>
                <w:p w14:paraId="39EEBD17">
                  <w:pPr>
                    <w:pStyle w:val="27"/>
                    <w:bidi w:val="0"/>
                    <w:rPr>
                      <w:rFonts w:hint="default"/>
                      <w:color w:val="auto"/>
                      <w:lang w:val="en-US" w:eastAsia="zh-CN"/>
                    </w:rPr>
                  </w:pPr>
                </w:p>
              </w:tc>
              <w:tc>
                <w:tcPr>
                  <w:tcW w:w="546" w:type="pct"/>
                  <w:vMerge w:val="restart"/>
                  <w:tcBorders>
                    <w:tl2br w:val="nil"/>
                    <w:tr2bl w:val="nil"/>
                  </w:tcBorders>
                  <w:vAlign w:val="center"/>
                </w:tcPr>
                <w:p w14:paraId="3B94CA26">
                  <w:pPr>
                    <w:pStyle w:val="27"/>
                    <w:bidi w:val="0"/>
                    <w:rPr>
                      <w:rFonts w:hint="default"/>
                      <w:color w:val="auto"/>
                      <w:lang w:val="en-US" w:eastAsia="zh-CN"/>
                    </w:rPr>
                  </w:pPr>
                  <w:r>
                    <w:rPr>
                      <w:rFonts w:hint="default"/>
                      <w:color w:val="auto"/>
                      <w:lang w:val="en-US" w:eastAsia="zh-CN"/>
                    </w:rPr>
                    <w:t>厂界</w:t>
                  </w:r>
                  <w:r>
                    <w:rPr>
                      <w:rFonts w:hint="eastAsia"/>
                      <w:color w:val="auto"/>
                      <w:lang w:val="en-US" w:eastAsia="zh-CN"/>
                    </w:rPr>
                    <w:t>南</w:t>
                  </w:r>
                </w:p>
              </w:tc>
              <w:tc>
                <w:tcPr>
                  <w:tcW w:w="753" w:type="pct"/>
                  <w:tcBorders>
                    <w:tl2br w:val="nil"/>
                    <w:tr2bl w:val="nil"/>
                  </w:tcBorders>
                  <w:vAlign w:val="center"/>
                </w:tcPr>
                <w:p w14:paraId="5F5BF83C">
                  <w:pPr>
                    <w:pStyle w:val="27"/>
                    <w:bidi w:val="0"/>
                    <w:rPr>
                      <w:rFonts w:hint="default"/>
                      <w:color w:val="auto"/>
                      <w:lang w:val="en-US" w:eastAsia="zh-CN"/>
                    </w:rPr>
                  </w:pPr>
                  <w:r>
                    <w:rPr>
                      <w:rFonts w:hint="eastAsia"/>
                      <w:color w:val="auto"/>
                      <w:lang w:val="en-US" w:eastAsia="zh-CN"/>
                    </w:rPr>
                    <w:t>51.87</w:t>
                  </w:r>
                </w:p>
              </w:tc>
              <w:tc>
                <w:tcPr>
                  <w:tcW w:w="666" w:type="pct"/>
                  <w:tcBorders>
                    <w:tl2br w:val="nil"/>
                    <w:tr2bl w:val="nil"/>
                  </w:tcBorders>
                  <w:vAlign w:val="center"/>
                </w:tcPr>
                <w:p w14:paraId="06073DF2">
                  <w:pPr>
                    <w:pStyle w:val="27"/>
                    <w:bidi w:val="0"/>
                    <w:rPr>
                      <w:rFonts w:hint="default"/>
                      <w:color w:val="auto"/>
                    </w:rPr>
                  </w:pPr>
                  <w:r>
                    <w:rPr>
                      <w:rFonts w:hint="default"/>
                      <w:color w:val="auto"/>
                      <w:lang w:val="en-US" w:eastAsia="zh-CN"/>
                    </w:rPr>
                    <w:t>昼间</w:t>
                  </w:r>
                </w:p>
              </w:tc>
              <w:tc>
                <w:tcPr>
                  <w:tcW w:w="565" w:type="pct"/>
                  <w:tcBorders>
                    <w:tl2br w:val="nil"/>
                    <w:tr2bl w:val="nil"/>
                  </w:tcBorders>
                  <w:vAlign w:val="center"/>
                </w:tcPr>
                <w:p w14:paraId="7F77656E">
                  <w:pPr>
                    <w:pStyle w:val="27"/>
                    <w:bidi w:val="0"/>
                    <w:rPr>
                      <w:rFonts w:hint="default"/>
                      <w:color w:val="auto"/>
                      <w:lang w:val="en-US" w:eastAsia="zh-CN"/>
                    </w:rPr>
                  </w:pPr>
                  <w:r>
                    <w:rPr>
                      <w:rFonts w:hint="eastAsia"/>
                      <w:color w:val="auto"/>
                      <w:lang w:val="en-US" w:eastAsia="zh-CN"/>
                    </w:rPr>
                    <w:t>65</w:t>
                  </w:r>
                </w:p>
              </w:tc>
              <w:tc>
                <w:tcPr>
                  <w:tcW w:w="433" w:type="pct"/>
                  <w:tcBorders>
                    <w:tl2br w:val="nil"/>
                    <w:tr2bl w:val="nil"/>
                  </w:tcBorders>
                  <w:vAlign w:val="center"/>
                </w:tcPr>
                <w:p w14:paraId="6E56C30D">
                  <w:pPr>
                    <w:bidi w:val="0"/>
                    <w:rPr>
                      <w:rFonts w:hint="default"/>
                      <w:color w:val="auto"/>
                      <w:sz w:val="18"/>
                      <w:szCs w:val="18"/>
                      <w:lang w:val="en-US" w:eastAsia="zh-CN"/>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236A2F47">
                  <w:pPr>
                    <w:pStyle w:val="27"/>
                    <w:bidi w:val="0"/>
                    <w:rPr>
                      <w:rFonts w:hint="default"/>
                      <w:color w:val="auto"/>
                      <w:lang w:val="en-US" w:eastAsia="zh-CN"/>
                    </w:rPr>
                  </w:pPr>
                </w:p>
              </w:tc>
            </w:tr>
            <w:tr w14:paraId="5849FF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continue"/>
                  <w:tcBorders>
                    <w:tl2br w:val="nil"/>
                    <w:tr2bl w:val="nil"/>
                  </w:tcBorders>
                  <w:vAlign w:val="center"/>
                </w:tcPr>
                <w:p w14:paraId="3DEAAF12">
                  <w:pPr>
                    <w:pStyle w:val="27"/>
                    <w:bidi w:val="0"/>
                    <w:rPr>
                      <w:rFonts w:hint="eastAsia"/>
                      <w:color w:val="auto"/>
                      <w:lang w:val="en-US" w:eastAsia="zh-CN"/>
                    </w:rPr>
                  </w:pPr>
                </w:p>
              </w:tc>
              <w:tc>
                <w:tcPr>
                  <w:tcW w:w="433" w:type="pct"/>
                  <w:vMerge w:val="continue"/>
                  <w:tcBorders>
                    <w:tl2br w:val="nil"/>
                    <w:tr2bl w:val="nil"/>
                  </w:tcBorders>
                  <w:vAlign w:val="center"/>
                </w:tcPr>
                <w:p w14:paraId="1F1CE688">
                  <w:pPr>
                    <w:pStyle w:val="27"/>
                    <w:bidi w:val="0"/>
                    <w:rPr>
                      <w:rFonts w:hint="default"/>
                      <w:color w:val="auto"/>
                      <w:lang w:val="en-US" w:eastAsia="zh-CN"/>
                    </w:rPr>
                  </w:pPr>
                </w:p>
              </w:tc>
              <w:tc>
                <w:tcPr>
                  <w:tcW w:w="546" w:type="pct"/>
                  <w:vMerge w:val="continue"/>
                  <w:tcBorders>
                    <w:tl2br w:val="nil"/>
                    <w:tr2bl w:val="nil"/>
                  </w:tcBorders>
                  <w:vAlign w:val="center"/>
                </w:tcPr>
                <w:p w14:paraId="20910276">
                  <w:pPr>
                    <w:pStyle w:val="27"/>
                    <w:bidi w:val="0"/>
                    <w:rPr>
                      <w:rFonts w:hint="default"/>
                      <w:color w:val="auto"/>
                      <w:lang w:val="en-US" w:eastAsia="zh-CN"/>
                    </w:rPr>
                  </w:pPr>
                </w:p>
              </w:tc>
              <w:tc>
                <w:tcPr>
                  <w:tcW w:w="753" w:type="pct"/>
                  <w:tcBorders>
                    <w:tl2br w:val="nil"/>
                    <w:tr2bl w:val="nil"/>
                  </w:tcBorders>
                  <w:vAlign w:val="center"/>
                </w:tcPr>
                <w:p w14:paraId="27F97C39">
                  <w:pPr>
                    <w:pStyle w:val="27"/>
                    <w:bidi w:val="0"/>
                    <w:rPr>
                      <w:rFonts w:hint="default"/>
                      <w:color w:val="auto"/>
                      <w:lang w:val="en-US" w:eastAsia="zh-CN"/>
                    </w:rPr>
                  </w:pPr>
                  <w:r>
                    <w:rPr>
                      <w:rFonts w:hint="eastAsia"/>
                      <w:color w:val="auto"/>
                      <w:lang w:val="en-US" w:eastAsia="zh-CN"/>
                    </w:rPr>
                    <w:t>51.87</w:t>
                  </w:r>
                </w:p>
              </w:tc>
              <w:tc>
                <w:tcPr>
                  <w:tcW w:w="666" w:type="pct"/>
                  <w:tcBorders>
                    <w:tl2br w:val="nil"/>
                    <w:tr2bl w:val="nil"/>
                  </w:tcBorders>
                  <w:vAlign w:val="center"/>
                </w:tcPr>
                <w:p w14:paraId="2EC4AE2A">
                  <w:pPr>
                    <w:pStyle w:val="27"/>
                    <w:bidi w:val="0"/>
                    <w:rPr>
                      <w:rFonts w:hint="default"/>
                      <w:color w:val="auto"/>
                      <w:lang w:val="en-US" w:eastAsia="zh-CN"/>
                    </w:rPr>
                  </w:pPr>
                  <w:r>
                    <w:rPr>
                      <w:rFonts w:hint="eastAsia"/>
                      <w:color w:val="auto"/>
                      <w:lang w:val="en-US" w:eastAsia="zh-CN"/>
                    </w:rPr>
                    <w:t>夜间</w:t>
                  </w:r>
                </w:p>
              </w:tc>
              <w:tc>
                <w:tcPr>
                  <w:tcW w:w="565" w:type="pct"/>
                  <w:tcBorders>
                    <w:tl2br w:val="nil"/>
                    <w:tr2bl w:val="nil"/>
                  </w:tcBorders>
                  <w:vAlign w:val="center"/>
                </w:tcPr>
                <w:p w14:paraId="7AD1B2CA">
                  <w:pPr>
                    <w:pStyle w:val="27"/>
                    <w:bidi w:val="0"/>
                    <w:rPr>
                      <w:rFonts w:hint="default"/>
                      <w:color w:val="auto"/>
                      <w:lang w:val="en-US" w:eastAsia="zh-CN"/>
                    </w:rPr>
                  </w:pPr>
                  <w:r>
                    <w:rPr>
                      <w:rFonts w:hint="eastAsia"/>
                      <w:color w:val="auto"/>
                      <w:lang w:val="en-US" w:eastAsia="zh-CN"/>
                    </w:rPr>
                    <w:t>55</w:t>
                  </w:r>
                </w:p>
              </w:tc>
              <w:tc>
                <w:tcPr>
                  <w:tcW w:w="433" w:type="pct"/>
                  <w:tcBorders>
                    <w:tl2br w:val="nil"/>
                    <w:tr2bl w:val="nil"/>
                  </w:tcBorders>
                  <w:vAlign w:val="center"/>
                </w:tcPr>
                <w:p w14:paraId="6187823F">
                  <w:pPr>
                    <w:bidi w:val="0"/>
                    <w:rPr>
                      <w:rFonts w:hint="default"/>
                      <w:color w:val="auto"/>
                      <w:sz w:val="18"/>
                      <w:szCs w:val="18"/>
                      <w:lang w:val="en-US" w:eastAsia="zh-CN"/>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4E5741F3">
                  <w:pPr>
                    <w:pStyle w:val="27"/>
                    <w:bidi w:val="0"/>
                    <w:rPr>
                      <w:rFonts w:hint="default"/>
                      <w:color w:val="auto"/>
                      <w:lang w:val="en-US" w:eastAsia="zh-CN"/>
                    </w:rPr>
                  </w:pPr>
                </w:p>
              </w:tc>
            </w:tr>
            <w:tr w14:paraId="082FF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00" w:type="pct"/>
                  <w:vMerge w:val="restart"/>
                  <w:tcBorders>
                    <w:tl2br w:val="nil"/>
                    <w:tr2bl w:val="nil"/>
                  </w:tcBorders>
                  <w:vAlign w:val="center"/>
                </w:tcPr>
                <w:p w14:paraId="551C2C22">
                  <w:pPr>
                    <w:pStyle w:val="27"/>
                    <w:bidi w:val="0"/>
                    <w:rPr>
                      <w:rFonts w:hint="default"/>
                      <w:color w:val="auto"/>
                      <w:lang w:val="en-US" w:eastAsia="zh-CN"/>
                    </w:rPr>
                  </w:pPr>
                  <w:r>
                    <w:rPr>
                      <w:rFonts w:hint="eastAsia"/>
                      <w:color w:val="auto"/>
                      <w:lang w:val="en-US" w:eastAsia="zh-CN"/>
                    </w:rPr>
                    <w:t>4</w:t>
                  </w:r>
                </w:p>
              </w:tc>
              <w:tc>
                <w:tcPr>
                  <w:tcW w:w="433" w:type="pct"/>
                  <w:vMerge w:val="continue"/>
                  <w:tcBorders>
                    <w:tl2br w:val="nil"/>
                    <w:tr2bl w:val="nil"/>
                  </w:tcBorders>
                  <w:vAlign w:val="center"/>
                </w:tcPr>
                <w:p w14:paraId="6039E400">
                  <w:pPr>
                    <w:pStyle w:val="27"/>
                    <w:bidi w:val="0"/>
                    <w:rPr>
                      <w:rFonts w:hint="default"/>
                      <w:color w:val="auto"/>
                      <w:lang w:val="en-US" w:eastAsia="zh-CN"/>
                    </w:rPr>
                  </w:pPr>
                </w:p>
              </w:tc>
              <w:tc>
                <w:tcPr>
                  <w:tcW w:w="546" w:type="pct"/>
                  <w:vMerge w:val="restart"/>
                  <w:tcBorders>
                    <w:tl2br w:val="nil"/>
                    <w:tr2bl w:val="nil"/>
                  </w:tcBorders>
                  <w:vAlign w:val="center"/>
                </w:tcPr>
                <w:p w14:paraId="36A35659">
                  <w:pPr>
                    <w:pStyle w:val="27"/>
                    <w:bidi w:val="0"/>
                    <w:rPr>
                      <w:rFonts w:hint="default"/>
                      <w:color w:val="auto"/>
                      <w:lang w:val="en-US" w:eastAsia="zh-CN"/>
                    </w:rPr>
                  </w:pPr>
                  <w:r>
                    <w:rPr>
                      <w:rFonts w:hint="default"/>
                      <w:color w:val="auto"/>
                      <w:lang w:val="en-US" w:eastAsia="zh-CN"/>
                    </w:rPr>
                    <w:t>厂界</w:t>
                  </w:r>
                  <w:r>
                    <w:rPr>
                      <w:rFonts w:hint="eastAsia"/>
                      <w:color w:val="auto"/>
                      <w:lang w:val="en-US" w:eastAsia="zh-CN"/>
                    </w:rPr>
                    <w:t>西</w:t>
                  </w:r>
                </w:p>
              </w:tc>
              <w:tc>
                <w:tcPr>
                  <w:tcW w:w="753" w:type="pct"/>
                  <w:tcBorders>
                    <w:tl2br w:val="nil"/>
                    <w:tr2bl w:val="nil"/>
                  </w:tcBorders>
                  <w:vAlign w:val="center"/>
                </w:tcPr>
                <w:p w14:paraId="36AD054A">
                  <w:pPr>
                    <w:pStyle w:val="27"/>
                    <w:bidi w:val="0"/>
                    <w:rPr>
                      <w:rFonts w:hint="default"/>
                      <w:color w:val="auto"/>
                      <w:lang w:val="en-US" w:eastAsia="zh-CN"/>
                    </w:rPr>
                  </w:pPr>
                  <w:r>
                    <w:rPr>
                      <w:rFonts w:hint="eastAsia"/>
                      <w:color w:val="auto"/>
                      <w:lang w:val="en-US" w:eastAsia="zh-CN"/>
                    </w:rPr>
                    <w:t>48.96</w:t>
                  </w:r>
                </w:p>
              </w:tc>
              <w:tc>
                <w:tcPr>
                  <w:tcW w:w="666" w:type="pct"/>
                  <w:tcBorders>
                    <w:tl2br w:val="nil"/>
                    <w:tr2bl w:val="nil"/>
                  </w:tcBorders>
                  <w:vAlign w:val="center"/>
                </w:tcPr>
                <w:p w14:paraId="089734E1">
                  <w:pPr>
                    <w:pStyle w:val="27"/>
                    <w:bidi w:val="0"/>
                    <w:rPr>
                      <w:rFonts w:hint="default"/>
                      <w:color w:val="auto"/>
                    </w:rPr>
                  </w:pPr>
                  <w:r>
                    <w:rPr>
                      <w:rFonts w:hint="default"/>
                      <w:color w:val="auto"/>
                      <w:lang w:val="en-US" w:eastAsia="zh-CN"/>
                    </w:rPr>
                    <w:t>昼间</w:t>
                  </w:r>
                </w:p>
              </w:tc>
              <w:tc>
                <w:tcPr>
                  <w:tcW w:w="565" w:type="pct"/>
                  <w:tcBorders>
                    <w:tl2br w:val="nil"/>
                    <w:tr2bl w:val="nil"/>
                  </w:tcBorders>
                  <w:vAlign w:val="center"/>
                </w:tcPr>
                <w:p w14:paraId="279889BD">
                  <w:pPr>
                    <w:pStyle w:val="27"/>
                    <w:bidi w:val="0"/>
                    <w:rPr>
                      <w:rFonts w:hint="default"/>
                      <w:color w:val="auto"/>
                      <w:lang w:val="en-US" w:eastAsia="zh-CN"/>
                    </w:rPr>
                  </w:pPr>
                  <w:r>
                    <w:rPr>
                      <w:rFonts w:hint="eastAsia"/>
                      <w:color w:val="auto"/>
                      <w:lang w:val="en-US" w:eastAsia="zh-CN"/>
                    </w:rPr>
                    <w:t>65</w:t>
                  </w:r>
                </w:p>
              </w:tc>
              <w:tc>
                <w:tcPr>
                  <w:tcW w:w="433" w:type="pct"/>
                  <w:tcBorders>
                    <w:tl2br w:val="nil"/>
                    <w:tr2bl w:val="nil"/>
                  </w:tcBorders>
                  <w:vAlign w:val="center"/>
                </w:tcPr>
                <w:p w14:paraId="1DFB284D">
                  <w:pPr>
                    <w:bidi w:val="0"/>
                    <w:rPr>
                      <w:rFonts w:hint="default"/>
                      <w:color w:val="auto"/>
                      <w:sz w:val="18"/>
                      <w:szCs w:val="18"/>
                      <w:lang w:val="en-US" w:eastAsia="zh-CN"/>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1A92A657">
                  <w:pPr>
                    <w:pStyle w:val="27"/>
                    <w:bidi w:val="0"/>
                    <w:rPr>
                      <w:rFonts w:hint="default"/>
                      <w:color w:val="auto"/>
                      <w:lang w:val="en-US" w:eastAsia="zh-CN"/>
                    </w:rPr>
                  </w:pPr>
                </w:p>
              </w:tc>
            </w:tr>
            <w:tr w14:paraId="4D0ED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Merge w:val="continue"/>
                  <w:tcBorders>
                    <w:tl2br w:val="nil"/>
                    <w:tr2bl w:val="nil"/>
                  </w:tcBorders>
                  <w:vAlign w:val="center"/>
                </w:tcPr>
                <w:p w14:paraId="6E5C489C">
                  <w:pPr>
                    <w:pStyle w:val="27"/>
                    <w:bidi w:val="0"/>
                    <w:rPr>
                      <w:rFonts w:hint="eastAsia"/>
                      <w:color w:val="auto"/>
                      <w:lang w:val="en-US" w:eastAsia="zh-CN"/>
                    </w:rPr>
                  </w:pPr>
                </w:p>
              </w:tc>
              <w:tc>
                <w:tcPr>
                  <w:tcW w:w="433" w:type="pct"/>
                  <w:vMerge w:val="continue"/>
                  <w:tcBorders>
                    <w:tl2br w:val="nil"/>
                    <w:tr2bl w:val="nil"/>
                  </w:tcBorders>
                  <w:vAlign w:val="center"/>
                </w:tcPr>
                <w:p w14:paraId="23BD7AF5">
                  <w:pPr>
                    <w:pStyle w:val="27"/>
                    <w:bidi w:val="0"/>
                    <w:rPr>
                      <w:rFonts w:hint="default"/>
                      <w:color w:val="auto"/>
                      <w:lang w:val="en-US" w:eastAsia="zh-CN"/>
                    </w:rPr>
                  </w:pPr>
                </w:p>
              </w:tc>
              <w:tc>
                <w:tcPr>
                  <w:tcW w:w="546" w:type="pct"/>
                  <w:vMerge w:val="continue"/>
                  <w:tcBorders>
                    <w:tl2br w:val="nil"/>
                    <w:tr2bl w:val="nil"/>
                  </w:tcBorders>
                  <w:vAlign w:val="center"/>
                </w:tcPr>
                <w:p w14:paraId="0F596A5B">
                  <w:pPr>
                    <w:pStyle w:val="27"/>
                    <w:bidi w:val="0"/>
                    <w:rPr>
                      <w:rFonts w:hint="default"/>
                      <w:color w:val="auto"/>
                      <w:lang w:val="en-US" w:eastAsia="zh-CN"/>
                    </w:rPr>
                  </w:pPr>
                </w:p>
              </w:tc>
              <w:tc>
                <w:tcPr>
                  <w:tcW w:w="753" w:type="pct"/>
                  <w:tcBorders>
                    <w:tl2br w:val="nil"/>
                    <w:tr2bl w:val="nil"/>
                  </w:tcBorders>
                  <w:vAlign w:val="center"/>
                </w:tcPr>
                <w:p w14:paraId="4C8E8425">
                  <w:pPr>
                    <w:pStyle w:val="27"/>
                    <w:bidi w:val="0"/>
                    <w:rPr>
                      <w:rFonts w:hint="default"/>
                      <w:color w:val="auto"/>
                      <w:lang w:val="en-US" w:eastAsia="zh-CN"/>
                    </w:rPr>
                  </w:pPr>
                  <w:r>
                    <w:rPr>
                      <w:rFonts w:hint="eastAsia"/>
                      <w:color w:val="auto"/>
                      <w:lang w:val="en-US" w:eastAsia="zh-CN"/>
                    </w:rPr>
                    <w:t>48.96</w:t>
                  </w:r>
                </w:p>
              </w:tc>
              <w:tc>
                <w:tcPr>
                  <w:tcW w:w="666" w:type="pct"/>
                  <w:tcBorders>
                    <w:tl2br w:val="nil"/>
                    <w:tr2bl w:val="nil"/>
                  </w:tcBorders>
                  <w:vAlign w:val="center"/>
                </w:tcPr>
                <w:p w14:paraId="4EF46526">
                  <w:pPr>
                    <w:pStyle w:val="27"/>
                    <w:bidi w:val="0"/>
                    <w:rPr>
                      <w:rFonts w:hint="default"/>
                      <w:color w:val="auto"/>
                      <w:lang w:val="en-US" w:eastAsia="zh-CN"/>
                    </w:rPr>
                  </w:pPr>
                  <w:r>
                    <w:rPr>
                      <w:rFonts w:hint="eastAsia"/>
                      <w:color w:val="auto"/>
                      <w:lang w:val="en-US" w:eastAsia="zh-CN"/>
                    </w:rPr>
                    <w:t>夜间</w:t>
                  </w:r>
                </w:p>
              </w:tc>
              <w:tc>
                <w:tcPr>
                  <w:tcW w:w="565" w:type="pct"/>
                  <w:tcBorders>
                    <w:tl2br w:val="nil"/>
                    <w:tr2bl w:val="nil"/>
                  </w:tcBorders>
                  <w:vAlign w:val="center"/>
                </w:tcPr>
                <w:p w14:paraId="3FA05F78">
                  <w:pPr>
                    <w:pStyle w:val="27"/>
                    <w:bidi w:val="0"/>
                    <w:rPr>
                      <w:rFonts w:hint="default"/>
                      <w:color w:val="auto"/>
                      <w:lang w:val="en-US" w:eastAsia="zh-CN"/>
                    </w:rPr>
                  </w:pPr>
                  <w:r>
                    <w:rPr>
                      <w:rFonts w:hint="eastAsia"/>
                      <w:color w:val="auto"/>
                      <w:lang w:val="en-US" w:eastAsia="zh-CN"/>
                    </w:rPr>
                    <w:t>55</w:t>
                  </w:r>
                </w:p>
              </w:tc>
              <w:tc>
                <w:tcPr>
                  <w:tcW w:w="433" w:type="pct"/>
                  <w:tcBorders>
                    <w:tl2br w:val="nil"/>
                    <w:tr2bl w:val="nil"/>
                  </w:tcBorders>
                  <w:vAlign w:val="center"/>
                </w:tcPr>
                <w:p w14:paraId="2E9AA916">
                  <w:pPr>
                    <w:bidi w:val="0"/>
                    <w:rPr>
                      <w:rFonts w:hint="default"/>
                      <w:color w:val="auto"/>
                      <w:sz w:val="18"/>
                      <w:szCs w:val="18"/>
                      <w:lang w:val="en-US" w:eastAsia="zh-CN"/>
                    </w:rPr>
                  </w:pPr>
                  <w:r>
                    <w:rPr>
                      <w:rFonts w:hint="eastAsia"/>
                      <w:color w:val="000000" w:themeColor="text1"/>
                      <w:sz w:val="18"/>
                      <w:szCs w:val="18"/>
                      <w:lang w:val="en-US" w:eastAsia="zh-CN"/>
                      <w14:textFill>
                        <w14:solidFill>
                          <w14:schemeClr w14:val="tx1"/>
                        </w14:solidFill>
                      </w14:textFill>
                    </w:rPr>
                    <w:t>达标</w:t>
                  </w:r>
                </w:p>
              </w:tc>
              <w:tc>
                <w:tcPr>
                  <w:tcW w:w="1300" w:type="pct"/>
                  <w:vMerge w:val="continue"/>
                  <w:tcBorders>
                    <w:tl2br w:val="nil"/>
                    <w:tr2bl w:val="nil"/>
                  </w:tcBorders>
                  <w:vAlign w:val="center"/>
                </w:tcPr>
                <w:p w14:paraId="00CE1136">
                  <w:pPr>
                    <w:pStyle w:val="27"/>
                    <w:bidi w:val="0"/>
                    <w:rPr>
                      <w:rFonts w:hint="default"/>
                      <w:color w:val="auto"/>
                      <w:lang w:val="en-US" w:eastAsia="zh-CN"/>
                    </w:rPr>
                  </w:pPr>
                </w:p>
              </w:tc>
            </w:tr>
          </w:tbl>
          <w:p w14:paraId="65770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lang w:val="en-US" w:eastAsia="zh-CN"/>
              </w:rPr>
            </w:pPr>
            <w:r>
              <w:drawing>
                <wp:inline distT="0" distB="0" distL="114300" distR="114300">
                  <wp:extent cx="4822825" cy="3946525"/>
                  <wp:effectExtent l="0" t="0" r="15875" b="158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0"/>
                          <a:stretch>
                            <a:fillRect/>
                          </a:stretch>
                        </pic:blipFill>
                        <pic:spPr>
                          <a:xfrm>
                            <a:off x="0" y="0"/>
                            <a:ext cx="4822825" cy="3946525"/>
                          </a:xfrm>
                          <a:prstGeom prst="rect">
                            <a:avLst/>
                          </a:prstGeom>
                          <a:noFill/>
                          <a:ln>
                            <a:noFill/>
                          </a:ln>
                        </pic:spPr>
                      </pic:pic>
                    </a:graphicData>
                  </a:graphic>
                </wp:inline>
              </w:drawing>
            </w:r>
          </w:p>
          <w:p w14:paraId="34FF6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黑体" w:cs="宋体"/>
                <w:b w:val="0"/>
                <w:bCs w:val="0"/>
                <w:color w:val="auto"/>
                <w:kern w:val="21"/>
                <w:sz w:val="21"/>
                <w:szCs w:val="21"/>
                <w:lang w:val="en-US" w:eastAsia="zh-CN" w:bidi="ar-SA"/>
              </w:rPr>
            </w:pPr>
            <w:r>
              <w:rPr>
                <w:rFonts w:hint="default" w:ascii="Times New Roman" w:hAnsi="Times New Roman" w:eastAsia="黑体" w:cs="宋体"/>
                <w:b w:val="0"/>
                <w:bCs w:val="0"/>
                <w:color w:val="auto"/>
                <w:kern w:val="21"/>
                <w:sz w:val="21"/>
                <w:szCs w:val="21"/>
                <w:lang w:val="en-US" w:eastAsia="zh-CN" w:bidi="ar-SA"/>
              </w:rPr>
              <w:t>图4-</w:t>
            </w:r>
            <w:r>
              <w:rPr>
                <w:rFonts w:hint="eastAsia" w:eastAsia="黑体" w:cs="宋体"/>
                <w:b w:val="0"/>
                <w:bCs w:val="0"/>
                <w:color w:val="auto"/>
                <w:kern w:val="21"/>
                <w:sz w:val="21"/>
                <w:szCs w:val="21"/>
                <w:lang w:val="en-US" w:eastAsia="zh-CN" w:bidi="ar-SA"/>
              </w:rPr>
              <w:t>3</w:t>
            </w:r>
            <w:r>
              <w:rPr>
                <w:rFonts w:hint="default" w:ascii="Times New Roman" w:hAnsi="Times New Roman" w:eastAsia="黑体" w:cs="宋体"/>
                <w:b w:val="0"/>
                <w:bCs w:val="0"/>
                <w:color w:val="auto"/>
                <w:kern w:val="21"/>
                <w:sz w:val="21"/>
                <w:szCs w:val="21"/>
                <w:lang w:val="en-US" w:eastAsia="zh-CN" w:bidi="ar-SA"/>
              </w:rPr>
              <w:t xml:space="preserve"> 噪声预测图</w:t>
            </w:r>
          </w:p>
          <w:p w14:paraId="25B85B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厂界噪声：项目设备噪声经降噪措施、距离衰减后，各厂界噪声贡献值昼间和夜间均能满足《工业企业厂界环境噪声排放标准》（GB12348-2008）3类标准：昼间≤65dB（A）、夜间≤55dB（A）的要求。</w:t>
            </w:r>
          </w:p>
          <w:p w14:paraId="290F018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lang w:val="en-US" w:eastAsia="zh-CN"/>
              </w:rPr>
              <w:t>4.7.4</w:t>
            </w:r>
            <w:r>
              <w:rPr>
                <w:rFonts w:hint="eastAsia" w:ascii="Times New Roman" w:hAnsi="Times New Roman" w:eastAsia="宋体" w:cs="Times New Roman"/>
                <w:b/>
                <w:bCs/>
                <w:color w:val="auto"/>
                <w:sz w:val="24"/>
                <w:szCs w:val="24"/>
                <w:lang w:val="en-US" w:eastAsia="zh-CN"/>
              </w:rPr>
              <w:t>减缓噪声对环境对策措施</w:t>
            </w:r>
          </w:p>
          <w:p w14:paraId="28B1CAA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在噪声治理上，针对不同性质的噪声，采取了不同的消声、隔声措施，其各种措施的可行性分述如下：</w:t>
            </w:r>
          </w:p>
          <w:p w14:paraId="2648E22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（1）对各类风机安装消声器和减震措施</w:t>
            </w:r>
          </w:p>
          <w:p w14:paraId="05A362E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厂内风机，设置专用隔声间不实际，且不易于散热，可采用20mm厚的橡胶减振器对风机基础进行减振。另外，还要在风机进出口通道上加装阻性消声器，消声器的截面积要大于进出口气管道的截面积，既不降低风机效率，又可降低噪声。上述措施在省内很多企业已得到成功的运用，经处理后，通过采取以上传统风机降噪措施后，可将风机噪声值降低10~15dB</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A</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p>
          <w:p w14:paraId="1746597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（2）对水泵专用房要求按隔声减噪的要求设置</w:t>
            </w:r>
          </w:p>
          <w:p w14:paraId="0A58D53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项目虽已设泵房专用间，但对门窗、缝隙要按消声隔声的要求进行密闭或处理，还应对水泵进行减振安装，要求循环水泵房尽量不要开窗。该处理工艺为传统工艺，已得到广泛运用。</w:t>
            </w:r>
          </w:p>
          <w:p w14:paraId="0194776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隔声屏障</w:t>
            </w:r>
          </w:p>
          <w:p w14:paraId="2E865C9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项目生产设备均位于厂房内，建设单位对厂房墙体内侧加装隔声棉，进一步增强厂房的降噪效果。且建设单位在厂区四周设置6m高的围墙来阻隔声波传播。</w:t>
            </w:r>
          </w:p>
          <w:p w14:paraId="65C1C12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）合理布局</w:t>
            </w:r>
          </w:p>
          <w:p w14:paraId="370FEE8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项目在平面布置时应注意功能分区，将噪声值大的设备布置于声环境相对不敏感地段，即尽量将噪声值大的设备布置在厂区中部，充分利用建构物、绿化带来阻隔声波传播。</w:t>
            </w:r>
          </w:p>
          <w:p w14:paraId="6CBB818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）绿化是减小噪声污染的有效措施，搞好绿化，既可美化环境，又可减噪防噪。</w:t>
            </w:r>
          </w:p>
          <w:p w14:paraId="1F6A46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highlight w:val="none"/>
              </w:rPr>
              <w:t>工程采取的以上措施各行各业中均有运用，措施技术成熟、投资较低、噪声防治效果明显，采取的噪声防治措施是可行的。</w:t>
            </w:r>
          </w:p>
          <w:p w14:paraId="0A7EA4C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lang w:val="en-US" w:eastAsia="zh-CN"/>
              </w:rPr>
              <w:t>4.7.</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监测计划</w:t>
            </w:r>
          </w:p>
          <w:p w14:paraId="5B121C2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（一）竣工环保验收监测</w:t>
            </w:r>
          </w:p>
          <w:p w14:paraId="12741C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按照</w:t>
            </w:r>
            <w:r>
              <w:rPr>
                <w:rFonts w:hint="eastAsia" w:ascii="Times New Roman" w:hAnsi="Times New Roman" w:eastAsia="宋体" w:cs="Times New Roman"/>
                <w:color w:val="000000"/>
                <w:kern w:val="0"/>
                <w:sz w:val="24"/>
                <w:szCs w:val="24"/>
                <w:lang w:val="en-US" w:eastAsia="zh-CN" w:bidi="ar"/>
              </w:rPr>
              <w:t>“环保三同时”</w:t>
            </w:r>
            <w:r>
              <w:rPr>
                <w:rFonts w:hint="default" w:ascii="Times New Roman" w:hAnsi="Times New Roman" w:eastAsia="宋体" w:cs="Times New Roman"/>
                <w:color w:val="000000"/>
                <w:kern w:val="0"/>
                <w:sz w:val="24"/>
                <w:szCs w:val="24"/>
                <w:lang w:val="en-US" w:eastAsia="zh-CN" w:bidi="ar"/>
              </w:rPr>
              <w:t>要求，项目建成投产后及时组织竣工环境保护验收，项目环保竣工验收监测见下表。</w:t>
            </w:r>
          </w:p>
          <w:p w14:paraId="0DCF8F18">
            <w:pPr>
              <w:pStyle w:val="24"/>
              <w:bidi w:val="0"/>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表4-13  环境监测一览表</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865"/>
              <w:gridCol w:w="1468"/>
              <w:gridCol w:w="1607"/>
              <w:gridCol w:w="1839"/>
            </w:tblGrid>
            <w:tr w14:paraId="0689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60" w:type="dxa"/>
                  <w:tcBorders>
                    <w:left w:val="nil"/>
                  </w:tcBorders>
                  <w:vAlign w:val="center"/>
                </w:tcPr>
                <w:p w14:paraId="144A06E0">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序号</w:t>
                  </w:r>
                </w:p>
              </w:tc>
              <w:tc>
                <w:tcPr>
                  <w:tcW w:w="1865" w:type="dxa"/>
                  <w:vAlign w:val="center"/>
                </w:tcPr>
                <w:p w14:paraId="25B2FEEA">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监测点位</w:t>
                  </w:r>
                </w:p>
              </w:tc>
              <w:tc>
                <w:tcPr>
                  <w:tcW w:w="1468" w:type="dxa"/>
                  <w:vAlign w:val="center"/>
                </w:tcPr>
                <w:p w14:paraId="2B6C34D3">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监测因子</w:t>
                  </w:r>
                </w:p>
              </w:tc>
              <w:tc>
                <w:tcPr>
                  <w:tcW w:w="1607" w:type="dxa"/>
                  <w:vAlign w:val="center"/>
                </w:tcPr>
                <w:p w14:paraId="4BEDDE4A">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时间及频率</w:t>
                  </w:r>
                </w:p>
              </w:tc>
              <w:tc>
                <w:tcPr>
                  <w:tcW w:w="1839" w:type="dxa"/>
                  <w:tcBorders>
                    <w:right w:val="nil"/>
                  </w:tcBorders>
                  <w:vAlign w:val="center"/>
                </w:tcPr>
                <w:p w14:paraId="198DC483">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排放标准</w:t>
                  </w:r>
                </w:p>
              </w:tc>
            </w:tr>
            <w:tr w14:paraId="1C03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left w:val="nil"/>
                  </w:tcBorders>
                  <w:vAlign w:val="center"/>
                </w:tcPr>
                <w:p w14:paraId="60683D9D">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65" w:type="dxa"/>
                  <w:vAlign w:val="center"/>
                </w:tcPr>
                <w:p w14:paraId="48E9C83A">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仙福公司厂界东、南、西、北侧外1m处</w:t>
                  </w:r>
                </w:p>
              </w:tc>
              <w:tc>
                <w:tcPr>
                  <w:tcW w:w="1468" w:type="dxa"/>
                  <w:vAlign w:val="center"/>
                </w:tcPr>
                <w:p w14:paraId="5B232749">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等效连续A升级</w:t>
                  </w:r>
                </w:p>
              </w:tc>
              <w:tc>
                <w:tcPr>
                  <w:tcW w:w="1607" w:type="dxa"/>
                  <w:vAlign w:val="center"/>
                </w:tcPr>
                <w:p w14:paraId="458036C1">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竣工验收时，监测2天，昼间、夜间各1次</w:t>
                  </w:r>
                </w:p>
              </w:tc>
              <w:tc>
                <w:tcPr>
                  <w:tcW w:w="1839" w:type="dxa"/>
                  <w:tcBorders>
                    <w:right w:val="nil"/>
                  </w:tcBorders>
                  <w:vAlign w:val="center"/>
                </w:tcPr>
                <w:p w14:paraId="1A195BEF">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18"/>
                      <w:szCs w:val="18"/>
                    </w:rPr>
                    <w:t>《工业企业厂界环境噪声排放标准》（GB12348-2008）</w:t>
                  </w:r>
                  <w:r>
                    <w:rPr>
                      <w:rFonts w:hint="eastAsia"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类标准</w:t>
                  </w:r>
                </w:p>
              </w:tc>
            </w:tr>
          </w:tbl>
          <w:p w14:paraId="406105C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自行监测</w:t>
            </w:r>
          </w:p>
          <w:p w14:paraId="7E0653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根据《排污许可管理条例》要求，项目投产后应开展自行监测，根据《排污单位自行监测技术指南 总则》（HJ 819-2017）及《排污许可申请与核发技术规范 工业噪声》（HJ1301-2023），</w:t>
            </w:r>
            <w:r>
              <w:rPr>
                <w:rFonts w:hint="eastAsia" w:cs="Times New Roman"/>
                <w:b w:val="0"/>
                <w:bCs w:val="0"/>
                <w:color w:val="auto"/>
                <w:sz w:val="24"/>
                <w:szCs w:val="24"/>
                <w:lang w:val="en-US" w:eastAsia="zh-CN"/>
              </w:rPr>
              <w:t>仙福公司现阶段</w:t>
            </w:r>
            <w:r>
              <w:rPr>
                <w:rFonts w:hint="default" w:ascii="Times New Roman" w:hAnsi="Times New Roman" w:eastAsia="宋体" w:cs="Times New Roman"/>
                <w:b w:val="0"/>
                <w:bCs w:val="0"/>
                <w:color w:val="auto"/>
                <w:sz w:val="24"/>
                <w:szCs w:val="24"/>
                <w:lang w:val="en-US" w:eastAsia="zh-CN"/>
              </w:rPr>
              <w:t>厂界环境噪声每季度至少开展一次监测，</w:t>
            </w:r>
            <w:r>
              <w:rPr>
                <w:rFonts w:hint="eastAsia" w:cs="Times New Roman"/>
                <w:b w:val="0"/>
                <w:bCs w:val="0"/>
                <w:color w:val="auto"/>
                <w:sz w:val="24"/>
                <w:szCs w:val="24"/>
                <w:lang w:val="en-US" w:eastAsia="zh-CN"/>
              </w:rPr>
              <w:t>本项目建成后沿用仙福公司现阶段噪声监测计划，</w:t>
            </w:r>
            <w:r>
              <w:rPr>
                <w:rFonts w:hint="default" w:ascii="Times New Roman" w:hAnsi="Times New Roman" w:eastAsia="宋体" w:cs="Times New Roman"/>
                <w:b w:val="0"/>
                <w:bCs w:val="0"/>
                <w:color w:val="auto"/>
                <w:sz w:val="24"/>
                <w:szCs w:val="24"/>
                <w:lang w:val="en-US" w:eastAsia="zh-CN"/>
              </w:rPr>
              <w:t>夜间生产的要监测夜间噪声，本项目自行监测要求如下表。</w:t>
            </w:r>
          </w:p>
          <w:p w14:paraId="140B7D6E">
            <w:pPr>
              <w:pStyle w:val="24"/>
              <w:bidi w:val="0"/>
              <w:rPr>
                <w:rFonts w:hint="default" w:ascii="黑体" w:hAnsi="黑体" w:eastAsia="黑体" w:cs="黑体"/>
                <w:b w:val="0"/>
                <w:bCs w:val="0"/>
                <w:color w:val="auto"/>
                <w:lang w:val="en-US" w:eastAsia="zh-CN"/>
              </w:rPr>
            </w:pPr>
            <w:r>
              <w:rPr>
                <w:rFonts w:hint="default" w:ascii="黑体" w:hAnsi="黑体" w:eastAsia="黑体" w:cs="黑体"/>
                <w:b w:val="0"/>
                <w:bCs w:val="0"/>
                <w:color w:val="auto"/>
                <w:lang w:val="en-US" w:eastAsia="zh-CN"/>
              </w:rPr>
              <w:t>表4-</w:t>
            </w:r>
            <w:r>
              <w:rPr>
                <w:rFonts w:hint="eastAsia" w:ascii="黑体" w:hAnsi="黑体" w:eastAsia="黑体" w:cs="黑体"/>
                <w:b w:val="0"/>
                <w:bCs w:val="0"/>
                <w:color w:val="auto"/>
                <w:lang w:val="en-US" w:eastAsia="zh-CN"/>
              </w:rPr>
              <w:t>14</w:t>
            </w:r>
            <w:r>
              <w:rPr>
                <w:rFonts w:hint="default" w:ascii="黑体" w:hAnsi="黑体" w:eastAsia="黑体" w:cs="黑体"/>
                <w:b w:val="0"/>
                <w:bCs w:val="0"/>
                <w:color w:val="auto"/>
                <w:lang w:val="en-US" w:eastAsia="zh-CN"/>
              </w:rPr>
              <w:t xml:space="preserve"> </w:t>
            </w:r>
            <w:r>
              <w:rPr>
                <w:rFonts w:hint="eastAsia" w:ascii="黑体" w:hAnsi="黑体" w:eastAsia="黑体" w:cs="黑体"/>
                <w:b w:val="0"/>
                <w:bCs w:val="0"/>
                <w:color w:val="auto"/>
                <w:lang w:val="en-US" w:eastAsia="zh-CN"/>
              </w:rPr>
              <w:t xml:space="preserve"> 自行监测方案一览表</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865"/>
              <w:gridCol w:w="1468"/>
              <w:gridCol w:w="1607"/>
              <w:gridCol w:w="1839"/>
            </w:tblGrid>
            <w:tr w14:paraId="7BA9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60" w:type="dxa"/>
                  <w:tcBorders>
                    <w:left w:val="nil"/>
                  </w:tcBorders>
                  <w:vAlign w:val="center"/>
                </w:tcPr>
                <w:p w14:paraId="653AB9AF">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序号</w:t>
                  </w:r>
                </w:p>
              </w:tc>
              <w:tc>
                <w:tcPr>
                  <w:tcW w:w="1865" w:type="dxa"/>
                  <w:vAlign w:val="center"/>
                </w:tcPr>
                <w:p w14:paraId="3355725B">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监测项目</w:t>
                  </w:r>
                </w:p>
              </w:tc>
              <w:tc>
                <w:tcPr>
                  <w:tcW w:w="1468" w:type="dxa"/>
                  <w:vAlign w:val="center"/>
                </w:tcPr>
                <w:p w14:paraId="0307E8A0">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监测点位</w:t>
                  </w:r>
                </w:p>
              </w:tc>
              <w:tc>
                <w:tcPr>
                  <w:tcW w:w="1607" w:type="dxa"/>
                  <w:vAlign w:val="center"/>
                </w:tcPr>
                <w:p w14:paraId="44B8C0BA">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监测因子</w:t>
                  </w:r>
                </w:p>
              </w:tc>
              <w:tc>
                <w:tcPr>
                  <w:tcW w:w="1839" w:type="dxa"/>
                  <w:tcBorders>
                    <w:right w:val="nil"/>
                  </w:tcBorders>
                  <w:vAlign w:val="center"/>
                </w:tcPr>
                <w:p w14:paraId="5DE478AC">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时间及频率</w:t>
                  </w:r>
                </w:p>
              </w:tc>
            </w:tr>
            <w:tr w14:paraId="6500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left w:val="nil"/>
                  </w:tcBorders>
                  <w:vAlign w:val="center"/>
                </w:tcPr>
                <w:p w14:paraId="1348F953">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865" w:type="dxa"/>
                  <w:vAlign w:val="center"/>
                </w:tcPr>
                <w:p w14:paraId="14C62F72">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w:t>
                  </w:r>
                </w:p>
              </w:tc>
              <w:tc>
                <w:tcPr>
                  <w:tcW w:w="1468" w:type="dxa"/>
                  <w:vAlign w:val="center"/>
                </w:tcPr>
                <w:p w14:paraId="1E8DFDB2">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仙福公司厂界东、南、西、北侧</w:t>
                  </w:r>
                </w:p>
              </w:tc>
              <w:tc>
                <w:tcPr>
                  <w:tcW w:w="1607" w:type="dxa"/>
                  <w:vAlign w:val="center"/>
                </w:tcPr>
                <w:p w14:paraId="6EFD5A59">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等效连续A升级</w:t>
                  </w:r>
                </w:p>
              </w:tc>
              <w:tc>
                <w:tcPr>
                  <w:tcW w:w="1839" w:type="dxa"/>
                  <w:tcBorders>
                    <w:right w:val="nil"/>
                  </w:tcBorders>
                  <w:vAlign w:val="center"/>
                </w:tcPr>
                <w:p w14:paraId="5D0B52CF">
                  <w:pPr>
                    <w:pStyle w:val="27"/>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自行监测每个季度1次，昼夜各监测1次</w:t>
                  </w:r>
                </w:p>
              </w:tc>
            </w:tr>
          </w:tbl>
          <w:p w14:paraId="680A6C8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lang w:val="en-US" w:eastAsia="zh-CN"/>
              </w:rPr>
              <w:t>4.7.</w:t>
            </w:r>
            <w:r>
              <w:rPr>
                <w:rFonts w:hint="eastAsia" w:cs="Times New Roman"/>
                <w:b/>
                <w:bCs/>
                <w:color w:val="auto"/>
                <w:sz w:val="24"/>
                <w:szCs w:val="24"/>
                <w:lang w:val="en-US" w:eastAsia="zh-CN"/>
              </w:rPr>
              <w:t>6结论</w:t>
            </w:r>
          </w:p>
          <w:p w14:paraId="0EB699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highlight w:val="none"/>
              </w:rPr>
              <w:t>根据噪声预测，项目在运营期产生的噪声，在经过消声、减振、厂房隔声、绿化降噪等防治措施后，厂界</w:t>
            </w:r>
            <w:r>
              <w:rPr>
                <w:rFonts w:hint="default" w:ascii="Times New Roman" w:hAnsi="Times New Roman" w:eastAsia="宋体" w:cs="Times New Roman"/>
                <w:color w:val="auto"/>
                <w:sz w:val="24"/>
                <w:szCs w:val="24"/>
                <w:highlight w:val="none"/>
                <w:lang w:val="en-US" w:eastAsia="zh-CN"/>
              </w:rPr>
              <w:t>噪声</w:t>
            </w:r>
            <w:r>
              <w:rPr>
                <w:rFonts w:hint="default" w:ascii="Times New Roman" w:hAnsi="Times New Roman" w:eastAsia="宋体" w:cs="Times New Roman"/>
                <w:color w:val="auto"/>
                <w:sz w:val="24"/>
                <w:szCs w:val="24"/>
                <w:highlight w:val="none"/>
              </w:rPr>
              <w:t>均能满足《工业企业厂界环境噪声排放标准》（GB12348-2008）</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p>
          <w:p w14:paraId="4367EE4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8固废</w:t>
            </w:r>
          </w:p>
          <w:p w14:paraId="1DD8072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lang w:val="en-US" w:eastAsia="zh-CN"/>
              </w:rPr>
              <w:t>4.8.1固废产生情况及处置措施</w:t>
            </w:r>
          </w:p>
          <w:p w14:paraId="216166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固体废物主要为除盐软水处理站产生的废过滤介质、废树脂</w:t>
            </w:r>
            <w:r>
              <w:rPr>
                <w:rFonts w:hint="eastAsia" w:cs="Times New Roman"/>
                <w:color w:val="000000"/>
                <w:kern w:val="0"/>
                <w:sz w:val="24"/>
                <w:szCs w:val="24"/>
                <w:lang w:val="en-US" w:eastAsia="zh-CN" w:bidi="ar"/>
              </w:rPr>
              <w:t>、脱硫灰、</w:t>
            </w:r>
            <w:r>
              <w:rPr>
                <w:rFonts w:hint="default" w:ascii="Times New Roman" w:hAnsi="Times New Roman" w:eastAsia="宋体" w:cs="Times New Roman"/>
                <w:color w:val="000000"/>
                <w:kern w:val="0"/>
                <w:sz w:val="24"/>
                <w:szCs w:val="24"/>
                <w:lang w:val="en-US" w:eastAsia="zh-CN" w:bidi="ar"/>
              </w:rPr>
              <w:t>SCR脱硝装置产生的废催化剂，设备废润滑油及危化品包装桶。</w:t>
            </w:r>
          </w:p>
          <w:p w14:paraId="06376E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（1）废过滤介质</w:t>
            </w:r>
          </w:p>
          <w:p w14:paraId="016425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使用石英砂过滤器、精密过滤器、反渗透设备，石英砂过滤器每</w:t>
            </w:r>
            <w:r>
              <w:rPr>
                <w:rFonts w:hint="default" w:ascii="Times New Roman" w:hAnsi="Times New Roman" w:eastAsia="宋体"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年更换</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次，精密过滤器每</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个月更换</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次滤芯，反渗透设备每</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年更换一次反渗透膜，均为一般固废，产生量约为1.5</w:t>
            </w:r>
            <w:r>
              <w:rPr>
                <w:rFonts w:hint="default"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，石英砂更换后由厂家回收带走。</w:t>
            </w:r>
          </w:p>
          <w:p w14:paraId="65D248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）废离子交换树脂</w:t>
            </w:r>
          </w:p>
          <w:p w14:paraId="18F730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除盐水站树脂</w:t>
            </w:r>
            <w:r>
              <w:rPr>
                <w:rFonts w:hint="default" w:ascii="Times New Roman" w:hAnsi="Times New Roman" w:eastAsia="宋体"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年更换</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次或经检测失效后更换，产生量约1.2</w:t>
            </w:r>
            <w:r>
              <w:rPr>
                <w:rFonts w:hint="default"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。根据《国家危险废物名录》（</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eastAsia="宋体" w:cs="Times New Roman"/>
                <w:color w:val="000000"/>
                <w:kern w:val="0"/>
                <w:sz w:val="24"/>
                <w:szCs w:val="24"/>
                <w:lang w:val="en-US" w:eastAsia="zh-CN" w:bidi="ar"/>
              </w:rPr>
              <w:t>5版），本项目树脂主要是通过盐水再生，不属于使用酸、碱或有机溶剂清洗容器设备剥离下的树脂状、粘稠杂物，因此本项目废树脂不属于危险废物，更换后由厂家回收带走。</w:t>
            </w:r>
          </w:p>
          <w:p w14:paraId="4E9223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脱硫灰</w:t>
            </w:r>
          </w:p>
          <w:p w14:paraId="0016CB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根据《污染源源强核算技术指南 火电》（</w:t>
            </w:r>
            <w:r>
              <w:rPr>
                <w:rFonts w:hint="default" w:ascii="Times New Roman" w:hAnsi="Times New Roman" w:eastAsia="宋体" w:cs="Times New Roman"/>
                <w:color w:val="000000"/>
                <w:kern w:val="0"/>
                <w:sz w:val="24"/>
                <w:szCs w:val="24"/>
                <w:lang w:val="en-US" w:eastAsia="zh-CN" w:bidi="ar"/>
              </w:rPr>
              <w:t>HJ888-2018</w:t>
            </w:r>
            <w:r>
              <w:rPr>
                <w:rFonts w:hint="eastAsia" w:ascii="Times New Roman" w:hAnsi="Times New Roman" w:eastAsia="宋体" w:cs="Times New Roman"/>
                <w:color w:val="000000"/>
                <w:kern w:val="0"/>
                <w:sz w:val="24"/>
                <w:szCs w:val="24"/>
                <w:lang w:val="en-US" w:eastAsia="zh-CN" w:bidi="ar"/>
              </w:rPr>
              <w:t>），干</w:t>
            </w:r>
            <w:r>
              <w:rPr>
                <w:rFonts w:hint="default" w:ascii="Times New Roman" w:hAnsi="Times New Roman" w:eastAsia="宋体" w:cs="Times New Roman"/>
                <w:color w:val="000000"/>
                <w:kern w:val="0"/>
                <w:sz w:val="24"/>
                <w:szCs w:val="24"/>
                <w:lang w:val="en-US" w:eastAsia="zh-CN" w:bidi="ar"/>
              </w:rPr>
              <w:t>法/半干法烟气脱硫副产物产量可由脱硫设备供应商提供，估算的副产物产量（不含飞灰）可采用</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式。</w:t>
            </w:r>
          </w:p>
          <w:p w14:paraId="541E5BE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3846830" cy="687705"/>
                  <wp:effectExtent l="0" t="0" r="1270"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1"/>
                          <a:stretch>
                            <a:fillRect/>
                          </a:stretch>
                        </pic:blipFill>
                        <pic:spPr>
                          <a:xfrm>
                            <a:off x="0" y="0"/>
                            <a:ext cx="3846830" cy="687705"/>
                          </a:xfrm>
                          <a:prstGeom prst="rect">
                            <a:avLst/>
                          </a:prstGeom>
                          <a:noFill/>
                          <a:ln>
                            <a:noFill/>
                          </a:ln>
                        </pic:spPr>
                      </pic:pic>
                    </a:graphicData>
                  </a:graphic>
                </wp:inline>
              </w:drawing>
            </w:r>
          </w:p>
          <w:p w14:paraId="7EF7B80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式中：M——核算时段内脱硫副产物产生量，t</w:t>
            </w:r>
            <w:r>
              <w:rPr>
                <w:rFonts w:hint="eastAsia" w:ascii="Times New Roman" w:hAnsi="Times New Roman" w:eastAsia="宋体" w:cs="Times New Roman"/>
                <w:sz w:val="24"/>
                <w:szCs w:val="24"/>
                <w:lang w:eastAsia="zh-CN"/>
              </w:rPr>
              <w:t>；</w:t>
            </w:r>
          </w:p>
          <w:p w14:paraId="62B8AE2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M</w:t>
            </w:r>
            <w:r>
              <w:rPr>
                <w:rFonts w:hint="eastAsia"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eastAsia="zh-CN"/>
              </w:rPr>
              <w:t>——核算时段内二氧化硫脱除量，t</w:t>
            </w:r>
            <w:r>
              <w:rPr>
                <w:rFonts w:hint="eastAsia" w:ascii="Times New Roman" w:hAnsi="Times New Roman" w:eastAsia="宋体" w:cs="Times New Roman"/>
                <w:sz w:val="24"/>
                <w:szCs w:val="24"/>
                <w:lang w:eastAsia="zh-CN"/>
              </w:rPr>
              <w:t>；</w:t>
            </w:r>
          </w:p>
          <w:p w14:paraId="1FE895C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M</w:t>
            </w:r>
            <w:r>
              <w:rPr>
                <w:rFonts w:hint="eastAsia"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eastAsia="zh-CN"/>
              </w:rPr>
              <w:t>——CaSO</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1/2H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O摩尔质量；</w:t>
            </w:r>
          </w:p>
          <w:p w14:paraId="1F484D0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M</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——CaSO</w:t>
            </w:r>
            <w:r>
              <w:rPr>
                <w:rFonts w:hint="default" w:ascii="Times New Roman" w:hAnsi="Times New Roman" w:eastAsia="宋体" w:cs="Times New Roman"/>
                <w:sz w:val="24"/>
                <w:szCs w:val="24"/>
                <w:vertAlign w:val="subscript"/>
                <w:lang w:eastAsia="zh-CN"/>
              </w:rPr>
              <w:t>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1/2H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O摩尔质量；</w:t>
            </w:r>
          </w:p>
          <w:p w14:paraId="3B8D259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M</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——CaCO</w:t>
            </w:r>
            <w:r>
              <w:rPr>
                <w:rFonts w:hint="eastAsia"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eastAsia="zh-CN"/>
              </w:rPr>
              <w:t>摩尔质量；</w:t>
            </w:r>
          </w:p>
          <w:p w14:paraId="7606F77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Ms——二氧化硫摩尔质量。</w:t>
            </w:r>
          </w:p>
          <w:p w14:paraId="17268E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kern w:val="0"/>
                <w:sz w:val="24"/>
                <w:szCs w:val="24"/>
                <w:lang w:val="en-US" w:eastAsia="zh-CN" w:bidi="ar"/>
              </w:rPr>
              <w:t>经计算，脱硫</w:t>
            </w:r>
            <w:r>
              <w:rPr>
                <w:rFonts w:hint="eastAsia" w:ascii="Times New Roman" w:hAnsi="Times New Roman" w:eastAsia="宋体" w:cs="Times New Roman"/>
                <w:color w:val="000000"/>
                <w:kern w:val="0"/>
                <w:sz w:val="24"/>
                <w:szCs w:val="24"/>
                <w:lang w:val="en-US" w:eastAsia="zh-CN" w:bidi="ar"/>
              </w:rPr>
              <w:t>系统氢氧化钙、碳酸钙产生量</w:t>
            </w:r>
            <w:r>
              <w:rPr>
                <w:rFonts w:hint="default" w:ascii="Times New Roman" w:hAnsi="Times New Roman" w:eastAsia="宋体" w:cs="Times New Roman"/>
                <w:color w:val="000000"/>
                <w:kern w:val="0"/>
                <w:sz w:val="24"/>
                <w:szCs w:val="24"/>
                <w:lang w:val="en-US" w:eastAsia="zh-CN" w:bidi="ar"/>
              </w:rPr>
              <w:t>为</w:t>
            </w:r>
            <w:r>
              <w:rPr>
                <w:rFonts w:hint="eastAsia" w:cs="Times New Roman"/>
                <w:color w:val="000000"/>
                <w:kern w:val="0"/>
                <w:sz w:val="24"/>
                <w:szCs w:val="24"/>
                <w:lang w:val="en-US" w:eastAsia="zh-CN" w:bidi="ar"/>
              </w:rPr>
              <w:t>1129.93</w:t>
            </w:r>
            <w:r>
              <w:rPr>
                <w:rFonts w:hint="default"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统一收集后外售。</w:t>
            </w:r>
          </w:p>
          <w:p w14:paraId="0456823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（4）废催化剂</w:t>
            </w:r>
          </w:p>
          <w:p w14:paraId="66C9CD1B">
            <w:pPr>
              <w:pStyle w:val="21"/>
              <w:jc w:val="both"/>
              <w:rPr>
                <w:rFonts w:hint="default"/>
                <w:lang w:val="en-US" w:eastAsia="zh-CN"/>
              </w:rPr>
            </w:pPr>
            <w:r>
              <w:rPr>
                <w:rFonts w:hint="default"/>
                <w:lang w:val="en-US" w:eastAsia="zh-CN"/>
              </w:rPr>
              <w:t>脱硝工段催化剂每三年更换一次，每更新一次产生量为</w:t>
            </w:r>
            <w:r>
              <w:rPr>
                <w:rFonts w:hint="eastAsia"/>
                <w:lang w:val="en-US" w:eastAsia="zh-CN"/>
              </w:rPr>
              <w:t>156</w:t>
            </w:r>
            <w:r>
              <w:rPr>
                <w:rFonts w:hint="default"/>
                <w:lang w:val="en-US" w:eastAsia="zh-CN"/>
              </w:rPr>
              <w:t>m</w:t>
            </w:r>
            <w:r>
              <w:rPr>
                <w:rFonts w:hint="eastAsia"/>
                <w:vertAlign w:val="superscript"/>
                <w:lang w:val="en-US" w:eastAsia="zh-CN"/>
              </w:rPr>
              <w:t>3</w:t>
            </w:r>
            <w:r>
              <w:rPr>
                <w:rFonts w:hint="default"/>
                <w:lang w:val="en-US" w:eastAsia="zh-CN"/>
              </w:rPr>
              <w:t>，废催化剂</w:t>
            </w:r>
            <w:r>
              <w:rPr>
                <w:rFonts w:hint="eastAsia"/>
                <w:lang w:val="en-US" w:eastAsia="zh-CN"/>
              </w:rPr>
              <w:t>每年</w:t>
            </w:r>
            <w:r>
              <w:rPr>
                <w:rFonts w:hint="default"/>
                <w:lang w:val="en-US" w:eastAsia="zh-CN"/>
              </w:rPr>
              <w:t>产生量为</w:t>
            </w:r>
            <w:r>
              <w:rPr>
                <w:rFonts w:hint="eastAsia"/>
                <w:lang w:val="en-US" w:eastAsia="zh-CN"/>
              </w:rPr>
              <w:t>40.58</w:t>
            </w:r>
            <w:r>
              <w:rPr>
                <w:rFonts w:hint="default"/>
                <w:lang w:val="en-US" w:eastAsia="zh-CN"/>
              </w:rPr>
              <w:t>m</w:t>
            </w:r>
            <w:r>
              <w:rPr>
                <w:rFonts w:hint="eastAsia"/>
                <w:vertAlign w:val="superscript"/>
                <w:lang w:val="en-US" w:eastAsia="zh-CN"/>
              </w:rPr>
              <w:t>3</w:t>
            </w:r>
            <w:r>
              <w:rPr>
                <w:rFonts w:hint="default"/>
                <w:lang w:val="en-US" w:eastAsia="zh-CN"/>
              </w:rPr>
              <w:t>，根据《国家危险废物名录》（20</w:t>
            </w:r>
            <w:r>
              <w:rPr>
                <w:rFonts w:hint="eastAsia"/>
                <w:lang w:val="en-US" w:eastAsia="zh-CN"/>
              </w:rPr>
              <w:t>25</w:t>
            </w:r>
            <w:r>
              <w:rPr>
                <w:rFonts w:hint="default"/>
                <w:lang w:val="en-US" w:eastAsia="zh-CN"/>
              </w:rPr>
              <w:t>年版），废催化剂为危险固废，危废类别：HW50废催化剂，烟气脱硝过程中产生的废钒钛系催化剂，废物代码：772-007-50。厂内不设置储存点，</w:t>
            </w:r>
            <w:r>
              <w:rPr>
                <w:rFonts w:hint="eastAsia"/>
                <w:lang w:val="en-US" w:eastAsia="zh-CN"/>
              </w:rPr>
              <w:t>更换后由厂界带走回收利用</w:t>
            </w:r>
            <w:r>
              <w:rPr>
                <w:rFonts w:hint="default"/>
                <w:lang w:val="en-US" w:eastAsia="zh-CN"/>
              </w:rPr>
              <w:t>。</w:t>
            </w:r>
          </w:p>
          <w:p w14:paraId="4B1497D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）废润滑油</w:t>
            </w:r>
          </w:p>
          <w:p w14:paraId="64FB9F5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润滑油主要用于汽轮机等设备，定期进行补充、更换，每年更换一次，更换量约为使用量的</w:t>
            </w:r>
            <w:r>
              <w:rPr>
                <w:rFonts w:hint="default"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val="en-US" w:eastAsia="zh-CN"/>
              </w:rPr>
              <w:t>，根据建设单位提供资料，煤气发电机组使用的润滑油量为4.5</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，废润滑油量约为0.45</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w:t>
            </w:r>
          </w:p>
          <w:p w14:paraId="4E94D9C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根据《国家危险废物名录》（</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5年版），废润滑油为危险固废，危废类别：</w:t>
            </w:r>
            <w:r>
              <w:rPr>
                <w:rFonts w:hint="default" w:ascii="Times New Roman" w:hAnsi="Times New Roman" w:eastAsia="宋体" w:cs="Times New Roman"/>
                <w:sz w:val="24"/>
                <w:szCs w:val="24"/>
                <w:lang w:val="en-US" w:eastAsia="zh-CN"/>
              </w:rPr>
              <w:t>HW08</w:t>
            </w:r>
            <w:r>
              <w:rPr>
                <w:rFonts w:hint="eastAsia" w:ascii="Times New Roman" w:hAnsi="Times New Roman" w:eastAsia="宋体" w:cs="Times New Roman"/>
                <w:sz w:val="24"/>
                <w:szCs w:val="24"/>
                <w:lang w:val="en-US" w:eastAsia="zh-CN"/>
              </w:rPr>
              <w:t>废矿物油，废物代码：</w:t>
            </w:r>
            <w:r>
              <w:rPr>
                <w:rFonts w:hint="default" w:ascii="Times New Roman" w:hAnsi="Times New Roman" w:eastAsia="宋体" w:cs="Times New Roman"/>
                <w:sz w:val="24"/>
                <w:szCs w:val="24"/>
                <w:lang w:val="en-US" w:eastAsia="zh-CN"/>
              </w:rPr>
              <w:t>900-249-08</w:t>
            </w:r>
            <w:r>
              <w:rPr>
                <w:rFonts w:hint="eastAsia" w:ascii="Times New Roman" w:hAnsi="Times New Roman" w:eastAsia="宋体" w:cs="Times New Roman"/>
                <w:sz w:val="24"/>
                <w:szCs w:val="24"/>
                <w:lang w:val="en-US" w:eastAsia="zh-CN"/>
              </w:rPr>
              <w:t>。更换的废润滑油采用带盖的收集桶收集，收集后暂存于</w:t>
            </w:r>
            <w:r>
              <w:rPr>
                <w:rFonts w:hint="eastAsia" w:cs="Times New Roman"/>
                <w:color w:val="000000"/>
                <w:kern w:val="0"/>
                <w:sz w:val="24"/>
                <w:szCs w:val="24"/>
                <w:lang w:val="en-US" w:eastAsia="zh-CN" w:bidi="ar"/>
              </w:rPr>
              <w:t>仙福公司危险废物贮存库</w:t>
            </w:r>
            <w:r>
              <w:rPr>
                <w:rFonts w:hint="eastAsia" w:ascii="Times New Roman" w:hAnsi="Times New Roman" w:eastAsia="宋体" w:cs="Times New Roman"/>
                <w:sz w:val="24"/>
                <w:szCs w:val="24"/>
                <w:lang w:val="en-US" w:eastAsia="zh-CN"/>
              </w:rPr>
              <w:t>，委托有资质的单位清运、处置。</w:t>
            </w:r>
          </w:p>
          <w:p w14:paraId="29563C2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）危化品包装桶</w:t>
            </w:r>
          </w:p>
          <w:p w14:paraId="3B57D32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本项目使用润滑油、密封油、乳化油、</w:t>
            </w:r>
            <w:r>
              <w:rPr>
                <w:rFonts w:hint="eastAsia" w:cs="Times New Roman"/>
                <w:sz w:val="24"/>
                <w:szCs w:val="24"/>
                <w:lang w:val="en-US" w:eastAsia="zh-CN"/>
              </w:rPr>
              <w:t>氨水</w:t>
            </w:r>
            <w:r>
              <w:rPr>
                <w:rFonts w:hint="eastAsia" w:ascii="Times New Roman" w:hAnsi="Times New Roman" w:eastAsia="宋体" w:cs="Times New Roman"/>
                <w:sz w:val="24"/>
                <w:szCs w:val="24"/>
                <w:lang w:val="en-US" w:eastAsia="zh-CN"/>
              </w:rPr>
              <w:t>等危化品，均为桶装，产生危化品包装桶，根据建设单位提供资料，产生量约为2.5</w:t>
            </w:r>
            <w:r>
              <w:rPr>
                <w:rFonts w:hint="default" w:ascii="Times New Roman" w:hAnsi="Times New Roman" w:eastAsia="宋体" w:cs="Times New Roman"/>
                <w:sz w:val="24"/>
                <w:szCs w:val="24"/>
                <w:lang w:val="en-US" w:eastAsia="zh-CN"/>
              </w:rPr>
              <w:t>t</w:t>
            </w:r>
            <w:r>
              <w:rPr>
                <w:rFonts w:hint="eastAsia" w:ascii="Times New Roman" w:hAnsi="Times New Roman" w:eastAsia="宋体" w:cs="Times New Roman"/>
                <w:sz w:val="24"/>
                <w:szCs w:val="24"/>
                <w:lang w:val="en-US" w:eastAsia="zh-CN"/>
              </w:rPr>
              <w:t>。根据《国家危险废物名录》（</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25年），危化品包装桶属于</w:t>
            </w:r>
            <w:r>
              <w:rPr>
                <w:rFonts w:hint="default" w:ascii="Times New Roman" w:hAnsi="Times New Roman" w:eastAsia="宋体" w:cs="Times New Roman"/>
                <w:sz w:val="24"/>
                <w:szCs w:val="24"/>
                <w:lang w:val="en-US" w:eastAsia="zh-CN"/>
              </w:rPr>
              <w:t>HW49</w:t>
            </w:r>
            <w:r>
              <w:rPr>
                <w:rFonts w:hint="eastAsia" w:ascii="Times New Roman" w:hAnsi="Times New Roman" w:eastAsia="宋体" w:cs="Times New Roman"/>
                <w:sz w:val="24"/>
                <w:szCs w:val="24"/>
                <w:lang w:val="en-US" w:eastAsia="zh-CN"/>
              </w:rPr>
              <w:t>类危险废物，废物代码为</w:t>
            </w:r>
            <w:r>
              <w:rPr>
                <w:rFonts w:hint="default" w:ascii="Times New Roman" w:hAnsi="Times New Roman" w:eastAsia="宋体" w:cs="Times New Roman"/>
                <w:sz w:val="24"/>
                <w:szCs w:val="24"/>
                <w:lang w:val="en-US" w:eastAsia="zh-CN"/>
              </w:rPr>
              <w:t>900-041-49</w:t>
            </w:r>
            <w:r>
              <w:rPr>
                <w:rFonts w:hint="eastAsia" w:ascii="Times New Roman" w:hAnsi="Times New Roman" w:eastAsia="宋体" w:cs="Times New Roman"/>
                <w:sz w:val="24"/>
                <w:szCs w:val="24"/>
                <w:lang w:val="en-US" w:eastAsia="zh-CN"/>
              </w:rPr>
              <w:t>（含有沾染毒性、感染性危险废物的废弃包装物、容器、过滤吸附介质）。危化品包装桶</w:t>
            </w:r>
            <w:r>
              <w:rPr>
                <w:rFonts w:hint="eastAsia" w:cs="Times New Roman"/>
                <w:sz w:val="24"/>
                <w:szCs w:val="24"/>
                <w:lang w:val="en-US" w:eastAsia="zh-CN"/>
              </w:rPr>
              <w:t>收集后</w:t>
            </w:r>
            <w:r>
              <w:rPr>
                <w:rFonts w:hint="eastAsia" w:ascii="Times New Roman" w:hAnsi="Times New Roman" w:eastAsia="宋体" w:cs="Times New Roman"/>
                <w:sz w:val="24"/>
                <w:szCs w:val="24"/>
                <w:lang w:val="en-US" w:eastAsia="zh-CN"/>
              </w:rPr>
              <w:t>暂存于</w:t>
            </w:r>
            <w:r>
              <w:rPr>
                <w:rFonts w:hint="eastAsia" w:cs="Times New Roman"/>
                <w:sz w:val="24"/>
                <w:szCs w:val="24"/>
                <w:lang w:val="en-US" w:eastAsia="zh-CN"/>
              </w:rPr>
              <w:t>仙福公司</w:t>
            </w:r>
            <w:r>
              <w:rPr>
                <w:rFonts w:hint="eastAsia" w:cs="Times New Roman"/>
                <w:color w:val="000000"/>
                <w:kern w:val="0"/>
                <w:sz w:val="24"/>
                <w:szCs w:val="24"/>
                <w:lang w:val="en-US" w:eastAsia="zh-CN" w:bidi="ar"/>
              </w:rPr>
              <w:t>危险废物贮存库</w:t>
            </w:r>
            <w:r>
              <w:rPr>
                <w:rFonts w:hint="eastAsia" w:ascii="Times New Roman" w:hAnsi="Times New Roman" w:eastAsia="宋体" w:cs="Times New Roman"/>
                <w:sz w:val="24"/>
                <w:szCs w:val="24"/>
                <w:lang w:val="en-US" w:eastAsia="zh-CN"/>
              </w:rPr>
              <w:t>，委托有资质的单位清运、处置。</w:t>
            </w:r>
          </w:p>
          <w:p w14:paraId="588D9694">
            <w:pPr>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综上，本项目运行过程中产生的各类固体废弃物管理处置情况如下表所示：</w:t>
            </w:r>
          </w:p>
          <w:p w14:paraId="2D524D17">
            <w:pPr>
              <w:pStyle w:val="24"/>
              <w:bidi w:val="0"/>
              <w:rPr>
                <w:rFonts w:hint="default"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表4-15 固废处置及排放情况表</w:t>
            </w:r>
          </w:p>
          <w:tbl>
            <w:tblPr>
              <w:tblStyle w:val="17"/>
              <w:tblW w:w="4961"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90"/>
              <w:gridCol w:w="879"/>
              <w:gridCol w:w="956"/>
              <w:gridCol w:w="644"/>
              <w:gridCol w:w="448"/>
              <w:gridCol w:w="448"/>
              <w:gridCol w:w="598"/>
              <w:gridCol w:w="850"/>
              <w:gridCol w:w="1262"/>
              <w:gridCol w:w="591"/>
            </w:tblGrid>
            <w:tr w14:paraId="2429BA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blHeader/>
                <w:jc w:val="center"/>
              </w:trPr>
              <w:tc>
                <w:tcPr>
                  <w:tcW w:w="588" w:type="pct"/>
                  <w:noWrap w:val="0"/>
                  <w:vAlign w:val="center"/>
                </w:tcPr>
                <w:p w14:paraId="70E02899">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产污环节</w:t>
                  </w:r>
                </w:p>
              </w:tc>
              <w:tc>
                <w:tcPr>
                  <w:tcW w:w="580" w:type="pct"/>
                  <w:noWrap w:val="0"/>
                  <w:vAlign w:val="center"/>
                </w:tcPr>
                <w:p w14:paraId="12FE406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名称</w:t>
                  </w:r>
                </w:p>
              </w:tc>
              <w:tc>
                <w:tcPr>
                  <w:tcW w:w="631" w:type="pct"/>
                  <w:noWrap w:val="0"/>
                  <w:vAlign w:val="center"/>
                </w:tcPr>
                <w:p w14:paraId="411B79F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废物代码</w:t>
                  </w:r>
                </w:p>
              </w:tc>
              <w:tc>
                <w:tcPr>
                  <w:tcW w:w="425" w:type="pct"/>
                  <w:noWrap w:val="0"/>
                  <w:vAlign w:val="center"/>
                </w:tcPr>
                <w:p w14:paraId="57D88664">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固废属性</w:t>
                  </w:r>
                </w:p>
              </w:tc>
              <w:tc>
                <w:tcPr>
                  <w:tcW w:w="296" w:type="pct"/>
                  <w:noWrap w:val="0"/>
                  <w:vAlign w:val="center"/>
                </w:tcPr>
                <w:p w14:paraId="11E5F9D2">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color w:val="auto"/>
                      <w:sz w:val="18"/>
                      <w:szCs w:val="18"/>
                    </w:rPr>
                    <w:t>物理性状</w:t>
                  </w:r>
                </w:p>
              </w:tc>
              <w:tc>
                <w:tcPr>
                  <w:tcW w:w="296" w:type="pct"/>
                  <w:noWrap w:val="0"/>
                  <w:vAlign w:val="center"/>
                </w:tcPr>
                <w:p w14:paraId="74878078">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危险特性</w:t>
                  </w:r>
                </w:p>
              </w:tc>
              <w:tc>
                <w:tcPr>
                  <w:tcW w:w="395" w:type="pct"/>
                  <w:noWrap w:val="0"/>
                  <w:vAlign w:val="center"/>
                </w:tcPr>
                <w:p w14:paraId="0E7A7151">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产生量</w:t>
                  </w:r>
                </w:p>
                <w:p w14:paraId="199DD86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（t/a）</w:t>
                  </w:r>
                </w:p>
              </w:tc>
              <w:tc>
                <w:tcPr>
                  <w:tcW w:w="561" w:type="pct"/>
                  <w:noWrap w:val="0"/>
                  <w:vAlign w:val="center"/>
                </w:tcPr>
                <w:p w14:paraId="12439F4A">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贮存方式</w:t>
                  </w:r>
                </w:p>
              </w:tc>
              <w:tc>
                <w:tcPr>
                  <w:tcW w:w="833" w:type="pct"/>
                  <w:noWrap w:val="0"/>
                  <w:vAlign w:val="center"/>
                </w:tcPr>
                <w:p w14:paraId="07A82F00">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处置方式</w:t>
                  </w:r>
                </w:p>
              </w:tc>
              <w:tc>
                <w:tcPr>
                  <w:tcW w:w="390" w:type="pct"/>
                  <w:noWrap w:val="0"/>
                  <w:vAlign w:val="center"/>
                </w:tcPr>
                <w:p w14:paraId="17948265">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处置量</w:t>
                  </w:r>
                </w:p>
              </w:tc>
            </w:tr>
            <w:tr w14:paraId="4FE98A2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88" w:type="pct"/>
                  <w:noWrap w:val="0"/>
                  <w:vAlign w:val="center"/>
                </w:tcPr>
                <w:p w14:paraId="3FC8340C">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水处理</w:t>
                  </w:r>
                </w:p>
              </w:tc>
              <w:tc>
                <w:tcPr>
                  <w:tcW w:w="580" w:type="pct"/>
                  <w:noWrap w:val="0"/>
                  <w:vAlign w:val="center"/>
                </w:tcPr>
                <w:p w14:paraId="1B222ADE">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废过滤介质</w:t>
                  </w:r>
                </w:p>
              </w:tc>
              <w:tc>
                <w:tcPr>
                  <w:tcW w:w="631" w:type="pct"/>
                  <w:noWrap w:val="0"/>
                  <w:vAlign w:val="center"/>
                </w:tcPr>
                <w:p w14:paraId="05E9B8D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900-009-S59</w:t>
                  </w:r>
                </w:p>
              </w:tc>
              <w:tc>
                <w:tcPr>
                  <w:tcW w:w="425" w:type="pct"/>
                  <w:noWrap w:val="0"/>
                  <w:vAlign w:val="center"/>
                </w:tcPr>
                <w:p w14:paraId="3A07B1D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工业固废</w:t>
                  </w:r>
                </w:p>
              </w:tc>
              <w:tc>
                <w:tcPr>
                  <w:tcW w:w="296" w:type="pct"/>
                  <w:noWrap w:val="0"/>
                  <w:vAlign w:val="center"/>
                </w:tcPr>
                <w:p w14:paraId="4A9AA3FB">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296" w:type="pct"/>
                  <w:noWrap w:val="0"/>
                  <w:vAlign w:val="center"/>
                </w:tcPr>
                <w:p w14:paraId="1301C564">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5" w:type="pct"/>
                  <w:noWrap w:val="0"/>
                  <w:vAlign w:val="center"/>
                </w:tcPr>
                <w:p w14:paraId="2B350192">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561" w:type="pct"/>
                  <w:vMerge w:val="restart"/>
                  <w:noWrap w:val="0"/>
                  <w:vAlign w:val="center"/>
                </w:tcPr>
                <w:p w14:paraId="7DD87AD1">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不在厂区贮存</w:t>
                  </w:r>
                </w:p>
              </w:tc>
              <w:tc>
                <w:tcPr>
                  <w:tcW w:w="833" w:type="pct"/>
                  <w:noWrap w:val="0"/>
                  <w:vAlign w:val="center"/>
                </w:tcPr>
                <w:p w14:paraId="0A92FCC7">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由厂家回收利用</w:t>
                  </w:r>
                </w:p>
              </w:tc>
              <w:tc>
                <w:tcPr>
                  <w:tcW w:w="390" w:type="pct"/>
                  <w:noWrap w:val="0"/>
                  <w:vAlign w:val="center"/>
                </w:tcPr>
                <w:p w14:paraId="7435A9D7">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r>
            <w:tr w14:paraId="06B683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88" w:type="pct"/>
                  <w:noWrap w:val="0"/>
                  <w:vAlign w:val="center"/>
                </w:tcPr>
                <w:p w14:paraId="309CD413">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水处理</w:t>
                  </w:r>
                </w:p>
              </w:tc>
              <w:tc>
                <w:tcPr>
                  <w:tcW w:w="580" w:type="pct"/>
                  <w:noWrap w:val="0"/>
                  <w:vAlign w:val="center"/>
                </w:tcPr>
                <w:p w14:paraId="75FCC405">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废树脂</w:t>
                  </w:r>
                </w:p>
              </w:tc>
              <w:tc>
                <w:tcPr>
                  <w:tcW w:w="631" w:type="pct"/>
                  <w:noWrap w:val="0"/>
                  <w:vAlign w:val="center"/>
                </w:tcPr>
                <w:p w14:paraId="61E4AD3E">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900-099-S59</w:t>
                  </w:r>
                </w:p>
              </w:tc>
              <w:tc>
                <w:tcPr>
                  <w:tcW w:w="425" w:type="pct"/>
                  <w:noWrap w:val="0"/>
                  <w:vAlign w:val="center"/>
                </w:tcPr>
                <w:p w14:paraId="288E8A0A">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工业固废</w:t>
                  </w:r>
                </w:p>
              </w:tc>
              <w:tc>
                <w:tcPr>
                  <w:tcW w:w="296" w:type="pct"/>
                  <w:noWrap w:val="0"/>
                  <w:vAlign w:val="center"/>
                </w:tcPr>
                <w:p w14:paraId="3ED4D4DD">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296" w:type="pct"/>
                  <w:noWrap w:val="0"/>
                  <w:vAlign w:val="center"/>
                </w:tcPr>
                <w:p w14:paraId="3D9DEF93">
                  <w:pPr>
                    <w:pStyle w:val="34"/>
                    <w:jc w:val="center"/>
                    <w:rPr>
                      <w:rFonts w:hint="default" w:ascii="Times New Roman" w:hAnsi="Times New Roman" w:eastAsia="宋体" w:cs="Times New Roman"/>
                      <w:color w:val="auto"/>
                      <w:sz w:val="18"/>
                      <w:szCs w:val="18"/>
                    </w:rPr>
                  </w:pPr>
                </w:p>
              </w:tc>
              <w:tc>
                <w:tcPr>
                  <w:tcW w:w="395" w:type="pct"/>
                  <w:noWrap w:val="0"/>
                  <w:vAlign w:val="center"/>
                </w:tcPr>
                <w:p w14:paraId="71ED7D6A">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561" w:type="pct"/>
                  <w:vMerge w:val="continue"/>
                  <w:noWrap w:val="0"/>
                  <w:vAlign w:val="center"/>
                </w:tcPr>
                <w:p w14:paraId="26AC4DFE">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rPr>
                  </w:pPr>
                </w:p>
              </w:tc>
              <w:tc>
                <w:tcPr>
                  <w:tcW w:w="833" w:type="pct"/>
                  <w:noWrap w:val="0"/>
                  <w:vAlign w:val="center"/>
                </w:tcPr>
                <w:p w14:paraId="21057274">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由厂家回收利用</w:t>
                  </w:r>
                </w:p>
              </w:tc>
              <w:tc>
                <w:tcPr>
                  <w:tcW w:w="390" w:type="pct"/>
                  <w:noWrap w:val="0"/>
                  <w:vAlign w:val="center"/>
                </w:tcPr>
                <w:p w14:paraId="0AEAD0DA">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r>
            <w:tr w14:paraId="5182C7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88" w:type="pct"/>
                  <w:noWrap w:val="0"/>
                  <w:vAlign w:val="center"/>
                </w:tcPr>
                <w:p w14:paraId="4AAF7482">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脱硫系统</w:t>
                  </w:r>
                </w:p>
              </w:tc>
              <w:tc>
                <w:tcPr>
                  <w:tcW w:w="580" w:type="pct"/>
                  <w:noWrap w:val="0"/>
                  <w:vAlign w:val="center"/>
                </w:tcPr>
                <w:p w14:paraId="64E05D8E">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脱硫灰</w:t>
                  </w:r>
                </w:p>
              </w:tc>
              <w:tc>
                <w:tcPr>
                  <w:tcW w:w="631" w:type="pct"/>
                  <w:noWrap w:val="0"/>
                  <w:vAlign w:val="center"/>
                </w:tcPr>
                <w:p w14:paraId="76503CF0">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900-099-S59</w:t>
                  </w:r>
                </w:p>
              </w:tc>
              <w:tc>
                <w:tcPr>
                  <w:tcW w:w="425" w:type="pct"/>
                  <w:noWrap w:val="0"/>
                  <w:vAlign w:val="center"/>
                </w:tcPr>
                <w:p w14:paraId="4919CB32">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工业固废</w:t>
                  </w:r>
                </w:p>
              </w:tc>
              <w:tc>
                <w:tcPr>
                  <w:tcW w:w="296" w:type="pct"/>
                  <w:noWrap w:val="0"/>
                  <w:vAlign w:val="center"/>
                </w:tcPr>
                <w:p w14:paraId="7735DB0F">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296" w:type="pct"/>
                  <w:noWrap w:val="0"/>
                  <w:vAlign w:val="center"/>
                </w:tcPr>
                <w:p w14:paraId="34BE5EDD">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395" w:type="pct"/>
                  <w:noWrap w:val="0"/>
                  <w:vAlign w:val="center"/>
                </w:tcPr>
                <w:p w14:paraId="4ED2C87F">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1129.93</w:t>
                  </w:r>
                </w:p>
              </w:tc>
              <w:tc>
                <w:tcPr>
                  <w:tcW w:w="561" w:type="pct"/>
                  <w:noWrap w:val="0"/>
                  <w:vAlign w:val="center"/>
                </w:tcPr>
                <w:p w14:paraId="539DF628">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堆存</w:t>
                  </w:r>
                </w:p>
              </w:tc>
              <w:tc>
                <w:tcPr>
                  <w:tcW w:w="833" w:type="pct"/>
                  <w:noWrap w:val="0"/>
                  <w:vAlign w:val="center"/>
                </w:tcPr>
                <w:p w14:paraId="09F35C1D">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收集后外售</w:t>
                  </w:r>
                </w:p>
              </w:tc>
              <w:tc>
                <w:tcPr>
                  <w:tcW w:w="390" w:type="pct"/>
                  <w:noWrap w:val="0"/>
                  <w:vAlign w:val="center"/>
                </w:tcPr>
                <w:p w14:paraId="1A45298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1129.93</w:t>
                  </w:r>
                </w:p>
              </w:tc>
            </w:tr>
            <w:tr w14:paraId="413CBE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88" w:type="pct"/>
                  <w:noWrap w:val="0"/>
                  <w:vAlign w:val="center"/>
                </w:tcPr>
                <w:p w14:paraId="4AD1C8B7">
                  <w:pPr>
                    <w:pStyle w:val="29"/>
                    <w:tabs>
                      <w:tab w:val="left" w:pos="5327"/>
                      <w:tab w:val="left" w:pos="6326"/>
                      <w:tab w:val="left" w:pos="7230"/>
                      <w:tab w:val="left" w:pos="9301"/>
                    </w:tabs>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SCR脱硝装置</w:t>
                  </w:r>
                </w:p>
              </w:tc>
              <w:tc>
                <w:tcPr>
                  <w:tcW w:w="580" w:type="pct"/>
                  <w:noWrap w:val="0"/>
                  <w:vAlign w:val="center"/>
                </w:tcPr>
                <w:p w14:paraId="6600902E">
                  <w:pPr>
                    <w:pStyle w:val="29"/>
                    <w:tabs>
                      <w:tab w:val="left" w:pos="5327"/>
                      <w:tab w:val="left" w:pos="6326"/>
                      <w:tab w:val="left" w:pos="7230"/>
                      <w:tab w:val="left" w:pos="9301"/>
                    </w:tabs>
                    <w:spacing w:line="240" w:lineRule="auto"/>
                    <w:ind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废催化剂</w:t>
                  </w:r>
                </w:p>
              </w:tc>
              <w:tc>
                <w:tcPr>
                  <w:tcW w:w="631" w:type="pct"/>
                  <w:noWrap w:val="0"/>
                  <w:vAlign w:val="center"/>
                </w:tcPr>
                <w:p w14:paraId="0A231CC5">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HW50</w:t>
                  </w:r>
                </w:p>
                <w:p w14:paraId="4907BCC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772-007-50</w:t>
                  </w:r>
                </w:p>
              </w:tc>
              <w:tc>
                <w:tcPr>
                  <w:tcW w:w="425" w:type="pct"/>
                  <w:noWrap w:val="0"/>
                  <w:vAlign w:val="center"/>
                </w:tcPr>
                <w:p w14:paraId="0E4DA7E4">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危废</w:t>
                  </w:r>
                </w:p>
              </w:tc>
              <w:tc>
                <w:tcPr>
                  <w:tcW w:w="296" w:type="pct"/>
                  <w:noWrap w:val="0"/>
                  <w:vAlign w:val="center"/>
                </w:tcPr>
                <w:p w14:paraId="1A39B773">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296" w:type="pct"/>
                  <w:noWrap w:val="0"/>
                  <w:vAlign w:val="center"/>
                </w:tcPr>
                <w:p w14:paraId="6D2A92E3">
                  <w:pPr>
                    <w:pStyle w:val="34"/>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T</w:t>
                  </w:r>
                </w:p>
              </w:tc>
              <w:tc>
                <w:tcPr>
                  <w:tcW w:w="395" w:type="pct"/>
                  <w:noWrap w:val="0"/>
                  <w:vAlign w:val="center"/>
                </w:tcPr>
                <w:p w14:paraId="2EC88C91">
                  <w:pPr>
                    <w:pStyle w:val="29"/>
                    <w:tabs>
                      <w:tab w:val="left" w:pos="5327"/>
                      <w:tab w:val="left" w:pos="6326"/>
                      <w:tab w:val="left" w:pos="7230"/>
                      <w:tab w:val="left" w:pos="9301"/>
                    </w:tabs>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40.58</w:t>
                  </w:r>
                </w:p>
              </w:tc>
              <w:tc>
                <w:tcPr>
                  <w:tcW w:w="561" w:type="pct"/>
                  <w:noWrap w:val="0"/>
                  <w:vAlign w:val="center"/>
                </w:tcPr>
                <w:p w14:paraId="5A3CF0E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不在厂区贮存</w:t>
                  </w:r>
                </w:p>
              </w:tc>
              <w:tc>
                <w:tcPr>
                  <w:tcW w:w="833" w:type="pct"/>
                  <w:noWrap w:val="0"/>
                  <w:vAlign w:val="center"/>
                </w:tcPr>
                <w:p w14:paraId="00A092C4">
                  <w:pPr>
                    <w:pStyle w:val="29"/>
                    <w:tabs>
                      <w:tab w:val="left" w:pos="5327"/>
                      <w:tab w:val="left" w:pos="6326"/>
                      <w:tab w:val="left" w:pos="7230"/>
                      <w:tab w:val="left" w:pos="9301"/>
                    </w:tabs>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更换后由厂家带着回收利用</w:t>
                  </w:r>
                </w:p>
              </w:tc>
              <w:tc>
                <w:tcPr>
                  <w:tcW w:w="390" w:type="pct"/>
                  <w:noWrap w:val="0"/>
                  <w:vAlign w:val="center"/>
                </w:tcPr>
                <w:p w14:paraId="20CC8931">
                  <w:pPr>
                    <w:pStyle w:val="29"/>
                    <w:tabs>
                      <w:tab w:val="left" w:pos="5327"/>
                      <w:tab w:val="left" w:pos="6326"/>
                      <w:tab w:val="left" w:pos="7230"/>
                      <w:tab w:val="left" w:pos="9301"/>
                    </w:tabs>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40.58</w:t>
                  </w:r>
                </w:p>
              </w:tc>
            </w:tr>
            <w:tr w14:paraId="0C5338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588" w:type="pct"/>
                  <w:noWrap w:val="0"/>
                  <w:vAlign w:val="center"/>
                </w:tcPr>
                <w:p w14:paraId="4E118C72">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设备润滑</w:t>
                  </w:r>
                </w:p>
              </w:tc>
              <w:tc>
                <w:tcPr>
                  <w:tcW w:w="580" w:type="pct"/>
                  <w:noWrap w:val="0"/>
                  <w:vAlign w:val="center"/>
                </w:tcPr>
                <w:p w14:paraId="7E7C547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废润滑油</w:t>
                  </w:r>
                </w:p>
              </w:tc>
              <w:tc>
                <w:tcPr>
                  <w:tcW w:w="631" w:type="pct"/>
                  <w:noWrap w:val="0"/>
                  <w:vAlign w:val="center"/>
                </w:tcPr>
                <w:p w14:paraId="5E5E6008">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HW08</w:t>
                  </w:r>
                </w:p>
                <w:p w14:paraId="6FB2FB5A">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900-217-08</w:t>
                  </w:r>
                </w:p>
              </w:tc>
              <w:tc>
                <w:tcPr>
                  <w:tcW w:w="425" w:type="pct"/>
                  <w:noWrap w:val="0"/>
                  <w:vAlign w:val="center"/>
                </w:tcPr>
                <w:p w14:paraId="12C5874B">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危废</w:t>
                  </w:r>
                </w:p>
              </w:tc>
              <w:tc>
                <w:tcPr>
                  <w:tcW w:w="296" w:type="pct"/>
                  <w:noWrap w:val="0"/>
                  <w:vAlign w:val="center"/>
                </w:tcPr>
                <w:p w14:paraId="28478F84">
                  <w:pPr>
                    <w:spacing w:line="240" w:lineRule="auto"/>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固态</w:t>
                  </w:r>
                </w:p>
              </w:tc>
              <w:tc>
                <w:tcPr>
                  <w:tcW w:w="296" w:type="pct"/>
                  <w:noWrap w:val="0"/>
                  <w:vAlign w:val="center"/>
                </w:tcPr>
                <w:p w14:paraId="76912499">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T，I</w:t>
                  </w:r>
                </w:p>
              </w:tc>
              <w:tc>
                <w:tcPr>
                  <w:tcW w:w="395" w:type="pct"/>
                  <w:noWrap w:val="0"/>
                  <w:vAlign w:val="center"/>
                </w:tcPr>
                <w:p w14:paraId="304110A9">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0.45</w:t>
                  </w:r>
                </w:p>
              </w:tc>
              <w:tc>
                <w:tcPr>
                  <w:tcW w:w="561" w:type="pct"/>
                  <w:noWrap w:val="0"/>
                  <w:vAlign w:val="center"/>
                </w:tcPr>
                <w:p w14:paraId="2830BD59">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收集桶收集后，暂存于</w:t>
                  </w:r>
                  <w:r>
                    <w:rPr>
                      <w:rFonts w:hint="eastAsia" w:cs="Times New Roman"/>
                      <w:color w:val="auto"/>
                      <w:sz w:val="18"/>
                      <w:szCs w:val="18"/>
                      <w:lang w:val="en-US" w:eastAsia="zh-CN"/>
                    </w:rPr>
                    <w:t>仙福公司现有危险废物贮库</w:t>
                  </w:r>
                </w:p>
              </w:tc>
              <w:tc>
                <w:tcPr>
                  <w:tcW w:w="833" w:type="pct"/>
                  <w:noWrap w:val="0"/>
                  <w:vAlign w:val="center"/>
                </w:tcPr>
                <w:p w14:paraId="4870E637">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委托有资质单位清运处置</w:t>
                  </w:r>
                </w:p>
              </w:tc>
              <w:tc>
                <w:tcPr>
                  <w:tcW w:w="390" w:type="pct"/>
                  <w:noWrap w:val="0"/>
                  <w:vAlign w:val="center"/>
                </w:tcPr>
                <w:p w14:paraId="39C6B075">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0.45</w:t>
                  </w:r>
                </w:p>
              </w:tc>
            </w:tr>
            <w:tr w14:paraId="0480ADA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588" w:type="pct"/>
                  <w:noWrap w:val="0"/>
                  <w:vAlign w:val="center"/>
                </w:tcPr>
                <w:p w14:paraId="1D0D1630">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危化品储存</w:t>
                  </w:r>
                </w:p>
              </w:tc>
              <w:tc>
                <w:tcPr>
                  <w:tcW w:w="580" w:type="pct"/>
                  <w:noWrap w:val="0"/>
                  <w:vAlign w:val="center"/>
                </w:tcPr>
                <w:p w14:paraId="3530720A">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废危化品包装桶</w:t>
                  </w:r>
                </w:p>
              </w:tc>
              <w:tc>
                <w:tcPr>
                  <w:tcW w:w="631" w:type="pct"/>
                  <w:noWrap w:val="0"/>
                  <w:vAlign w:val="center"/>
                </w:tcPr>
                <w:p w14:paraId="0D2396D0">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HW49</w:t>
                  </w:r>
                </w:p>
                <w:p w14:paraId="75B7C691">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900-041-49</w:t>
                  </w:r>
                </w:p>
              </w:tc>
              <w:tc>
                <w:tcPr>
                  <w:tcW w:w="425" w:type="pct"/>
                  <w:noWrap w:val="0"/>
                  <w:vAlign w:val="center"/>
                </w:tcPr>
                <w:p w14:paraId="1C017F27">
                  <w:pPr>
                    <w:pStyle w:val="29"/>
                    <w:tabs>
                      <w:tab w:val="left" w:pos="5327"/>
                      <w:tab w:val="left" w:pos="6326"/>
                      <w:tab w:val="left" w:pos="7230"/>
                      <w:tab w:val="left" w:pos="9301"/>
                    </w:tabs>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危废</w:t>
                  </w:r>
                </w:p>
              </w:tc>
              <w:tc>
                <w:tcPr>
                  <w:tcW w:w="296" w:type="pct"/>
                  <w:noWrap w:val="0"/>
                  <w:vAlign w:val="center"/>
                </w:tcPr>
                <w:p w14:paraId="41CED47E">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液态或半固态</w:t>
                  </w:r>
                </w:p>
              </w:tc>
              <w:tc>
                <w:tcPr>
                  <w:tcW w:w="296" w:type="pct"/>
                  <w:noWrap w:val="0"/>
                  <w:vAlign w:val="center"/>
                </w:tcPr>
                <w:p w14:paraId="12EF2085">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T/In</w:t>
                  </w:r>
                </w:p>
              </w:tc>
              <w:tc>
                <w:tcPr>
                  <w:tcW w:w="395" w:type="pct"/>
                  <w:noWrap w:val="0"/>
                  <w:vAlign w:val="center"/>
                </w:tcPr>
                <w:p w14:paraId="6F6B4060">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c>
                <w:tcPr>
                  <w:tcW w:w="561" w:type="pct"/>
                  <w:noWrap w:val="0"/>
                  <w:vAlign w:val="center"/>
                </w:tcPr>
                <w:p w14:paraId="7DE08A29">
                  <w:pPr>
                    <w:jc w:val="center"/>
                    <w:rPr>
                      <w:rFonts w:hint="default" w:ascii="Times New Roman" w:hAnsi="Times New Roman" w:eastAsia="宋体" w:cs="Times New Roman"/>
                      <w:bCs/>
                      <w:color w:val="auto"/>
                      <w:sz w:val="18"/>
                      <w:szCs w:val="18"/>
                      <w:lang w:val="en-US"/>
                    </w:rPr>
                  </w:pPr>
                  <w:r>
                    <w:rPr>
                      <w:rFonts w:hint="eastAsia" w:ascii="Times New Roman" w:hAnsi="Times New Roman" w:eastAsia="宋体" w:cs="Times New Roman"/>
                      <w:bCs/>
                      <w:color w:val="auto"/>
                      <w:sz w:val="18"/>
                      <w:szCs w:val="18"/>
                      <w:lang w:val="en-US" w:eastAsia="zh-CN"/>
                    </w:rPr>
                    <w:t>暂存于</w:t>
                  </w:r>
                  <w:r>
                    <w:rPr>
                      <w:rFonts w:hint="eastAsia" w:cs="Times New Roman"/>
                      <w:bCs/>
                      <w:color w:val="auto"/>
                      <w:sz w:val="18"/>
                      <w:szCs w:val="18"/>
                      <w:lang w:val="en-US" w:eastAsia="zh-CN"/>
                    </w:rPr>
                    <w:t>仙福公司现有危险废物贮存库</w:t>
                  </w:r>
                </w:p>
              </w:tc>
              <w:tc>
                <w:tcPr>
                  <w:tcW w:w="833" w:type="pct"/>
                  <w:noWrap w:val="0"/>
                  <w:vAlign w:val="center"/>
                </w:tcPr>
                <w:p w14:paraId="1F071DDC">
                  <w:pPr>
                    <w:jc w:val="center"/>
                    <w:rPr>
                      <w:rFonts w:hint="default" w:ascii="Times New Roman" w:hAnsi="Times New Roman" w:eastAsia="宋体" w:cs="Times New Roman"/>
                      <w:bCs/>
                      <w:color w:val="auto"/>
                      <w:sz w:val="18"/>
                      <w:szCs w:val="18"/>
                    </w:rPr>
                  </w:pPr>
                  <w:r>
                    <w:rPr>
                      <w:rFonts w:hint="eastAsia" w:ascii="Times New Roman" w:hAnsi="Times New Roman" w:eastAsia="宋体" w:cs="Times New Roman"/>
                      <w:color w:val="auto"/>
                      <w:sz w:val="18"/>
                      <w:szCs w:val="18"/>
                      <w:lang w:val="en-US" w:eastAsia="zh-CN"/>
                    </w:rPr>
                    <w:t>委托有资质单位清运处置</w:t>
                  </w:r>
                </w:p>
              </w:tc>
              <w:tc>
                <w:tcPr>
                  <w:tcW w:w="390" w:type="pct"/>
                  <w:noWrap w:val="0"/>
                  <w:vAlign w:val="center"/>
                </w:tcPr>
                <w:p w14:paraId="34A4812B">
                  <w:pPr>
                    <w:pStyle w:val="29"/>
                    <w:tabs>
                      <w:tab w:val="left" w:pos="5327"/>
                      <w:tab w:val="left" w:pos="6326"/>
                      <w:tab w:val="left" w:pos="7230"/>
                      <w:tab w:val="left" w:pos="9301"/>
                    </w:tabs>
                    <w:spacing w:line="240" w:lineRule="auto"/>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2.5</w:t>
                  </w:r>
                </w:p>
              </w:tc>
            </w:tr>
          </w:tbl>
          <w:p w14:paraId="7D5A23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综上所述，在采取以上措施后，项目固体废物去向明确，处置合理，不会造成二次污染。</w:t>
            </w:r>
          </w:p>
          <w:p w14:paraId="5067F7A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b/>
                <w:bCs/>
                <w:sz w:val="24"/>
                <w:szCs w:val="24"/>
                <w:lang w:val="en-US" w:eastAsia="zh-CN"/>
              </w:rPr>
            </w:pPr>
            <w:r>
              <w:rPr>
                <w:rFonts w:hint="eastAsia"/>
                <w:b/>
                <w:bCs/>
                <w:sz w:val="24"/>
                <w:szCs w:val="24"/>
                <w:lang w:val="en-US" w:eastAsia="zh-CN"/>
              </w:rPr>
              <w:t>4.8.2环境管理要求</w:t>
            </w:r>
          </w:p>
          <w:p w14:paraId="1205194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危险废物贮存库</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color w:val="000000"/>
                <w:kern w:val="0"/>
                <w:sz w:val="24"/>
                <w:szCs w:val="24"/>
                <w:lang w:val="en-US" w:eastAsia="zh-CN" w:bidi="ar"/>
              </w:rPr>
              <w:t>本项目依托仙福公司已</w:t>
            </w:r>
            <w:r>
              <w:rPr>
                <w:rFonts w:hint="eastAsia" w:cs="Times New Roman"/>
                <w:color w:val="000000"/>
                <w:kern w:val="0"/>
                <w:sz w:val="24"/>
                <w:szCs w:val="24"/>
                <w:lang w:val="en-US" w:eastAsia="zh-CN" w:bidi="ar"/>
              </w:rPr>
              <w:t>建设</w:t>
            </w:r>
            <w:r>
              <w:rPr>
                <w:rFonts w:hint="default" w:ascii="Times New Roman" w:hAnsi="Times New Roman" w:eastAsia="宋体" w:cs="Times New Roman"/>
                <w:color w:val="000000"/>
                <w:kern w:val="0"/>
                <w:sz w:val="24"/>
                <w:szCs w:val="24"/>
                <w:lang w:val="en-US" w:eastAsia="zh-CN" w:bidi="ar"/>
              </w:rPr>
              <w:t>规范的</w:t>
            </w:r>
            <w:r>
              <w:rPr>
                <w:rFonts w:hint="eastAsia" w:cs="Times New Roman"/>
                <w:color w:val="000000"/>
                <w:kern w:val="0"/>
                <w:sz w:val="24"/>
                <w:szCs w:val="24"/>
                <w:lang w:val="en-US" w:eastAsia="zh-CN" w:bidi="ar"/>
              </w:rPr>
              <w:t>危险废物贮存库</w:t>
            </w:r>
            <w:r>
              <w:rPr>
                <w:rFonts w:hint="default" w:ascii="Times New Roman" w:hAnsi="Times New Roman" w:eastAsia="宋体" w:cs="Times New Roman"/>
                <w:color w:val="000000"/>
                <w:kern w:val="0"/>
                <w:sz w:val="24"/>
                <w:szCs w:val="24"/>
                <w:lang w:val="en-US" w:eastAsia="zh-CN" w:bidi="ar"/>
              </w:rPr>
              <w:t>，现有</w:t>
            </w:r>
            <w:r>
              <w:rPr>
                <w:rFonts w:hint="eastAsia" w:cs="Times New Roman"/>
                <w:color w:val="000000"/>
                <w:kern w:val="0"/>
                <w:sz w:val="24"/>
                <w:szCs w:val="24"/>
                <w:lang w:val="en-US" w:eastAsia="zh-CN" w:bidi="ar"/>
              </w:rPr>
              <w:t>危险废物贮存库</w:t>
            </w:r>
            <w:r>
              <w:rPr>
                <w:rFonts w:hint="default" w:ascii="Times New Roman" w:hAnsi="Times New Roman" w:eastAsia="宋体" w:cs="Times New Roman"/>
                <w:color w:val="000000"/>
                <w:kern w:val="0"/>
                <w:sz w:val="24"/>
                <w:szCs w:val="24"/>
                <w:lang w:val="en-US" w:eastAsia="zh-CN" w:bidi="ar"/>
              </w:rPr>
              <w:t>内存放的危险废物主要是</w:t>
            </w:r>
            <w:r>
              <w:rPr>
                <w:rFonts w:hint="eastAsia" w:cs="Times New Roman"/>
                <w:color w:val="000000"/>
                <w:kern w:val="0"/>
                <w:sz w:val="24"/>
                <w:szCs w:val="24"/>
                <w:lang w:val="en-US" w:eastAsia="zh-CN" w:bidi="ar"/>
              </w:rPr>
              <w:t>废润滑油</w:t>
            </w:r>
            <w:r>
              <w:rPr>
                <w:rFonts w:hint="default" w:ascii="Times New Roman" w:hAnsi="Times New Roman" w:eastAsia="宋体" w:cs="Times New Roman"/>
                <w:color w:val="000000"/>
                <w:kern w:val="0"/>
                <w:sz w:val="24"/>
                <w:szCs w:val="24"/>
                <w:lang w:val="en-US" w:eastAsia="zh-CN" w:bidi="ar"/>
              </w:rPr>
              <w:t>，由带盖</w:t>
            </w:r>
            <w:r>
              <w:rPr>
                <w:rFonts w:hint="eastAsia" w:cs="Times New Roman"/>
                <w:color w:val="000000"/>
                <w:kern w:val="0"/>
                <w:sz w:val="24"/>
                <w:szCs w:val="24"/>
                <w:lang w:val="en-US" w:eastAsia="zh-CN" w:bidi="ar"/>
              </w:rPr>
              <w:t>废润滑油</w:t>
            </w:r>
            <w:r>
              <w:rPr>
                <w:rFonts w:hint="default" w:ascii="Times New Roman" w:hAnsi="Times New Roman" w:eastAsia="宋体" w:cs="Times New Roman"/>
                <w:color w:val="000000"/>
                <w:kern w:val="0"/>
                <w:sz w:val="24"/>
                <w:szCs w:val="24"/>
                <w:lang w:val="en-US" w:eastAsia="zh-CN" w:bidi="ar"/>
              </w:rPr>
              <w:t>桶密封收集暂存，并设置有危废管理台账和转移联单、标识标牌，</w:t>
            </w:r>
            <w:r>
              <w:rPr>
                <w:rFonts w:hint="eastAsia" w:cs="Times New Roman"/>
                <w:color w:val="000000"/>
                <w:kern w:val="0"/>
                <w:sz w:val="24"/>
                <w:szCs w:val="24"/>
                <w:lang w:val="en-US" w:eastAsia="zh-CN" w:bidi="ar"/>
              </w:rPr>
              <w:t>危险废物贮存库</w:t>
            </w:r>
            <w:r>
              <w:rPr>
                <w:rFonts w:hint="default" w:ascii="Times New Roman" w:hAnsi="Times New Roman" w:eastAsia="宋体" w:cs="Times New Roman"/>
                <w:color w:val="000000"/>
                <w:kern w:val="0"/>
                <w:sz w:val="24"/>
                <w:szCs w:val="24"/>
                <w:lang w:val="en-US" w:eastAsia="zh-CN" w:bidi="ar"/>
              </w:rPr>
              <w:t>已按要求进行重点防渗处理，地面与裙脚用坚固、耐腐蚀和防渗材料建造，表面未出现裂隙，建筑材料能够与危险废物相容；配备有液体泄漏收集装置和安全照明设施和观察窗口等；危废间外张贴有危险废物识别标志，车间内设置导流槽、集液池，车间外设置消防沙等，满足《危险废物贮存污染控制标准》（GB18597—2023）要求。</w:t>
            </w:r>
          </w:p>
          <w:p w14:paraId="5EA895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综上，运营期固体废物可做到资源化、无害化处置，处置率100%，对外环境影响较小。</w:t>
            </w:r>
          </w:p>
          <w:p w14:paraId="60DA488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b/>
                <w:bCs/>
                <w:sz w:val="24"/>
                <w:szCs w:val="24"/>
                <w:lang w:val="en-US" w:eastAsia="zh-CN"/>
              </w:rPr>
            </w:pPr>
            <w:r>
              <w:rPr>
                <w:rFonts w:hint="eastAsia"/>
                <w:b/>
                <w:bCs/>
                <w:sz w:val="24"/>
                <w:szCs w:val="24"/>
                <w:lang w:val="en-US" w:eastAsia="zh-CN"/>
              </w:rPr>
              <w:t>4.9地下水土壤环境</w:t>
            </w:r>
          </w:p>
          <w:p w14:paraId="47378C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事故状态下，污水处理站池底、池壁防渗层破裂或污水管道破损，未及时发现，生产废水未经有效处理，泄漏渗透进入地下水；油品仓库</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危</w:t>
            </w:r>
            <w:r>
              <w:rPr>
                <w:rFonts w:hint="eastAsia" w:cs="Times New Roman"/>
                <w:color w:val="000000"/>
                <w:kern w:val="0"/>
                <w:sz w:val="24"/>
                <w:szCs w:val="24"/>
                <w:lang w:val="en-US" w:eastAsia="zh-CN" w:bidi="ar"/>
              </w:rPr>
              <w:t>危险废物贮存库废润滑油</w:t>
            </w:r>
            <w:r>
              <w:rPr>
                <w:rFonts w:hint="eastAsia" w:ascii="Times New Roman" w:hAnsi="Times New Roman" w:eastAsia="宋体" w:cs="Times New Roman"/>
                <w:color w:val="000000"/>
                <w:kern w:val="0"/>
                <w:sz w:val="24"/>
                <w:szCs w:val="24"/>
                <w:lang w:val="en-US" w:eastAsia="zh-CN" w:bidi="ar"/>
              </w:rPr>
              <w:t>发生泄漏渗透进入地下水；随着时间的推移，污染物的下渗量不断增加，对地下水的影响范围也</w:t>
            </w:r>
            <w:r>
              <w:rPr>
                <w:rFonts w:hint="eastAsia" w:cs="Times New Roman"/>
                <w:color w:val="000000"/>
                <w:kern w:val="0"/>
                <w:sz w:val="24"/>
                <w:szCs w:val="24"/>
                <w:lang w:val="en-US" w:eastAsia="zh-CN" w:bidi="ar"/>
              </w:rPr>
              <w:t>随之</w:t>
            </w:r>
            <w:r>
              <w:rPr>
                <w:rFonts w:hint="eastAsia" w:ascii="Times New Roman" w:hAnsi="Times New Roman" w:eastAsia="宋体" w:cs="Times New Roman"/>
                <w:color w:val="000000"/>
                <w:kern w:val="0"/>
                <w:sz w:val="24"/>
                <w:szCs w:val="24"/>
                <w:lang w:val="en-US" w:eastAsia="zh-CN" w:bidi="ar"/>
              </w:rPr>
              <w:t>增加。其中，污水处理站、</w:t>
            </w:r>
            <w:r>
              <w:rPr>
                <w:rFonts w:hint="eastAsia" w:cs="Times New Roman"/>
                <w:color w:val="000000"/>
                <w:kern w:val="0"/>
                <w:sz w:val="24"/>
                <w:szCs w:val="24"/>
                <w:lang w:val="en-US" w:eastAsia="zh-CN" w:bidi="ar"/>
              </w:rPr>
              <w:t>危险废物贮存库</w:t>
            </w:r>
            <w:r>
              <w:rPr>
                <w:rFonts w:hint="eastAsia" w:ascii="Times New Roman" w:hAnsi="Times New Roman" w:eastAsia="宋体" w:cs="Times New Roman"/>
                <w:color w:val="000000"/>
                <w:kern w:val="0"/>
                <w:sz w:val="24"/>
                <w:szCs w:val="24"/>
                <w:lang w:val="en-US" w:eastAsia="zh-CN" w:bidi="ar"/>
              </w:rPr>
              <w:t>依托</w:t>
            </w:r>
            <w:r>
              <w:rPr>
                <w:rFonts w:hint="eastAsia" w:cs="Times New Roman"/>
                <w:color w:val="000000"/>
                <w:kern w:val="0"/>
                <w:sz w:val="24"/>
                <w:szCs w:val="24"/>
                <w:lang w:val="en-US" w:eastAsia="zh-CN" w:bidi="ar"/>
              </w:rPr>
              <w:t>仙福公司现有</w:t>
            </w:r>
            <w:r>
              <w:rPr>
                <w:rFonts w:hint="eastAsia" w:ascii="Times New Roman" w:hAnsi="Times New Roman" w:eastAsia="宋体" w:cs="Times New Roman"/>
                <w:color w:val="000000"/>
                <w:kern w:val="0"/>
                <w:sz w:val="24"/>
                <w:szCs w:val="24"/>
                <w:lang w:val="en-US" w:eastAsia="zh-CN" w:bidi="ar"/>
              </w:rPr>
              <w:t>，各设施均按防渗要求建设并通过自主竣工验收，根据向业主方咨询及现场踏勘，污水处理站池底、池壁防渗层无跑冒滴漏等现象，建设方已安排专人定期对污水处理设施、污水管道、</w:t>
            </w:r>
            <w:r>
              <w:rPr>
                <w:rFonts w:hint="eastAsia" w:cs="Times New Roman"/>
                <w:color w:val="000000"/>
                <w:kern w:val="0"/>
                <w:sz w:val="24"/>
                <w:szCs w:val="24"/>
                <w:lang w:val="en-US" w:eastAsia="zh-CN" w:bidi="ar"/>
              </w:rPr>
              <w:t>危险废物贮存库</w:t>
            </w:r>
            <w:r>
              <w:rPr>
                <w:rFonts w:hint="eastAsia" w:ascii="Times New Roman" w:hAnsi="Times New Roman" w:eastAsia="宋体" w:cs="Times New Roman"/>
                <w:color w:val="000000"/>
                <w:kern w:val="0"/>
                <w:sz w:val="24"/>
                <w:szCs w:val="24"/>
                <w:lang w:val="en-US" w:eastAsia="zh-CN" w:bidi="ar"/>
              </w:rPr>
              <w:t>进行巡检、调节、保养、维修。因此，</w:t>
            </w:r>
            <w:r>
              <w:rPr>
                <w:rFonts w:hint="eastAsia" w:cs="Times New Roman"/>
                <w:color w:val="000000"/>
                <w:kern w:val="0"/>
                <w:sz w:val="24"/>
                <w:szCs w:val="24"/>
                <w:lang w:val="en-US" w:eastAsia="zh-CN" w:bidi="ar"/>
              </w:rPr>
              <w:t>本次针对储罐区</w:t>
            </w:r>
            <w:r>
              <w:rPr>
                <w:rFonts w:hint="eastAsia" w:ascii="Times New Roman" w:hAnsi="Times New Roman" w:eastAsia="宋体" w:cs="Times New Roman"/>
                <w:color w:val="000000"/>
                <w:kern w:val="0"/>
                <w:sz w:val="24"/>
                <w:szCs w:val="24"/>
                <w:lang w:val="en-US" w:eastAsia="zh-CN" w:bidi="ar"/>
              </w:rPr>
              <w:t>环评提出如下措施：</w:t>
            </w:r>
          </w:p>
          <w:p w14:paraId="328299F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b/>
                <w:bCs/>
                <w:sz w:val="24"/>
                <w:szCs w:val="24"/>
                <w:lang w:val="en-US" w:eastAsia="zh-CN"/>
              </w:rPr>
            </w:pPr>
            <w:r>
              <w:rPr>
                <w:rFonts w:hint="eastAsia"/>
                <w:b/>
                <w:bCs/>
                <w:sz w:val="24"/>
                <w:szCs w:val="24"/>
                <w:lang w:val="en-US" w:eastAsia="zh-CN"/>
              </w:rPr>
              <w:t>4.9.1源头控制措施</w:t>
            </w:r>
          </w:p>
          <w:p w14:paraId="1BB10B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定期进行巡检、调节、保养、维修，及时发现可能引起事故的异常运行苗头，消除事故隐患，将污染物跑、冒、滴、漏降到最低限度。</w:t>
            </w:r>
          </w:p>
          <w:p w14:paraId="4F1F061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lang w:val="en-US" w:eastAsia="zh-CN"/>
              </w:rPr>
              <w:t>分区防渗措施</w:t>
            </w:r>
          </w:p>
          <w:p w14:paraId="268615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项目按照《地下水环境影响评价导则》（</w:t>
            </w:r>
            <w:r>
              <w:rPr>
                <w:rFonts w:hint="default" w:ascii="Times New Roman" w:hAnsi="Times New Roman" w:eastAsia="宋体" w:cs="Times New Roman"/>
                <w:color w:val="000000"/>
                <w:kern w:val="0"/>
                <w:sz w:val="24"/>
                <w:szCs w:val="24"/>
                <w:lang w:val="en-US" w:eastAsia="zh-CN" w:bidi="ar"/>
              </w:rPr>
              <w:t>HJ610-2016</w:t>
            </w:r>
            <w:r>
              <w:rPr>
                <w:rFonts w:hint="eastAsia" w:ascii="Times New Roman" w:hAnsi="Times New Roman" w:eastAsia="宋体" w:cs="Times New Roman"/>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7</w:t>
            </w:r>
            <w:r>
              <w:rPr>
                <w:rFonts w:hint="eastAsia" w:ascii="Times New Roman" w:hAnsi="Times New Roman" w:eastAsia="宋体" w:cs="Times New Roman"/>
                <w:color w:val="000000"/>
                <w:kern w:val="0"/>
                <w:sz w:val="24"/>
                <w:szCs w:val="24"/>
                <w:lang w:val="en-US" w:eastAsia="zh-CN" w:bidi="ar"/>
              </w:rPr>
              <w:t>规定要求实施分区防渗，将场地划分为重点防渗区、一般防渗区和简单防渗区，分区情况及防渗要求详见下表。</w:t>
            </w:r>
          </w:p>
          <w:p w14:paraId="17F68A1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表4-16本项目分区防渗及要求</w:t>
            </w:r>
          </w:p>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2143"/>
              <w:gridCol w:w="2839"/>
              <w:gridCol w:w="1336"/>
            </w:tblGrid>
            <w:tr w14:paraId="37B9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Borders>
                    <w:left w:val="nil"/>
                  </w:tcBorders>
                  <w:vAlign w:val="center"/>
                </w:tcPr>
                <w:p w14:paraId="5DCDAD13">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防渗分区</w:t>
                  </w:r>
                </w:p>
              </w:tc>
              <w:tc>
                <w:tcPr>
                  <w:tcW w:w="2143" w:type="dxa"/>
                  <w:vAlign w:val="center"/>
                </w:tcPr>
                <w:p w14:paraId="5B99C059">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项目构筑物及设施名称</w:t>
                  </w:r>
                </w:p>
              </w:tc>
              <w:tc>
                <w:tcPr>
                  <w:tcW w:w="2839" w:type="dxa"/>
                  <w:vAlign w:val="center"/>
                </w:tcPr>
                <w:p w14:paraId="0A9A990A">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防渗技术要求</w:t>
                  </w:r>
                </w:p>
              </w:tc>
              <w:tc>
                <w:tcPr>
                  <w:tcW w:w="1336" w:type="dxa"/>
                  <w:tcBorders>
                    <w:right w:val="nil"/>
                  </w:tcBorders>
                  <w:vAlign w:val="center"/>
                </w:tcPr>
                <w:p w14:paraId="20B5A3F0">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备注</w:t>
                  </w:r>
                </w:p>
              </w:tc>
            </w:tr>
            <w:tr w14:paraId="2757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restart"/>
                  <w:tcBorders>
                    <w:left w:val="nil"/>
                  </w:tcBorders>
                  <w:vAlign w:val="center"/>
                </w:tcPr>
                <w:p w14:paraId="2CCD77DC">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重点防渗区</w:t>
                  </w:r>
                </w:p>
              </w:tc>
              <w:tc>
                <w:tcPr>
                  <w:tcW w:w="2143" w:type="dxa"/>
                  <w:vAlign w:val="center"/>
                </w:tcPr>
                <w:p w14:paraId="53BDDD4B">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污水处理设施</w:t>
                  </w:r>
                </w:p>
              </w:tc>
              <w:tc>
                <w:tcPr>
                  <w:tcW w:w="2839" w:type="dxa"/>
                  <w:vMerge w:val="restart"/>
                  <w:vAlign w:val="center"/>
                </w:tcPr>
                <w:p w14:paraId="648F9FCB">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宋体" w:hAnsi="宋体" w:eastAsia="宋体" w:cs="宋体"/>
                      <w:color w:val="000000"/>
                      <w:kern w:val="0"/>
                      <w:sz w:val="18"/>
                      <w:szCs w:val="18"/>
                      <w:lang w:val="en-US" w:eastAsia="zh-CN" w:bidi="ar"/>
                    </w:rPr>
                    <w:t>等效粘土防渗层</w:t>
                  </w:r>
                  <w:r>
                    <w:rPr>
                      <w:rFonts w:hint="default" w:ascii="Times New Roman" w:hAnsi="Times New Roman" w:eastAsia="宋体" w:cs="Times New Roman"/>
                      <w:color w:val="000000"/>
                      <w:kern w:val="0"/>
                      <w:sz w:val="18"/>
                      <w:szCs w:val="18"/>
                      <w:lang w:val="en-US" w:eastAsia="zh-CN" w:bidi="ar"/>
                    </w:rPr>
                    <w:t>Mb</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6.0m</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K</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Times New Roman"/>
                      <w:color w:val="000000"/>
                      <w:kern w:val="0"/>
                      <w:sz w:val="18"/>
                      <w:szCs w:val="18"/>
                      <w:vertAlign w:val="superscript"/>
                      <w:lang w:val="en-US" w:eastAsia="zh-CN" w:bidi="ar"/>
                    </w:rPr>
                    <w:t>-7</w:t>
                  </w:r>
                  <w:r>
                    <w:rPr>
                      <w:rFonts w:hint="default" w:ascii="Times New Roman" w:hAnsi="Times New Roman" w:eastAsia="宋体" w:cs="Times New Roman"/>
                      <w:color w:val="000000"/>
                      <w:kern w:val="0"/>
                      <w:sz w:val="18"/>
                      <w:szCs w:val="18"/>
                      <w:lang w:val="en-US" w:eastAsia="zh-CN" w:bidi="ar"/>
                    </w:rPr>
                    <w:t>cm/s</w:t>
                  </w:r>
                </w:p>
              </w:tc>
              <w:tc>
                <w:tcPr>
                  <w:tcW w:w="1336" w:type="dxa"/>
                  <w:tcBorders>
                    <w:right w:val="nil"/>
                  </w:tcBorders>
                  <w:vAlign w:val="center"/>
                </w:tcPr>
                <w:p w14:paraId="6A0EB5B6">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已按要求建设</w:t>
                  </w:r>
                </w:p>
              </w:tc>
            </w:tr>
            <w:tr w14:paraId="0A7D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Borders>
                    <w:left w:val="nil"/>
                  </w:tcBorders>
                  <w:vAlign w:val="center"/>
                </w:tcPr>
                <w:p w14:paraId="568B09ED">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2143" w:type="dxa"/>
                  <w:vAlign w:val="center"/>
                </w:tcPr>
                <w:p w14:paraId="2360B016">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危险废物贮存库</w:t>
                  </w:r>
                </w:p>
              </w:tc>
              <w:tc>
                <w:tcPr>
                  <w:tcW w:w="2839" w:type="dxa"/>
                  <w:vMerge w:val="continue"/>
                  <w:vAlign w:val="center"/>
                </w:tcPr>
                <w:p w14:paraId="67C89F0A">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1336" w:type="dxa"/>
                  <w:tcBorders>
                    <w:right w:val="nil"/>
                  </w:tcBorders>
                  <w:vAlign w:val="center"/>
                </w:tcPr>
                <w:p w14:paraId="507C7AE8">
                  <w:pPr>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已按要求建设</w:t>
                  </w:r>
                </w:p>
              </w:tc>
            </w:tr>
            <w:tr w14:paraId="13B3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Borders>
                    <w:left w:val="nil"/>
                  </w:tcBorders>
                  <w:vAlign w:val="center"/>
                </w:tcPr>
                <w:p w14:paraId="55BDB148">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2143" w:type="dxa"/>
                  <w:vAlign w:val="center"/>
                </w:tcPr>
                <w:p w14:paraId="2FA362E9">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油品仓库</w:t>
                  </w:r>
                </w:p>
              </w:tc>
              <w:tc>
                <w:tcPr>
                  <w:tcW w:w="2839" w:type="dxa"/>
                  <w:vMerge w:val="continue"/>
                  <w:vAlign w:val="center"/>
                </w:tcPr>
                <w:p w14:paraId="4499819D">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1336" w:type="dxa"/>
                  <w:tcBorders>
                    <w:right w:val="nil"/>
                  </w:tcBorders>
                  <w:vAlign w:val="center"/>
                </w:tcPr>
                <w:p w14:paraId="3C2B6D5A">
                  <w:pPr>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已按要求建设</w:t>
                  </w:r>
                </w:p>
              </w:tc>
            </w:tr>
            <w:tr w14:paraId="42B2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Borders>
                    <w:left w:val="nil"/>
                  </w:tcBorders>
                  <w:vAlign w:val="center"/>
                </w:tcPr>
                <w:p w14:paraId="447161FB">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2143" w:type="dxa"/>
                  <w:vAlign w:val="center"/>
                </w:tcPr>
                <w:p w14:paraId="54B35D00">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氨水</w:t>
                  </w:r>
                  <w:r>
                    <w:rPr>
                      <w:rFonts w:hint="eastAsia" w:ascii="Times New Roman" w:hAnsi="Times New Roman" w:eastAsia="宋体" w:cs="Times New Roman"/>
                      <w:color w:val="auto"/>
                      <w:sz w:val="18"/>
                      <w:szCs w:val="18"/>
                      <w:lang w:val="en-US" w:eastAsia="zh-CN"/>
                    </w:rPr>
                    <w:t>储罐区</w:t>
                  </w:r>
                </w:p>
              </w:tc>
              <w:tc>
                <w:tcPr>
                  <w:tcW w:w="2839" w:type="dxa"/>
                  <w:vMerge w:val="continue"/>
                  <w:vAlign w:val="center"/>
                </w:tcPr>
                <w:p w14:paraId="1C56105C">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1336" w:type="dxa"/>
                  <w:tcBorders>
                    <w:right w:val="nil"/>
                  </w:tcBorders>
                  <w:vAlign w:val="center"/>
                </w:tcPr>
                <w:p w14:paraId="2910BDF1">
                  <w:pPr>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165F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Borders>
                    <w:left w:val="nil"/>
                  </w:tcBorders>
                  <w:vAlign w:val="center"/>
                </w:tcPr>
                <w:p w14:paraId="782B3143">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2143" w:type="dxa"/>
                  <w:vAlign w:val="center"/>
                </w:tcPr>
                <w:p w14:paraId="06B88C52">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盐酸储罐区</w:t>
                  </w:r>
                </w:p>
              </w:tc>
              <w:tc>
                <w:tcPr>
                  <w:tcW w:w="2839" w:type="dxa"/>
                  <w:vMerge w:val="continue"/>
                  <w:vAlign w:val="center"/>
                </w:tcPr>
                <w:p w14:paraId="3A47D51B">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p>
              </w:tc>
              <w:tc>
                <w:tcPr>
                  <w:tcW w:w="1336" w:type="dxa"/>
                  <w:tcBorders>
                    <w:right w:val="nil"/>
                  </w:tcBorders>
                  <w:vAlign w:val="center"/>
                </w:tcPr>
                <w:p w14:paraId="50C19EE5">
                  <w:pPr>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7861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Borders>
                    <w:left w:val="nil"/>
                  </w:tcBorders>
                  <w:vAlign w:val="center"/>
                </w:tcPr>
                <w:p w14:paraId="23BDFB2E">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一般防渗区</w:t>
                  </w:r>
                </w:p>
              </w:tc>
              <w:tc>
                <w:tcPr>
                  <w:tcW w:w="2143" w:type="dxa"/>
                  <w:vAlign w:val="center"/>
                </w:tcPr>
                <w:p w14:paraId="11DB6D6B">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除</w:t>
                  </w:r>
                  <w:r>
                    <w:rPr>
                      <w:rFonts w:hint="eastAsia" w:cs="Times New Roman"/>
                      <w:color w:val="auto"/>
                      <w:sz w:val="18"/>
                      <w:szCs w:val="18"/>
                      <w:lang w:val="en-US" w:eastAsia="zh-CN"/>
                    </w:rPr>
                    <w:t>氨水</w:t>
                  </w:r>
                  <w:r>
                    <w:rPr>
                      <w:rFonts w:hint="eastAsia" w:ascii="Times New Roman" w:hAnsi="Times New Roman" w:eastAsia="宋体" w:cs="Times New Roman"/>
                      <w:color w:val="auto"/>
                      <w:sz w:val="18"/>
                      <w:szCs w:val="18"/>
                      <w:lang w:val="en-US" w:eastAsia="zh-CN"/>
                    </w:rPr>
                    <w:t>储罐区、盐酸储罐区以外的生产车间、污水管沟</w:t>
                  </w:r>
                </w:p>
              </w:tc>
              <w:tc>
                <w:tcPr>
                  <w:tcW w:w="2839" w:type="dxa"/>
                  <w:vAlign w:val="center"/>
                </w:tcPr>
                <w:p w14:paraId="1DE0ADB3">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宋体" w:hAnsi="宋体" w:eastAsia="宋体" w:cs="宋体"/>
                      <w:color w:val="000000"/>
                      <w:kern w:val="0"/>
                      <w:sz w:val="18"/>
                      <w:szCs w:val="18"/>
                      <w:lang w:val="en-US" w:eastAsia="zh-CN" w:bidi="ar"/>
                    </w:rPr>
                    <w:t>等效粘土</w:t>
                  </w:r>
                  <w:r>
                    <w:rPr>
                      <w:rFonts w:hint="default" w:ascii="Times New Roman" w:hAnsi="Times New Roman" w:eastAsia="宋体" w:cs="Times New Roman"/>
                      <w:color w:val="000000"/>
                      <w:kern w:val="0"/>
                      <w:sz w:val="18"/>
                      <w:szCs w:val="18"/>
                      <w:lang w:val="en-US" w:eastAsia="zh-CN" w:bidi="ar"/>
                    </w:rPr>
                    <w:t>防渗层Mb≥1.5m，K≤1×10</w:t>
                  </w:r>
                  <w:r>
                    <w:rPr>
                      <w:rFonts w:hint="default" w:ascii="Times New Roman" w:hAnsi="Times New Roman" w:eastAsia="宋体" w:cs="Times New Roman"/>
                      <w:color w:val="000000"/>
                      <w:kern w:val="0"/>
                      <w:sz w:val="18"/>
                      <w:szCs w:val="18"/>
                      <w:vertAlign w:val="superscript"/>
                      <w:lang w:val="en-US" w:eastAsia="zh-CN" w:bidi="ar"/>
                    </w:rPr>
                    <w:t>-7</w:t>
                  </w:r>
                  <w:r>
                    <w:rPr>
                      <w:rFonts w:hint="default" w:ascii="Times New Roman" w:hAnsi="Times New Roman" w:eastAsia="宋体" w:cs="Times New Roman"/>
                      <w:color w:val="000000"/>
                      <w:kern w:val="0"/>
                      <w:sz w:val="18"/>
                      <w:szCs w:val="18"/>
                      <w:lang w:val="en-US" w:eastAsia="zh-CN" w:bidi="ar"/>
                    </w:rPr>
                    <w:t>cm/s</w:t>
                  </w:r>
                </w:p>
              </w:tc>
              <w:tc>
                <w:tcPr>
                  <w:tcW w:w="1336" w:type="dxa"/>
                  <w:tcBorders>
                    <w:right w:val="nil"/>
                  </w:tcBorders>
                  <w:vAlign w:val="center"/>
                </w:tcPr>
                <w:p w14:paraId="090F37EC">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r w14:paraId="44C0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Borders>
                    <w:left w:val="nil"/>
                  </w:tcBorders>
                  <w:vAlign w:val="center"/>
                </w:tcPr>
                <w:p w14:paraId="7C7E4F8F">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简单防渗区</w:t>
                  </w:r>
                </w:p>
              </w:tc>
              <w:tc>
                <w:tcPr>
                  <w:tcW w:w="2143" w:type="dxa"/>
                  <w:vAlign w:val="center"/>
                </w:tcPr>
                <w:p w14:paraId="6BEEAC02">
                  <w:pPr>
                    <w:pStyle w:val="29"/>
                    <w:tabs>
                      <w:tab w:val="left" w:pos="5327"/>
                      <w:tab w:val="left" w:pos="6326"/>
                      <w:tab w:val="left" w:pos="7230"/>
                      <w:tab w:val="left" w:pos="9301"/>
                    </w:tabs>
                    <w:spacing w:line="240" w:lineRule="auto"/>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绿地以外的其他区域</w:t>
                  </w:r>
                </w:p>
              </w:tc>
              <w:tc>
                <w:tcPr>
                  <w:tcW w:w="2839" w:type="dxa"/>
                  <w:vAlign w:val="center"/>
                </w:tcPr>
                <w:p w14:paraId="10A2259E">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一般地面硬化</w:t>
                  </w:r>
                </w:p>
              </w:tc>
              <w:tc>
                <w:tcPr>
                  <w:tcW w:w="1336" w:type="dxa"/>
                  <w:tcBorders>
                    <w:right w:val="nil"/>
                  </w:tcBorders>
                  <w:vAlign w:val="center"/>
                </w:tcPr>
                <w:p w14:paraId="5987A74A">
                  <w:pPr>
                    <w:pStyle w:val="29"/>
                    <w:tabs>
                      <w:tab w:val="left" w:pos="5327"/>
                      <w:tab w:val="left" w:pos="6326"/>
                      <w:tab w:val="left" w:pos="7230"/>
                      <w:tab w:val="left" w:pos="9301"/>
                    </w:tabs>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bl>
          <w:p w14:paraId="09167B9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3日常管理</w:t>
            </w:r>
          </w:p>
          <w:p w14:paraId="5749F5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加强池体的日常巡检，安排专职人员负责环保设施的日常管理，保证废水处理设施、水泵、池体等的正常运转，避免非正常排放，若发生池体破损应及时进行修缮。通过上述措施，项目运营对区域土壤影响较小。</w:t>
            </w:r>
          </w:p>
          <w:p w14:paraId="21EF62D1">
            <w:pPr>
              <w:pStyle w:val="3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生态影响分析</w:t>
            </w:r>
          </w:p>
          <w:p w14:paraId="2545F6EC">
            <w:pPr>
              <w:pStyle w:val="21"/>
              <w:keepLines w:val="0"/>
              <w:pageBreakBefore w:val="0"/>
              <w:widowControl w:val="0"/>
              <w:kinsoku/>
              <w:overflowPunct/>
              <w:autoSpaceDE/>
              <w:autoSpaceDN/>
              <w:bidi w:val="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val="en-US" w:eastAsia="zh-CN"/>
              </w:rPr>
              <w:t>云南新平产业园区绿色钢城片区仙福公司内</w:t>
            </w:r>
            <w:r>
              <w:rPr>
                <w:rFonts w:hint="default" w:ascii="Times New Roman" w:hAnsi="Times New Roman" w:eastAsia="宋体" w:cs="Times New Roman"/>
                <w:color w:val="auto"/>
                <w:sz w:val="24"/>
                <w:szCs w:val="24"/>
              </w:rPr>
              <w:t>，本项目周边开发程度较高，人类活动频繁。项目周边不涉及自然保护区，亦无珍稀、濒危或需要特殊保护的动植物存在，对当地生态环境的影响甚微。项目占地范围内地表均</w:t>
            </w:r>
            <w:r>
              <w:rPr>
                <w:rFonts w:hint="eastAsia" w:ascii="Times New Roman" w:hAnsi="Times New Roman" w:eastAsia="宋体" w:cs="Times New Roman"/>
                <w:color w:val="auto"/>
                <w:sz w:val="24"/>
                <w:szCs w:val="24"/>
                <w:lang w:val="en-US" w:eastAsia="zh-CN"/>
              </w:rPr>
              <w:t>要</w:t>
            </w:r>
            <w:r>
              <w:rPr>
                <w:rFonts w:hint="default" w:ascii="Times New Roman" w:hAnsi="Times New Roman" w:eastAsia="宋体" w:cs="Times New Roman"/>
                <w:color w:val="auto"/>
                <w:sz w:val="24"/>
                <w:szCs w:val="24"/>
              </w:rPr>
              <w:t>进行硬化，并建有厂房，可有效避免水土的流失。</w:t>
            </w:r>
            <w:r>
              <w:rPr>
                <w:rFonts w:hint="default" w:ascii="Times New Roman" w:hAnsi="Times New Roman" w:eastAsia="宋体" w:cs="Times New Roman"/>
                <w:color w:val="auto"/>
                <w:sz w:val="24"/>
                <w:szCs w:val="24"/>
                <w:lang w:val="en-US" w:eastAsia="zh-CN"/>
              </w:rPr>
              <w:t>运营期间</w:t>
            </w:r>
            <w:r>
              <w:rPr>
                <w:rFonts w:hint="default" w:ascii="Times New Roman" w:hAnsi="Times New Roman" w:eastAsia="宋体" w:cs="Times New Roman"/>
                <w:color w:val="auto"/>
                <w:sz w:val="24"/>
                <w:szCs w:val="24"/>
              </w:rPr>
              <w:t>，项目会产生并排放一定量的</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二氧化硫、氮氧化物等大气污染物</w:t>
            </w:r>
            <w:r>
              <w:rPr>
                <w:rFonts w:hint="default" w:ascii="Times New Roman" w:hAnsi="Times New Roman" w:eastAsia="宋体" w:cs="Times New Roman"/>
                <w:color w:val="auto"/>
                <w:sz w:val="24"/>
                <w:szCs w:val="24"/>
              </w:rPr>
              <w:t>，且都能达标排放，对项目周边植物的影响较小，在可接受范围内。</w:t>
            </w:r>
          </w:p>
          <w:p w14:paraId="6EBCB2FB">
            <w:pPr>
              <w:pStyle w:val="3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1环境风险</w:t>
            </w:r>
          </w:p>
          <w:p w14:paraId="6A3169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分析详见环境风险专项评价</w:t>
            </w:r>
            <w:r>
              <w:rPr>
                <w:rFonts w:hint="eastAsia" w:cs="Times New Roman"/>
                <w:color w:val="000000"/>
                <w:kern w:val="0"/>
                <w:sz w:val="24"/>
                <w:szCs w:val="24"/>
                <w:lang w:val="en-US" w:eastAsia="zh-CN" w:bidi="ar"/>
              </w:rPr>
              <w:t>，经计算，本项目Q=7.287，</w:t>
            </w:r>
            <w:r>
              <w:rPr>
                <w:rFonts w:hint="default" w:ascii="Times New Roman" w:hAnsi="Times New Roman" w:eastAsia="宋体" w:cs="Times New Roman"/>
                <w:color w:val="000000"/>
                <w:kern w:val="0"/>
                <w:sz w:val="24"/>
                <w:szCs w:val="24"/>
                <w:lang w:val="en-US" w:eastAsia="zh-CN" w:bidi="ar"/>
              </w:rPr>
              <w:t>本项目危险物质工艺系统危险性等级为</w:t>
            </w:r>
            <w:r>
              <w:rPr>
                <w:rFonts w:hint="eastAsia" w:cs="Times New Roman"/>
                <w:color w:val="000000"/>
                <w:kern w:val="0"/>
                <w:sz w:val="24"/>
                <w:szCs w:val="24"/>
                <w:lang w:val="en-US" w:eastAsia="zh-CN" w:bidi="ar"/>
              </w:rPr>
              <w:t>高度</w:t>
            </w:r>
            <w:r>
              <w:rPr>
                <w:rFonts w:hint="default" w:ascii="Times New Roman" w:hAnsi="Times New Roman" w:eastAsia="宋体" w:cs="Times New Roman"/>
                <w:color w:val="000000"/>
                <w:kern w:val="0"/>
                <w:sz w:val="24"/>
                <w:szCs w:val="24"/>
                <w:lang w:val="en-US" w:eastAsia="zh-CN" w:bidi="ar"/>
              </w:rPr>
              <w:t>危害（P</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），大气环境敏感程度分级为E3，因此项目大气环境风险潜势为III；地表水环境敏感程度分级为E2，项目地表水环境风险潜势为III；地下水环境敏感程度分级为E3，项目地下水环境风险潜势为III。大气、</w:t>
            </w:r>
            <w:r>
              <w:rPr>
                <w:rFonts w:hint="eastAsia" w:ascii="Times New Roman" w:hAnsi="Times New Roman" w:eastAsia="宋体" w:cs="Times New Roman"/>
                <w:color w:val="000000"/>
                <w:kern w:val="0"/>
                <w:sz w:val="24"/>
                <w:szCs w:val="24"/>
                <w:lang w:val="en-US" w:eastAsia="zh-CN" w:bidi="ar"/>
              </w:rPr>
              <w:t>地表水以及</w:t>
            </w:r>
            <w:r>
              <w:rPr>
                <w:rFonts w:hint="default" w:ascii="Times New Roman" w:hAnsi="Times New Roman" w:eastAsia="宋体" w:cs="Times New Roman"/>
                <w:color w:val="000000"/>
                <w:kern w:val="0"/>
                <w:sz w:val="24"/>
                <w:szCs w:val="24"/>
                <w:lang w:val="en-US" w:eastAsia="zh-CN" w:bidi="ar"/>
              </w:rPr>
              <w:t>地下水环境风险评价工作等级均为二级。</w:t>
            </w:r>
          </w:p>
          <w:p w14:paraId="272E40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本项目风险物质为高炉煤气、转炉煤气、焦炉煤气、氨水、盐酸、润滑油、乳化油、废润滑油及废乳化油，风险单元为：煤气输送管道、氨水储罐区、盐酸储罐区、油品仓库及</w:t>
            </w:r>
            <w:r>
              <w:rPr>
                <w:rFonts w:hint="eastAsia" w:cs="Times New Roman"/>
                <w:color w:val="000000"/>
                <w:kern w:val="0"/>
                <w:sz w:val="24"/>
                <w:szCs w:val="24"/>
                <w:lang w:val="en-US" w:eastAsia="zh-CN" w:bidi="ar"/>
              </w:rPr>
              <w:t>危险废物贮存库</w:t>
            </w:r>
            <w:r>
              <w:rPr>
                <w:rFonts w:hint="eastAsia" w:ascii="Times New Roman" w:hAnsi="Times New Roman" w:eastAsia="宋体" w:cs="Times New Roman"/>
                <w:color w:val="000000"/>
                <w:kern w:val="0"/>
                <w:sz w:val="24"/>
                <w:szCs w:val="24"/>
                <w:lang w:val="en-US" w:eastAsia="zh-CN" w:bidi="ar"/>
              </w:rPr>
              <w:t>。风险类型为煤气、氨水、盐酸、油品泄漏及火灾、爆炸事故。</w:t>
            </w:r>
          </w:p>
          <w:p w14:paraId="447C79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在最不利气象条件及最常见气象条件下，煤气、氨水、盐酸泄漏后，</w:t>
            </w:r>
            <w:r>
              <w:rPr>
                <w:kern w:val="0"/>
                <w:sz w:val="24"/>
                <w:szCs w:val="24"/>
              </w:rPr>
              <w:t>在各关心点预测浓度均未超过毒性终点浓度-1和-2限值的情况，设定的事故情景下对关心点人群基本无影响</w:t>
            </w:r>
            <w:r>
              <w:rPr>
                <w:rFonts w:hint="eastAsia" w:ascii="Times New Roman" w:hAnsi="Times New Roman" w:eastAsia="宋体" w:cs="Times New Roman"/>
                <w:color w:val="000000"/>
                <w:kern w:val="0"/>
                <w:sz w:val="24"/>
                <w:szCs w:val="24"/>
                <w:lang w:val="en-US" w:eastAsia="zh-CN" w:bidi="ar"/>
              </w:rPr>
              <w:t>。事故情况下消防废水外排进入化念河将会造成化念河混合断面及下游小河底河国控断面超标，须杜绝事故废水外排的情况。事故情况下废水入渗地下水中，在短时间内不会造成区域地下水水质恶化，但随着时间的增加，污染物下渗量不断增加，对地下水的影响范围也随之增加。</w:t>
            </w:r>
          </w:p>
          <w:p w14:paraId="7D7B72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严格按照分区防渗进行建设，采取本环评提出的风险防范及应急措施，能将事故影响减少到最低，环境风险可控。</w:t>
            </w:r>
          </w:p>
          <w:p w14:paraId="535490E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4.12</w:t>
            </w:r>
            <w:r>
              <w:rPr>
                <w:rFonts w:hint="default" w:ascii="Times New Roman" w:hAnsi="Times New Roman" w:eastAsia="宋体" w:cs="Times New Roman"/>
                <w:b/>
                <w:bCs/>
                <w:color w:val="auto"/>
                <w:sz w:val="24"/>
                <w:lang w:val="en-US" w:eastAsia="zh-CN"/>
              </w:rPr>
              <w:t>碳排放环境影响分析</w:t>
            </w:r>
          </w:p>
          <w:p w14:paraId="379152D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4.12.1谈排放源识别</w:t>
            </w:r>
          </w:p>
          <w:p w14:paraId="56CA3E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项目碳排放源主要分为直接碳排放和间接碳排放两类，无重大隐蔽排放源，具体识别如下：</w:t>
            </w:r>
          </w:p>
          <w:p w14:paraId="78A117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直接碳排放：核心为燃料燃烧碳排放，即煤气中可燃组分（CO、H₂、CH₄、CₙHₘ等）在锅炉内燃烧生成的CO₂排放，是项目最主要的碳排放源；其次为无组织逸散碳排放，包括煤气管道、阀门、煤气柜等设备密封不严导致的CH₄、CO逸散。</w:t>
            </w:r>
          </w:p>
          <w:p w14:paraId="087691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4.12.2碳排放核算</w:t>
            </w:r>
          </w:p>
          <w:p w14:paraId="6D4864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核算依据《企业温室气体排放核算方法与报告指南（发电行业）》《省级温室气体清单编制指南》，结合项目实际工况，采用实测法与系数法结合的方式核算，核心公式如下：</w:t>
            </w:r>
          </w:p>
          <w:p w14:paraId="0A4031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燃料燃烧CO₂排放量</w:t>
            </w:r>
          </w:p>
          <w:p w14:paraId="349F9A8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kern w:val="0"/>
                <w:sz w:val="24"/>
                <w:szCs w:val="24"/>
                <w:lang w:val="en-US" w:eastAsia="zh-CN" w:bidi="ar"/>
              </w:rPr>
            </w:pPr>
            <w:r>
              <w:drawing>
                <wp:inline distT="0" distB="0" distL="114300" distR="114300">
                  <wp:extent cx="3798570" cy="412115"/>
                  <wp:effectExtent l="0" t="0" r="1143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2"/>
                          <a:stretch>
                            <a:fillRect/>
                          </a:stretch>
                        </pic:blipFill>
                        <pic:spPr>
                          <a:xfrm>
                            <a:off x="0" y="0"/>
                            <a:ext cx="3798570" cy="412115"/>
                          </a:xfrm>
                          <a:prstGeom prst="rect">
                            <a:avLst/>
                          </a:prstGeom>
                          <a:noFill/>
                          <a:ln>
                            <a:noFill/>
                          </a:ln>
                        </pic:spPr>
                      </pic:pic>
                    </a:graphicData>
                  </a:graphic>
                </wp:inline>
              </w:drawing>
            </w:r>
          </w:p>
          <w:p w14:paraId="29BC26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w:t>
            </w:r>
            <w:r>
              <w:rPr>
                <w:rFonts w:hint="eastAsia" w:ascii="Times New Roman" w:hAnsi="Times New Roman" w:eastAsia="宋体" w:cs="Times New Roman"/>
                <w:i/>
                <w:iCs/>
                <w:color w:val="000000"/>
                <w:kern w:val="0"/>
                <w:sz w:val="24"/>
                <w:szCs w:val="24"/>
                <w:lang w:val="en-US" w:eastAsia="zh-CN" w:bidi="ar"/>
              </w:rPr>
              <w:t>E</w:t>
            </w:r>
            <w:r>
              <w:rPr>
                <w:rFonts w:hint="eastAsia" w:ascii="Times New Roman" w:hAnsi="Times New Roman" w:eastAsia="宋体" w:cs="Times New Roman"/>
                <w:color w:val="000000"/>
                <w:kern w:val="0"/>
                <w:sz w:val="24"/>
                <w:szCs w:val="24"/>
                <w:lang w:val="en-US" w:eastAsia="zh-CN" w:bidi="ar"/>
              </w:rPr>
              <w:t>燃烧为燃料燃烧二氧化碳排放量，单位</w:t>
            </w:r>
            <w:r>
              <w:rPr>
                <w:rFonts w:hint="default" w:ascii="Times New Roman" w:hAnsi="Times New Roman" w:eastAsia="宋体" w:cs="Times New Roman"/>
                <w:sz w:val="24"/>
                <w:szCs w:val="24"/>
              </w:rPr>
              <w:t>tCO₂</w:t>
            </w:r>
            <w:r>
              <w:rPr>
                <w:rFonts w:hint="eastAsia" w:ascii="Times New Roman" w:hAnsi="Times New Roman" w:eastAsia="宋体" w:cs="Times New Roman"/>
                <w:sz w:val="24"/>
                <w:szCs w:val="24"/>
                <w:lang w:eastAsia="zh-CN"/>
              </w:rPr>
              <w:t>；</w:t>
            </w:r>
          </w:p>
          <w:p w14:paraId="1E7D89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i/>
                <w:iCs/>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燃料为煤气年消耗量</w:t>
            </w:r>
            <w:r>
              <w:rPr>
                <w:rFonts w:hint="eastAsia" w:ascii="Times New Roman" w:hAnsi="Times New Roman" w:eastAsia="宋体" w:cs="Times New Roman"/>
                <w:color w:val="000000"/>
                <w:kern w:val="0"/>
                <w:sz w:val="24"/>
                <w:szCs w:val="24"/>
                <w:lang w:val="en-US" w:eastAsia="zh-CN" w:bidi="ar"/>
              </w:rPr>
              <w:t>，单位</w:t>
            </w:r>
            <w:r>
              <w:rPr>
                <w:rFonts w:hint="default" w:ascii="Times New Roman" w:hAnsi="Times New Roman" w:eastAsia="宋体" w:cs="Times New Roman"/>
                <w:sz w:val="24"/>
                <w:szCs w:val="24"/>
              </w:rPr>
              <w:t>t（或Nm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color w:val="000000"/>
                <w:kern w:val="0"/>
                <w:sz w:val="24"/>
                <w:szCs w:val="24"/>
                <w:lang w:val="en-US" w:eastAsia="zh-CN" w:bidi="ar"/>
              </w:rPr>
              <w:t>；</w:t>
            </w:r>
          </w:p>
          <w:p w14:paraId="1F67F6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i/>
                <w:iCs/>
                <w:color w:val="000000"/>
                <w:kern w:val="0"/>
                <w:sz w:val="24"/>
                <w:szCs w:val="24"/>
                <w:lang w:val="en-US" w:eastAsia="zh-CN" w:bidi="ar"/>
              </w:rPr>
              <w:t>Qnet,v,ar</w:t>
            </w:r>
            <w:r>
              <w:rPr>
                <w:rFonts w:hint="default" w:ascii="Times New Roman" w:hAnsi="Times New Roman" w:eastAsia="宋体" w:cs="Times New Roman"/>
                <w:kern w:val="0"/>
                <w:sz w:val="24"/>
                <w:szCs w:val="24"/>
                <w:lang w:val="en-US" w:eastAsia="zh-CN" w:bidi="ar"/>
              </w:rPr>
              <w:t>为煤气低位发热量（GJ/t）</w:t>
            </w:r>
            <w:r>
              <w:rPr>
                <w:rFonts w:hint="eastAsia" w:ascii="Times New Roman" w:hAnsi="Times New Roman" w:eastAsia="宋体" w:cs="Times New Roman"/>
                <w:kern w:val="0"/>
                <w:sz w:val="24"/>
                <w:szCs w:val="24"/>
                <w:lang w:val="en-US" w:eastAsia="zh-CN" w:bidi="ar"/>
              </w:rPr>
              <w:t>；</w:t>
            </w:r>
          </w:p>
          <w:p w14:paraId="559F20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000000"/>
                <w:kern w:val="0"/>
                <w:sz w:val="24"/>
                <w:szCs w:val="24"/>
                <w:vertAlign w:val="baseline"/>
                <w:lang w:val="en-US" w:eastAsia="zh-CN" w:bidi="ar"/>
              </w:rPr>
            </w:pPr>
            <w:r>
              <w:rPr>
                <w:rFonts w:hint="eastAsia" w:ascii="Times New Roman" w:hAnsi="Times New Roman" w:eastAsia="宋体" w:cs="Times New Roman"/>
                <w:i/>
                <w:iCs/>
                <w:color w:val="000000"/>
                <w:kern w:val="0"/>
                <w:sz w:val="24"/>
                <w:szCs w:val="24"/>
                <w:lang w:val="en-US" w:eastAsia="zh-CN" w:bidi="ar"/>
              </w:rPr>
              <w:t>fc</w:t>
            </w:r>
            <w:r>
              <w:rPr>
                <w:rFonts w:hint="default" w:ascii="Times New Roman" w:hAnsi="Times New Roman" w:eastAsia="宋体" w:cs="Times New Roman"/>
                <w:i/>
                <w:iCs/>
                <w:color w:val="000000"/>
                <w:kern w:val="0"/>
                <w:sz w:val="24"/>
                <w:szCs w:val="24"/>
                <w:lang w:val="en-US" w:eastAsia="zh-CN" w:bidi="ar"/>
              </w:rPr>
              <w:t>o</w:t>
            </w:r>
            <w:r>
              <w:rPr>
                <w:rFonts w:hint="default" w:ascii="Times New Roman" w:hAnsi="Times New Roman" w:eastAsia="宋体" w:cs="Times New Roman"/>
                <w:i/>
                <w:iCs/>
                <w:color w:val="000000"/>
                <w:kern w:val="0"/>
                <w:sz w:val="24"/>
                <w:szCs w:val="24"/>
                <w:vertAlign w:val="subscript"/>
                <w:lang w:val="en-US" w:eastAsia="zh-CN" w:bidi="ar"/>
              </w:rPr>
              <w:t>2</w:t>
            </w:r>
            <w:r>
              <w:rPr>
                <w:rFonts w:hint="default" w:ascii="Times New Roman" w:hAnsi="Times New Roman" w:eastAsia="宋体" w:cs="Times New Roman"/>
                <w:i w:val="0"/>
                <w:iCs w:val="0"/>
                <w:color w:val="000000"/>
                <w:kern w:val="0"/>
                <w:sz w:val="24"/>
                <w:szCs w:val="24"/>
                <w:vertAlign w:val="baseline"/>
                <w:lang w:val="en-US" w:eastAsia="zh-CN" w:bidi="ar"/>
              </w:rPr>
              <w:t>为煤气碳排放因子（高炉煤气取0.075tCO₂/GJ，焦炉煤气取0.15tCO₂/GJ，转炉煤气取0.08tCO₂/GJ）；</w:t>
            </w:r>
          </w:p>
          <w:p w14:paraId="297260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szCs w:val="24"/>
                <w:lang w:val="en-US" w:eastAsia="zh-CN" w:bidi="ar"/>
              </w:rPr>
            </w:pPr>
            <w:r>
              <w:rPr>
                <w:rFonts w:hint="default" w:ascii="Times New Roman" w:hAnsi="Times New Roman" w:eastAsia="宋体" w:cs="Times New Roman"/>
                <w:i/>
                <w:iCs/>
                <w:color w:val="000000"/>
                <w:kern w:val="0"/>
                <w:sz w:val="24"/>
                <w:szCs w:val="24"/>
                <w:lang w:val="en-US" w:eastAsia="zh-CN" w:bidi="ar"/>
              </w:rPr>
              <w:t>η</w:t>
            </w:r>
            <w:r>
              <w:rPr>
                <w:rFonts w:hint="default" w:ascii="Times New Roman" w:hAnsi="Times New Roman" w:eastAsia="宋体" w:cs="Times New Roman"/>
                <w:i/>
                <w:iCs/>
                <w:color w:val="000000"/>
                <w:kern w:val="0"/>
                <w:sz w:val="24"/>
                <w:szCs w:val="24"/>
                <w:vertAlign w:val="subscript"/>
                <w:lang w:val="en-US" w:eastAsia="zh-CN" w:bidi="ar"/>
              </w:rPr>
              <w:t>c</w:t>
            </w:r>
            <w:r>
              <w:rPr>
                <w:rFonts w:hint="default" w:ascii="Times New Roman" w:hAnsi="Times New Roman" w:eastAsia="宋体" w:cs="Times New Roman"/>
                <w:i w:val="0"/>
                <w:iCs w:val="0"/>
                <w:color w:val="000000"/>
                <w:kern w:val="0"/>
                <w:sz w:val="24"/>
                <w:szCs w:val="24"/>
                <w:vertAlign w:val="baseline"/>
                <w:lang w:val="en-US" w:eastAsia="zh-CN" w:bidi="ar"/>
              </w:rPr>
              <w:t>为</w:t>
            </w:r>
            <w:r>
              <w:rPr>
                <w:rFonts w:hint="default" w:ascii="Times New Roman" w:hAnsi="Times New Roman" w:eastAsia="宋体" w:cs="Times New Roman"/>
                <w:kern w:val="0"/>
                <w:sz w:val="24"/>
                <w:szCs w:val="24"/>
                <w:lang w:val="en-US" w:eastAsia="zh-CN" w:bidi="ar"/>
              </w:rPr>
              <w:t>碳氧化率（取98%~99%，煤气燃烧充分，氧化率较高）</w:t>
            </w:r>
            <w:r>
              <w:rPr>
                <w:rFonts w:hint="eastAsia" w:ascii="Times New Roman" w:hAnsi="Times New Roman" w:eastAsia="宋体" w:cs="Times New Roman"/>
                <w:kern w:val="0"/>
                <w:sz w:val="24"/>
                <w:szCs w:val="24"/>
                <w:lang w:val="en-US" w:eastAsia="zh-CN" w:bidi="ar"/>
              </w:rPr>
              <w:t>。</w:t>
            </w:r>
          </w:p>
          <w:p w14:paraId="485B9AE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lang w:val="en-US" w:eastAsia="zh-CN"/>
              </w:rPr>
            </w:pPr>
            <w:r>
              <w:rPr>
                <w:rFonts w:hint="eastAsia" w:ascii="黑体" w:hAnsi="黑体" w:eastAsia="黑体" w:cs="黑体"/>
                <w:color w:val="auto"/>
                <w:sz w:val="21"/>
                <w:szCs w:val="21"/>
                <w:highlight w:val="none"/>
                <w:lang w:val="en-US" w:eastAsia="zh-CN"/>
              </w:rPr>
              <w:t>表4-17  燃料燃烧过程CO</w:t>
            </w:r>
            <w:r>
              <w:rPr>
                <w:rFonts w:hint="eastAsia" w:ascii="黑体" w:hAnsi="黑体" w:eastAsia="黑体" w:cs="黑体"/>
                <w:color w:val="auto"/>
                <w:sz w:val="21"/>
                <w:szCs w:val="21"/>
                <w:highlight w:val="none"/>
                <w:vertAlign w:val="subscript"/>
                <w:lang w:val="en-US" w:eastAsia="zh-CN"/>
              </w:rPr>
              <w:t>2</w:t>
            </w:r>
            <w:r>
              <w:rPr>
                <w:rFonts w:hint="eastAsia" w:ascii="黑体" w:hAnsi="黑体" w:eastAsia="黑体" w:cs="黑体"/>
                <w:color w:val="auto"/>
                <w:sz w:val="21"/>
                <w:szCs w:val="21"/>
                <w:highlight w:val="none"/>
                <w:lang w:val="en-US" w:eastAsia="zh-CN"/>
              </w:rPr>
              <w:t>排放量一览表</w:t>
            </w:r>
          </w:p>
          <w:tbl>
            <w:tblPr>
              <w:tblStyle w:val="1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35"/>
              <w:gridCol w:w="1822"/>
              <w:gridCol w:w="1142"/>
              <w:gridCol w:w="1923"/>
            </w:tblGrid>
            <w:tr w14:paraId="64468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794" w:type="pct"/>
                  <w:noWrap w:val="0"/>
                  <w:vAlign w:val="center"/>
                </w:tcPr>
                <w:p w14:paraId="0B8A99F1">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pacing w:val="-3"/>
                      <w:sz w:val="18"/>
                      <w:szCs w:val="18"/>
                      <w:highlight w:val="none"/>
                    </w:rPr>
                    <w:t>排放环节</w:t>
                  </w:r>
                </w:p>
              </w:tc>
              <w:tc>
                <w:tcPr>
                  <w:tcW w:w="1195" w:type="pct"/>
                  <w:noWrap w:val="0"/>
                  <w:vAlign w:val="center"/>
                </w:tcPr>
                <w:p w14:paraId="57CCC6C7">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pacing w:val="-3"/>
                      <w:sz w:val="18"/>
                      <w:szCs w:val="18"/>
                      <w:highlight w:val="none"/>
                    </w:rPr>
                    <w:t>燃料种类</w:t>
                  </w:r>
                </w:p>
              </w:tc>
              <w:tc>
                <w:tcPr>
                  <w:tcW w:w="748" w:type="pct"/>
                  <w:noWrap w:val="0"/>
                  <w:vAlign w:val="center"/>
                </w:tcPr>
                <w:p w14:paraId="2AC2C1E9">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pacing w:val="-3"/>
                      <w:sz w:val="18"/>
                      <w:szCs w:val="18"/>
                      <w:highlight w:val="none"/>
                    </w:rPr>
                    <w:t>单位</w:t>
                  </w:r>
                </w:p>
              </w:tc>
              <w:tc>
                <w:tcPr>
                  <w:tcW w:w="1261" w:type="pct"/>
                  <w:noWrap w:val="0"/>
                  <w:vAlign w:val="center"/>
                </w:tcPr>
                <w:p w14:paraId="4681F57A">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CO</w:t>
                  </w:r>
                  <w:r>
                    <w:rPr>
                      <w:rFonts w:hint="default" w:ascii="Times New Roman" w:hAnsi="Times New Roman" w:eastAsia="宋体" w:cs="Times New Roman"/>
                      <w:b w:val="0"/>
                      <w:bCs w:val="0"/>
                      <w:color w:val="auto"/>
                      <w:sz w:val="18"/>
                      <w:szCs w:val="18"/>
                      <w:highlight w:val="none"/>
                      <w:vertAlign w:val="subscript"/>
                      <w:lang w:val="en-US" w:eastAsia="zh-CN"/>
                    </w:rPr>
                    <w:t>2</w:t>
                  </w:r>
                  <w:r>
                    <w:rPr>
                      <w:rFonts w:hint="default" w:ascii="Times New Roman" w:hAnsi="Times New Roman" w:eastAsia="宋体" w:cs="Times New Roman"/>
                      <w:b w:val="0"/>
                      <w:bCs w:val="0"/>
                      <w:color w:val="auto"/>
                      <w:spacing w:val="-3"/>
                      <w:sz w:val="18"/>
                      <w:szCs w:val="18"/>
                      <w:highlight w:val="none"/>
                      <w:lang w:val="en-US" w:eastAsia="zh-CN"/>
                    </w:rPr>
                    <w:t>排放量</w:t>
                  </w:r>
                </w:p>
              </w:tc>
            </w:tr>
            <w:tr w14:paraId="4CEE87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794" w:type="pct"/>
                  <w:noWrap w:val="0"/>
                  <w:vAlign w:val="center"/>
                </w:tcPr>
                <w:p w14:paraId="1CCC7477">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高炉煤气燃烧</w:t>
                  </w:r>
                </w:p>
              </w:tc>
              <w:tc>
                <w:tcPr>
                  <w:tcW w:w="1195" w:type="pct"/>
                  <w:noWrap w:val="0"/>
                  <w:vAlign w:val="center"/>
                </w:tcPr>
                <w:p w14:paraId="2B239970">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高炉煤气</w:t>
                  </w:r>
                </w:p>
              </w:tc>
              <w:tc>
                <w:tcPr>
                  <w:tcW w:w="748" w:type="pct"/>
                  <w:noWrap w:val="0"/>
                  <w:vAlign w:val="center"/>
                </w:tcPr>
                <w:p w14:paraId="486B61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tCO</w:t>
                  </w:r>
                  <w:r>
                    <w:rPr>
                      <w:rFonts w:hint="default" w:ascii="Times New Roman" w:hAnsi="Times New Roman" w:eastAsia="宋体" w:cs="Times New Roman"/>
                      <w:b w:val="0"/>
                      <w:bCs w:val="0"/>
                      <w:color w:val="auto"/>
                      <w:sz w:val="18"/>
                      <w:szCs w:val="18"/>
                      <w:highlight w:val="none"/>
                      <w:vertAlign w:val="subscript"/>
                      <w:lang w:val="en-US" w:eastAsia="zh-CN"/>
                    </w:rPr>
                    <w:t>2</w:t>
                  </w:r>
                </w:p>
              </w:tc>
              <w:tc>
                <w:tcPr>
                  <w:tcW w:w="1261" w:type="pct"/>
                  <w:noWrap w:val="0"/>
                  <w:vAlign w:val="center"/>
                </w:tcPr>
                <w:p w14:paraId="048434EC">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173100370.1</w:t>
                  </w:r>
                </w:p>
              </w:tc>
            </w:tr>
            <w:tr w14:paraId="4E79F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794" w:type="pct"/>
                  <w:noWrap w:val="0"/>
                  <w:vAlign w:val="center"/>
                </w:tcPr>
                <w:p w14:paraId="13359A57">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转炉煤气燃烧</w:t>
                  </w:r>
                </w:p>
              </w:tc>
              <w:tc>
                <w:tcPr>
                  <w:tcW w:w="1195" w:type="pct"/>
                  <w:noWrap w:val="0"/>
                  <w:vAlign w:val="center"/>
                </w:tcPr>
                <w:p w14:paraId="4219942E">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转炉煤气</w:t>
                  </w:r>
                </w:p>
              </w:tc>
              <w:tc>
                <w:tcPr>
                  <w:tcW w:w="748" w:type="pct"/>
                  <w:noWrap w:val="0"/>
                  <w:vAlign w:val="center"/>
                </w:tcPr>
                <w:p w14:paraId="61FF38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tCO</w:t>
                  </w:r>
                  <w:r>
                    <w:rPr>
                      <w:rFonts w:hint="default" w:ascii="Times New Roman" w:hAnsi="Times New Roman" w:eastAsia="宋体" w:cs="Times New Roman"/>
                      <w:b w:val="0"/>
                      <w:bCs w:val="0"/>
                      <w:color w:val="auto"/>
                      <w:sz w:val="18"/>
                      <w:szCs w:val="18"/>
                      <w:highlight w:val="none"/>
                      <w:vertAlign w:val="subscript"/>
                      <w:lang w:val="en-US" w:eastAsia="zh-CN"/>
                    </w:rPr>
                    <w:t>2</w:t>
                  </w:r>
                </w:p>
              </w:tc>
              <w:tc>
                <w:tcPr>
                  <w:tcW w:w="1261" w:type="pct"/>
                  <w:noWrap w:val="0"/>
                  <w:vAlign w:val="center"/>
                </w:tcPr>
                <w:p w14:paraId="59554123">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87056318.44</w:t>
                  </w:r>
                </w:p>
              </w:tc>
            </w:tr>
            <w:tr w14:paraId="18DFB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794" w:type="pct"/>
                  <w:noWrap w:val="0"/>
                  <w:vAlign w:val="center"/>
                </w:tcPr>
                <w:p w14:paraId="018753F1">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pacing w:val="-3"/>
                      <w:sz w:val="18"/>
                      <w:szCs w:val="18"/>
                      <w:highlight w:val="none"/>
                    </w:rPr>
                    <w:t>焦炉</w:t>
                  </w:r>
                  <w:r>
                    <w:rPr>
                      <w:rFonts w:hint="eastAsia" w:ascii="Times New Roman" w:hAnsi="Times New Roman" w:eastAsia="宋体" w:cs="Times New Roman"/>
                      <w:b w:val="0"/>
                      <w:bCs w:val="0"/>
                      <w:color w:val="auto"/>
                      <w:spacing w:val="-3"/>
                      <w:sz w:val="18"/>
                      <w:szCs w:val="18"/>
                      <w:highlight w:val="none"/>
                      <w:lang w:val="en-US" w:eastAsia="zh-CN"/>
                    </w:rPr>
                    <w:t>煤气燃烧</w:t>
                  </w:r>
                </w:p>
              </w:tc>
              <w:tc>
                <w:tcPr>
                  <w:tcW w:w="1195" w:type="pct"/>
                  <w:noWrap w:val="0"/>
                  <w:vAlign w:val="center"/>
                </w:tcPr>
                <w:p w14:paraId="6C2D51BD">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pacing w:val="-3"/>
                      <w:sz w:val="18"/>
                      <w:szCs w:val="18"/>
                      <w:highlight w:val="none"/>
                    </w:rPr>
                    <w:t>焦炉煤气</w:t>
                  </w:r>
                </w:p>
              </w:tc>
              <w:tc>
                <w:tcPr>
                  <w:tcW w:w="748" w:type="pct"/>
                  <w:noWrap w:val="0"/>
                  <w:vAlign w:val="center"/>
                </w:tcPr>
                <w:p w14:paraId="001CEC62">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tCO</w:t>
                  </w:r>
                  <w:r>
                    <w:rPr>
                      <w:rFonts w:hint="default" w:ascii="Times New Roman" w:hAnsi="Times New Roman" w:eastAsia="宋体" w:cs="Times New Roman"/>
                      <w:b w:val="0"/>
                      <w:bCs w:val="0"/>
                      <w:color w:val="auto"/>
                      <w:sz w:val="18"/>
                      <w:szCs w:val="18"/>
                      <w:highlight w:val="none"/>
                      <w:vertAlign w:val="subscript"/>
                      <w:lang w:val="en-US" w:eastAsia="zh-CN"/>
                    </w:rPr>
                    <w:t>2</w:t>
                  </w:r>
                </w:p>
              </w:tc>
              <w:tc>
                <w:tcPr>
                  <w:tcW w:w="1261" w:type="pct"/>
                  <w:noWrap w:val="0"/>
                  <w:vAlign w:val="center"/>
                </w:tcPr>
                <w:p w14:paraId="0088E417">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pacing w:val="-3"/>
                      <w:sz w:val="18"/>
                      <w:szCs w:val="18"/>
                      <w:highlight w:val="none"/>
                      <w:lang w:val="en-US" w:eastAsia="zh-CN"/>
                    </w:rPr>
                  </w:pPr>
                  <w:r>
                    <w:rPr>
                      <w:rFonts w:hint="eastAsia" w:ascii="Times New Roman" w:hAnsi="Times New Roman" w:eastAsia="宋体" w:cs="Times New Roman"/>
                      <w:b w:val="0"/>
                      <w:bCs w:val="0"/>
                      <w:color w:val="auto"/>
                      <w:spacing w:val="-3"/>
                      <w:sz w:val="18"/>
                      <w:szCs w:val="18"/>
                      <w:highlight w:val="none"/>
                      <w:lang w:val="en-US" w:eastAsia="zh-CN"/>
                    </w:rPr>
                    <w:t>218780100</w:t>
                  </w:r>
                </w:p>
              </w:tc>
            </w:tr>
            <w:tr w14:paraId="0D413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738" w:type="pct"/>
                  <w:gridSpan w:val="3"/>
                  <w:noWrap w:val="0"/>
                  <w:vAlign w:val="center"/>
                </w:tcPr>
                <w:p w14:paraId="68C26DE5">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小计</w:t>
                  </w:r>
                </w:p>
              </w:tc>
              <w:tc>
                <w:tcPr>
                  <w:tcW w:w="1261" w:type="pct"/>
                  <w:shd w:val="clear" w:color="auto" w:fill="auto"/>
                  <w:noWrap w:val="0"/>
                  <w:vAlign w:val="center"/>
                </w:tcPr>
                <w:p w14:paraId="54C1E7B8">
                  <w:pPr>
                    <w:pStyle w:val="26"/>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b w:val="0"/>
                      <w:bCs w:val="0"/>
                      <w:color w:val="auto"/>
                      <w:sz w:val="18"/>
                      <w:szCs w:val="18"/>
                      <w:highlight w:val="none"/>
                      <w:vertAlign w:val="baseline"/>
                      <w:lang w:val="en-US" w:eastAsia="zh-CN"/>
                    </w:rPr>
                    <w:t>478936788.5</w:t>
                  </w:r>
                </w:p>
              </w:tc>
            </w:tr>
          </w:tbl>
          <w:p w14:paraId="7BA9DC8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lang w:val="en-US" w:eastAsia="zh-CN"/>
              </w:rPr>
            </w:pPr>
            <w:r>
              <w:rPr>
                <w:rFonts w:hint="eastAsia" w:cs="Times New Roman"/>
                <w:b/>
                <w:bCs/>
                <w:color w:val="auto"/>
                <w:sz w:val="24"/>
                <w:lang w:val="en-US" w:eastAsia="zh-CN"/>
              </w:rPr>
              <w:t>4.12.2影响分析</w:t>
            </w:r>
          </w:p>
          <w:p w14:paraId="16F3DA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项目碳排放以CO₂为主，辅以少量CH₄、CO逸散，对环境的影响主要集中在大气温室效应、区域碳平衡，同时间接影响生态环境，具体分析如下：</w:t>
            </w:r>
          </w:p>
          <w:p w14:paraId="242EF7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对大气环境的影响</w:t>
            </w:r>
          </w:p>
          <w:p w14:paraId="4969F2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O₂是全球性温室气体，本身无毒性、无刺激性，不会对局部大气环境质量造成直接污染（如PM₂.₅、SO₂等污染物的短期影响），但长期大量排放会加剧全球温室效应，导致区域气温升高、极端天气（高温、暴雨、干旱）频发。项目CO₂排放属于连续性排放，经高空排放后，可快速扩散，不会在局部区域形成浓度累积，对周边敏感点（居民区、学校、医院等）的直接影响较小。</w:t>
            </w:r>
          </w:p>
          <w:p w14:paraId="0AA477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无组织逸散的CH₄、CO，虽排放量较小，但CH₄温室效应潜值高，若长期逸散会加剧区域温室效应；CO属于有毒气体，少量逸散可通过大气扩散稀释，不会对人体健康造成影响，但需加强设备密封，避免大量泄漏引发安全与环境风险。</w:t>
            </w:r>
          </w:p>
          <w:p w14:paraId="22A244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对区域碳平衡的影响</w:t>
            </w:r>
          </w:p>
          <w:p w14:paraId="033F07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从区域碳排放总量来看，项目碳排放纳入区域温室气体排放总量管控，但其单位发电量碳排放强度低于区域平均水平，且具有显著碳减排贡献，不会加剧区域碳排放压力，符合区域碳达峰行动方案要求。</w:t>
            </w:r>
          </w:p>
          <w:p w14:paraId="3F18AA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对生态环境的间接影响</w:t>
            </w:r>
          </w:p>
          <w:p w14:paraId="308534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碳排放带来的温室效应，会间接影响区域生态环境：一是长期气温升高可能导致区域植被生长周期变化，影响局部植物群落结构，但项目碳排放强度较低，且区域生态系统具有一定的自我调节能力，该影响可忽略不计；二是极端天气频发可能加剧区域水土流失、土壤沙化，但项目占地较小，不涉及生态敏感区（自然保护区、湿地公园等），对区域生态系统的间接影响有限。</w:t>
            </w:r>
          </w:p>
          <w:p w14:paraId="60A380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环境风险分析</w:t>
            </w:r>
          </w:p>
          <w:p w14:paraId="10552A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碳排放相关环境风险主要为煤气泄漏导致的CH₄、CO逸散，若设备密封不严或管道破损，可能造成局部区域CH₄、CO浓度超标，一方面加剧温室效应，另一方面CO浓度过高可能对现场操作人员及周边居民健康造成威胁。此外，锅炉燃烧不充分时，可能导致CO排放增加，进一步加大环境风险，但通过加强设备维护、优化燃烧工艺，可有效控制该类风险。</w:t>
            </w:r>
          </w:p>
          <w:p w14:paraId="543CD11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sz w:val="24"/>
                <w:lang w:val="en-US" w:eastAsia="zh-CN"/>
              </w:rPr>
            </w:pPr>
            <w:r>
              <w:rPr>
                <w:rFonts w:hint="eastAsia" w:cs="Times New Roman"/>
                <w:b/>
                <w:bCs/>
                <w:color w:val="auto"/>
                <w:sz w:val="24"/>
                <w:lang w:val="en-US" w:eastAsia="zh-CN"/>
              </w:rPr>
              <w:t>4.12.3污染防治与降碳措施</w:t>
            </w:r>
          </w:p>
          <w:p w14:paraId="4D2A80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为降低项目碳排放对环境的影响，结合项目工艺特点，采取“源头控制、过程管控、末端治理”相结合的措施，确保碳排放可控、环境影响可接受，具体措施如下：</w:t>
            </w:r>
          </w:p>
          <w:p w14:paraId="246675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源头控制：优化煤气收集与输送系统，采用密封性能良好的管道、阀门及煤气柜，减少CH₄、CO无组织逸散；优先选用高热值煤气，优化燃料配比，提高燃烧效率，降低单位发电量碳排放强度。</w:t>
            </w:r>
          </w:p>
          <w:p w14:paraId="5E4914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过程管控：采用高效低氮燃烧器，优化锅炉燃烧工况，确保煤气充分燃烧，提高碳氧化率，减少CO排放；加强辅助设备能耗管控，优化风机、水泵运行参数，降低电力消耗，减少间接碳排放；建立碳排放监测体系，实时监测CO₂、CH₄排放浓度，及时发现并处理泄漏问题。</w:t>
            </w:r>
          </w:p>
          <w:p w14:paraId="1E8CDD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末端治理：</w:t>
            </w:r>
            <w:r>
              <w:rPr>
                <w:rFonts w:hint="eastAsia" w:ascii="Times New Roman" w:hAnsi="Times New Roman" w:eastAsia="宋体" w:cs="Times New Roman"/>
                <w:color w:val="000000"/>
                <w:kern w:val="0"/>
                <w:sz w:val="24"/>
                <w:szCs w:val="24"/>
                <w:lang w:val="en-US" w:eastAsia="zh-CN" w:bidi="ar"/>
              </w:rPr>
              <w:t>废气经</w:t>
            </w:r>
            <w:r>
              <w:rPr>
                <w:rFonts w:hint="default" w:ascii="Times New Roman" w:hAnsi="Times New Roman" w:eastAsia="宋体" w:cs="Times New Roman"/>
                <w:color w:val="000000"/>
                <w:kern w:val="0"/>
                <w:sz w:val="24"/>
                <w:szCs w:val="24"/>
                <w:lang w:val="en-US" w:eastAsia="zh-CN" w:bidi="ar"/>
              </w:rPr>
              <w:t>烟囱高空排放CO₂，确保排放扩散顺畅；配套建设煤气泄漏检测系统，在管道、阀门等关键点位设置检测探头，一旦发生泄漏，及时启动应急处置措施；对脱硫脱硝、水处理等辅助系统产生的间接碳排放，优化工艺流程，提高能源利用效率。</w:t>
            </w:r>
          </w:p>
          <w:p w14:paraId="665337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碳减排强化：推动废水分类收集、分质处理、循环回用，提高水重复利用率，减少水处理系统能耗；加强余热回收利用，将锅炉余热用于厂区供暖、生产用水加热，降低化石燃料补充消耗；建立碳排放核算体系，定期开展碳排放核算与自查，持续优化降碳措施。</w:t>
            </w:r>
          </w:p>
          <w:p w14:paraId="2CB7483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4.12.4影响评价结论</w:t>
            </w:r>
          </w:p>
          <w:p w14:paraId="434B4C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碳排放以工业副产煤气燃烧产生的CO₂为主，间接碳排放占比较小，无组织逸散排放量可控。项目单位发电量碳排放强度远低于燃煤发电，较煤气直接放散具有显著碳减排效益，符合国家“双碳”政策及区域低碳发展要求。</w:t>
            </w:r>
          </w:p>
          <w:p w14:paraId="5034AB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碳排放对环境的影响主要体现为全球性温室效应，对局部大气环境、区域生态环境的直接影响较小；通过采取完善的密封、监测、降碳措施，可有效控制CH₄、CO无组织逸散，降低环境风险，确保碳排放对环境的影响处于可接受范围。</w:t>
            </w:r>
          </w:p>
          <w:p w14:paraId="1E66AB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综上，项目通过工业副产煤气回收发电，实现了资源循环利用与低碳发电的双重目标，碳排放环境影响可控，碳减排效益显著，符合项目环境可行性要求。</w:t>
            </w:r>
          </w:p>
          <w:p w14:paraId="427A57E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3本项目污染物“三本账”</w:t>
            </w:r>
          </w:p>
          <w:p w14:paraId="66AF54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本项目污染物“三本账”如下表所示：</w:t>
            </w:r>
          </w:p>
          <w:p w14:paraId="7A96C68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表4-18 本项目污染物三本账</w:t>
            </w:r>
          </w:p>
          <w:tbl>
            <w:tblPr>
              <w:tblStyle w:val="18"/>
              <w:tblW w:w="76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930"/>
              <w:gridCol w:w="1215"/>
              <w:gridCol w:w="1441"/>
              <w:gridCol w:w="1087"/>
              <w:gridCol w:w="1293"/>
              <w:gridCol w:w="1037"/>
            </w:tblGrid>
            <w:tr w14:paraId="55B3A8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restart"/>
                  <w:tcBorders>
                    <w:tl2br w:val="nil"/>
                    <w:tr2bl w:val="nil"/>
                  </w:tcBorders>
                  <w:vAlign w:val="center"/>
                </w:tcPr>
                <w:p w14:paraId="487CAD7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分项</w:t>
                  </w:r>
                </w:p>
              </w:tc>
              <w:tc>
                <w:tcPr>
                  <w:tcW w:w="930" w:type="dxa"/>
                  <w:vMerge w:val="restart"/>
                  <w:tcBorders>
                    <w:tl2br w:val="nil"/>
                    <w:tr2bl w:val="nil"/>
                  </w:tcBorders>
                  <w:vAlign w:val="center"/>
                </w:tcPr>
                <w:p w14:paraId="3FF6CB5B">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污染物</w:t>
                  </w:r>
                </w:p>
              </w:tc>
              <w:tc>
                <w:tcPr>
                  <w:tcW w:w="1215" w:type="dxa"/>
                  <w:tcBorders>
                    <w:tl2br w:val="nil"/>
                    <w:tr2bl w:val="nil"/>
                  </w:tcBorders>
                  <w:vAlign w:val="center"/>
                </w:tcPr>
                <w:p w14:paraId="087A6D3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原有项目</w:t>
                  </w:r>
                </w:p>
              </w:tc>
              <w:tc>
                <w:tcPr>
                  <w:tcW w:w="1441" w:type="dxa"/>
                  <w:tcBorders>
                    <w:tl2br w:val="nil"/>
                    <w:tr2bl w:val="nil"/>
                  </w:tcBorders>
                  <w:vAlign w:val="center"/>
                </w:tcPr>
                <w:p w14:paraId="70D2078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本项目</w:t>
                  </w:r>
                </w:p>
              </w:tc>
              <w:tc>
                <w:tcPr>
                  <w:tcW w:w="3417" w:type="dxa"/>
                  <w:gridSpan w:val="3"/>
                  <w:tcBorders>
                    <w:tl2br w:val="nil"/>
                    <w:tr2bl w:val="nil"/>
                  </w:tcBorders>
                  <w:vAlign w:val="center"/>
                </w:tcPr>
                <w:p w14:paraId="72C4C0D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总体项目（已建+在建+拟建）</w:t>
                  </w:r>
                </w:p>
              </w:tc>
            </w:tr>
            <w:tr w14:paraId="360AD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779E0086">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vMerge w:val="continue"/>
                  <w:tcBorders>
                    <w:tl2br w:val="nil"/>
                    <w:tr2bl w:val="nil"/>
                  </w:tcBorders>
                  <w:vAlign w:val="center"/>
                </w:tcPr>
                <w:p w14:paraId="427FC07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215" w:type="dxa"/>
                  <w:tcBorders>
                    <w:tl2br w:val="nil"/>
                    <w:tr2bl w:val="nil"/>
                  </w:tcBorders>
                  <w:vAlign w:val="center"/>
                </w:tcPr>
                <w:p w14:paraId="433C8AE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排放量（固体废物产生量）（t/a）</w:t>
                  </w:r>
                </w:p>
              </w:tc>
              <w:tc>
                <w:tcPr>
                  <w:tcW w:w="1441" w:type="dxa"/>
                  <w:tcBorders>
                    <w:tl2br w:val="nil"/>
                    <w:tr2bl w:val="nil"/>
                  </w:tcBorders>
                  <w:vAlign w:val="center"/>
                </w:tcPr>
                <w:p w14:paraId="5F3F573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排放量（固体废物产生量）（t/a）</w:t>
                  </w:r>
                </w:p>
              </w:tc>
              <w:tc>
                <w:tcPr>
                  <w:tcW w:w="1087" w:type="dxa"/>
                  <w:tcBorders>
                    <w:tl2br w:val="nil"/>
                    <w:tr2bl w:val="nil"/>
                  </w:tcBorders>
                  <w:vAlign w:val="center"/>
                </w:tcPr>
                <w:p w14:paraId="6B9B7A9B">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以新带老削减量（t/a）项目</w:t>
                  </w:r>
                </w:p>
              </w:tc>
              <w:tc>
                <w:tcPr>
                  <w:tcW w:w="1293" w:type="dxa"/>
                  <w:tcBorders>
                    <w:tl2br w:val="nil"/>
                    <w:tr2bl w:val="nil"/>
                  </w:tcBorders>
                  <w:vAlign w:val="center"/>
                </w:tcPr>
                <w:p w14:paraId="6630018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项目建成后排放量（固体废物产生量）（t/a）</w:t>
                  </w:r>
                </w:p>
              </w:tc>
              <w:tc>
                <w:tcPr>
                  <w:tcW w:w="1037" w:type="dxa"/>
                  <w:tcBorders>
                    <w:tl2br w:val="nil"/>
                    <w:tr2bl w:val="nil"/>
                  </w:tcBorders>
                  <w:vAlign w:val="center"/>
                </w:tcPr>
                <w:p w14:paraId="2CBB71D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项目建成后增减变化量（t/a）</w:t>
                  </w:r>
                </w:p>
              </w:tc>
            </w:tr>
            <w:tr w14:paraId="3AD621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22" w:type="dxa"/>
                  <w:vMerge w:val="restart"/>
                  <w:tcBorders>
                    <w:tl2br w:val="nil"/>
                    <w:tr2bl w:val="nil"/>
                  </w:tcBorders>
                  <w:vAlign w:val="center"/>
                </w:tcPr>
                <w:p w14:paraId="1CB4CADC">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大气</w:t>
                  </w:r>
                </w:p>
              </w:tc>
              <w:tc>
                <w:tcPr>
                  <w:tcW w:w="930" w:type="dxa"/>
                  <w:tcBorders>
                    <w:tl2br w:val="nil"/>
                    <w:tr2bl w:val="nil"/>
                  </w:tcBorders>
                  <w:vAlign w:val="center"/>
                </w:tcPr>
                <w:p w14:paraId="068DC09B">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颗粒物</w:t>
                  </w:r>
                </w:p>
              </w:tc>
              <w:tc>
                <w:tcPr>
                  <w:tcW w:w="1215" w:type="dxa"/>
                  <w:tcBorders>
                    <w:tl2br w:val="nil"/>
                    <w:tr2bl w:val="nil"/>
                  </w:tcBorders>
                  <w:vAlign w:val="center"/>
                </w:tcPr>
                <w:p w14:paraId="1F89AFB0">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14.322</w:t>
                  </w:r>
                </w:p>
              </w:tc>
              <w:tc>
                <w:tcPr>
                  <w:tcW w:w="1441" w:type="dxa"/>
                  <w:tcBorders>
                    <w:tl2br w:val="nil"/>
                    <w:tr2bl w:val="nil"/>
                  </w:tcBorders>
                  <w:vAlign w:val="center"/>
                </w:tcPr>
                <w:p w14:paraId="59697D33">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hAnsi="宋体" w:cs="宋体"/>
                      <w:snapToGrid w:val="0"/>
                      <w:color w:val="auto"/>
                      <w:kern w:val="21"/>
                      <w:sz w:val="18"/>
                      <w:szCs w:val="18"/>
                      <w:highlight w:val="none"/>
                      <w:lang w:val="en-US" w:eastAsia="zh-CN" w:bidi="ar-SA"/>
                    </w:rPr>
                    <w:t>0.880</w:t>
                  </w:r>
                </w:p>
              </w:tc>
              <w:tc>
                <w:tcPr>
                  <w:tcW w:w="1087" w:type="dxa"/>
                  <w:tcBorders>
                    <w:tl2br w:val="nil"/>
                    <w:tr2bl w:val="nil"/>
                  </w:tcBorders>
                  <w:vAlign w:val="center"/>
                </w:tcPr>
                <w:p w14:paraId="35D04B78">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14.322</w:t>
                  </w:r>
                </w:p>
              </w:tc>
              <w:tc>
                <w:tcPr>
                  <w:tcW w:w="1293" w:type="dxa"/>
                  <w:tcBorders>
                    <w:tl2br w:val="nil"/>
                    <w:tr2bl w:val="nil"/>
                  </w:tcBorders>
                  <w:vAlign w:val="center"/>
                </w:tcPr>
                <w:p w14:paraId="7D90EB2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hAnsi="宋体" w:cs="宋体"/>
                      <w:snapToGrid w:val="0"/>
                      <w:color w:val="auto"/>
                      <w:kern w:val="21"/>
                      <w:sz w:val="18"/>
                      <w:szCs w:val="18"/>
                      <w:highlight w:val="none"/>
                      <w:lang w:val="en-US" w:eastAsia="zh-CN" w:bidi="ar-SA"/>
                    </w:rPr>
                    <w:t>0.880</w:t>
                  </w:r>
                </w:p>
              </w:tc>
              <w:tc>
                <w:tcPr>
                  <w:tcW w:w="1037" w:type="dxa"/>
                  <w:tcBorders>
                    <w:tl2br w:val="nil"/>
                    <w:tr2bl w:val="nil"/>
                  </w:tcBorders>
                  <w:vAlign w:val="center"/>
                </w:tcPr>
                <w:p w14:paraId="5513FF49">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w:t>
                  </w:r>
                  <w:r>
                    <w:rPr>
                      <w:rFonts w:hint="eastAsia" w:hAnsi="宋体" w:cs="宋体"/>
                      <w:snapToGrid w:val="0"/>
                      <w:color w:val="auto"/>
                      <w:kern w:val="21"/>
                      <w:sz w:val="18"/>
                      <w:szCs w:val="18"/>
                      <w:highlight w:val="none"/>
                      <w:lang w:val="en-US" w:eastAsia="zh-CN" w:bidi="ar-SA"/>
                    </w:rPr>
                    <w:t>13.442</w:t>
                  </w:r>
                </w:p>
              </w:tc>
            </w:tr>
            <w:tr w14:paraId="656DA8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657640B0">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44688D1A">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SO</w:t>
                  </w:r>
                  <w:r>
                    <w:rPr>
                      <w:rFonts w:hint="default" w:ascii="Times New Roman" w:hAnsi="Times New Roman" w:eastAsia="宋体" w:cs="Times New Roman"/>
                      <w:b w:val="0"/>
                      <w:bCs w:val="0"/>
                      <w:color w:val="auto"/>
                      <w:sz w:val="18"/>
                      <w:szCs w:val="18"/>
                      <w:vertAlign w:val="subscript"/>
                      <w:lang w:val="en-US" w:eastAsia="zh-CN"/>
                    </w:rPr>
                    <w:t>2</w:t>
                  </w:r>
                </w:p>
              </w:tc>
              <w:tc>
                <w:tcPr>
                  <w:tcW w:w="1215" w:type="dxa"/>
                  <w:tcBorders>
                    <w:tl2br w:val="nil"/>
                    <w:tr2bl w:val="nil"/>
                  </w:tcBorders>
                  <w:vAlign w:val="center"/>
                </w:tcPr>
                <w:p w14:paraId="2DBE6FB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113.630</w:t>
                  </w:r>
                </w:p>
              </w:tc>
              <w:tc>
                <w:tcPr>
                  <w:tcW w:w="1441" w:type="dxa"/>
                  <w:tcBorders>
                    <w:tl2br w:val="nil"/>
                    <w:tr2bl w:val="nil"/>
                  </w:tcBorders>
                  <w:vAlign w:val="center"/>
                </w:tcPr>
                <w:p w14:paraId="7AD86684">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31.424</w:t>
                  </w:r>
                </w:p>
              </w:tc>
              <w:tc>
                <w:tcPr>
                  <w:tcW w:w="1087" w:type="dxa"/>
                  <w:tcBorders>
                    <w:tl2br w:val="nil"/>
                    <w:tr2bl w:val="nil"/>
                  </w:tcBorders>
                  <w:vAlign w:val="center"/>
                </w:tcPr>
                <w:p w14:paraId="44153587">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113.630</w:t>
                  </w:r>
                </w:p>
              </w:tc>
              <w:tc>
                <w:tcPr>
                  <w:tcW w:w="1293" w:type="dxa"/>
                  <w:tcBorders>
                    <w:tl2br w:val="nil"/>
                    <w:tr2bl w:val="nil"/>
                  </w:tcBorders>
                  <w:vAlign w:val="center"/>
                </w:tcPr>
                <w:p w14:paraId="282F8D4C">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31.424</w:t>
                  </w:r>
                </w:p>
              </w:tc>
              <w:tc>
                <w:tcPr>
                  <w:tcW w:w="1037" w:type="dxa"/>
                  <w:tcBorders>
                    <w:tl2br w:val="nil"/>
                    <w:tr2bl w:val="nil"/>
                  </w:tcBorders>
                  <w:vAlign w:val="center"/>
                </w:tcPr>
                <w:p w14:paraId="4877414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-82.206</w:t>
                  </w:r>
                </w:p>
              </w:tc>
            </w:tr>
            <w:tr w14:paraId="2BD2C3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17F722E1">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24A8047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NOx</w:t>
                  </w:r>
                </w:p>
              </w:tc>
              <w:tc>
                <w:tcPr>
                  <w:tcW w:w="1215" w:type="dxa"/>
                  <w:tcBorders>
                    <w:tl2br w:val="nil"/>
                    <w:tr2bl w:val="nil"/>
                  </w:tcBorders>
                  <w:vAlign w:val="center"/>
                </w:tcPr>
                <w:p w14:paraId="729321C0">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94.377</w:t>
                  </w:r>
                </w:p>
              </w:tc>
              <w:tc>
                <w:tcPr>
                  <w:tcW w:w="1441" w:type="dxa"/>
                  <w:tcBorders>
                    <w:tl2br w:val="nil"/>
                    <w:tr2bl w:val="nil"/>
                  </w:tcBorders>
                  <w:vAlign w:val="center"/>
                </w:tcPr>
                <w:p w14:paraId="5A9EA37C">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42.167</w:t>
                  </w:r>
                </w:p>
              </w:tc>
              <w:tc>
                <w:tcPr>
                  <w:tcW w:w="1087" w:type="dxa"/>
                  <w:tcBorders>
                    <w:tl2br w:val="nil"/>
                    <w:tr2bl w:val="nil"/>
                  </w:tcBorders>
                  <w:vAlign w:val="center"/>
                </w:tcPr>
                <w:p w14:paraId="2119BFA1">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94.377</w:t>
                  </w:r>
                </w:p>
              </w:tc>
              <w:tc>
                <w:tcPr>
                  <w:tcW w:w="1293" w:type="dxa"/>
                  <w:tcBorders>
                    <w:tl2br w:val="nil"/>
                    <w:tr2bl w:val="nil"/>
                  </w:tcBorders>
                  <w:vAlign w:val="center"/>
                </w:tcPr>
                <w:p w14:paraId="0B582E77">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42.167</w:t>
                  </w:r>
                </w:p>
              </w:tc>
              <w:tc>
                <w:tcPr>
                  <w:tcW w:w="1037" w:type="dxa"/>
                  <w:tcBorders>
                    <w:tl2br w:val="nil"/>
                    <w:tr2bl w:val="nil"/>
                  </w:tcBorders>
                  <w:vAlign w:val="center"/>
                </w:tcPr>
                <w:p w14:paraId="5C5C04A6">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-52.21</w:t>
                  </w:r>
                </w:p>
              </w:tc>
            </w:tr>
            <w:tr w14:paraId="35F495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22A8148A">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4E8A741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氨</w:t>
                  </w:r>
                </w:p>
              </w:tc>
              <w:tc>
                <w:tcPr>
                  <w:tcW w:w="1215" w:type="dxa"/>
                  <w:tcBorders>
                    <w:tl2br w:val="nil"/>
                    <w:tr2bl w:val="nil"/>
                  </w:tcBorders>
                  <w:vAlign w:val="center"/>
                </w:tcPr>
                <w:p w14:paraId="362CF17F">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0</w:t>
                  </w:r>
                </w:p>
              </w:tc>
              <w:tc>
                <w:tcPr>
                  <w:tcW w:w="1441" w:type="dxa"/>
                  <w:tcBorders>
                    <w:tl2br w:val="nil"/>
                    <w:tr2bl w:val="nil"/>
                  </w:tcBorders>
                  <w:vAlign w:val="center"/>
                </w:tcPr>
                <w:p w14:paraId="6DAA6A81">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5.544</w:t>
                  </w:r>
                </w:p>
              </w:tc>
              <w:tc>
                <w:tcPr>
                  <w:tcW w:w="1087" w:type="dxa"/>
                  <w:tcBorders>
                    <w:tl2br w:val="nil"/>
                    <w:tr2bl w:val="nil"/>
                  </w:tcBorders>
                  <w:vAlign w:val="center"/>
                </w:tcPr>
                <w:p w14:paraId="5E6DCE2F">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0</w:t>
                  </w:r>
                </w:p>
              </w:tc>
              <w:tc>
                <w:tcPr>
                  <w:tcW w:w="1293" w:type="dxa"/>
                  <w:tcBorders>
                    <w:tl2br w:val="nil"/>
                    <w:tr2bl w:val="nil"/>
                  </w:tcBorders>
                  <w:vAlign w:val="center"/>
                </w:tcPr>
                <w:p w14:paraId="0134097C">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5.544</w:t>
                  </w:r>
                </w:p>
              </w:tc>
              <w:tc>
                <w:tcPr>
                  <w:tcW w:w="1037" w:type="dxa"/>
                  <w:tcBorders>
                    <w:tl2br w:val="nil"/>
                    <w:tr2bl w:val="nil"/>
                  </w:tcBorders>
                  <w:vAlign w:val="center"/>
                </w:tcPr>
                <w:p w14:paraId="1C43384A">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宋体" w:eastAsia="宋体" w:cs="宋体"/>
                      <w:snapToGrid w:val="0"/>
                      <w:color w:val="auto"/>
                      <w:kern w:val="21"/>
                      <w:sz w:val="18"/>
                      <w:szCs w:val="18"/>
                      <w:highlight w:val="none"/>
                      <w:lang w:val="en-US" w:eastAsia="zh-CN" w:bidi="ar-SA"/>
                    </w:rPr>
                    <w:t>+5.544</w:t>
                  </w:r>
                </w:p>
              </w:tc>
            </w:tr>
            <w:tr w14:paraId="320CF3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restart"/>
                  <w:tcBorders>
                    <w:tl2br w:val="nil"/>
                    <w:tr2bl w:val="nil"/>
                  </w:tcBorders>
                  <w:vAlign w:val="center"/>
                </w:tcPr>
                <w:p w14:paraId="668CE0C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废水</w:t>
                  </w:r>
                </w:p>
              </w:tc>
              <w:tc>
                <w:tcPr>
                  <w:tcW w:w="930" w:type="dxa"/>
                  <w:tcBorders>
                    <w:tl2br w:val="nil"/>
                    <w:tr2bl w:val="nil"/>
                  </w:tcBorders>
                  <w:vAlign w:val="center"/>
                </w:tcPr>
                <w:p w14:paraId="16F9077E">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废水量</w:t>
                  </w:r>
                </w:p>
              </w:tc>
              <w:tc>
                <w:tcPr>
                  <w:tcW w:w="1215" w:type="dxa"/>
                  <w:tcBorders>
                    <w:tl2br w:val="nil"/>
                    <w:tr2bl w:val="nil"/>
                  </w:tcBorders>
                  <w:vAlign w:val="center"/>
                </w:tcPr>
                <w:p w14:paraId="73A4B10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441" w:type="dxa"/>
                  <w:tcBorders>
                    <w:tl2br w:val="nil"/>
                    <w:tr2bl w:val="nil"/>
                  </w:tcBorders>
                  <w:vAlign w:val="center"/>
                </w:tcPr>
                <w:p w14:paraId="345814B5">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87" w:type="dxa"/>
                  <w:tcBorders>
                    <w:tl2br w:val="nil"/>
                    <w:tr2bl w:val="nil"/>
                  </w:tcBorders>
                  <w:vAlign w:val="center"/>
                </w:tcPr>
                <w:p w14:paraId="20043B4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293" w:type="dxa"/>
                  <w:tcBorders>
                    <w:tl2br w:val="nil"/>
                    <w:tr2bl w:val="nil"/>
                  </w:tcBorders>
                  <w:vAlign w:val="center"/>
                </w:tcPr>
                <w:p w14:paraId="76A199CA">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37" w:type="dxa"/>
                  <w:tcBorders>
                    <w:tl2br w:val="nil"/>
                    <w:tr2bl w:val="nil"/>
                  </w:tcBorders>
                  <w:vAlign w:val="center"/>
                </w:tcPr>
                <w:p w14:paraId="6BA4ABF6">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r>
            <w:tr w14:paraId="5AEFC5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5454CE1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4B33D08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COD</w:t>
                  </w:r>
                  <w:r>
                    <w:rPr>
                      <w:rFonts w:hint="default" w:ascii="Times New Roman" w:hAnsi="Times New Roman" w:eastAsia="宋体" w:cs="Times New Roman"/>
                      <w:b w:val="0"/>
                      <w:bCs w:val="0"/>
                      <w:color w:val="auto"/>
                      <w:sz w:val="18"/>
                      <w:szCs w:val="18"/>
                      <w:vertAlign w:val="subscript"/>
                      <w:lang w:val="en-US" w:eastAsia="zh-CN"/>
                    </w:rPr>
                    <w:t>Cr</w:t>
                  </w:r>
                </w:p>
              </w:tc>
              <w:tc>
                <w:tcPr>
                  <w:tcW w:w="1215" w:type="dxa"/>
                  <w:tcBorders>
                    <w:tl2br w:val="nil"/>
                    <w:tr2bl w:val="nil"/>
                  </w:tcBorders>
                  <w:vAlign w:val="center"/>
                </w:tcPr>
                <w:p w14:paraId="627CBCA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441" w:type="dxa"/>
                  <w:tcBorders>
                    <w:tl2br w:val="nil"/>
                    <w:tr2bl w:val="nil"/>
                  </w:tcBorders>
                  <w:vAlign w:val="center"/>
                </w:tcPr>
                <w:p w14:paraId="52C8B8F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87" w:type="dxa"/>
                  <w:tcBorders>
                    <w:tl2br w:val="nil"/>
                    <w:tr2bl w:val="nil"/>
                  </w:tcBorders>
                  <w:vAlign w:val="center"/>
                </w:tcPr>
                <w:p w14:paraId="12AD731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293" w:type="dxa"/>
                  <w:tcBorders>
                    <w:tl2br w:val="nil"/>
                    <w:tr2bl w:val="nil"/>
                  </w:tcBorders>
                  <w:vAlign w:val="center"/>
                </w:tcPr>
                <w:p w14:paraId="40AED24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37" w:type="dxa"/>
                  <w:tcBorders>
                    <w:tl2br w:val="nil"/>
                    <w:tr2bl w:val="nil"/>
                  </w:tcBorders>
                  <w:vAlign w:val="center"/>
                </w:tcPr>
                <w:p w14:paraId="6A36339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r>
            <w:tr w14:paraId="21FF7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34FFA98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66FF8B09">
                  <w:pPr>
                    <w:keepNext w:val="0"/>
                    <w:keepLines w:val="0"/>
                    <w:widowControl/>
                    <w:suppressLineNumbers w:val="0"/>
                    <w:jc w:val="left"/>
                    <w:rPr>
                      <w:rFonts w:hint="eastAsia" w:ascii="宋体" w:hAnsi="宋体" w:eastAsia="宋体" w:cs="宋体"/>
                      <w:b w:val="0"/>
                      <w:bCs w:val="0"/>
                      <w:color w:val="auto"/>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NH</w:t>
                  </w:r>
                  <w:r>
                    <w:rPr>
                      <w:rFonts w:hint="default" w:ascii="Times New Roman" w:hAnsi="Times New Roman" w:eastAsia="宋体" w:cs="Times New Roman"/>
                      <w:color w:val="000000"/>
                      <w:kern w:val="0"/>
                      <w:sz w:val="18"/>
                      <w:szCs w:val="18"/>
                      <w:vertAlign w:val="subscript"/>
                      <w:lang w:val="en-US" w:eastAsia="zh-CN" w:bidi="ar"/>
                    </w:rPr>
                    <w:t>3</w:t>
                  </w:r>
                  <w:r>
                    <w:rPr>
                      <w:rFonts w:hint="default" w:ascii="Times New Roman" w:hAnsi="Times New Roman" w:eastAsia="宋体" w:cs="Times New Roman"/>
                      <w:color w:val="000000"/>
                      <w:kern w:val="0"/>
                      <w:sz w:val="18"/>
                      <w:szCs w:val="18"/>
                      <w:lang w:val="en-US" w:eastAsia="zh-CN" w:bidi="ar"/>
                    </w:rPr>
                    <w:t>-N</w:t>
                  </w:r>
                </w:p>
              </w:tc>
              <w:tc>
                <w:tcPr>
                  <w:tcW w:w="1215" w:type="dxa"/>
                  <w:tcBorders>
                    <w:tl2br w:val="nil"/>
                    <w:tr2bl w:val="nil"/>
                  </w:tcBorders>
                  <w:vAlign w:val="center"/>
                </w:tcPr>
                <w:p w14:paraId="6E65B84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441" w:type="dxa"/>
                  <w:tcBorders>
                    <w:tl2br w:val="nil"/>
                    <w:tr2bl w:val="nil"/>
                  </w:tcBorders>
                  <w:vAlign w:val="center"/>
                </w:tcPr>
                <w:p w14:paraId="38E7AA9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87" w:type="dxa"/>
                  <w:tcBorders>
                    <w:tl2br w:val="nil"/>
                    <w:tr2bl w:val="nil"/>
                  </w:tcBorders>
                  <w:vAlign w:val="center"/>
                </w:tcPr>
                <w:p w14:paraId="023C64B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293" w:type="dxa"/>
                  <w:tcBorders>
                    <w:tl2br w:val="nil"/>
                    <w:tr2bl w:val="nil"/>
                  </w:tcBorders>
                  <w:vAlign w:val="center"/>
                </w:tcPr>
                <w:p w14:paraId="52353ACD">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37" w:type="dxa"/>
                  <w:tcBorders>
                    <w:tl2br w:val="nil"/>
                    <w:tr2bl w:val="nil"/>
                  </w:tcBorders>
                  <w:vAlign w:val="center"/>
                </w:tcPr>
                <w:p w14:paraId="43683E3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r>
            <w:tr w14:paraId="71E51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restart"/>
                  <w:tcBorders>
                    <w:tl2br w:val="nil"/>
                    <w:tr2bl w:val="nil"/>
                  </w:tcBorders>
                  <w:vAlign w:val="center"/>
                </w:tcPr>
                <w:p w14:paraId="319FA88F">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固废</w:t>
                  </w:r>
                </w:p>
              </w:tc>
              <w:tc>
                <w:tcPr>
                  <w:tcW w:w="930" w:type="dxa"/>
                  <w:tcBorders>
                    <w:tl2br w:val="nil"/>
                    <w:tr2bl w:val="nil"/>
                  </w:tcBorders>
                  <w:vAlign w:val="center"/>
                </w:tcPr>
                <w:p w14:paraId="1EE6D35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废过滤介质</w:t>
                  </w:r>
                </w:p>
              </w:tc>
              <w:tc>
                <w:tcPr>
                  <w:tcW w:w="1215" w:type="dxa"/>
                  <w:tcBorders>
                    <w:tl2br w:val="nil"/>
                    <w:tr2bl w:val="nil"/>
                  </w:tcBorders>
                  <w:vAlign w:val="center"/>
                </w:tcPr>
                <w:p w14:paraId="6228D75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w:t>
                  </w:r>
                </w:p>
              </w:tc>
              <w:tc>
                <w:tcPr>
                  <w:tcW w:w="1441" w:type="dxa"/>
                  <w:tcBorders>
                    <w:tl2br w:val="nil"/>
                    <w:tr2bl w:val="nil"/>
                  </w:tcBorders>
                  <w:vAlign w:val="center"/>
                </w:tcPr>
                <w:p w14:paraId="6FE916AD">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1.5</w:t>
                  </w:r>
                </w:p>
              </w:tc>
              <w:tc>
                <w:tcPr>
                  <w:tcW w:w="1087" w:type="dxa"/>
                  <w:tcBorders>
                    <w:tl2br w:val="nil"/>
                    <w:tr2bl w:val="nil"/>
                  </w:tcBorders>
                  <w:vAlign w:val="center"/>
                </w:tcPr>
                <w:p w14:paraId="79C0555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2.0</w:t>
                  </w:r>
                </w:p>
              </w:tc>
              <w:tc>
                <w:tcPr>
                  <w:tcW w:w="1293" w:type="dxa"/>
                  <w:tcBorders>
                    <w:tl2br w:val="nil"/>
                    <w:tr2bl w:val="nil"/>
                  </w:tcBorders>
                  <w:vAlign w:val="center"/>
                </w:tcPr>
                <w:p w14:paraId="0E88B65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1.5</w:t>
                  </w:r>
                </w:p>
              </w:tc>
              <w:tc>
                <w:tcPr>
                  <w:tcW w:w="1037" w:type="dxa"/>
                  <w:tcBorders>
                    <w:tl2br w:val="nil"/>
                    <w:tr2bl w:val="nil"/>
                  </w:tcBorders>
                  <w:vAlign w:val="center"/>
                </w:tcPr>
                <w:p w14:paraId="2ABE8F3F">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0.5</w:t>
                  </w:r>
                </w:p>
              </w:tc>
            </w:tr>
            <w:tr w14:paraId="7AF883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3EEDB16D">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734F7E7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废树脂</w:t>
                  </w:r>
                </w:p>
              </w:tc>
              <w:tc>
                <w:tcPr>
                  <w:tcW w:w="1215" w:type="dxa"/>
                  <w:tcBorders>
                    <w:tl2br w:val="nil"/>
                    <w:tr2bl w:val="nil"/>
                  </w:tcBorders>
                  <w:vAlign w:val="center"/>
                </w:tcPr>
                <w:p w14:paraId="6F74284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0.2</w:t>
                  </w:r>
                </w:p>
              </w:tc>
              <w:tc>
                <w:tcPr>
                  <w:tcW w:w="1441" w:type="dxa"/>
                  <w:tcBorders>
                    <w:tl2br w:val="nil"/>
                    <w:tr2bl w:val="nil"/>
                  </w:tcBorders>
                  <w:vAlign w:val="center"/>
                </w:tcPr>
                <w:p w14:paraId="7B7ED966">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1.2</w:t>
                  </w:r>
                </w:p>
              </w:tc>
              <w:tc>
                <w:tcPr>
                  <w:tcW w:w="1087" w:type="dxa"/>
                  <w:tcBorders>
                    <w:tl2br w:val="nil"/>
                    <w:tr2bl w:val="nil"/>
                  </w:tcBorders>
                  <w:vAlign w:val="center"/>
                </w:tcPr>
                <w:p w14:paraId="2AD0C1D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0.2</w:t>
                  </w:r>
                </w:p>
              </w:tc>
              <w:tc>
                <w:tcPr>
                  <w:tcW w:w="1293" w:type="dxa"/>
                  <w:tcBorders>
                    <w:tl2br w:val="nil"/>
                    <w:tr2bl w:val="nil"/>
                  </w:tcBorders>
                  <w:vAlign w:val="center"/>
                </w:tcPr>
                <w:p w14:paraId="1476116C">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1.2</w:t>
                  </w:r>
                </w:p>
              </w:tc>
              <w:tc>
                <w:tcPr>
                  <w:tcW w:w="1037" w:type="dxa"/>
                  <w:tcBorders>
                    <w:tl2br w:val="nil"/>
                    <w:tr2bl w:val="nil"/>
                  </w:tcBorders>
                  <w:vAlign w:val="center"/>
                </w:tcPr>
                <w:p w14:paraId="358B457E">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1.0</w:t>
                  </w:r>
                </w:p>
              </w:tc>
            </w:tr>
            <w:tr w14:paraId="07138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313B746A">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396CE25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脱硫石膏</w:t>
                  </w:r>
                </w:p>
              </w:tc>
              <w:tc>
                <w:tcPr>
                  <w:tcW w:w="1215" w:type="dxa"/>
                  <w:tcBorders>
                    <w:tl2br w:val="nil"/>
                    <w:tr2bl w:val="nil"/>
                  </w:tcBorders>
                  <w:vAlign w:val="center"/>
                </w:tcPr>
                <w:p w14:paraId="425CCAD1">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441" w:type="dxa"/>
                  <w:tcBorders>
                    <w:tl2br w:val="nil"/>
                    <w:tr2bl w:val="nil"/>
                  </w:tcBorders>
                  <w:vAlign w:val="center"/>
                </w:tcPr>
                <w:p w14:paraId="0E524036">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087" w:type="dxa"/>
                  <w:tcBorders>
                    <w:tl2br w:val="nil"/>
                    <w:tr2bl w:val="nil"/>
                  </w:tcBorders>
                  <w:vAlign w:val="center"/>
                </w:tcPr>
                <w:p w14:paraId="1B54259D">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293" w:type="dxa"/>
                  <w:tcBorders>
                    <w:tl2br w:val="nil"/>
                    <w:tr2bl w:val="nil"/>
                  </w:tcBorders>
                  <w:vAlign w:val="center"/>
                </w:tcPr>
                <w:p w14:paraId="3BDA911B">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1317.16</w:t>
                  </w:r>
                </w:p>
              </w:tc>
              <w:tc>
                <w:tcPr>
                  <w:tcW w:w="1037" w:type="dxa"/>
                  <w:tcBorders>
                    <w:tl2br w:val="nil"/>
                    <w:tr2bl w:val="nil"/>
                  </w:tcBorders>
                  <w:vAlign w:val="center"/>
                </w:tcPr>
                <w:p w14:paraId="6B947C8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1317.16</w:t>
                  </w:r>
                </w:p>
              </w:tc>
            </w:tr>
            <w:tr w14:paraId="26AD8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58A4564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28F288C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脱硫灰</w:t>
                  </w:r>
                </w:p>
              </w:tc>
              <w:tc>
                <w:tcPr>
                  <w:tcW w:w="1215" w:type="dxa"/>
                  <w:tcBorders>
                    <w:tl2br w:val="nil"/>
                    <w:tr2bl w:val="nil"/>
                  </w:tcBorders>
                  <w:vAlign w:val="center"/>
                </w:tcPr>
                <w:p w14:paraId="62CE455F">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p>
              </w:tc>
              <w:tc>
                <w:tcPr>
                  <w:tcW w:w="1441" w:type="dxa"/>
                  <w:tcBorders>
                    <w:tl2br w:val="nil"/>
                    <w:tr2bl w:val="nil"/>
                  </w:tcBorders>
                  <w:vAlign w:val="center"/>
                </w:tcPr>
                <w:p w14:paraId="5416974A">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color w:val="auto"/>
                      <w:kern w:val="0"/>
                      <w:sz w:val="18"/>
                      <w:szCs w:val="18"/>
                      <w:vertAlign w:val="baseline"/>
                      <w:lang w:val="en-US" w:eastAsia="zh-CN"/>
                    </w:rPr>
                    <w:t>1129.93</w:t>
                  </w:r>
                </w:p>
              </w:tc>
              <w:tc>
                <w:tcPr>
                  <w:tcW w:w="1087" w:type="dxa"/>
                  <w:tcBorders>
                    <w:tl2br w:val="nil"/>
                    <w:tr2bl w:val="nil"/>
                  </w:tcBorders>
                  <w:vAlign w:val="center"/>
                </w:tcPr>
                <w:p w14:paraId="7E82E6D5">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293" w:type="dxa"/>
                  <w:tcBorders>
                    <w:tl2br w:val="nil"/>
                    <w:tr2bl w:val="nil"/>
                  </w:tcBorders>
                  <w:vAlign w:val="center"/>
                </w:tcPr>
                <w:p w14:paraId="35C610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cs="Times New Roman"/>
                      <w:color w:val="auto"/>
                      <w:kern w:val="0"/>
                      <w:sz w:val="18"/>
                      <w:szCs w:val="18"/>
                      <w:vertAlign w:val="baseline"/>
                      <w:lang w:val="en-US" w:eastAsia="zh-CN"/>
                    </w:rPr>
                    <w:t>1129.93</w:t>
                  </w:r>
                </w:p>
              </w:tc>
              <w:tc>
                <w:tcPr>
                  <w:tcW w:w="1037" w:type="dxa"/>
                  <w:tcBorders>
                    <w:tl2br w:val="nil"/>
                    <w:tr2bl w:val="nil"/>
                  </w:tcBorders>
                  <w:vAlign w:val="center"/>
                </w:tcPr>
                <w:p w14:paraId="05B123A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cs="Times New Roman"/>
                      <w:color w:val="auto"/>
                      <w:kern w:val="0"/>
                      <w:sz w:val="18"/>
                      <w:szCs w:val="18"/>
                      <w:vertAlign w:val="baseline"/>
                      <w:lang w:val="en-US" w:eastAsia="zh-CN"/>
                    </w:rPr>
                    <w:t>1129.93</w:t>
                  </w:r>
                </w:p>
              </w:tc>
            </w:tr>
            <w:tr w14:paraId="193E9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1DD9C4B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2F5FB41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废润滑油</w:t>
                  </w:r>
                </w:p>
              </w:tc>
              <w:tc>
                <w:tcPr>
                  <w:tcW w:w="1215" w:type="dxa"/>
                  <w:tcBorders>
                    <w:tl2br w:val="nil"/>
                    <w:tr2bl w:val="nil"/>
                  </w:tcBorders>
                  <w:vAlign w:val="center"/>
                </w:tcPr>
                <w:p w14:paraId="1AC8D7F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0.03</w:t>
                  </w:r>
                </w:p>
              </w:tc>
              <w:tc>
                <w:tcPr>
                  <w:tcW w:w="1441" w:type="dxa"/>
                  <w:tcBorders>
                    <w:tl2br w:val="nil"/>
                    <w:tr2bl w:val="nil"/>
                  </w:tcBorders>
                  <w:vAlign w:val="center"/>
                </w:tcPr>
                <w:p w14:paraId="1B47EE36">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0.45</w:t>
                  </w:r>
                </w:p>
              </w:tc>
              <w:tc>
                <w:tcPr>
                  <w:tcW w:w="1087" w:type="dxa"/>
                  <w:tcBorders>
                    <w:tl2br w:val="nil"/>
                    <w:tr2bl w:val="nil"/>
                  </w:tcBorders>
                  <w:vAlign w:val="center"/>
                </w:tcPr>
                <w:p w14:paraId="4C4D5E8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0.03</w:t>
                  </w:r>
                </w:p>
              </w:tc>
              <w:tc>
                <w:tcPr>
                  <w:tcW w:w="1293" w:type="dxa"/>
                  <w:tcBorders>
                    <w:tl2br w:val="nil"/>
                    <w:tr2bl w:val="nil"/>
                  </w:tcBorders>
                  <w:vAlign w:val="center"/>
                </w:tcPr>
                <w:p w14:paraId="2E069C51">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0.45</w:t>
                  </w:r>
                </w:p>
              </w:tc>
              <w:tc>
                <w:tcPr>
                  <w:tcW w:w="1037" w:type="dxa"/>
                  <w:tcBorders>
                    <w:tl2br w:val="nil"/>
                    <w:tr2bl w:val="nil"/>
                  </w:tcBorders>
                  <w:vAlign w:val="center"/>
                </w:tcPr>
                <w:p w14:paraId="69AAB95D">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w:t>
                  </w:r>
                  <w:r>
                    <w:rPr>
                      <w:rFonts w:hint="eastAsia" w:cs="Times New Roman"/>
                      <w:b w:val="0"/>
                      <w:bCs w:val="0"/>
                      <w:color w:val="auto"/>
                      <w:sz w:val="18"/>
                      <w:szCs w:val="18"/>
                      <w:vertAlign w:val="baseline"/>
                      <w:lang w:val="en-US" w:eastAsia="zh-CN"/>
                    </w:rPr>
                    <w:t>42</w:t>
                  </w:r>
                </w:p>
              </w:tc>
            </w:tr>
            <w:tr w14:paraId="1EA889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15C09FB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303956F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废乳化油</w:t>
                  </w:r>
                </w:p>
              </w:tc>
              <w:tc>
                <w:tcPr>
                  <w:tcW w:w="1215" w:type="dxa"/>
                  <w:tcBorders>
                    <w:tl2br w:val="nil"/>
                    <w:tr2bl w:val="nil"/>
                  </w:tcBorders>
                  <w:vAlign w:val="center"/>
                </w:tcPr>
                <w:p w14:paraId="68A71DF5">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441" w:type="dxa"/>
                  <w:tcBorders>
                    <w:tl2br w:val="nil"/>
                    <w:tr2bl w:val="nil"/>
                  </w:tcBorders>
                  <w:vAlign w:val="center"/>
                </w:tcPr>
                <w:p w14:paraId="2046198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2.0</w:t>
                  </w:r>
                </w:p>
              </w:tc>
              <w:tc>
                <w:tcPr>
                  <w:tcW w:w="1087" w:type="dxa"/>
                  <w:tcBorders>
                    <w:tl2br w:val="nil"/>
                    <w:tr2bl w:val="nil"/>
                  </w:tcBorders>
                  <w:vAlign w:val="center"/>
                </w:tcPr>
                <w:p w14:paraId="056480D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293" w:type="dxa"/>
                  <w:tcBorders>
                    <w:tl2br w:val="nil"/>
                    <w:tr2bl w:val="nil"/>
                  </w:tcBorders>
                  <w:vAlign w:val="center"/>
                </w:tcPr>
                <w:p w14:paraId="05678DE3">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2.0</w:t>
                  </w:r>
                </w:p>
              </w:tc>
              <w:tc>
                <w:tcPr>
                  <w:tcW w:w="1037" w:type="dxa"/>
                  <w:tcBorders>
                    <w:tl2br w:val="nil"/>
                    <w:tr2bl w:val="nil"/>
                  </w:tcBorders>
                  <w:vAlign w:val="center"/>
                </w:tcPr>
                <w:p w14:paraId="3C148A9D">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2.0</w:t>
                  </w:r>
                </w:p>
              </w:tc>
            </w:tr>
            <w:tr w14:paraId="48F18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4AF391F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2C36C1B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危化品包装桶</w:t>
                  </w:r>
                </w:p>
              </w:tc>
              <w:tc>
                <w:tcPr>
                  <w:tcW w:w="1215" w:type="dxa"/>
                  <w:tcBorders>
                    <w:tl2br w:val="nil"/>
                    <w:tr2bl w:val="nil"/>
                  </w:tcBorders>
                  <w:vAlign w:val="center"/>
                </w:tcPr>
                <w:p w14:paraId="0C8D2BC0">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c>
                <w:tcPr>
                  <w:tcW w:w="1441" w:type="dxa"/>
                  <w:tcBorders>
                    <w:tl2br w:val="nil"/>
                    <w:tr2bl w:val="nil"/>
                  </w:tcBorders>
                  <w:vAlign w:val="center"/>
                </w:tcPr>
                <w:p w14:paraId="422E64C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2.5</w:t>
                  </w:r>
                </w:p>
              </w:tc>
              <w:tc>
                <w:tcPr>
                  <w:tcW w:w="1087" w:type="dxa"/>
                  <w:tcBorders>
                    <w:tl2br w:val="nil"/>
                    <w:tr2bl w:val="nil"/>
                  </w:tcBorders>
                  <w:vAlign w:val="center"/>
                </w:tcPr>
                <w:p w14:paraId="75F24808">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0.01</w:t>
                  </w:r>
                </w:p>
              </w:tc>
              <w:tc>
                <w:tcPr>
                  <w:tcW w:w="1293" w:type="dxa"/>
                  <w:tcBorders>
                    <w:tl2br w:val="nil"/>
                    <w:tr2bl w:val="nil"/>
                  </w:tcBorders>
                  <w:vAlign w:val="center"/>
                </w:tcPr>
                <w:p w14:paraId="52D01D0B">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2.5</w:t>
                  </w:r>
                </w:p>
              </w:tc>
              <w:tc>
                <w:tcPr>
                  <w:tcW w:w="1037" w:type="dxa"/>
                  <w:tcBorders>
                    <w:tl2br w:val="nil"/>
                    <w:tr2bl w:val="nil"/>
                  </w:tcBorders>
                  <w:vAlign w:val="center"/>
                </w:tcPr>
                <w:p w14:paraId="49B15D12">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2.49</w:t>
                  </w:r>
                </w:p>
              </w:tc>
            </w:tr>
            <w:tr w14:paraId="49A55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tcBorders>
                    <w:tl2br w:val="nil"/>
                    <w:tr2bl w:val="nil"/>
                  </w:tcBorders>
                  <w:vAlign w:val="center"/>
                </w:tcPr>
                <w:p w14:paraId="6F9E1CF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val="0"/>
                      <w:color w:val="auto"/>
                      <w:sz w:val="18"/>
                      <w:szCs w:val="18"/>
                      <w:vertAlign w:val="baseline"/>
                      <w:lang w:val="en-US" w:eastAsia="zh-CN"/>
                    </w:rPr>
                  </w:pPr>
                </w:p>
              </w:tc>
              <w:tc>
                <w:tcPr>
                  <w:tcW w:w="930" w:type="dxa"/>
                  <w:tcBorders>
                    <w:tl2br w:val="nil"/>
                    <w:tr2bl w:val="nil"/>
                  </w:tcBorders>
                  <w:vAlign w:val="center"/>
                </w:tcPr>
                <w:p w14:paraId="53BAE5D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废催化剂</w:t>
                  </w:r>
                </w:p>
              </w:tc>
              <w:tc>
                <w:tcPr>
                  <w:tcW w:w="1215" w:type="dxa"/>
                  <w:tcBorders>
                    <w:tl2br w:val="nil"/>
                    <w:tr2bl w:val="nil"/>
                  </w:tcBorders>
                  <w:vAlign w:val="center"/>
                </w:tcPr>
                <w:p w14:paraId="73B353F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441" w:type="dxa"/>
                  <w:tcBorders>
                    <w:tl2br w:val="nil"/>
                    <w:tr2bl w:val="nil"/>
                  </w:tcBorders>
                  <w:vAlign w:val="center"/>
                </w:tcPr>
                <w:p w14:paraId="74C32034">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40.58</w:t>
                  </w:r>
                </w:p>
              </w:tc>
              <w:tc>
                <w:tcPr>
                  <w:tcW w:w="1087" w:type="dxa"/>
                  <w:tcBorders>
                    <w:tl2br w:val="nil"/>
                    <w:tr2bl w:val="nil"/>
                  </w:tcBorders>
                  <w:vAlign w:val="center"/>
                </w:tcPr>
                <w:p w14:paraId="2A62C4FF">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0</w:t>
                  </w:r>
                </w:p>
              </w:tc>
              <w:tc>
                <w:tcPr>
                  <w:tcW w:w="1293" w:type="dxa"/>
                  <w:tcBorders>
                    <w:tl2br w:val="nil"/>
                    <w:tr2bl w:val="nil"/>
                  </w:tcBorders>
                  <w:vAlign w:val="center"/>
                </w:tcPr>
                <w:p w14:paraId="6967C2E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40.58</w:t>
                  </w:r>
                </w:p>
              </w:tc>
              <w:tc>
                <w:tcPr>
                  <w:tcW w:w="1037" w:type="dxa"/>
                  <w:tcBorders>
                    <w:tl2br w:val="nil"/>
                    <w:tr2bl w:val="nil"/>
                  </w:tcBorders>
                  <w:vAlign w:val="center"/>
                </w:tcPr>
                <w:p w14:paraId="7C80B46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40.58</w:t>
                  </w:r>
                </w:p>
              </w:tc>
            </w:tr>
            <w:tr w14:paraId="37D48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5" w:type="dxa"/>
                  <w:gridSpan w:val="7"/>
                  <w:tcBorders>
                    <w:tl2br w:val="nil"/>
                    <w:tr2bl w:val="nil"/>
                  </w:tcBorders>
                  <w:vAlign w:val="center"/>
                </w:tcPr>
                <w:p w14:paraId="2671DA47">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备注：本次核算只针对现有电站。</w:t>
                  </w:r>
                </w:p>
              </w:tc>
            </w:tr>
          </w:tbl>
          <w:p w14:paraId="50D9DFBC">
            <w:pPr>
              <w:pStyle w:val="23"/>
              <w:ind w:left="0" w:leftChars="0" w:firstLine="0" w:firstLineChars="0"/>
              <w:rPr>
                <w:rFonts w:hint="eastAsia" w:cs="Times New Roman"/>
                <w:b/>
                <w:bCs/>
                <w:color w:val="auto"/>
                <w:sz w:val="24"/>
                <w:szCs w:val="24"/>
                <w:lang w:val="en-US" w:eastAsia="zh-CN"/>
              </w:rPr>
            </w:pPr>
          </w:p>
          <w:p w14:paraId="483C743B">
            <w:pPr>
              <w:pStyle w:val="23"/>
              <w:rPr>
                <w:rFonts w:hint="eastAsia" w:cs="Times New Roman"/>
                <w:b/>
                <w:bCs/>
                <w:color w:val="auto"/>
                <w:sz w:val="24"/>
                <w:szCs w:val="24"/>
                <w:lang w:val="en-US" w:eastAsia="zh-CN"/>
              </w:rPr>
            </w:pPr>
          </w:p>
          <w:p w14:paraId="61ED3675">
            <w:pPr>
              <w:pStyle w:val="23"/>
              <w:ind w:left="0" w:leftChars="0" w:firstLine="0" w:firstLineChars="0"/>
              <w:rPr>
                <w:rFonts w:hint="eastAsia"/>
                <w:lang w:val="en-US" w:eastAsia="zh-CN"/>
              </w:rPr>
            </w:pPr>
          </w:p>
          <w:p w14:paraId="6E3604C8">
            <w:pPr>
              <w:pStyle w:val="23"/>
              <w:ind w:left="0" w:leftChars="0" w:firstLine="0" w:firstLineChars="0"/>
              <w:rPr>
                <w:rFonts w:hint="eastAsia"/>
                <w:lang w:val="en-US" w:eastAsia="zh-CN"/>
              </w:rPr>
            </w:pPr>
          </w:p>
          <w:p w14:paraId="673977EE">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555113AA">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58C48CE7">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15700BFA">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2DC023ED">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2210D3CF">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44DB44C1">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0AFAFC19">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031AFDFB">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248EEFFE">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3A2F66F0">
            <w:pPr>
              <w:pStyle w:val="23"/>
              <w:keepNext w:val="0"/>
              <w:keepLines w:val="0"/>
              <w:pageBreakBefore w:val="0"/>
              <w:widowControl w:val="0"/>
              <w:kinsoku/>
              <w:wordWrap/>
              <w:overflowPunct/>
              <w:topLinePunct w:val="0"/>
              <w:autoSpaceDE/>
              <w:autoSpaceDN/>
              <w:bidi w:val="0"/>
              <w:adjustRightInd/>
              <w:snapToGrid w:val="0"/>
              <w:ind w:left="0" w:leftChars="0" w:firstLine="0" w:firstLineChars="0"/>
              <w:jc w:val="both"/>
              <w:textAlignment w:val="auto"/>
              <w:rPr>
                <w:rFonts w:hint="eastAsia"/>
                <w:lang w:val="en-US" w:eastAsia="zh-CN"/>
              </w:rPr>
            </w:pPr>
          </w:p>
          <w:p w14:paraId="2723F122">
            <w:pPr>
              <w:pStyle w:val="23"/>
              <w:ind w:left="0" w:leftChars="0" w:firstLine="0" w:firstLineChars="0"/>
              <w:rPr>
                <w:rFonts w:hint="eastAsia"/>
                <w:lang w:val="en-US" w:eastAsia="zh-CN"/>
              </w:rPr>
            </w:pPr>
          </w:p>
          <w:p w14:paraId="1ECE06E4">
            <w:pPr>
              <w:pStyle w:val="23"/>
              <w:ind w:left="0" w:leftChars="0" w:firstLine="0" w:firstLineChars="0"/>
              <w:rPr>
                <w:rFonts w:hint="eastAsia"/>
                <w:lang w:val="en-US" w:eastAsia="zh-CN"/>
              </w:rPr>
            </w:pPr>
          </w:p>
          <w:p w14:paraId="1BF43473">
            <w:pPr>
              <w:pStyle w:val="23"/>
              <w:ind w:left="0" w:leftChars="0" w:firstLine="0" w:firstLineChars="0"/>
              <w:rPr>
                <w:rFonts w:hint="default"/>
                <w:lang w:val="en-US" w:eastAsia="zh-CN"/>
              </w:rPr>
            </w:pPr>
          </w:p>
        </w:tc>
      </w:tr>
    </w:tbl>
    <w:p w14:paraId="14E64483">
      <w:pPr>
        <w:pStyle w:val="2"/>
        <w:keepNext w:val="0"/>
        <w:keepLines w:val="0"/>
        <w:pageBreakBefore/>
        <w:widowControl w:val="0"/>
        <w:kinsoku/>
        <w:wordWrap/>
        <w:overflowPunct/>
        <w:topLinePunct w:val="0"/>
        <w:autoSpaceDE/>
        <w:autoSpaceDN/>
        <w:bidi w:val="0"/>
        <w:adjustRightInd/>
        <w:snapToGrid/>
        <w:textAlignment w:val="auto"/>
        <w:outlineLvl w:val="0"/>
        <w:rPr>
          <w:rFonts w:hint="default" w:ascii="Times New Roman" w:hAnsi="Times New Roman" w:cs="Times New Roman"/>
          <w:lang w:eastAsia="zh-CN"/>
        </w:rPr>
      </w:pPr>
      <w:bookmarkStart w:id="16" w:name="_Toc28626"/>
      <w:r>
        <w:rPr>
          <w:rFonts w:hint="eastAsia" w:ascii="Times New Roman" w:hAnsi="Times New Roman" w:cs="Times New Roman"/>
          <w:lang w:val="en-US" w:eastAsia="zh-CN"/>
        </w:rPr>
        <w:t>五、环境保护措施监督清单</w:t>
      </w:r>
      <w:bookmarkEnd w:id="16"/>
    </w:p>
    <w:tbl>
      <w:tblPr>
        <w:tblStyle w:val="17"/>
        <w:tblW w:w="9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588"/>
        <w:gridCol w:w="1276"/>
        <w:gridCol w:w="1307"/>
        <w:gridCol w:w="2282"/>
        <w:gridCol w:w="2233"/>
      </w:tblGrid>
      <w:tr w14:paraId="5B29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tcBorders>
              <w:tl2br w:val="nil"/>
              <w:tr2bl w:val="nil"/>
            </w:tcBorders>
            <w:noWrap w:val="0"/>
            <w:vAlign w:val="top"/>
          </w:tcPr>
          <w:p w14:paraId="43B9CC6C">
            <w:pPr>
              <w:keepNext w:val="0"/>
              <w:keepLines w:val="0"/>
              <w:pageBreakBefore w:val="0"/>
              <w:kinsoku/>
              <w:wordWrap/>
              <w:overflowPunct/>
              <w:topLinePunct w:val="0"/>
              <w:autoSpaceDE/>
              <w:autoSpaceDN/>
              <w:bidi w:val="0"/>
              <w:adjustRightInd/>
              <w:snapToGrid/>
              <w:spacing w:line="240" w:lineRule="auto"/>
              <w:ind w:firstLine="630" w:firstLineChars="3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14:paraId="73089ABF">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864" w:type="dxa"/>
            <w:gridSpan w:val="2"/>
            <w:tcBorders>
              <w:tl2br w:val="nil"/>
              <w:tr2bl w:val="nil"/>
            </w:tcBorders>
            <w:noWrap w:val="0"/>
            <w:vAlign w:val="center"/>
          </w:tcPr>
          <w:p w14:paraId="5E5483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编号、名称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/污染源</w:t>
            </w:r>
          </w:p>
        </w:tc>
        <w:tc>
          <w:tcPr>
            <w:tcW w:w="1307" w:type="dxa"/>
            <w:tcBorders>
              <w:tl2br w:val="nil"/>
              <w:tr2bl w:val="nil"/>
            </w:tcBorders>
            <w:noWrap w:val="0"/>
            <w:vAlign w:val="center"/>
          </w:tcPr>
          <w:p w14:paraId="2CE9D96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282" w:type="dxa"/>
            <w:tcBorders>
              <w:tl2br w:val="nil"/>
              <w:tr2bl w:val="nil"/>
            </w:tcBorders>
            <w:noWrap w:val="0"/>
            <w:vAlign w:val="center"/>
          </w:tcPr>
          <w:p w14:paraId="1439BC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233" w:type="dxa"/>
            <w:tcBorders>
              <w:tl2br w:val="nil"/>
              <w:tr2bl w:val="nil"/>
            </w:tcBorders>
            <w:noWrap w:val="0"/>
            <w:vAlign w:val="center"/>
          </w:tcPr>
          <w:p w14:paraId="18F81B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2896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vMerge w:val="restart"/>
            <w:tcBorders>
              <w:tl2br w:val="nil"/>
              <w:tr2bl w:val="nil"/>
            </w:tcBorders>
            <w:noWrap w:val="0"/>
            <w:vAlign w:val="center"/>
          </w:tcPr>
          <w:p w14:paraId="50C449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864" w:type="dxa"/>
            <w:gridSpan w:val="2"/>
            <w:tcBorders>
              <w:tl2br w:val="nil"/>
              <w:tr2bl w:val="nil"/>
            </w:tcBorders>
            <w:noWrap w:val="0"/>
            <w:vAlign w:val="center"/>
          </w:tcPr>
          <w:p w14:paraId="65548625">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灰仓</w:t>
            </w:r>
            <w:r>
              <w:rPr>
                <w:rFonts w:hint="eastAsia" w:ascii="Times New Roman" w:hAnsi="Times New Roman" w:eastAsia="宋体" w:cs="Times New Roman"/>
                <w:color w:val="auto"/>
                <w:kern w:val="0"/>
                <w:sz w:val="21"/>
                <w:szCs w:val="21"/>
                <w:lang w:val="en-US" w:eastAsia="zh-CN" w:bidi="ar-SA"/>
              </w:rPr>
              <w:t>锅炉废气</w:t>
            </w:r>
            <w:r>
              <w:rPr>
                <w:rFonts w:hint="eastAsia" w:ascii="Times New Roman" w:hAnsi="Times New Roman" w:cs="Times New Roman"/>
                <w:color w:val="auto"/>
                <w:kern w:val="0"/>
                <w:sz w:val="21"/>
                <w:szCs w:val="21"/>
                <w:lang w:val="en-US" w:eastAsia="zh-CN" w:bidi="ar-SA"/>
              </w:rPr>
              <w:t>排放口</w:t>
            </w:r>
          </w:p>
        </w:tc>
        <w:tc>
          <w:tcPr>
            <w:tcW w:w="1307" w:type="dxa"/>
            <w:tcBorders>
              <w:tl2br w:val="nil"/>
              <w:tr2bl w:val="nil"/>
            </w:tcBorders>
            <w:noWrap w:val="0"/>
            <w:vAlign w:val="center"/>
          </w:tcPr>
          <w:p w14:paraId="1D2CF4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default" w:ascii="Times New Roman" w:hAnsi="Times New Roman" w:eastAsia="宋体" w:cs="Times New Roman"/>
                <w:b w:val="0"/>
                <w:bCs w:val="0"/>
                <w:i w:val="0"/>
                <w:iCs w:val="0"/>
                <w:color w:val="auto"/>
                <w:sz w:val="21"/>
                <w:szCs w:val="21"/>
                <w:lang w:val="en-US" w:eastAsia="zh-CN"/>
              </w:rPr>
              <w:t>颗粒物</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vertAlign w:val="baseline"/>
                <w:lang w:val="en-US" w:eastAsia="zh-CN"/>
              </w:rPr>
              <w:t>SO</w:t>
            </w:r>
            <w:r>
              <w:rPr>
                <w:rFonts w:hint="default" w:ascii="Times New Roman" w:hAnsi="Times New Roman" w:eastAsia="宋体" w:cs="Times New Roman"/>
                <w:b w:val="0"/>
                <w:bCs w:val="0"/>
                <w:i w:val="0"/>
                <w:iCs w:val="0"/>
                <w:color w:val="auto"/>
                <w:sz w:val="21"/>
                <w:szCs w:val="21"/>
                <w:vertAlign w:val="subscript"/>
                <w:lang w:val="en-US" w:eastAsia="zh-CN"/>
              </w:rPr>
              <w:t>2</w:t>
            </w:r>
            <w:r>
              <w:rPr>
                <w:rFonts w:hint="default" w:ascii="Times New Roman" w:hAnsi="Times New Roman" w:eastAsia="宋体" w:cs="Times New Roman"/>
                <w:b w:val="0"/>
                <w:bCs w:val="0"/>
                <w:i w:val="0"/>
                <w:iCs w:val="0"/>
                <w:color w:val="auto"/>
                <w:sz w:val="21"/>
                <w:szCs w:val="21"/>
                <w:vertAlign w:val="baseline"/>
                <w:lang w:val="en-US" w:eastAsia="zh-CN"/>
              </w:rPr>
              <w:t>、NOx、氨</w:t>
            </w:r>
          </w:p>
        </w:tc>
        <w:tc>
          <w:tcPr>
            <w:tcW w:w="2282" w:type="dxa"/>
            <w:tcBorders>
              <w:tl2br w:val="nil"/>
              <w:tr2bl w:val="nil"/>
            </w:tcBorders>
            <w:noWrap w:val="0"/>
            <w:vAlign w:val="center"/>
          </w:tcPr>
          <w:p w14:paraId="624EE0C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采用低氮燃烧技术，锅炉废气经SCR脱硝+钙基干法脱硫+布袋除尘器处理</w:t>
            </w:r>
            <w:r>
              <w:rPr>
                <w:rFonts w:hint="eastAsia" w:cs="Times New Roman"/>
                <w:b w:val="0"/>
                <w:bCs w:val="0"/>
                <w:color w:val="auto"/>
                <w:kern w:val="0"/>
                <w:sz w:val="21"/>
                <w:szCs w:val="21"/>
                <w:lang w:val="en-US" w:eastAsia="zh-CN"/>
              </w:rPr>
              <w:t>，灰仓废气经布袋除尘器处理</w:t>
            </w:r>
            <w:r>
              <w:rPr>
                <w:rFonts w:hint="eastAsia" w:ascii="Times New Roman" w:hAnsi="Times New Roman" w:eastAsia="宋体" w:cs="Times New Roman"/>
                <w:b w:val="0"/>
                <w:bCs w:val="0"/>
                <w:color w:val="auto"/>
                <w:kern w:val="0"/>
                <w:sz w:val="21"/>
                <w:szCs w:val="21"/>
                <w:lang w:val="en-US" w:eastAsia="zh-CN"/>
              </w:rPr>
              <w:t>后</w:t>
            </w:r>
            <w:r>
              <w:rPr>
                <w:rFonts w:hint="eastAsia" w:cs="Times New Roman"/>
                <w:b w:val="0"/>
                <w:bCs w:val="0"/>
                <w:color w:val="auto"/>
                <w:kern w:val="0"/>
                <w:sz w:val="21"/>
                <w:szCs w:val="21"/>
                <w:lang w:val="en-US" w:eastAsia="zh-CN"/>
              </w:rPr>
              <w:t>，和锅炉废气</w:t>
            </w:r>
            <w:r>
              <w:rPr>
                <w:rFonts w:hint="eastAsia" w:ascii="Times New Roman" w:hAnsi="Times New Roman" w:eastAsia="宋体" w:cs="Times New Roman"/>
                <w:b w:val="0"/>
                <w:bCs w:val="0"/>
                <w:color w:val="auto"/>
                <w:kern w:val="0"/>
                <w:sz w:val="21"/>
                <w:szCs w:val="21"/>
                <w:lang w:val="en-US" w:eastAsia="zh-CN"/>
              </w:rPr>
              <w:t>通过1根</w:t>
            </w:r>
            <w:r>
              <w:rPr>
                <w:rFonts w:hint="eastAsia" w:cs="Times New Roman"/>
                <w:b w:val="0"/>
                <w:bCs w:val="0"/>
                <w:color w:val="auto"/>
                <w:kern w:val="0"/>
                <w:sz w:val="21"/>
                <w:szCs w:val="21"/>
                <w:lang w:val="en-US" w:eastAsia="zh-CN"/>
              </w:rPr>
              <w:t>80</w:t>
            </w:r>
            <w:r>
              <w:rPr>
                <w:rFonts w:hint="eastAsia" w:ascii="Times New Roman" w:hAnsi="Times New Roman" w:eastAsia="宋体" w:cs="Times New Roman"/>
                <w:b w:val="0"/>
                <w:bCs w:val="0"/>
                <w:color w:val="auto"/>
                <w:kern w:val="0"/>
                <w:sz w:val="21"/>
                <w:szCs w:val="21"/>
                <w:lang w:val="en-US" w:eastAsia="zh-CN"/>
              </w:rPr>
              <w:t>m高</w:t>
            </w:r>
            <w:r>
              <w:rPr>
                <w:rFonts w:hint="eastAsia" w:cs="Times New Roman"/>
                <w:b w:val="0"/>
                <w:bCs w:val="0"/>
                <w:color w:val="auto"/>
                <w:kern w:val="0"/>
                <w:sz w:val="21"/>
                <w:szCs w:val="21"/>
                <w:lang w:val="en-US" w:eastAsia="zh-CN"/>
              </w:rPr>
              <w:t>烟囱一同</w:t>
            </w:r>
            <w:r>
              <w:rPr>
                <w:rFonts w:hint="eastAsia" w:ascii="Times New Roman" w:hAnsi="Times New Roman" w:eastAsia="宋体" w:cs="Times New Roman"/>
                <w:b w:val="0"/>
                <w:bCs w:val="0"/>
                <w:color w:val="auto"/>
                <w:kern w:val="0"/>
                <w:sz w:val="21"/>
                <w:szCs w:val="21"/>
                <w:lang w:val="en-US" w:eastAsia="zh-CN"/>
              </w:rPr>
              <w:t>排放。</w:t>
            </w:r>
          </w:p>
        </w:tc>
        <w:tc>
          <w:tcPr>
            <w:tcW w:w="2233" w:type="dxa"/>
            <w:tcBorders>
              <w:tl2br w:val="nil"/>
              <w:tr2bl w:val="nil"/>
            </w:tcBorders>
            <w:noWrap w:val="0"/>
            <w:vAlign w:val="center"/>
          </w:tcPr>
          <w:p w14:paraId="5ABCF6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olor w:val="auto"/>
                <w:sz w:val="21"/>
                <w:szCs w:val="21"/>
                <w:lang w:val="en-US" w:eastAsia="zh-CN"/>
              </w:rPr>
              <w:t>颗粒物</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vertAlign w:val="baseline"/>
                <w:lang w:val="en-US" w:eastAsia="zh-CN"/>
              </w:rPr>
              <w:t>SO</w:t>
            </w:r>
            <w:r>
              <w:rPr>
                <w:rFonts w:hint="default" w:ascii="Times New Roman" w:hAnsi="Times New Roman" w:eastAsia="宋体" w:cs="Times New Roman"/>
                <w:b w:val="0"/>
                <w:bCs w:val="0"/>
                <w:i w:val="0"/>
                <w:iCs w:val="0"/>
                <w:color w:val="auto"/>
                <w:sz w:val="21"/>
                <w:szCs w:val="21"/>
                <w:vertAlign w:val="subscript"/>
                <w:lang w:val="en-US" w:eastAsia="zh-CN"/>
              </w:rPr>
              <w:t>2</w:t>
            </w:r>
            <w:r>
              <w:rPr>
                <w:rFonts w:hint="default" w:ascii="Times New Roman" w:hAnsi="Times New Roman" w:eastAsia="宋体" w:cs="Times New Roman"/>
                <w:b w:val="0"/>
                <w:bCs w:val="0"/>
                <w:i w:val="0"/>
                <w:iCs w:val="0"/>
                <w:color w:val="auto"/>
                <w:sz w:val="21"/>
                <w:szCs w:val="21"/>
                <w:vertAlign w:val="baseline"/>
                <w:lang w:val="en-US" w:eastAsia="zh-CN"/>
              </w:rPr>
              <w:t>、NOx</w:t>
            </w:r>
            <w:r>
              <w:rPr>
                <w:rFonts w:hint="eastAsia" w:ascii="Times New Roman" w:hAnsi="Times New Roman" w:eastAsia="宋体" w:cs="Times New Roman"/>
                <w:b w:val="0"/>
                <w:bCs w:val="0"/>
                <w:i w:val="0"/>
                <w:iCs w:val="0"/>
                <w:color w:val="auto"/>
                <w:sz w:val="21"/>
                <w:szCs w:val="21"/>
                <w:vertAlign w:val="baseline"/>
                <w:lang w:val="en-US" w:eastAsia="zh-CN"/>
              </w:rPr>
              <w:t>执行</w:t>
            </w:r>
            <w:r>
              <w:rPr>
                <w:rFonts w:hint="default" w:ascii="Times New Roman" w:hAnsi="Times New Roman" w:eastAsia="宋体" w:cs="Times New Roman"/>
                <w:bCs/>
                <w:color w:val="auto"/>
                <w:sz w:val="21"/>
                <w:szCs w:val="21"/>
                <w:u w:val="none"/>
                <w:lang w:val="en-US" w:eastAsia="zh-CN"/>
              </w:rPr>
              <w:t>《关于推进实施钢铁行业超低排放的意见》（</w:t>
            </w:r>
            <w:r>
              <w:rPr>
                <w:rFonts w:hint="default" w:ascii="Times New Roman" w:hAnsi="Times New Roman" w:eastAsia="宋体" w:cs="Times New Roman"/>
                <w:bCs/>
                <w:color w:val="auto"/>
                <w:sz w:val="21"/>
                <w:szCs w:val="21"/>
                <w:u w:val="none"/>
                <w:lang w:val="en-US" w:eastAsia="zh-CN"/>
              </w:rPr>
              <w:fldChar w:fldCharType="begin"/>
            </w:r>
            <w:r>
              <w:rPr>
                <w:rFonts w:hint="default" w:ascii="Times New Roman" w:hAnsi="Times New Roman" w:eastAsia="宋体" w:cs="Times New Roman"/>
                <w:bCs/>
                <w:color w:val="auto"/>
                <w:sz w:val="21"/>
                <w:szCs w:val="21"/>
                <w:u w:val="none"/>
                <w:lang w:val="en-US" w:eastAsia="zh-CN"/>
              </w:rPr>
              <w:instrText xml:space="preserve"> HYPERLINK "https://www.waizi.org.cn/doc/62964.html" \o "环大气〔2019〕35号《关于推进实施钢铁行业超低排放的意见》" \t "https://www.waizi.org.cn/doc/_blank" </w:instrText>
            </w:r>
            <w:r>
              <w:rPr>
                <w:rFonts w:hint="default" w:ascii="Times New Roman" w:hAnsi="Times New Roman" w:eastAsia="宋体" w:cs="Times New Roman"/>
                <w:bCs/>
                <w:color w:val="auto"/>
                <w:sz w:val="21"/>
                <w:szCs w:val="21"/>
                <w:u w:val="none"/>
                <w:lang w:val="en-US" w:eastAsia="zh-CN"/>
              </w:rPr>
              <w:fldChar w:fldCharType="separate"/>
            </w:r>
            <w:r>
              <w:rPr>
                <w:rFonts w:hint="default" w:ascii="Times New Roman" w:hAnsi="Times New Roman" w:eastAsia="宋体" w:cs="Times New Roman"/>
                <w:bCs/>
                <w:color w:val="auto"/>
                <w:sz w:val="21"/>
                <w:szCs w:val="21"/>
                <w:u w:val="none"/>
                <w:lang w:val="en-US" w:eastAsia="zh-CN"/>
              </w:rPr>
              <w:t>环大气〔2019〕35号</w:t>
            </w:r>
            <w:r>
              <w:rPr>
                <w:rFonts w:hint="default" w:ascii="Times New Roman" w:hAnsi="Times New Roman" w:eastAsia="宋体" w:cs="Times New Roman"/>
                <w:bCs/>
                <w:color w:val="auto"/>
                <w:sz w:val="21"/>
                <w:szCs w:val="21"/>
                <w:u w:val="none"/>
                <w:lang w:val="en-US" w:eastAsia="zh-CN"/>
              </w:rPr>
              <w:fldChar w:fldCharType="end"/>
            </w:r>
            <w:r>
              <w:rPr>
                <w:rFonts w:hint="default" w:ascii="Times New Roman" w:hAnsi="Times New Roman" w:eastAsia="宋体" w:cs="Times New Roman"/>
                <w:bCs/>
                <w:color w:val="auto"/>
                <w:sz w:val="21"/>
                <w:szCs w:val="21"/>
                <w:u w:val="none"/>
                <w:lang w:val="en-US" w:eastAsia="zh-CN"/>
              </w:rPr>
              <w:t>）中自备电厂中超低排放限值</w:t>
            </w:r>
            <w:r>
              <w:rPr>
                <w:rFonts w:hint="eastAsia" w:ascii="Times New Roman" w:hAnsi="Times New Roman" w:eastAsia="宋体" w:cs="Times New Roman"/>
                <w:color w:val="auto"/>
                <w:sz w:val="21"/>
                <w:szCs w:val="21"/>
                <w:lang w:val="en-US" w:eastAsia="zh-CN"/>
              </w:rPr>
              <w:t>。</w:t>
            </w:r>
          </w:p>
        </w:tc>
      </w:tr>
      <w:tr w14:paraId="2A2F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vMerge w:val="continue"/>
            <w:tcBorders>
              <w:tl2br w:val="nil"/>
              <w:tr2bl w:val="nil"/>
            </w:tcBorders>
            <w:noWrap w:val="0"/>
            <w:vAlign w:val="center"/>
          </w:tcPr>
          <w:p w14:paraId="338EC3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64" w:type="dxa"/>
            <w:gridSpan w:val="2"/>
            <w:tcBorders>
              <w:tl2br w:val="nil"/>
              <w:tr2bl w:val="nil"/>
            </w:tcBorders>
            <w:noWrap w:val="0"/>
            <w:vAlign w:val="center"/>
          </w:tcPr>
          <w:p w14:paraId="275B4352">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厂界无组织</w:t>
            </w:r>
          </w:p>
        </w:tc>
        <w:tc>
          <w:tcPr>
            <w:tcW w:w="1307" w:type="dxa"/>
            <w:tcBorders>
              <w:tl2br w:val="nil"/>
              <w:tr2bl w:val="nil"/>
            </w:tcBorders>
            <w:noWrap w:val="0"/>
            <w:vAlign w:val="center"/>
          </w:tcPr>
          <w:p w14:paraId="7A881F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氨</w:t>
            </w:r>
          </w:p>
        </w:tc>
        <w:tc>
          <w:tcPr>
            <w:tcW w:w="2282" w:type="dxa"/>
            <w:tcBorders>
              <w:tl2br w:val="nil"/>
              <w:tr2bl w:val="nil"/>
            </w:tcBorders>
            <w:noWrap w:val="0"/>
            <w:vAlign w:val="center"/>
          </w:tcPr>
          <w:p w14:paraId="7A9438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w:t>
            </w:r>
          </w:p>
        </w:tc>
        <w:tc>
          <w:tcPr>
            <w:tcW w:w="2233" w:type="dxa"/>
            <w:tcBorders>
              <w:tl2br w:val="nil"/>
              <w:tr2bl w:val="nil"/>
            </w:tcBorders>
            <w:noWrap w:val="0"/>
            <w:vAlign w:val="center"/>
          </w:tcPr>
          <w:p w14:paraId="320265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color w:val="auto"/>
                <w:sz w:val="21"/>
                <w:szCs w:val="21"/>
                <w:lang w:val="en-US" w:eastAsia="zh-CN"/>
              </w:rPr>
              <w:t>氨执行</w:t>
            </w:r>
            <w:r>
              <w:rPr>
                <w:rFonts w:hint="default" w:ascii="Times New Roman" w:hAnsi="Times New Roman" w:eastAsia="宋体" w:cs="Times New Roman"/>
                <w:color w:val="auto"/>
                <w:sz w:val="21"/>
                <w:szCs w:val="21"/>
                <w:lang w:val="en-US" w:eastAsia="zh-CN"/>
              </w:rPr>
              <w:t>《恶臭污染物排放标准》（GB14554-1993）</w:t>
            </w:r>
            <w:r>
              <w:rPr>
                <w:rFonts w:hint="eastAsia" w:ascii="Times New Roman" w:hAnsi="Times New Roman" w:eastAsia="宋体" w:cs="Times New Roman"/>
                <w:color w:val="auto"/>
                <w:sz w:val="21"/>
                <w:szCs w:val="21"/>
                <w:lang w:val="en-US" w:eastAsia="zh-CN"/>
              </w:rPr>
              <w:t>。</w:t>
            </w:r>
          </w:p>
        </w:tc>
      </w:tr>
      <w:tr w14:paraId="1F3B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57" w:type="dxa"/>
            <w:vMerge w:val="restart"/>
            <w:tcBorders>
              <w:tl2br w:val="nil"/>
              <w:tr2bl w:val="nil"/>
            </w:tcBorders>
            <w:noWrap w:val="0"/>
            <w:vAlign w:val="center"/>
          </w:tcPr>
          <w:p w14:paraId="29D5FA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588" w:type="dxa"/>
            <w:vMerge w:val="restart"/>
            <w:tcBorders>
              <w:tl2br w:val="nil"/>
              <w:tr2bl w:val="nil"/>
            </w:tcBorders>
            <w:noWrap w:val="0"/>
            <w:vAlign w:val="center"/>
          </w:tcPr>
          <w:p w14:paraId="7AD7BF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施工期</w:t>
            </w:r>
          </w:p>
        </w:tc>
        <w:tc>
          <w:tcPr>
            <w:tcW w:w="1276" w:type="dxa"/>
            <w:vMerge w:val="restart"/>
            <w:tcBorders>
              <w:tl2br w:val="nil"/>
              <w:tr2bl w:val="nil"/>
            </w:tcBorders>
            <w:noWrap w:val="0"/>
            <w:vAlign w:val="center"/>
          </w:tcPr>
          <w:p w14:paraId="77A3B2F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施工场地</w:t>
            </w:r>
          </w:p>
        </w:tc>
        <w:tc>
          <w:tcPr>
            <w:tcW w:w="1307" w:type="dxa"/>
            <w:tcBorders>
              <w:tl2br w:val="nil"/>
              <w:tr2bl w:val="nil"/>
            </w:tcBorders>
            <w:noWrap w:val="0"/>
            <w:vAlign w:val="center"/>
          </w:tcPr>
          <w:p w14:paraId="6D103E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施工废水</w:t>
            </w:r>
          </w:p>
        </w:tc>
        <w:tc>
          <w:tcPr>
            <w:tcW w:w="2282" w:type="dxa"/>
            <w:tcBorders>
              <w:tl2br w:val="nil"/>
              <w:tr2bl w:val="nil"/>
            </w:tcBorders>
            <w:noWrap w:val="0"/>
            <w:vAlign w:val="center"/>
          </w:tcPr>
          <w:p w14:paraId="38EF23A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经</w:t>
            </w:r>
            <w:r>
              <w:rPr>
                <w:rFonts w:hint="default" w:ascii="Times New Roman" w:hAnsi="Times New Roman" w:eastAsia="宋体" w:cs="Times New Roman"/>
                <w:b w:val="0"/>
                <w:bCs w:val="0"/>
                <w:i w:val="0"/>
                <w:iCs w:val="0"/>
                <w:color w:val="auto"/>
                <w:sz w:val="21"/>
                <w:szCs w:val="21"/>
                <w:lang w:val="en-US" w:eastAsia="zh-CN"/>
              </w:rPr>
              <w:t>2m</w:t>
            </w:r>
            <w:r>
              <w:rPr>
                <w:rFonts w:hint="eastAsia" w:ascii="Times New Roman" w:hAnsi="Times New Roman" w:eastAsia="宋体" w:cs="Times New Roman"/>
                <w:b w:val="0"/>
                <w:bCs w:val="0"/>
                <w:i w:val="0"/>
                <w:iCs w:val="0"/>
                <w:color w:val="auto"/>
                <w:sz w:val="21"/>
                <w:szCs w:val="21"/>
                <w:vertAlign w:val="superscript"/>
                <w:lang w:val="en-US" w:eastAsia="zh-CN"/>
              </w:rPr>
              <w:t>3</w:t>
            </w:r>
            <w:r>
              <w:rPr>
                <w:rFonts w:hint="eastAsia" w:ascii="Times New Roman" w:hAnsi="Times New Roman" w:eastAsia="宋体" w:cs="Times New Roman"/>
                <w:b w:val="0"/>
                <w:bCs w:val="0"/>
                <w:i w:val="0"/>
                <w:iCs w:val="0"/>
                <w:color w:val="auto"/>
                <w:sz w:val="21"/>
                <w:szCs w:val="21"/>
                <w:lang w:val="en-US" w:eastAsia="zh-CN"/>
              </w:rPr>
              <w:t>的沉淀池收集后用于场地洒水降尘</w:t>
            </w:r>
          </w:p>
        </w:tc>
        <w:tc>
          <w:tcPr>
            <w:tcW w:w="2233" w:type="dxa"/>
            <w:tcBorders>
              <w:tl2br w:val="nil"/>
              <w:tr2bl w:val="nil"/>
            </w:tcBorders>
            <w:noWrap w:val="0"/>
            <w:vAlign w:val="center"/>
          </w:tcPr>
          <w:p w14:paraId="655215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施工场地回用</w:t>
            </w:r>
          </w:p>
        </w:tc>
      </w:tr>
      <w:tr w14:paraId="143F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57" w:type="dxa"/>
            <w:vMerge w:val="continue"/>
            <w:tcBorders>
              <w:tl2br w:val="nil"/>
              <w:tr2bl w:val="nil"/>
            </w:tcBorders>
            <w:noWrap w:val="0"/>
            <w:vAlign w:val="center"/>
          </w:tcPr>
          <w:p w14:paraId="4061B72A">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588" w:type="dxa"/>
            <w:vMerge w:val="continue"/>
            <w:tcBorders>
              <w:tl2br w:val="nil"/>
              <w:tr2bl w:val="nil"/>
            </w:tcBorders>
            <w:noWrap w:val="0"/>
            <w:vAlign w:val="center"/>
          </w:tcPr>
          <w:p w14:paraId="61621FA9">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1276" w:type="dxa"/>
            <w:vMerge w:val="continue"/>
            <w:tcBorders>
              <w:tl2br w:val="nil"/>
              <w:tr2bl w:val="nil"/>
            </w:tcBorders>
            <w:noWrap w:val="0"/>
            <w:vAlign w:val="center"/>
          </w:tcPr>
          <w:p w14:paraId="183518B4">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1307" w:type="dxa"/>
            <w:tcBorders>
              <w:tl2br w:val="nil"/>
              <w:tr2bl w:val="nil"/>
            </w:tcBorders>
            <w:noWrap w:val="0"/>
            <w:vAlign w:val="center"/>
          </w:tcPr>
          <w:p w14:paraId="51BEF3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w:t>
            </w:r>
          </w:p>
        </w:tc>
        <w:tc>
          <w:tcPr>
            <w:tcW w:w="2282" w:type="dxa"/>
            <w:tcBorders>
              <w:tl2br w:val="nil"/>
              <w:tr2bl w:val="nil"/>
            </w:tcBorders>
            <w:noWrap w:val="0"/>
            <w:vAlign w:val="center"/>
          </w:tcPr>
          <w:p w14:paraId="19FDDB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依托厂区现有生活污水处理系统</w:t>
            </w:r>
          </w:p>
        </w:tc>
        <w:tc>
          <w:tcPr>
            <w:tcW w:w="2233" w:type="dxa"/>
            <w:tcBorders>
              <w:tl2br w:val="nil"/>
              <w:tr2bl w:val="nil"/>
            </w:tcBorders>
            <w:noWrap w:val="0"/>
            <w:vAlign w:val="center"/>
          </w:tcPr>
          <w:p w14:paraId="206754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处理后回用于厂区绿化及洒水降尘</w:t>
            </w:r>
          </w:p>
        </w:tc>
      </w:tr>
      <w:tr w14:paraId="7474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261453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restart"/>
            <w:tcBorders>
              <w:tl2br w:val="nil"/>
              <w:tr2bl w:val="nil"/>
            </w:tcBorders>
            <w:noWrap w:val="0"/>
            <w:vAlign w:val="center"/>
          </w:tcPr>
          <w:p w14:paraId="28D2B0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p>
        </w:tc>
        <w:tc>
          <w:tcPr>
            <w:tcW w:w="1276" w:type="dxa"/>
            <w:tcBorders>
              <w:tl2br w:val="nil"/>
              <w:tr2bl w:val="nil"/>
            </w:tcBorders>
            <w:noWrap w:val="0"/>
            <w:vAlign w:val="center"/>
          </w:tcPr>
          <w:p w14:paraId="1D2BCF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高炉煤气喷雾降温</w:t>
            </w:r>
            <w:r>
              <w:rPr>
                <w:rFonts w:hint="eastAsia" w:ascii="Times New Roman" w:hAnsi="Times New Roman" w:eastAsia="宋体" w:cs="Times New Roman"/>
                <w:color w:val="auto"/>
                <w:sz w:val="21"/>
                <w:szCs w:val="21"/>
                <w:lang w:val="en-US" w:eastAsia="zh-CN"/>
              </w:rPr>
              <w:t>废水</w:t>
            </w:r>
          </w:p>
        </w:tc>
        <w:tc>
          <w:tcPr>
            <w:tcW w:w="1307" w:type="dxa"/>
            <w:tcBorders>
              <w:tl2br w:val="nil"/>
              <w:tr2bl w:val="nil"/>
            </w:tcBorders>
            <w:noWrap w:val="0"/>
            <w:vAlign w:val="center"/>
          </w:tcPr>
          <w:p w14:paraId="141685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2282" w:type="dxa"/>
            <w:vMerge w:val="restart"/>
            <w:tcBorders>
              <w:tl2br w:val="nil"/>
              <w:tr2bl w:val="nil"/>
            </w:tcBorders>
            <w:noWrap w:val="0"/>
            <w:vAlign w:val="center"/>
          </w:tcPr>
          <w:p w14:paraId="59D9B9F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w:t>
            </w:r>
            <w:r>
              <w:rPr>
                <w:rFonts w:hint="eastAsia" w:cs="Times New Roman"/>
                <w:color w:val="auto"/>
                <w:sz w:val="21"/>
                <w:szCs w:val="21"/>
                <w:lang w:val="en-US" w:eastAsia="zh-CN"/>
              </w:rPr>
              <w:t>仙福公司</w:t>
            </w:r>
            <w:r>
              <w:rPr>
                <w:rFonts w:hint="eastAsia" w:ascii="Times New Roman" w:hAnsi="Times New Roman" w:eastAsia="宋体" w:cs="Times New Roman"/>
                <w:color w:val="auto"/>
                <w:sz w:val="21"/>
                <w:szCs w:val="21"/>
                <w:lang w:val="en-US" w:eastAsia="zh-CN"/>
              </w:rPr>
              <w:t>全厂中央水处理站，处理后回用于各用水环节</w:t>
            </w:r>
          </w:p>
        </w:tc>
        <w:tc>
          <w:tcPr>
            <w:tcW w:w="2233" w:type="dxa"/>
            <w:vMerge w:val="restart"/>
            <w:tcBorders>
              <w:tl2br w:val="nil"/>
              <w:tr2bl w:val="nil"/>
            </w:tcBorders>
            <w:noWrap w:val="0"/>
            <w:vAlign w:val="center"/>
          </w:tcPr>
          <w:p w14:paraId="638ED05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回用，</w:t>
            </w:r>
            <w:r>
              <w:rPr>
                <w:rFonts w:hint="default" w:ascii="Times New Roman" w:hAnsi="Times New Roman" w:eastAsia="宋体" w:cs="Times New Roman"/>
                <w:color w:val="auto"/>
                <w:sz w:val="21"/>
                <w:szCs w:val="21"/>
                <w:lang w:val="en-US" w:eastAsia="zh-CN"/>
              </w:rPr>
              <w:t>不外排</w:t>
            </w:r>
          </w:p>
        </w:tc>
      </w:tr>
      <w:tr w14:paraId="124A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03B59A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377412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1C9A9A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除盐水站废水</w:t>
            </w:r>
          </w:p>
        </w:tc>
        <w:tc>
          <w:tcPr>
            <w:tcW w:w="1307" w:type="dxa"/>
            <w:tcBorders>
              <w:tl2br w:val="nil"/>
              <w:tr2bl w:val="nil"/>
            </w:tcBorders>
            <w:noWrap w:val="0"/>
            <w:vAlign w:val="center"/>
          </w:tcPr>
          <w:p w14:paraId="64C351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2282" w:type="dxa"/>
            <w:vMerge w:val="continue"/>
            <w:tcBorders>
              <w:tl2br w:val="nil"/>
              <w:tr2bl w:val="nil"/>
            </w:tcBorders>
            <w:noWrap w:val="0"/>
            <w:vAlign w:val="center"/>
          </w:tcPr>
          <w:p w14:paraId="33FC4A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233" w:type="dxa"/>
            <w:vMerge w:val="continue"/>
            <w:tcBorders>
              <w:tl2br w:val="nil"/>
              <w:tr2bl w:val="nil"/>
            </w:tcBorders>
            <w:noWrap w:val="0"/>
            <w:vAlign w:val="center"/>
          </w:tcPr>
          <w:p w14:paraId="78FE3D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0B95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654EEAC2">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588" w:type="dxa"/>
            <w:vMerge w:val="continue"/>
            <w:tcBorders>
              <w:tl2br w:val="nil"/>
              <w:tr2bl w:val="nil"/>
            </w:tcBorders>
            <w:noWrap w:val="0"/>
            <w:vAlign w:val="center"/>
          </w:tcPr>
          <w:p w14:paraId="53D0B7BA">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1276" w:type="dxa"/>
            <w:tcBorders>
              <w:tl2br w:val="nil"/>
              <w:tr2bl w:val="nil"/>
            </w:tcBorders>
            <w:noWrap w:val="0"/>
            <w:vAlign w:val="center"/>
          </w:tcPr>
          <w:p w14:paraId="7EA740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除盐水站反渗透系统设备冲洗水</w:t>
            </w:r>
          </w:p>
        </w:tc>
        <w:tc>
          <w:tcPr>
            <w:tcW w:w="1307" w:type="dxa"/>
            <w:tcBorders>
              <w:tl2br w:val="nil"/>
              <w:tr2bl w:val="nil"/>
            </w:tcBorders>
            <w:noWrap w:val="0"/>
            <w:vAlign w:val="center"/>
          </w:tcPr>
          <w:p w14:paraId="7A2311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2282" w:type="dxa"/>
            <w:vMerge w:val="continue"/>
            <w:tcBorders>
              <w:tl2br w:val="nil"/>
              <w:tr2bl w:val="nil"/>
            </w:tcBorders>
            <w:noWrap w:val="0"/>
            <w:vAlign w:val="center"/>
          </w:tcPr>
          <w:p w14:paraId="780042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233" w:type="dxa"/>
            <w:vMerge w:val="continue"/>
            <w:tcBorders>
              <w:tl2br w:val="nil"/>
              <w:tr2bl w:val="nil"/>
            </w:tcBorders>
            <w:noWrap w:val="0"/>
            <w:vAlign w:val="center"/>
          </w:tcPr>
          <w:p w14:paraId="6B210EF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084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1A64955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63C7C33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76" w:type="dxa"/>
            <w:tcBorders>
              <w:tl2br w:val="nil"/>
              <w:tr2bl w:val="nil"/>
            </w:tcBorders>
            <w:noWrap w:val="0"/>
            <w:vAlign w:val="center"/>
          </w:tcPr>
          <w:p w14:paraId="7CD7E1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凝结间处理站冲洗水</w:t>
            </w:r>
          </w:p>
        </w:tc>
        <w:tc>
          <w:tcPr>
            <w:tcW w:w="1307" w:type="dxa"/>
            <w:tcBorders>
              <w:tl2br w:val="nil"/>
              <w:tr2bl w:val="nil"/>
            </w:tcBorders>
            <w:noWrap w:val="0"/>
            <w:vAlign w:val="center"/>
          </w:tcPr>
          <w:p w14:paraId="0389BC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盐、</w:t>
            </w:r>
            <w:r>
              <w:rPr>
                <w:rFonts w:hint="default" w:ascii="Times New Roman" w:hAnsi="Times New Roman" w:eastAsia="宋体" w:cs="Times New Roman"/>
                <w:color w:val="auto"/>
                <w:sz w:val="21"/>
                <w:szCs w:val="21"/>
                <w:lang w:val="en-US" w:eastAsia="zh-CN"/>
              </w:rPr>
              <w:t>SS</w:t>
            </w:r>
          </w:p>
        </w:tc>
        <w:tc>
          <w:tcPr>
            <w:tcW w:w="2282" w:type="dxa"/>
            <w:vMerge w:val="continue"/>
            <w:tcBorders>
              <w:tl2br w:val="nil"/>
              <w:tr2bl w:val="nil"/>
            </w:tcBorders>
            <w:noWrap w:val="0"/>
            <w:vAlign w:val="center"/>
          </w:tcPr>
          <w:p w14:paraId="758296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233" w:type="dxa"/>
            <w:vMerge w:val="continue"/>
            <w:tcBorders>
              <w:tl2br w:val="nil"/>
              <w:tr2bl w:val="nil"/>
            </w:tcBorders>
            <w:noWrap w:val="0"/>
            <w:vAlign w:val="center"/>
          </w:tcPr>
          <w:p w14:paraId="09B52A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0240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357" w:type="dxa"/>
            <w:vMerge w:val="continue"/>
            <w:tcBorders>
              <w:tl2br w:val="nil"/>
              <w:tr2bl w:val="nil"/>
            </w:tcBorders>
            <w:noWrap w:val="0"/>
            <w:vAlign w:val="center"/>
          </w:tcPr>
          <w:p w14:paraId="054000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1C0C48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76" w:type="dxa"/>
            <w:tcBorders>
              <w:tl2br w:val="nil"/>
              <w:tr2bl w:val="nil"/>
            </w:tcBorders>
            <w:noWrap w:val="0"/>
            <w:vAlign w:val="center"/>
          </w:tcPr>
          <w:p w14:paraId="4798CA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凝结间处理站树脂再生水</w:t>
            </w:r>
          </w:p>
        </w:tc>
        <w:tc>
          <w:tcPr>
            <w:tcW w:w="1307" w:type="dxa"/>
            <w:tcBorders>
              <w:tl2br w:val="nil"/>
              <w:tr2bl w:val="nil"/>
            </w:tcBorders>
            <w:noWrap w:val="0"/>
            <w:vAlign w:val="center"/>
          </w:tcPr>
          <w:p w14:paraId="3C34406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2282" w:type="dxa"/>
            <w:vMerge w:val="continue"/>
            <w:tcBorders>
              <w:tl2br w:val="nil"/>
              <w:tr2bl w:val="nil"/>
            </w:tcBorders>
            <w:noWrap w:val="0"/>
            <w:vAlign w:val="center"/>
          </w:tcPr>
          <w:p w14:paraId="74BD1A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233" w:type="dxa"/>
            <w:vMerge w:val="continue"/>
            <w:tcBorders>
              <w:tl2br w:val="nil"/>
              <w:tr2bl w:val="nil"/>
            </w:tcBorders>
            <w:noWrap w:val="0"/>
            <w:vAlign w:val="center"/>
          </w:tcPr>
          <w:p w14:paraId="1E65F40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4E1C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08AD57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698E89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76" w:type="dxa"/>
            <w:tcBorders>
              <w:tl2br w:val="nil"/>
              <w:tr2bl w:val="nil"/>
            </w:tcBorders>
            <w:noWrap w:val="0"/>
            <w:vAlign w:val="center"/>
          </w:tcPr>
          <w:p w14:paraId="7228C3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锅炉排污水</w:t>
            </w:r>
          </w:p>
        </w:tc>
        <w:tc>
          <w:tcPr>
            <w:tcW w:w="1307" w:type="dxa"/>
            <w:tcBorders>
              <w:tl2br w:val="nil"/>
              <w:tr2bl w:val="nil"/>
            </w:tcBorders>
            <w:noWrap w:val="0"/>
            <w:vAlign w:val="center"/>
          </w:tcPr>
          <w:p w14:paraId="2B6DF5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2282" w:type="dxa"/>
            <w:vMerge w:val="restart"/>
            <w:tcBorders>
              <w:tl2br w:val="nil"/>
              <w:tr2bl w:val="nil"/>
            </w:tcBorders>
            <w:noWrap w:val="0"/>
            <w:vAlign w:val="center"/>
          </w:tcPr>
          <w:p w14:paraId="393638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经冷却后进入循环水池重复利用</w:t>
            </w:r>
          </w:p>
        </w:tc>
        <w:tc>
          <w:tcPr>
            <w:tcW w:w="2233" w:type="dxa"/>
            <w:vMerge w:val="continue"/>
            <w:tcBorders>
              <w:tl2br w:val="nil"/>
              <w:tr2bl w:val="nil"/>
            </w:tcBorders>
            <w:noWrap w:val="0"/>
            <w:vAlign w:val="center"/>
          </w:tcPr>
          <w:p w14:paraId="0F62A1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5357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41FFF3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22DE6B6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76" w:type="dxa"/>
            <w:tcBorders>
              <w:tl2br w:val="nil"/>
              <w:tr2bl w:val="nil"/>
            </w:tcBorders>
            <w:noWrap w:val="0"/>
            <w:vAlign w:val="center"/>
          </w:tcPr>
          <w:p w14:paraId="22B852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设备冷却水</w:t>
            </w:r>
          </w:p>
        </w:tc>
        <w:tc>
          <w:tcPr>
            <w:tcW w:w="1307" w:type="dxa"/>
            <w:tcBorders>
              <w:tl2br w:val="nil"/>
              <w:tr2bl w:val="nil"/>
            </w:tcBorders>
            <w:noWrap w:val="0"/>
            <w:vAlign w:val="center"/>
          </w:tcPr>
          <w:p w14:paraId="72E8F5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2282" w:type="dxa"/>
            <w:vMerge w:val="continue"/>
            <w:tcBorders>
              <w:tl2br w:val="nil"/>
              <w:tr2bl w:val="nil"/>
            </w:tcBorders>
            <w:noWrap w:val="0"/>
            <w:vAlign w:val="center"/>
          </w:tcPr>
          <w:p w14:paraId="7D6158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233" w:type="dxa"/>
            <w:vMerge w:val="continue"/>
            <w:tcBorders>
              <w:tl2br w:val="nil"/>
              <w:tr2bl w:val="nil"/>
            </w:tcBorders>
            <w:noWrap w:val="0"/>
            <w:vAlign w:val="center"/>
          </w:tcPr>
          <w:p w14:paraId="501492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3486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4D8C71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59E113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76" w:type="dxa"/>
            <w:tcBorders>
              <w:tl2br w:val="nil"/>
              <w:tr2bl w:val="nil"/>
            </w:tcBorders>
            <w:noWrap w:val="0"/>
            <w:vAlign w:val="center"/>
          </w:tcPr>
          <w:p w14:paraId="76733E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循环冷却水系统排污水</w:t>
            </w:r>
          </w:p>
        </w:tc>
        <w:tc>
          <w:tcPr>
            <w:tcW w:w="1307" w:type="dxa"/>
            <w:tcBorders>
              <w:tl2br w:val="nil"/>
              <w:tr2bl w:val="nil"/>
            </w:tcBorders>
            <w:noWrap w:val="0"/>
            <w:vAlign w:val="center"/>
          </w:tcPr>
          <w:p w14:paraId="3AF703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r>
              <w:rPr>
                <w:rFonts w:hint="default" w:ascii="Times New Roman" w:hAnsi="Times New Roman" w:eastAsia="宋体" w:cs="Times New Roman"/>
                <w:color w:val="auto"/>
                <w:sz w:val="21"/>
                <w:szCs w:val="21"/>
                <w:lang w:val="en-US" w:eastAsia="zh-CN"/>
              </w:rPr>
              <w:t>SS</w:t>
            </w:r>
          </w:p>
        </w:tc>
        <w:tc>
          <w:tcPr>
            <w:tcW w:w="2282" w:type="dxa"/>
            <w:vMerge w:val="restart"/>
            <w:tcBorders>
              <w:tl2br w:val="nil"/>
              <w:tr2bl w:val="nil"/>
            </w:tcBorders>
            <w:noWrap w:val="0"/>
            <w:vAlign w:val="center"/>
          </w:tcPr>
          <w:p w14:paraId="15ADDA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收集至全厂中央水处理站，处理后回用于各用水环节</w:t>
            </w:r>
          </w:p>
        </w:tc>
        <w:tc>
          <w:tcPr>
            <w:tcW w:w="2233" w:type="dxa"/>
            <w:vMerge w:val="continue"/>
            <w:tcBorders>
              <w:tl2br w:val="nil"/>
              <w:tr2bl w:val="nil"/>
            </w:tcBorders>
            <w:noWrap w:val="0"/>
            <w:vAlign w:val="center"/>
          </w:tcPr>
          <w:p w14:paraId="48D59EB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5BE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57" w:type="dxa"/>
            <w:vMerge w:val="continue"/>
            <w:tcBorders>
              <w:tl2br w:val="nil"/>
              <w:tr2bl w:val="nil"/>
            </w:tcBorders>
            <w:noWrap w:val="0"/>
            <w:vAlign w:val="center"/>
          </w:tcPr>
          <w:p w14:paraId="16B702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8" w:type="dxa"/>
            <w:vMerge w:val="continue"/>
            <w:tcBorders>
              <w:tl2br w:val="nil"/>
              <w:tr2bl w:val="nil"/>
            </w:tcBorders>
            <w:noWrap w:val="0"/>
            <w:vAlign w:val="center"/>
          </w:tcPr>
          <w:p w14:paraId="2B7729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76" w:type="dxa"/>
            <w:tcBorders>
              <w:tl2br w:val="nil"/>
              <w:tr2bl w:val="nil"/>
            </w:tcBorders>
            <w:noWrap w:val="0"/>
            <w:vAlign w:val="center"/>
          </w:tcPr>
          <w:p w14:paraId="169DC8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旁通过滤器反冲洗水</w:t>
            </w:r>
          </w:p>
        </w:tc>
        <w:tc>
          <w:tcPr>
            <w:tcW w:w="1307" w:type="dxa"/>
            <w:tcBorders>
              <w:tl2br w:val="nil"/>
              <w:tr2bl w:val="nil"/>
            </w:tcBorders>
            <w:noWrap w:val="0"/>
            <w:vAlign w:val="center"/>
          </w:tcPr>
          <w:p w14:paraId="6565E9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2282" w:type="dxa"/>
            <w:vMerge w:val="continue"/>
            <w:tcBorders>
              <w:tl2br w:val="nil"/>
              <w:tr2bl w:val="nil"/>
            </w:tcBorders>
            <w:noWrap w:val="0"/>
            <w:vAlign w:val="center"/>
          </w:tcPr>
          <w:p w14:paraId="3340B1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233" w:type="dxa"/>
            <w:vMerge w:val="continue"/>
            <w:tcBorders>
              <w:tl2br w:val="nil"/>
              <w:tr2bl w:val="nil"/>
            </w:tcBorders>
            <w:noWrap w:val="0"/>
            <w:vAlign w:val="center"/>
          </w:tcPr>
          <w:p w14:paraId="63F7FB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3C3C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357" w:type="dxa"/>
            <w:tcBorders>
              <w:tl2br w:val="nil"/>
              <w:tr2bl w:val="nil"/>
            </w:tcBorders>
            <w:noWrap w:val="0"/>
            <w:vAlign w:val="center"/>
          </w:tcPr>
          <w:p w14:paraId="6515EA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864" w:type="dxa"/>
            <w:gridSpan w:val="2"/>
            <w:tcBorders>
              <w:tl2br w:val="nil"/>
              <w:tr2bl w:val="nil"/>
            </w:tcBorders>
            <w:noWrap w:val="0"/>
            <w:vAlign w:val="center"/>
          </w:tcPr>
          <w:p w14:paraId="37E352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生产设备</w:t>
            </w:r>
          </w:p>
        </w:tc>
        <w:tc>
          <w:tcPr>
            <w:tcW w:w="1307" w:type="dxa"/>
            <w:tcBorders>
              <w:tl2br w:val="nil"/>
              <w:tr2bl w:val="nil"/>
            </w:tcBorders>
            <w:noWrap w:val="0"/>
            <w:vAlign w:val="center"/>
          </w:tcPr>
          <w:p w14:paraId="5EEDB26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噪声</w:t>
            </w:r>
          </w:p>
        </w:tc>
        <w:tc>
          <w:tcPr>
            <w:tcW w:w="2282" w:type="dxa"/>
            <w:tcBorders>
              <w:tl2br w:val="nil"/>
              <w:tr2bl w:val="nil"/>
            </w:tcBorders>
            <w:noWrap w:val="0"/>
            <w:vAlign w:val="center"/>
          </w:tcPr>
          <w:p w14:paraId="7691E2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选用低噪声设备、规范操作、厂房隔声、基础减震、密闭罩、隔声罩、消声、加强厂区绿化</w:t>
            </w:r>
          </w:p>
        </w:tc>
        <w:tc>
          <w:tcPr>
            <w:tcW w:w="2233" w:type="dxa"/>
            <w:tcBorders>
              <w:tl2br w:val="nil"/>
              <w:tr2bl w:val="nil"/>
            </w:tcBorders>
            <w:noWrap w:val="0"/>
            <w:vAlign w:val="center"/>
          </w:tcPr>
          <w:p w14:paraId="0790A4E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《工业企业厂界环境噪声排放标准》（GB12348-2008）</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类标准</w:t>
            </w:r>
            <w:r>
              <w:rPr>
                <w:rFonts w:hint="default" w:ascii="Times New Roman" w:hAnsi="Times New Roman" w:eastAsia="宋体" w:cs="Times New Roman"/>
                <w:color w:val="auto"/>
                <w:sz w:val="21"/>
                <w:szCs w:val="21"/>
                <w:lang w:val="en-US" w:eastAsia="zh-CN"/>
              </w:rPr>
              <w:t>限值</w:t>
            </w:r>
          </w:p>
        </w:tc>
      </w:tr>
      <w:tr w14:paraId="40C0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357" w:type="dxa"/>
            <w:vMerge w:val="restart"/>
            <w:tcBorders>
              <w:tl2br w:val="nil"/>
              <w:tr2bl w:val="nil"/>
            </w:tcBorders>
            <w:noWrap w:val="0"/>
            <w:vAlign w:val="center"/>
          </w:tcPr>
          <w:p w14:paraId="2E38D8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588" w:type="dxa"/>
            <w:vMerge w:val="restart"/>
            <w:tcBorders>
              <w:tl2br w:val="nil"/>
              <w:tr2bl w:val="nil"/>
            </w:tcBorders>
            <w:noWrap w:val="0"/>
            <w:vAlign w:val="center"/>
          </w:tcPr>
          <w:p w14:paraId="0ED604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w:t>
            </w:r>
          </w:p>
        </w:tc>
        <w:tc>
          <w:tcPr>
            <w:tcW w:w="1276" w:type="dxa"/>
            <w:tcBorders>
              <w:tl2br w:val="nil"/>
              <w:tr2bl w:val="nil"/>
            </w:tcBorders>
            <w:noWrap w:val="0"/>
            <w:vAlign w:val="center"/>
          </w:tcPr>
          <w:p w14:paraId="5B3F92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建筑施工</w:t>
            </w:r>
          </w:p>
        </w:tc>
        <w:tc>
          <w:tcPr>
            <w:tcW w:w="1307" w:type="dxa"/>
            <w:tcBorders>
              <w:tl2br w:val="nil"/>
              <w:tr2bl w:val="nil"/>
            </w:tcBorders>
            <w:noWrap w:val="0"/>
            <w:vAlign w:val="center"/>
          </w:tcPr>
          <w:p w14:paraId="4B639C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建筑垃圾</w:t>
            </w:r>
          </w:p>
        </w:tc>
        <w:tc>
          <w:tcPr>
            <w:tcW w:w="2282" w:type="dxa"/>
            <w:tcBorders>
              <w:tl2br w:val="nil"/>
              <w:tr2bl w:val="nil"/>
            </w:tcBorders>
            <w:noWrap w:val="0"/>
            <w:vAlign w:val="center"/>
          </w:tcPr>
          <w:p w14:paraId="366578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运至政府制定地点，统一处置</w:t>
            </w:r>
          </w:p>
        </w:tc>
        <w:tc>
          <w:tcPr>
            <w:tcW w:w="2233" w:type="dxa"/>
            <w:tcBorders>
              <w:tl2br w:val="nil"/>
              <w:tr2bl w:val="nil"/>
            </w:tcBorders>
            <w:noWrap w:val="0"/>
            <w:vAlign w:val="center"/>
          </w:tcPr>
          <w:p w14:paraId="40B43B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50FE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67BFDEF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continue"/>
            <w:tcBorders>
              <w:tl2br w:val="nil"/>
              <w:tr2bl w:val="nil"/>
            </w:tcBorders>
            <w:noWrap w:val="0"/>
            <w:vAlign w:val="center"/>
          </w:tcPr>
          <w:p w14:paraId="2AA923B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698846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施工人员</w:t>
            </w:r>
          </w:p>
        </w:tc>
        <w:tc>
          <w:tcPr>
            <w:tcW w:w="1307" w:type="dxa"/>
            <w:tcBorders>
              <w:tl2br w:val="nil"/>
              <w:tr2bl w:val="nil"/>
            </w:tcBorders>
            <w:noWrap w:val="0"/>
            <w:vAlign w:val="center"/>
          </w:tcPr>
          <w:p w14:paraId="06A622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2282" w:type="dxa"/>
            <w:tcBorders>
              <w:tl2br w:val="nil"/>
              <w:tr2bl w:val="nil"/>
            </w:tcBorders>
            <w:noWrap w:val="0"/>
            <w:vAlign w:val="center"/>
          </w:tcPr>
          <w:p w14:paraId="294A0D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并入仙福公司生活垃圾收集系统，委托环卫部门清运处置</w:t>
            </w:r>
          </w:p>
        </w:tc>
        <w:tc>
          <w:tcPr>
            <w:tcW w:w="2233" w:type="dxa"/>
            <w:tcBorders>
              <w:tl2br w:val="nil"/>
              <w:tr2bl w:val="nil"/>
            </w:tcBorders>
            <w:noWrap w:val="0"/>
            <w:vAlign w:val="center"/>
          </w:tcPr>
          <w:p w14:paraId="3EE5FD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0817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7DE15BB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restart"/>
            <w:tcBorders>
              <w:tl2br w:val="nil"/>
              <w:tr2bl w:val="nil"/>
            </w:tcBorders>
            <w:noWrap w:val="0"/>
            <w:vAlign w:val="center"/>
          </w:tcPr>
          <w:p w14:paraId="18C0C4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p>
        </w:tc>
        <w:tc>
          <w:tcPr>
            <w:tcW w:w="1276" w:type="dxa"/>
            <w:tcBorders>
              <w:tl2br w:val="nil"/>
              <w:tr2bl w:val="nil"/>
            </w:tcBorders>
            <w:noWrap w:val="0"/>
            <w:vAlign w:val="center"/>
          </w:tcPr>
          <w:p w14:paraId="3DADBC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除盐水站</w:t>
            </w:r>
          </w:p>
        </w:tc>
        <w:tc>
          <w:tcPr>
            <w:tcW w:w="1307" w:type="dxa"/>
            <w:tcBorders>
              <w:tl2br w:val="nil"/>
              <w:tr2bl w:val="nil"/>
            </w:tcBorders>
            <w:noWrap w:val="0"/>
            <w:vAlign w:val="center"/>
          </w:tcPr>
          <w:p w14:paraId="00A2A8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废过滤介质</w:t>
            </w:r>
          </w:p>
        </w:tc>
        <w:tc>
          <w:tcPr>
            <w:tcW w:w="2282" w:type="dxa"/>
            <w:tcBorders>
              <w:tl2br w:val="nil"/>
              <w:tr2bl w:val="nil"/>
            </w:tcBorders>
            <w:noWrap w:val="0"/>
            <w:vAlign w:val="center"/>
          </w:tcPr>
          <w:p w14:paraId="5469B4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由厂家回收利用</w:t>
            </w:r>
          </w:p>
        </w:tc>
        <w:tc>
          <w:tcPr>
            <w:tcW w:w="2233" w:type="dxa"/>
            <w:tcBorders>
              <w:tl2br w:val="nil"/>
              <w:tr2bl w:val="nil"/>
            </w:tcBorders>
            <w:noWrap w:val="0"/>
            <w:vAlign w:val="center"/>
          </w:tcPr>
          <w:p w14:paraId="5D94B8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2832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61E973C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continue"/>
            <w:tcBorders>
              <w:tl2br w:val="nil"/>
              <w:tr2bl w:val="nil"/>
            </w:tcBorders>
            <w:noWrap w:val="0"/>
            <w:vAlign w:val="center"/>
          </w:tcPr>
          <w:p w14:paraId="760322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3784A2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凝结水处理间</w:t>
            </w:r>
          </w:p>
        </w:tc>
        <w:tc>
          <w:tcPr>
            <w:tcW w:w="1307" w:type="dxa"/>
            <w:tcBorders>
              <w:tl2br w:val="nil"/>
              <w:tr2bl w:val="nil"/>
            </w:tcBorders>
            <w:noWrap w:val="0"/>
            <w:vAlign w:val="center"/>
          </w:tcPr>
          <w:p w14:paraId="21B2A3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废树脂</w:t>
            </w:r>
          </w:p>
        </w:tc>
        <w:tc>
          <w:tcPr>
            <w:tcW w:w="2282" w:type="dxa"/>
            <w:tcBorders>
              <w:tl2br w:val="nil"/>
              <w:tr2bl w:val="nil"/>
            </w:tcBorders>
            <w:noWrap w:val="0"/>
            <w:vAlign w:val="center"/>
          </w:tcPr>
          <w:p w14:paraId="0AF707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由厂家回收利用</w:t>
            </w:r>
          </w:p>
        </w:tc>
        <w:tc>
          <w:tcPr>
            <w:tcW w:w="2233" w:type="dxa"/>
            <w:tcBorders>
              <w:tl2br w:val="nil"/>
              <w:tr2bl w:val="nil"/>
            </w:tcBorders>
            <w:noWrap w:val="0"/>
            <w:vAlign w:val="center"/>
          </w:tcPr>
          <w:p w14:paraId="33F7B1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4761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45A110A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continue"/>
            <w:tcBorders>
              <w:tl2br w:val="nil"/>
              <w:tr2bl w:val="nil"/>
            </w:tcBorders>
            <w:noWrap w:val="0"/>
            <w:vAlign w:val="center"/>
          </w:tcPr>
          <w:p w14:paraId="67F3C9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1D9C2F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脱硫装置</w:t>
            </w:r>
          </w:p>
        </w:tc>
        <w:tc>
          <w:tcPr>
            <w:tcW w:w="1307" w:type="dxa"/>
            <w:tcBorders>
              <w:tl2br w:val="nil"/>
              <w:tr2bl w:val="nil"/>
            </w:tcBorders>
            <w:noWrap w:val="0"/>
            <w:vAlign w:val="center"/>
          </w:tcPr>
          <w:p w14:paraId="2A198E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脱硫灰</w:t>
            </w:r>
          </w:p>
        </w:tc>
        <w:tc>
          <w:tcPr>
            <w:tcW w:w="2282" w:type="dxa"/>
            <w:tcBorders>
              <w:tl2br w:val="nil"/>
              <w:tr2bl w:val="nil"/>
            </w:tcBorders>
            <w:noWrap w:val="0"/>
            <w:vAlign w:val="center"/>
          </w:tcPr>
          <w:p w14:paraId="613B15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统一收集后，外售</w:t>
            </w:r>
          </w:p>
        </w:tc>
        <w:tc>
          <w:tcPr>
            <w:tcW w:w="2233" w:type="dxa"/>
            <w:tcBorders>
              <w:tl2br w:val="nil"/>
              <w:tr2bl w:val="nil"/>
            </w:tcBorders>
            <w:noWrap w:val="0"/>
            <w:vAlign w:val="center"/>
          </w:tcPr>
          <w:p w14:paraId="1DD507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2310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6911B45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continue"/>
            <w:tcBorders>
              <w:tl2br w:val="nil"/>
              <w:tr2bl w:val="nil"/>
            </w:tcBorders>
            <w:noWrap w:val="0"/>
            <w:vAlign w:val="center"/>
          </w:tcPr>
          <w:p w14:paraId="00564E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3D1164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机械设备</w:t>
            </w:r>
          </w:p>
        </w:tc>
        <w:tc>
          <w:tcPr>
            <w:tcW w:w="1307" w:type="dxa"/>
            <w:tcBorders>
              <w:tl2br w:val="nil"/>
              <w:tr2bl w:val="nil"/>
            </w:tcBorders>
            <w:noWrap w:val="0"/>
            <w:vAlign w:val="center"/>
          </w:tcPr>
          <w:p w14:paraId="09559D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废润滑油</w:t>
            </w:r>
          </w:p>
        </w:tc>
        <w:tc>
          <w:tcPr>
            <w:tcW w:w="2282" w:type="dxa"/>
            <w:tcBorders>
              <w:tl2br w:val="nil"/>
              <w:tr2bl w:val="nil"/>
            </w:tcBorders>
            <w:noWrap w:val="0"/>
            <w:vAlign w:val="center"/>
          </w:tcPr>
          <w:p w14:paraId="5435B0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统一收集后暂存于</w:t>
            </w:r>
            <w:r>
              <w:rPr>
                <w:rFonts w:hint="eastAsia" w:cs="Times New Roman"/>
                <w:color w:val="auto"/>
                <w:sz w:val="21"/>
                <w:szCs w:val="21"/>
                <w:lang w:val="en-US" w:eastAsia="zh-CN"/>
              </w:rPr>
              <w:t>仙福公司现有危险废物贮存库</w:t>
            </w:r>
            <w:r>
              <w:rPr>
                <w:rFonts w:hint="eastAsia" w:ascii="Times New Roman" w:hAnsi="Times New Roman" w:eastAsia="宋体" w:cs="Times New Roman"/>
                <w:color w:val="auto"/>
                <w:sz w:val="21"/>
                <w:szCs w:val="21"/>
                <w:lang w:val="en-US" w:eastAsia="zh-CN"/>
              </w:rPr>
              <w:t>，委托有资质单位处置</w:t>
            </w:r>
          </w:p>
        </w:tc>
        <w:tc>
          <w:tcPr>
            <w:tcW w:w="2233" w:type="dxa"/>
            <w:tcBorders>
              <w:tl2br w:val="nil"/>
              <w:tr2bl w:val="nil"/>
            </w:tcBorders>
            <w:noWrap w:val="0"/>
            <w:vAlign w:val="center"/>
          </w:tcPr>
          <w:p w14:paraId="10D850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4191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6EB2DA8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continue"/>
            <w:tcBorders>
              <w:tl2br w:val="nil"/>
              <w:tr2bl w:val="nil"/>
            </w:tcBorders>
            <w:noWrap w:val="0"/>
            <w:vAlign w:val="center"/>
          </w:tcPr>
          <w:p w14:paraId="213555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1A3A74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危化品储存</w:t>
            </w:r>
          </w:p>
        </w:tc>
        <w:tc>
          <w:tcPr>
            <w:tcW w:w="1307" w:type="dxa"/>
            <w:tcBorders>
              <w:tl2br w:val="nil"/>
              <w:tr2bl w:val="nil"/>
            </w:tcBorders>
            <w:noWrap w:val="0"/>
            <w:vAlign w:val="center"/>
          </w:tcPr>
          <w:p w14:paraId="2ABE71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废危化品包装桶</w:t>
            </w:r>
          </w:p>
        </w:tc>
        <w:tc>
          <w:tcPr>
            <w:tcW w:w="2282" w:type="dxa"/>
            <w:tcBorders>
              <w:tl2br w:val="nil"/>
              <w:tr2bl w:val="nil"/>
            </w:tcBorders>
            <w:shd w:val="clear" w:color="auto" w:fill="auto"/>
            <w:noWrap w:val="0"/>
            <w:vAlign w:val="center"/>
          </w:tcPr>
          <w:p w14:paraId="067E71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统一收集后暂存于</w:t>
            </w:r>
            <w:r>
              <w:rPr>
                <w:rFonts w:hint="eastAsia" w:cs="Times New Roman"/>
                <w:color w:val="auto"/>
                <w:sz w:val="21"/>
                <w:szCs w:val="21"/>
                <w:lang w:val="en-US" w:eastAsia="zh-CN"/>
              </w:rPr>
              <w:t>仙福公司现有危险废物贮存库</w:t>
            </w:r>
            <w:r>
              <w:rPr>
                <w:rFonts w:hint="eastAsia" w:ascii="Times New Roman" w:hAnsi="Times New Roman" w:eastAsia="宋体" w:cs="Times New Roman"/>
                <w:color w:val="auto"/>
                <w:sz w:val="21"/>
                <w:szCs w:val="21"/>
                <w:lang w:val="en-US" w:eastAsia="zh-CN"/>
              </w:rPr>
              <w:t>，委托有资质单位处置</w:t>
            </w:r>
          </w:p>
        </w:tc>
        <w:tc>
          <w:tcPr>
            <w:tcW w:w="2233" w:type="dxa"/>
            <w:tcBorders>
              <w:tl2br w:val="nil"/>
              <w:tr2bl w:val="nil"/>
            </w:tcBorders>
            <w:noWrap w:val="0"/>
            <w:vAlign w:val="center"/>
          </w:tcPr>
          <w:p w14:paraId="125F55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69D2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7" w:type="dxa"/>
            <w:vMerge w:val="continue"/>
            <w:tcBorders>
              <w:tl2br w:val="nil"/>
              <w:tr2bl w:val="nil"/>
            </w:tcBorders>
            <w:noWrap w:val="0"/>
            <w:vAlign w:val="center"/>
          </w:tcPr>
          <w:p w14:paraId="56DD3BF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p>
        </w:tc>
        <w:tc>
          <w:tcPr>
            <w:tcW w:w="588" w:type="dxa"/>
            <w:vMerge w:val="continue"/>
            <w:tcBorders>
              <w:tl2br w:val="nil"/>
              <w:tr2bl w:val="nil"/>
            </w:tcBorders>
            <w:noWrap w:val="0"/>
            <w:vAlign w:val="center"/>
          </w:tcPr>
          <w:p w14:paraId="09ADE9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276" w:type="dxa"/>
            <w:tcBorders>
              <w:tl2br w:val="nil"/>
              <w:tr2bl w:val="nil"/>
            </w:tcBorders>
            <w:noWrap w:val="0"/>
            <w:vAlign w:val="center"/>
          </w:tcPr>
          <w:p w14:paraId="236458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SCR脱硝装置</w:t>
            </w:r>
          </w:p>
        </w:tc>
        <w:tc>
          <w:tcPr>
            <w:tcW w:w="1307" w:type="dxa"/>
            <w:tcBorders>
              <w:tl2br w:val="nil"/>
              <w:tr2bl w:val="nil"/>
            </w:tcBorders>
            <w:noWrap w:val="0"/>
            <w:vAlign w:val="center"/>
          </w:tcPr>
          <w:p w14:paraId="4E6965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废催化剂</w:t>
            </w:r>
          </w:p>
        </w:tc>
        <w:tc>
          <w:tcPr>
            <w:tcW w:w="2282" w:type="dxa"/>
            <w:tcBorders>
              <w:tl2br w:val="nil"/>
              <w:tr2bl w:val="nil"/>
            </w:tcBorders>
            <w:noWrap w:val="0"/>
            <w:vAlign w:val="center"/>
          </w:tcPr>
          <w:p w14:paraId="772173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不在厂区贮存，更换后由厂家带走回收利用。</w:t>
            </w:r>
          </w:p>
        </w:tc>
        <w:tc>
          <w:tcPr>
            <w:tcW w:w="2233" w:type="dxa"/>
            <w:tcBorders>
              <w:tl2br w:val="nil"/>
              <w:tr2bl w:val="nil"/>
            </w:tcBorders>
            <w:noWrap w:val="0"/>
            <w:vAlign w:val="center"/>
          </w:tcPr>
          <w:p w14:paraId="4BD329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委托处置</w:t>
            </w:r>
          </w:p>
        </w:tc>
      </w:tr>
      <w:tr w14:paraId="2140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tcBorders>
              <w:tl2br w:val="nil"/>
              <w:tr2bl w:val="nil"/>
            </w:tcBorders>
            <w:noWrap w:val="0"/>
            <w:vAlign w:val="center"/>
          </w:tcPr>
          <w:p w14:paraId="12B507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土壤及地下水污染防治措施</w:t>
            </w:r>
          </w:p>
        </w:tc>
        <w:tc>
          <w:tcPr>
            <w:tcW w:w="7686" w:type="dxa"/>
            <w:gridSpan w:val="5"/>
            <w:tcBorders>
              <w:tl2br w:val="nil"/>
              <w:tr2bl w:val="nil"/>
            </w:tcBorders>
            <w:noWrap w:val="0"/>
            <w:vAlign w:val="center"/>
          </w:tcPr>
          <w:p w14:paraId="1567BD94">
            <w:pPr>
              <w:pStyle w:val="16"/>
              <w:adjustRightInd w:val="0"/>
              <w:snapToGrid w:val="0"/>
              <w:spacing w:after="0" w:line="360" w:lineRule="auto"/>
              <w:ind w:left="0" w:leftChars="0" w:firstLine="480"/>
              <w:rPr>
                <w:color w:val="auto"/>
                <w:sz w:val="24"/>
              </w:rPr>
            </w:pPr>
            <w:r>
              <w:rPr>
                <w:rFonts w:hint="eastAsia"/>
                <w:color w:val="auto"/>
                <w:sz w:val="24"/>
              </w:rPr>
              <w:t>本项目地下水、土壤污染防治措施按照“源头控制、分区防治、应急响应”相结合的原则，从污染物的产生、入渗、扩散、应急响应进行控制。</w:t>
            </w:r>
          </w:p>
          <w:p w14:paraId="5BA4A407">
            <w:pPr>
              <w:pStyle w:val="16"/>
              <w:adjustRightInd w:val="0"/>
              <w:snapToGrid w:val="0"/>
              <w:spacing w:after="0" w:line="360" w:lineRule="auto"/>
              <w:ind w:left="48" w:leftChars="23" w:firstLine="480"/>
              <w:rPr>
                <w:color w:val="auto"/>
                <w:sz w:val="24"/>
              </w:rPr>
            </w:pPr>
            <w:r>
              <w:rPr>
                <w:rFonts w:hint="eastAsia"/>
                <w:color w:val="auto"/>
                <w:sz w:val="24"/>
              </w:rPr>
              <w:t>①源头控制措施</w:t>
            </w:r>
          </w:p>
          <w:p w14:paraId="2C15ED5A">
            <w:pPr>
              <w:pStyle w:val="16"/>
              <w:adjustRightInd w:val="0"/>
              <w:snapToGrid w:val="0"/>
              <w:spacing w:after="0" w:line="360" w:lineRule="auto"/>
              <w:ind w:left="48" w:leftChars="23" w:firstLine="480"/>
              <w:rPr>
                <w:color w:val="auto"/>
                <w:sz w:val="24"/>
              </w:rPr>
            </w:pPr>
            <w:r>
              <w:rPr>
                <w:rFonts w:hint="eastAsia"/>
                <w:color w:val="auto"/>
                <w:sz w:val="24"/>
              </w:rPr>
              <w:t>污水管严格按照国家相关规范要求，使用合格的管材尽可能从源头上减少污染物的产生；防止和降低可能污染物的跑、冒、滴、漏，将废水泄漏的环境风险事故降低到最低程度。</w:t>
            </w:r>
            <w:r>
              <w:rPr>
                <w:rFonts w:hint="eastAsia"/>
                <w:color w:val="auto"/>
                <w:kern w:val="24"/>
                <w:sz w:val="24"/>
              </w:rPr>
              <w:t>废气治理设施配置一定量的易损备件及维护保养专用工具，并设专门技术人员对袋式除尘器进行管理及维修，避免出现非正常排放。当发生故障出现非正常排放时，应立即停止生产，及时排除和抢修，待废气处理系统恢复正常后，方可继续生产。</w:t>
            </w:r>
          </w:p>
          <w:p w14:paraId="6D9AA69B">
            <w:pPr>
              <w:pStyle w:val="16"/>
              <w:adjustRightInd w:val="0"/>
              <w:snapToGrid w:val="0"/>
              <w:spacing w:after="0" w:line="360" w:lineRule="auto"/>
              <w:ind w:left="48" w:leftChars="23" w:firstLine="480"/>
              <w:rPr>
                <w:color w:val="auto"/>
                <w:sz w:val="24"/>
              </w:rPr>
            </w:pPr>
            <w:r>
              <w:rPr>
                <w:rFonts w:hint="eastAsia"/>
                <w:color w:val="auto"/>
                <w:sz w:val="24"/>
              </w:rPr>
              <w:t>②分区防控措施</w:t>
            </w:r>
          </w:p>
          <w:p w14:paraId="47257EC0">
            <w:pPr>
              <w:pStyle w:val="16"/>
              <w:adjustRightInd w:val="0"/>
              <w:snapToGrid w:val="0"/>
              <w:spacing w:after="0" w:line="360" w:lineRule="auto"/>
              <w:ind w:left="0" w:leftChars="0" w:firstLine="480"/>
              <w:rPr>
                <w:color w:val="auto"/>
                <w:sz w:val="24"/>
              </w:rPr>
            </w:pPr>
            <w:r>
              <w:rPr>
                <w:rFonts w:hint="eastAsia"/>
                <w:color w:val="auto"/>
                <w:sz w:val="24"/>
              </w:rPr>
              <w:t>根据项目地下水、土壤污染分析，本项目按照分区防控的要求，将厂区分为重点防渗区、一般防渗区和简单防渗区，不同的分区采取相应的防渗措施。</w:t>
            </w:r>
          </w:p>
          <w:p w14:paraId="79D8BD5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olor w:val="auto"/>
                <w:sz w:val="24"/>
              </w:rPr>
            </w:pPr>
            <w:r>
              <w:rPr>
                <w:rFonts w:hint="eastAsia"/>
                <w:color w:val="auto"/>
                <w:sz w:val="24"/>
              </w:rPr>
              <w:t>本项目运行期地下水、土壤防控措施见下表。</w:t>
            </w:r>
          </w:p>
          <w:p w14:paraId="7BFE165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黑体" w:hAnsi="黑体" w:eastAsia="黑体" w:cs="黑体"/>
                <w:b w:val="0"/>
                <w:bCs/>
                <w:color w:val="auto"/>
                <w:kern w:val="24"/>
                <w:sz w:val="21"/>
                <w:szCs w:val="21"/>
              </w:rPr>
            </w:pPr>
            <w:r>
              <w:rPr>
                <w:rFonts w:hint="eastAsia" w:ascii="黑体" w:hAnsi="黑体" w:eastAsia="黑体" w:cs="黑体"/>
                <w:b w:val="0"/>
                <w:bCs/>
                <w:color w:val="auto"/>
                <w:kern w:val="24"/>
                <w:sz w:val="21"/>
                <w:szCs w:val="21"/>
              </w:rPr>
              <w:t>表5-1  本项目分区防渗内容及要求汇总表</w:t>
            </w:r>
          </w:p>
          <w:tbl>
            <w:tblPr>
              <w:tblStyle w:val="18"/>
              <w:tblW w:w="747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130"/>
              <w:gridCol w:w="1456"/>
              <w:gridCol w:w="4884"/>
            </w:tblGrid>
            <w:tr w14:paraId="649E0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130" w:type="dxa"/>
                  <w:tcBorders>
                    <w:tl2br w:val="nil"/>
                    <w:tr2bl w:val="nil"/>
                  </w:tcBorders>
                  <w:vAlign w:val="center"/>
                </w:tcPr>
                <w:p w14:paraId="77012710">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防渗分区</w:t>
                  </w:r>
                </w:p>
              </w:tc>
              <w:tc>
                <w:tcPr>
                  <w:tcW w:w="1456" w:type="dxa"/>
                  <w:tcBorders>
                    <w:tl2br w:val="nil"/>
                    <w:tr2bl w:val="nil"/>
                  </w:tcBorders>
                  <w:vAlign w:val="center"/>
                </w:tcPr>
                <w:p w14:paraId="4D291995">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区域</w:t>
                  </w:r>
                </w:p>
              </w:tc>
              <w:tc>
                <w:tcPr>
                  <w:tcW w:w="4884" w:type="dxa"/>
                  <w:tcBorders>
                    <w:tl2br w:val="nil"/>
                    <w:tr2bl w:val="nil"/>
                  </w:tcBorders>
                  <w:vAlign w:val="center"/>
                </w:tcPr>
                <w:p w14:paraId="3A7F90FA">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防渗要求、措施</w:t>
                  </w:r>
                </w:p>
              </w:tc>
            </w:tr>
            <w:tr w14:paraId="2EE4D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130" w:type="dxa"/>
                  <w:tcBorders>
                    <w:tl2br w:val="nil"/>
                    <w:tr2bl w:val="nil"/>
                  </w:tcBorders>
                  <w:vAlign w:val="center"/>
                </w:tcPr>
                <w:p w14:paraId="2613643D">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重点防渗区</w:t>
                  </w:r>
                </w:p>
              </w:tc>
              <w:tc>
                <w:tcPr>
                  <w:tcW w:w="1456" w:type="dxa"/>
                  <w:tcBorders>
                    <w:tl2br w:val="nil"/>
                    <w:tr2bl w:val="nil"/>
                  </w:tcBorders>
                  <w:vAlign w:val="center"/>
                </w:tcPr>
                <w:p w14:paraId="5BA1CFA8">
                  <w:pPr>
                    <w:adjustRightInd w:val="0"/>
                    <w:snapToGrid w:val="0"/>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rPr>
                    <w:t>现有项目</w:t>
                  </w:r>
                  <w:r>
                    <w:rPr>
                      <w:rFonts w:hint="eastAsia" w:ascii="Times New Roman" w:hAnsi="Times New Roman" w:eastAsia="宋体" w:cs="Times New Roman"/>
                      <w:color w:val="auto"/>
                      <w:kern w:val="24"/>
                      <w:sz w:val="18"/>
                      <w:szCs w:val="18"/>
                      <w:lang w:val="en-US" w:eastAsia="zh-CN"/>
                    </w:rPr>
                    <w:t>危险废物贮存库、现有</w:t>
                  </w:r>
                  <w:r>
                    <w:rPr>
                      <w:rFonts w:hint="eastAsia" w:ascii="Times New Roman" w:hAnsi="Times New Roman" w:eastAsia="宋体" w:cs="Times New Roman"/>
                      <w:color w:val="auto"/>
                      <w:sz w:val="18"/>
                      <w:szCs w:val="18"/>
                      <w:lang w:val="en-US" w:eastAsia="zh-CN"/>
                    </w:rPr>
                    <w:t>污水处理设施、现有油品仓库、</w:t>
                  </w:r>
                  <w:r>
                    <w:rPr>
                      <w:rFonts w:hint="eastAsia" w:cs="Times New Roman"/>
                      <w:color w:val="auto"/>
                      <w:sz w:val="18"/>
                      <w:szCs w:val="18"/>
                      <w:lang w:val="en-US" w:eastAsia="zh-CN"/>
                    </w:rPr>
                    <w:t>氨水</w:t>
                  </w:r>
                  <w:r>
                    <w:rPr>
                      <w:rFonts w:hint="eastAsia" w:ascii="Times New Roman" w:hAnsi="Times New Roman" w:eastAsia="宋体" w:cs="Times New Roman"/>
                      <w:color w:val="auto"/>
                      <w:sz w:val="18"/>
                      <w:szCs w:val="18"/>
                      <w:lang w:val="en-US" w:eastAsia="zh-CN"/>
                    </w:rPr>
                    <w:t>储罐区、盐酸储罐区</w:t>
                  </w:r>
                </w:p>
              </w:tc>
              <w:tc>
                <w:tcPr>
                  <w:tcW w:w="4884" w:type="dxa"/>
                  <w:tcBorders>
                    <w:tl2br w:val="nil"/>
                    <w:tr2bl w:val="nil"/>
                  </w:tcBorders>
                  <w:vAlign w:val="center"/>
                </w:tcPr>
                <w:p w14:paraId="66162111">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0"/>
                      <w:sz w:val="18"/>
                      <w:szCs w:val="18"/>
                      <w:lang w:bidi="ar"/>
                    </w:rPr>
                    <w:t>现有项目</w:t>
                  </w:r>
                  <w:r>
                    <w:rPr>
                      <w:rFonts w:hint="eastAsia" w:ascii="Times New Roman" w:hAnsi="Times New Roman" w:eastAsia="宋体" w:cs="Times New Roman"/>
                      <w:color w:val="auto"/>
                      <w:kern w:val="24"/>
                      <w:sz w:val="18"/>
                      <w:szCs w:val="18"/>
                      <w:lang w:val="en-US" w:eastAsia="zh-CN"/>
                    </w:rPr>
                    <w:t>危险废物贮存库</w:t>
                  </w:r>
                  <w:r>
                    <w:rPr>
                      <w:rFonts w:hint="default" w:ascii="Times New Roman" w:hAnsi="Times New Roman" w:eastAsia="宋体" w:cs="Times New Roman"/>
                      <w:color w:val="auto"/>
                      <w:kern w:val="24"/>
                      <w:sz w:val="18"/>
                      <w:szCs w:val="18"/>
                    </w:rPr>
                    <w:t>已进行重</w:t>
                  </w:r>
                  <w:r>
                    <w:rPr>
                      <w:rFonts w:hint="default" w:ascii="Times New Roman" w:hAnsi="Times New Roman" w:eastAsia="宋体" w:cs="Times New Roman"/>
                      <w:color w:val="auto"/>
                      <w:kern w:val="0"/>
                      <w:sz w:val="18"/>
                      <w:szCs w:val="18"/>
                      <w:lang w:bidi="ar"/>
                    </w:rPr>
                    <w:t>点防渗，其防渗措施采用抗渗混凝土+2mm厚高密度聚乙烯膜+环氧树脂涂层。</w:t>
                  </w:r>
                </w:p>
              </w:tc>
            </w:tr>
            <w:tr w14:paraId="66A303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130" w:type="dxa"/>
                  <w:tcBorders>
                    <w:tl2br w:val="nil"/>
                    <w:tr2bl w:val="nil"/>
                  </w:tcBorders>
                  <w:vAlign w:val="center"/>
                </w:tcPr>
                <w:p w14:paraId="3C347741">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一般防渗区</w:t>
                  </w:r>
                </w:p>
              </w:tc>
              <w:tc>
                <w:tcPr>
                  <w:tcW w:w="1456" w:type="dxa"/>
                  <w:tcBorders>
                    <w:tl2br w:val="nil"/>
                    <w:tr2bl w:val="nil"/>
                  </w:tcBorders>
                  <w:vAlign w:val="center"/>
                </w:tcPr>
                <w:p w14:paraId="2356D1BE">
                  <w:pPr>
                    <w:adjustRightInd w:val="0"/>
                    <w:snapToGrid w:val="0"/>
                    <w:jc w:val="center"/>
                    <w:rPr>
                      <w:rFonts w:hint="default" w:ascii="Times New Roman" w:hAnsi="Times New Roman" w:eastAsia="宋体" w:cs="Times New Roman"/>
                      <w:color w:val="auto"/>
                      <w:kern w:val="24"/>
                      <w:sz w:val="18"/>
                      <w:szCs w:val="18"/>
                    </w:rPr>
                  </w:pPr>
                  <w:r>
                    <w:rPr>
                      <w:rFonts w:hint="eastAsia" w:ascii="Times New Roman" w:hAnsi="Times New Roman" w:eastAsia="宋体" w:cs="Times New Roman"/>
                      <w:color w:val="auto"/>
                      <w:sz w:val="18"/>
                      <w:szCs w:val="18"/>
                      <w:lang w:val="en-US" w:eastAsia="zh-CN"/>
                    </w:rPr>
                    <w:t>除</w:t>
                  </w:r>
                  <w:r>
                    <w:rPr>
                      <w:rFonts w:hint="eastAsia" w:cs="Times New Roman"/>
                      <w:color w:val="auto"/>
                      <w:sz w:val="18"/>
                      <w:szCs w:val="18"/>
                      <w:lang w:val="en-US" w:eastAsia="zh-CN"/>
                    </w:rPr>
                    <w:t>氨水</w:t>
                  </w:r>
                  <w:r>
                    <w:rPr>
                      <w:rFonts w:hint="eastAsia" w:ascii="Times New Roman" w:hAnsi="Times New Roman" w:eastAsia="宋体" w:cs="Times New Roman"/>
                      <w:color w:val="auto"/>
                      <w:sz w:val="18"/>
                      <w:szCs w:val="18"/>
                      <w:lang w:val="en-US" w:eastAsia="zh-CN"/>
                    </w:rPr>
                    <w:t>储罐区、盐酸储罐区以外的生产车间、污水管沟</w:t>
                  </w:r>
                </w:p>
              </w:tc>
              <w:tc>
                <w:tcPr>
                  <w:tcW w:w="4884" w:type="dxa"/>
                  <w:tcBorders>
                    <w:tl2br w:val="nil"/>
                    <w:tr2bl w:val="nil"/>
                  </w:tcBorders>
                  <w:vAlign w:val="center"/>
                </w:tcPr>
                <w:p w14:paraId="6148C30D">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采用抗渗混凝土硬化，或等效黏土防渗层Mb≥1.5m，渗透系数≤10</w:t>
                  </w:r>
                  <w:r>
                    <w:rPr>
                      <w:rFonts w:hint="default" w:ascii="Times New Roman" w:hAnsi="Times New Roman" w:eastAsia="宋体" w:cs="Times New Roman"/>
                      <w:color w:val="auto"/>
                      <w:kern w:val="24"/>
                      <w:sz w:val="18"/>
                      <w:szCs w:val="18"/>
                      <w:vertAlign w:val="superscript"/>
                    </w:rPr>
                    <w:t>-7</w:t>
                  </w:r>
                  <w:r>
                    <w:rPr>
                      <w:rFonts w:hint="default" w:ascii="Times New Roman" w:hAnsi="Times New Roman" w:eastAsia="宋体" w:cs="Times New Roman"/>
                      <w:color w:val="auto"/>
                      <w:kern w:val="24"/>
                      <w:sz w:val="18"/>
                      <w:szCs w:val="18"/>
                    </w:rPr>
                    <w:t>cm/s</w:t>
                  </w:r>
                </w:p>
              </w:tc>
            </w:tr>
            <w:tr w14:paraId="6F67CA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1130" w:type="dxa"/>
                  <w:tcBorders>
                    <w:tl2br w:val="nil"/>
                    <w:tr2bl w:val="nil"/>
                  </w:tcBorders>
                  <w:vAlign w:val="center"/>
                </w:tcPr>
                <w:p w14:paraId="37644E31">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简单防渗区</w:t>
                  </w:r>
                </w:p>
              </w:tc>
              <w:tc>
                <w:tcPr>
                  <w:tcW w:w="1456" w:type="dxa"/>
                  <w:tcBorders>
                    <w:tl2br w:val="nil"/>
                    <w:tr2bl w:val="nil"/>
                  </w:tcBorders>
                  <w:vAlign w:val="center"/>
                </w:tcPr>
                <w:p w14:paraId="439FFC74">
                  <w:pPr>
                    <w:adjustRightInd w:val="0"/>
                    <w:snapToGrid w:val="0"/>
                    <w:jc w:val="center"/>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0"/>
                      <w:sz w:val="18"/>
                      <w:szCs w:val="18"/>
                      <w:lang w:val="en-US" w:eastAsia="zh-CN"/>
                    </w:rPr>
                    <w:t>绿地以外其他区域</w:t>
                  </w:r>
                </w:p>
              </w:tc>
              <w:tc>
                <w:tcPr>
                  <w:tcW w:w="4884" w:type="dxa"/>
                  <w:tcBorders>
                    <w:tl2br w:val="nil"/>
                    <w:tr2bl w:val="nil"/>
                  </w:tcBorders>
                  <w:vAlign w:val="center"/>
                </w:tcPr>
                <w:p w14:paraId="21E8D32E">
                  <w:pPr>
                    <w:adjustRightInd w:val="0"/>
                    <w:snapToGrid w:val="0"/>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一般地面硬化</w:t>
                  </w:r>
                </w:p>
              </w:tc>
            </w:tr>
          </w:tbl>
          <w:p w14:paraId="25BC4A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p>
        </w:tc>
      </w:tr>
      <w:tr w14:paraId="7CA2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tcBorders>
              <w:tl2br w:val="nil"/>
              <w:tr2bl w:val="nil"/>
            </w:tcBorders>
            <w:noWrap w:val="0"/>
            <w:vAlign w:val="center"/>
          </w:tcPr>
          <w:p w14:paraId="583091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686" w:type="dxa"/>
            <w:gridSpan w:val="5"/>
            <w:tcBorders>
              <w:tl2br w:val="nil"/>
              <w:tr2bl w:val="nil"/>
            </w:tcBorders>
            <w:noWrap w:val="0"/>
            <w:vAlign w:val="center"/>
          </w:tcPr>
          <w:p w14:paraId="1CF9B5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增加绿化。</w:t>
            </w:r>
          </w:p>
        </w:tc>
      </w:tr>
      <w:tr w14:paraId="5333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tcBorders>
              <w:tl2br w:val="nil"/>
              <w:tr2bl w:val="nil"/>
            </w:tcBorders>
            <w:noWrap w:val="0"/>
            <w:vAlign w:val="center"/>
          </w:tcPr>
          <w:p w14:paraId="370AC0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环境风险防范措施</w:t>
            </w:r>
          </w:p>
        </w:tc>
        <w:tc>
          <w:tcPr>
            <w:tcW w:w="7686" w:type="dxa"/>
            <w:gridSpan w:val="5"/>
            <w:tcBorders>
              <w:tl2br w:val="nil"/>
              <w:tr2bl w:val="nil"/>
            </w:tcBorders>
            <w:noWrap w:val="0"/>
            <w:vAlign w:val="center"/>
          </w:tcPr>
          <w:p w14:paraId="044483EE">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、环境风险防范措施</w:t>
            </w:r>
          </w:p>
          <w:p w14:paraId="0750C5F0">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（1）管理措施</w:t>
            </w:r>
          </w:p>
          <w:p w14:paraId="3EF70075">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煤气输送管道、燃气锅炉等设施，施工时严格按照《建筑设计防火规范》（GB50016-2014）、《爆炸和火灾危险环境电力装置设计规范》（GB50058-92）设计、安装，阀门、法兰或接口等选用防漏且安全的材料。</w:t>
            </w:r>
          </w:p>
          <w:p w14:paraId="45DACD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（2）总体布局和建筑防范措施</w:t>
            </w:r>
          </w:p>
          <w:p w14:paraId="7B399B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在建筑与构筑物的设计中，进行准确的抗震验算，并根据《建筑抗震设计规范》及《构筑物抗震设计规范》中的规定，按建筑抗震设防烈度7度，对建构筑物进行设计。各生产装置与公共设施、辅助设施之间的距离均符合安全防火间距的要求，厂内消防道路和厂区出入口的设置满足事故救援及人员疏散的要求。</w:t>
            </w:r>
          </w:p>
          <w:p w14:paraId="29DF9E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（3）工艺技术设计防范措施</w:t>
            </w:r>
          </w:p>
          <w:p w14:paraId="2112AC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①生产装置和物料储运过程控制采用DCS系统，设有越限报警和联锁保护系统，确保在误操作或非正常工况下，对危险物料的安全控制。</w:t>
            </w:r>
          </w:p>
          <w:p w14:paraId="2C6BB4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②易产生火灾爆炸危险的区域，如燃气锅炉区域，其仪表及其他电气设备按所处区域的防爆等级选用防爆型。</w:t>
            </w:r>
          </w:p>
          <w:p w14:paraId="7E9A7F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③对于生产设备、建（构）筑物，配有</w:t>
            </w:r>
            <w:r>
              <w:rPr>
                <w:rFonts w:hint="eastAsia" w:cs="Times New Roman"/>
                <w:color w:val="000000"/>
                <w:kern w:val="0"/>
                <w:sz w:val="24"/>
                <w:szCs w:val="24"/>
                <w:lang w:val="en-US" w:eastAsia="zh-CN" w:bidi="ar"/>
              </w:rPr>
              <w:t>相应</w:t>
            </w:r>
            <w:r>
              <w:rPr>
                <w:rFonts w:hint="default" w:ascii="Times New Roman" w:hAnsi="Times New Roman" w:eastAsia="宋体" w:cs="Times New Roman"/>
                <w:color w:val="000000"/>
                <w:kern w:val="0"/>
                <w:sz w:val="24"/>
                <w:szCs w:val="24"/>
                <w:lang w:val="en-US" w:eastAsia="zh-CN" w:bidi="ar"/>
              </w:rPr>
              <w:t>的防雷措施。对爆炸、火灾危险场所内可能产生静电危险的设备和管道，均采取静电接地措施</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煤气管道设静电接地设施。</w:t>
            </w:r>
          </w:p>
          <w:p w14:paraId="2B9B7C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所有设备和管道的强度、严密性及耐腐蚀性符合有关技术规范要求。场内高温和低温设备及管道外部均按要求包裹绝缘材料。压力容器、压力管道等特种设备均由具有相应资质的单位设计、制造、安装，并通过安全验收，定期进行检验。</w:t>
            </w:r>
          </w:p>
          <w:p w14:paraId="698B8D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⑤煤气</w:t>
            </w:r>
            <w:r>
              <w:rPr>
                <w:rFonts w:hint="eastAsia" w:cs="Times New Roman"/>
                <w:color w:val="000000"/>
                <w:kern w:val="0"/>
                <w:sz w:val="24"/>
                <w:szCs w:val="24"/>
                <w:lang w:val="en-US" w:eastAsia="zh-CN" w:bidi="ar"/>
              </w:rPr>
              <w:t>管道</w:t>
            </w:r>
            <w:r>
              <w:rPr>
                <w:rFonts w:hint="eastAsia" w:ascii="Times New Roman" w:hAnsi="Times New Roman" w:eastAsia="宋体" w:cs="Times New Roman"/>
                <w:color w:val="000000"/>
                <w:kern w:val="0"/>
                <w:sz w:val="24"/>
                <w:szCs w:val="24"/>
                <w:lang w:val="en-US" w:eastAsia="zh-CN" w:bidi="ar"/>
              </w:rPr>
              <w:t>设置可燃气体、有毒气体检测报警仪、火灾报警器、感烟离子探测器、视频监控系统等设施，以便万一发生可燃气体、有毒气体泄漏时及时提供信息，及时处理。</w:t>
            </w:r>
          </w:p>
          <w:p w14:paraId="23B7BC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（4）消防和火警报警防范措施</w:t>
            </w:r>
          </w:p>
          <w:p w14:paraId="76EC13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各工序水消防系统包括室内消火栓系统、室外消火栓系统、自动喷水灭火系统。自动喷水灭火系统，按一次火灾设计，消防水由稳高压消防系统供给。可根据系统内压力变化自动启动稳压泵或消防主泵。在每个防火分区的敷设闭式喷头，发生火警时首先由报警系统发出警报，待人工确认火灾地点后人工手动打开阀门向失火区域供水灭火。</w:t>
            </w:r>
          </w:p>
          <w:p w14:paraId="68066E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②在厂区内设置有足够数量的手提式灭火器（包括干粉、CO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灭火器等）。</w:t>
            </w:r>
          </w:p>
          <w:p w14:paraId="69AEA0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2、大气环境风险防控及应急措施</w:t>
            </w:r>
          </w:p>
          <w:p w14:paraId="56D643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煤气管道</w:t>
            </w:r>
            <w:r>
              <w:rPr>
                <w:rFonts w:hint="default" w:ascii="Times New Roman" w:hAnsi="Times New Roman" w:eastAsia="宋体" w:cs="Times New Roman"/>
                <w:color w:val="000000"/>
                <w:kern w:val="0"/>
                <w:sz w:val="24"/>
                <w:szCs w:val="24"/>
                <w:lang w:val="en-US" w:eastAsia="zh-CN" w:bidi="ar"/>
              </w:rPr>
              <w:t>设置有毒气体检测报警仪、火灾报警器、感烟离子探测器、视频监控系统等设施，一旦发生可燃气体、有毒气体泄漏时及时提供信息，及时处理。</w:t>
            </w:r>
          </w:p>
          <w:p w14:paraId="5305E4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为了煤气系统检修维护安全，煤气系统采用氮气进行吹扫和置换，避免煤气与空气直接接触引发事故。氮气吹扫后经煤气放散管道高空排放；放散阀采用电动阀控制。有内部检修要求的管道增设空气置换，氮气吹扫后再使用压缩空气进行再次吹扫和置换。</w:t>
            </w:r>
          </w:p>
          <w:p w14:paraId="24BD88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）制定检修制度，定期对煤气管道、阀门等易出现泄漏的部位进行检查，对破损、老化设备及时进行更换。</w:t>
            </w:r>
          </w:p>
          <w:p w14:paraId="6C52D4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）制定巡检制度，根据巡检结果及时对风险隐患进行排查并整治消除。</w:t>
            </w:r>
          </w:p>
          <w:p w14:paraId="22D19F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）制定检修制度，定期对煤气柜、管道、阀门等易出现泄漏的部位进行检查，对破损、老化设备及时进行更换。</w:t>
            </w:r>
          </w:p>
          <w:p w14:paraId="633FC0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3、地表水风险防控及应急措施</w:t>
            </w:r>
          </w:p>
          <w:p w14:paraId="52A0BD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（1）按规范建设雨水沟、污水管，做到厂区内雨污分流。</w:t>
            </w:r>
          </w:p>
          <w:p w14:paraId="37DADB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（2）定期对污水管道进行排查、检修，若有损坏或老化的水泵、阀门等设备及时更换，确保无废水跑冒滴漏。</w:t>
            </w:r>
          </w:p>
          <w:p w14:paraId="458F81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（3）若发生火灾爆炸事故产生清消废水，及时关闭厂区内雨水口，对清消废水采用沙包等物资进行截流、围挡，将清消废水收集于</w:t>
            </w:r>
            <w:r>
              <w:rPr>
                <w:rFonts w:hint="eastAsia" w:ascii="Times New Roman" w:hAnsi="Times New Roman" w:eastAsia="宋体" w:cs="Times New Roman"/>
                <w:color w:val="000000"/>
                <w:kern w:val="0"/>
                <w:sz w:val="24"/>
                <w:szCs w:val="24"/>
                <w:lang w:val="en-US" w:eastAsia="zh-CN" w:bidi="ar"/>
              </w:rPr>
              <w:t>仙福公司现有</w:t>
            </w:r>
            <w:r>
              <w:rPr>
                <w:rFonts w:hint="default" w:ascii="Times New Roman" w:hAnsi="Times New Roman" w:eastAsia="宋体" w:cs="Times New Roman"/>
                <w:color w:val="000000"/>
                <w:kern w:val="0"/>
                <w:sz w:val="24"/>
                <w:szCs w:val="24"/>
                <w:lang w:val="en-US" w:eastAsia="zh-CN" w:bidi="ar"/>
              </w:rPr>
              <w:t>事故池，经中央水处理站处理后补充生产用水，避免事故清消废水排放。</w:t>
            </w:r>
          </w:p>
          <w:p w14:paraId="1DE349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4、地下水、土壤污染防治措施</w:t>
            </w:r>
          </w:p>
          <w:p w14:paraId="276A6B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本项目地下水、土壤污染防治措施按照</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源头控制、分区防控、污染监控、应急响应</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相结合的原则，从污染物的产生、入渗、扩散、应急等方面进行控制。源头控制通过加强巡视与周围视频监控实现，及时发现危险废物跑、冒、滴、漏现象，做到污染物</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早发现、早处理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危险废物贮存库</w:t>
            </w:r>
            <w:r>
              <w:rPr>
                <w:rFonts w:hint="default" w:ascii="Times New Roman" w:hAnsi="Times New Roman" w:eastAsia="宋体" w:cs="Times New Roman"/>
                <w:color w:val="000000"/>
                <w:kern w:val="0"/>
                <w:sz w:val="24"/>
                <w:szCs w:val="24"/>
                <w:lang w:val="en-US" w:eastAsia="zh-CN" w:bidi="ar"/>
              </w:rPr>
              <w:t>依托仙福公司原有，已做重点防渗。</w:t>
            </w:r>
          </w:p>
          <w:p w14:paraId="00E23A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一旦发现异常，采取以下紧急措施：</w:t>
            </w:r>
          </w:p>
          <w:p w14:paraId="45B571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①按照制订的应急预案，在第一时间上报公司主管领导，通知当地生态环境主管部门，密切关注地下水水质、土壤污染变化情况。</w:t>
            </w:r>
          </w:p>
          <w:p w14:paraId="720D7B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组织专业队伍对事故现场进行调查、监测，查找环境事故发生地点、分析事故原因，尽量将紧急事件局部化，如可能应予以消除，采取包括切断生产装置或设施等措施，防止事故的扩散、蔓延及连锁反应，尽量缩小污染事故对人和财产的影响。</w:t>
            </w:r>
          </w:p>
          <w:p w14:paraId="5ED285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发生污染物泄漏后，应及时对浅层污染土壤进行处理，开挖污染土壤送至污染处理厂进行处理，切断污染物源；当通过监测发现对周围地下水造成污染时，根据观测井的反馈信息，对污染区地下水人工开采形成地下水漏斗，控制污染区地下水流场，防止污染物扩散。</w:t>
            </w:r>
          </w:p>
          <w:p w14:paraId="3C8B25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④对植被破坏的区域设置紧急隔离围堤，防止物料及消防水进一步渗入地下</w:t>
            </w:r>
            <w:r>
              <w:rPr>
                <w:rFonts w:hint="eastAsia" w:ascii="Times New Roman" w:hAnsi="Times New Roman" w:eastAsia="宋体" w:cs="Times New Roman"/>
                <w:color w:val="000000"/>
                <w:kern w:val="0"/>
                <w:sz w:val="24"/>
                <w:szCs w:val="24"/>
                <w:lang w:val="en-US" w:eastAsia="zh-CN" w:bidi="ar"/>
              </w:rPr>
              <w:t>。</w:t>
            </w:r>
          </w:p>
          <w:p w14:paraId="5FC1FC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⑤对事故后果进行评估，并制定防止类似事件发生的措施。</w:t>
            </w:r>
          </w:p>
          <w:p w14:paraId="3FAC27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⑥如果本厂力量无法应对污染事故，应立即请求社会应急力量协助处理。</w:t>
            </w:r>
          </w:p>
          <w:p w14:paraId="4C1754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5、火灾和爆炸风险防范措施</w:t>
            </w:r>
          </w:p>
          <w:p w14:paraId="254CA4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（1）设备的安全管理</w:t>
            </w:r>
          </w:p>
          <w:p w14:paraId="6F0470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定期对设备进行安全检测，检测内容、时间、人员应有记录保存。安全检测应根据安全性、危险性设定检测频次。此外，在装置区内的所有运营设备、电气装置都应满足防火防爆的要求。</w:t>
            </w:r>
          </w:p>
          <w:p w14:paraId="2E80A9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（2）火源的管理</w:t>
            </w:r>
          </w:p>
          <w:p w14:paraId="5719DC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严禁火源进入存储区，对明火严格控制，明火发生源为火柴、打火机等。定期对设备进行维修</w:t>
            </w:r>
            <w:r>
              <w:rPr>
                <w:rFonts w:hint="eastAsia" w:cs="Times New Roman"/>
                <w:color w:val="000000"/>
                <w:kern w:val="0"/>
                <w:sz w:val="24"/>
                <w:szCs w:val="24"/>
                <w:lang w:val="en-US" w:eastAsia="zh-CN" w:bidi="ar"/>
              </w:rPr>
              <w:t>检查</w:t>
            </w:r>
            <w:r>
              <w:rPr>
                <w:rFonts w:hint="default" w:ascii="Times New Roman" w:hAnsi="Times New Roman" w:eastAsia="宋体" w:cs="Times New Roman"/>
                <w:color w:val="000000"/>
                <w:kern w:val="0"/>
                <w:sz w:val="24"/>
                <w:szCs w:val="24"/>
                <w:lang w:val="en-US" w:eastAsia="zh-CN" w:bidi="ar"/>
              </w:rPr>
              <w:t>。完善消防设施，针对不同的工作部位，设计相应的消防系统。</w:t>
            </w:r>
          </w:p>
          <w:p w14:paraId="60B3B0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消防系统应严格按照相关要求进行设计。设计符合设计规范的消防管网、消防栓、喷淋系统和各种手持式灭火器材，一旦发生险情可及时发现处理，</w:t>
            </w:r>
            <w:r>
              <w:rPr>
                <w:rFonts w:hint="eastAsia" w:cs="Times New Roman"/>
                <w:color w:val="000000"/>
                <w:kern w:val="0"/>
                <w:sz w:val="24"/>
                <w:szCs w:val="24"/>
                <w:lang w:val="en-US" w:eastAsia="zh-CN" w:bidi="ar"/>
              </w:rPr>
              <w:t>消除</w:t>
            </w:r>
            <w:r>
              <w:rPr>
                <w:rFonts w:hint="default" w:ascii="Times New Roman" w:hAnsi="Times New Roman" w:eastAsia="宋体" w:cs="Times New Roman"/>
                <w:color w:val="000000"/>
                <w:kern w:val="0"/>
                <w:sz w:val="24"/>
                <w:szCs w:val="24"/>
                <w:lang w:val="en-US" w:eastAsia="zh-CN" w:bidi="ar"/>
              </w:rPr>
              <w:t>隐患。严格厂区功能分区，最大限度减少易燃性物质接触高温、明火的可能性。</w:t>
            </w:r>
          </w:p>
          <w:p w14:paraId="0C15BC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6、应急能力建设及培训演练</w:t>
            </w:r>
          </w:p>
          <w:p w14:paraId="33F07D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color w:val="000000"/>
                <w:kern w:val="0"/>
                <w:sz w:val="24"/>
                <w:szCs w:val="24"/>
                <w:lang w:val="en-US" w:eastAsia="zh-CN" w:bidi="ar"/>
              </w:rPr>
              <w:t>为防范和处置突发环境事件，企业应按时办理应急预案，并严格按照突发环境事件应急预案中相关要求，成立突发环境事件应急救援指挥中心，明确应急指挥部组成及职责。企业按照预案要求，制定应急物资储备清单，定期对应急物资进行检查，老化、损坏设备及时更新，消耗的物资及时补充。企业制定严格的环境风险防控措施，定期对员工加强环境安全教育，并对应急救援成员进行环境安全教育考核，每年组织一次消防安全及环境联合演练。通过每年培训演练，分析总结事故情况风险防控及应急措施的有效性及不足之处，并提出改进措施，不断提高企业应急能力。</w:t>
            </w:r>
          </w:p>
        </w:tc>
      </w:tr>
      <w:tr w14:paraId="504E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7" w:type="dxa"/>
            <w:tcBorders>
              <w:tl2br w:val="nil"/>
              <w:tr2bl w:val="nil"/>
            </w:tcBorders>
            <w:noWrap w:val="0"/>
            <w:vAlign w:val="center"/>
          </w:tcPr>
          <w:p w14:paraId="49304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其他环境管理要求</w:t>
            </w:r>
          </w:p>
        </w:tc>
        <w:tc>
          <w:tcPr>
            <w:tcW w:w="7686" w:type="dxa"/>
            <w:gridSpan w:val="5"/>
            <w:tcBorders>
              <w:tl2br w:val="nil"/>
              <w:tr2bl w:val="nil"/>
            </w:tcBorders>
            <w:noWrap w:val="0"/>
            <w:vAlign w:val="center"/>
          </w:tcPr>
          <w:p w14:paraId="3B83F504">
            <w:pPr>
              <w:adjustRightInd w:val="0"/>
              <w:snapToGrid w:val="0"/>
              <w:spacing w:line="360" w:lineRule="auto"/>
              <w:ind w:firstLine="482" w:firstLineChars="200"/>
              <w:rPr>
                <w:rFonts w:hint="default" w:ascii="Times New Roman" w:hAnsi="Times New Roman" w:eastAsia="宋体" w:cs="Times New Roman"/>
                <w:b/>
                <w:snapToGrid w:val="0"/>
                <w:color w:val="auto"/>
                <w:sz w:val="24"/>
                <w:szCs w:val="24"/>
                <w:highlight w:val="none"/>
              </w:rPr>
            </w:pPr>
            <w:r>
              <w:rPr>
                <w:rFonts w:hint="default" w:ascii="Times New Roman" w:hAnsi="Times New Roman" w:eastAsia="宋体" w:cs="Times New Roman"/>
                <w:b/>
                <w:snapToGrid w:val="0"/>
                <w:color w:val="auto"/>
                <w:sz w:val="24"/>
                <w:szCs w:val="24"/>
                <w:highlight w:val="none"/>
              </w:rPr>
              <w:t>1、环境管理与监测计划</w:t>
            </w:r>
          </w:p>
          <w:p w14:paraId="4B28DA3D">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（1）环境管理</w:t>
            </w:r>
          </w:p>
          <w:p w14:paraId="6B58E0FC">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1）环境管理内容</w:t>
            </w:r>
          </w:p>
          <w:p w14:paraId="5A01370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立环境保护管理机构，根据工程环境影响评价提出的环境保护措施，落实环境保护工作经费，对营运期环境保护工作进行监督管理，并负责与政府环境主管部门联系和协调环境管理相关事宜。实施环境保护对策措施，为具体实施环境保护措施和采取某些补救措施提供依据和基本资料。</w:t>
            </w:r>
          </w:p>
          <w:p w14:paraId="6036C118">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2）环境管理机构和职责</w:t>
            </w:r>
          </w:p>
          <w:p w14:paraId="0C79E85B">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环境管理机构</w:t>
            </w:r>
          </w:p>
          <w:p w14:paraId="4102927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的实际情况，建设单位应设专人负责环境保护事宜。</w:t>
            </w:r>
            <w:r>
              <w:rPr>
                <w:rFonts w:hint="default" w:ascii="Times New Roman" w:hAnsi="Times New Roman" w:eastAsia="宋体" w:cs="Times New Roman"/>
                <w:color w:val="auto"/>
                <w:sz w:val="24"/>
                <w:szCs w:val="24"/>
                <w:highlight w:val="none"/>
                <w:lang w:val="en-US" w:eastAsia="zh-CN"/>
              </w:rPr>
              <w:t>企业运营过程中，</w:t>
            </w:r>
            <w:r>
              <w:rPr>
                <w:rFonts w:hint="default" w:ascii="Times New Roman" w:hAnsi="Times New Roman" w:eastAsia="宋体" w:cs="Times New Roman"/>
                <w:color w:val="auto"/>
                <w:sz w:val="24"/>
                <w:szCs w:val="24"/>
                <w:highlight w:val="none"/>
              </w:rPr>
              <w:t>环境管理机构由管理部门负责，对环境管理和环境监控负责，并受主管单位及当地</w:t>
            </w:r>
            <w:r>
              <w:rPr>
                <w:rFonts w:hint="default"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rPr>
              <w:t>局的监督和指导。</w:t>
            </w:r>
          </w:p>
          <w:p w14:paraId="71F6C33A">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环境管理机构的职责</w:t>
            </w:r>
          </w:p>
          <w:p w14:paraId="2847AC0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①贯彻、宣传国家的环保方针、政策和法律法规。</w:t>
            </w:r>
          </w:p>
          <w:p w14:paraId="6CFAB4E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②制定</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的环保管理制度、环保技术经济政策、环境保护发展规划和年度实施计划。</w:t>
            </w:r>
          </w:p>
          <w:p w14:paraId="04943BC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③监督检查</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执行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三同时</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规定的情况。</w:t>
            </w:r>
          </w:p>
          <w:p w14:paraId="1CE7162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④定期进行环保设备检查、维修和保养工作，确保环保设施长期、稳定、达标运转。</w:t>
            </w:r>
          </w:p>
          <w:p w14:paraId="678E3E3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⑤负责环保设施的日常运行管理工作，制定事故防范措施，一旦发生事故，组织污染源调查及控制工作，并及时总结经验教训。</w:t>
            </w:r>
          </w:p>
          <w:p w14:paraId="27CA579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⑥负责对</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环保人员和其他人员进行环境保护教育，不断提高</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内人员的环境意识和环保人员的业务素质。</w:t>
            </w:r>
          </w:p>
          <w:p w14:paraId="4F67D07C">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3）环境管理制度</w:t>
            </w:r>
          </w:p>
          <w:p w14:paraId="7C6755B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建设单位应制定一系列规章制度以促进环境保护工作，使环境保护工作规范化和程序化，并通过经济杠杆来保证环境保护管理制度的认真执行。根据需要，建议制定的环境保护工作条例有：</w:t>
            </w:r>
          </w:p>
          <w:p w14:paraId="0C321629">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①环境保护职责管理条例；</w:t>
            </w:r>
          </w:p>
          <w:p w14:paraId="55A3C21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②污水、废气、固体废物排放管理制度；</w:t>
            </w:r>
          </w:p>
          <w:p w14:paraId="6A80549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处理装置日常运行管理制度；</w:t>
            </w:r>
          </w:p>
          <w:p w14:paraId="6B9A0169">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④排污情况报告制度；</w:t>
            </w:r>
          </w:p>
          <w:p w14:paraId="1D7A5F8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⑤污染事故处理制度；</w:t>
            </w:r>
          </w:p>
          <w:p w14:paraId="45DB1C8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⑥环保教育制度。</w:t>
            </w:r>
          </w:p>
          <w:p w14:paraId="60E27AB2">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4）环境管理计划</w:t>
            </w:r>
            <w:bookmarkStart w:id="22" w:name="_GoBack"/>
            <w:bookmarkEnd w:id="22"/>
          </w:p>
          <w:p w14:paraId="56EB1AB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val="en-US" w:eastAsia="zh-CN"/>
              </w:rPr>
              <w:t>本项目投产前</w:t>
            </w:r>
            <w:r>
              <w:rPr>
                <w:rFonts w:hint="default" w:ascii="Times New Roman" w:hAnsi="Times New Roman" w:eastAsia="宋体" w:cs="Times New Roman"/>
                <w:color w:val="auto"/>
                <w:sz w:val="24"/>
                <w:szCs w:val="24"/>
                <w:highlight w:val="none"/>
              </w:rPr>
              <w:t>，应对建设项目验收，检查环保设施是否达到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三同时</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p>
          <w:p w14:paraId="089514D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②加强环保设施的管理，定期检查</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内环保设施运行情况，如</w:t>
            </w:r>
            <w:r>
              <w:rPr>
                <w:rFonts w:hint="eastAsia" w:ascii="Times New Roman" w:hAnsi="Times New Roman" w:eastAsia="宋体" w:cs="Times New Roman"/>
                <w:color w:val="auto"/>
                <w:sz w:val="24"/>
                <w:szCs w:val="24"/>
                <w:highlight w:val="none"/>
                <w:lang w:val="en-US" w:eastAsia="zh-CN"/>
              </w:rPr>
              <w:t>脱硫设施、脱硝设施</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除尘器等设施是否正常运行，防止污水溢出污染项目内外环境。若发现故障，要及时排除，保证环保设施正常运转。</w:t>
            </w:r>
          </w:p>
          <w:p w14:paraId="6B06CCA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③检查区域内环境，不允许在</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内开展有污染环境的活动，发现问题及时督促解决。</w:t>
            </w:r>
          </w:p>
          <w:p w14:paraId="58B0A46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④运用经济、教育、行政、法律及其它手段，加强</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内人员的环保意识，加强环境保护的自觉性，不断提高环境管理水平。</w:t>
            </w:r>
          </w:p>
          <w:p w14:paraId="3FA9905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⑤配合当地环保监测机构，实施环境监测计划。</w:t>
            </w:r>
          </w:p>
          <w:p w14:paraId="3486473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⑥加强</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内绿化管理，维护好</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内的绿化体系，充分发挥绿化对环境和整个区域环境的调节作用。</w:t>
            </w:r>
          </w:p>
          <w:p w14:paraId="1AB0902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（2）环境监测计划</w:t>
            </w:r>
          </w:p>
          <w:p w14:paraId="14A8758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环境监测是指在营运期对主要污染对象进行的环境采集、化验、数据处理与编制报告等活动，环境监测为环境保护管理提供科学的依据。</w:t>
            </w:r>
          </w:p>
          <w:p w14:paraId="7046C43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对在环境影响评价过程中所识别、预测的不利影响进行跟踪监测，及时发现在环境影响评价过程中未预计到的实际发生的不利影响，同时为环境保护及污染物控制、和环境管理提供科学依据，同时根据《排污单位自行监测技术指南</w:t>
            </w:r>
            <w:r>
              <w:rPr>
                <w:rFonts w:hint="eastAsia" w:cs="Times New Roman"/>
                <w:color w:val="auto"/>
                <w:sz w:val="24"/>
                <w:szCs w:val="24"/>
                <w:highlight w:val="none"/>
                <w:lang w:val="en-US" w:eastAsia="zh-CN"/>
              </w:rPr>
              <w:t xml:space="preserve"> 钢铁工业</w:t>
            </w:r>
            <w:r>
              <w:rPr>
                <w:rFonts w:hint="default" w:ascii="Times New Roman" w:hAnsi="Times New Roman" w:eastAsia="宋体" w:cs="Times New Roman"/>
                <w:color w:val="auto"/>
                <w:sz w:val="24"/>
                <w:szCs w:val="24"/>
                <w:highlight w:val="none"/>
              </w:rPr>
              <w:t>》（HJ 819-2017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，项目制定环境监测计划。本项目环境监测计划如表5-</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所示。</w:t>
            </w:r>
          </w:p>
          <w:p w14:paraId="4E293E1A">
            <w:pPr>
              <w:adjustRightInd w:val="0"/>
              <w:snapToGrid w:val="0"/>
              <w:spacing w:line="360" w:lineRule="auto"/>
              <w:ind w:firstLine="420" w:firstLineChars="200"/>
              <w:jc w:val="center"/>
              <w:rPr>
                <w:rFonts w:eastAsia="黑体"/>
                <w:color w:val="auto"/>
                <w:szCs w:val="21"/>
                <w:highlight w:val="none"/>
              </w:rPr>
            </w:pPr>
            <w:r>
              <w:rPr>
                <w:rFonts w:eastAsia="黑体"/>
                <w:color w:val="auto"/>
                <w:szCs w:val="21"/>
                <w:highlight w:val="none"/>
              </w:rPr>
              <w:t>表</w:t>
            </w:r>
            <w:r>
              <w:rPr>
                <w:rFonts w:hint="eastAsia" w:eastAsia="黑体"/>
                <w:color w:val="auto"/>
                <w:szCs w:val="21"/>
                <w:highlight w:val="none"/>
              </w:rPr>
              <w:t>5-</w:t>
            </w:r>
            <w:r>
              <w:rPr>
                <w:rFonts w:hint="eastAsia" w:eastAsia="黑体"/>
                <w:color w:val="auto"/>
                <w:szCs w:val="21"/>
                <w:highlight w:val="none"/>
                <w:lang w:val="en-US" w:eastAsia="zh-CN"/>
              </w:rPr>
              <w:t>2</w:t>
            </w:r>
            <w:r>
              <w:rPr>
                <w:rFonts w:eastAsia="黑体"/>
                <w:color w:val="auto"/>
                <w:szCs w:val="21"/>
                <w:highlight w:val="none"/>
              </w:rPr>
              <w:t xml:space="preserve">    运营期监测计划表</w:t>
            </w:r>
          </w:p>
          <w:tbl>
            <w:tblPr>
              <w:tblStyle w:val="1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238"/>
              <w:gridCol w:w="744"/>
              <w:gridCol w:w="1834"/>
              <w:gridCol w:w="1963"/>
            </w:tblGrid>
            <w:tr w14:paraId="2D021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tcBorders>
                    <w:tl2br w:val="nil"/>
                    <w:tr2bl w:val="nil"/>
                  </w:tcBorders>
                  <w:vAlign w:val="center"/>
                </w:tcPr>
                <w:p w14:paraId="26ABD78A">
                  <w:pPr>
                    <w:adjustRightInd w:val="0"/>
                    <w:snapToGrid w:val="0"/>
                    <w:jc w:val="center"/>
                    <w:rPr>
                      <w:color w:val="auto"/>
                      <w:sz w:val="18"/>
                      <w:szCs w:val="18"/>
                      <w:highlight w:val="none"/>
                    </w:rPr>
                  </w:pPr>
                  <w:r>
                    <w:rPr>
                      <w:rFonts w:hint="eastAsia"/>
                      <w:color w:val="auto"/>
                      <w:sz w:val="18"/>
                      <w:szCs w:val="18"/>
                      <w:highlight w:val="none"/>
                    </w:rPr>
                    <w:t>环境要素</w:t>
                  </w:r>
                </w:p>
              </w:tc>
              <w:tc>
                <w:tcPr>
                  <w:tcW w:w="1498" w:type="pct"/>
                  <w:tcBorders>
                    <w:tl2br w:val="nil"/>
                    <w:tr2bl w:val="nil"/>
                  </w:tcBorders>
                  <w:vAlign w:val="center"/>
                </w:tcPr>
                <w:p w14:paraId="559967F3">
                  <w:pPr>
                    <w:adjustRightInd w:val="0"/>
                    <w:snapToGrid w:val="0"/>
                    <w:jc w:val="center"/>
                    <w:rPr>
                      <w:color w:val="auto"/>
                      <w:sz w:val="18"/>
                      <w:szCs w:val="18"/>
                      <w:highlight w:val="none"/>
                    </w:rPr>
                  </w:pPr>
                  <w:r>
                    <w:rPr>
                      <w:rFonts w:hint="eastAsia"/>
                      <w:color w:val="auto"/>
                      <w:sz w:val="18"/>
                      <w:szCs w:val="18"/>
                      <w:highlight w:val="none"/>
                    </w:rPr>
                    <w:t>监测点位</w:t>
                  </w:r>
                </w:p>
              </w:tc>
              <w:tc>
                <w:tcPr>
                  <w:tcW w:w="498" w:type="pct"/>
                  <w:tcBorders>
                    <w:tl2br w:val="nil"/>
                    <w:tr2bl w:val="nil"/>
                  </w:tcBorders>
                  <w:vAlign w:val="center"/>
                </w:tcPr>
                <w:p w14:paraId="2E24B37B">
                  <w:pPr>
                    <w:adjustRightInd w:val="0"/>
                    <w:snapToGrid w:val="0"/>
                    <w:jc w:val="center"/>
                    <w:rPr>
                      <w:color w:val="auto"/>
                      <w:sz w:val="18"/>
                      <w:szCs w:val="18"/>
                      <w:highlight w:val="none"/>
                    </w:rPr>
                  </w:pPr>
                  <w:r>
                    <w:rPr>
                      <w:rFonts w:hint="eastAsia"/>
                      <w:color w:val="auto"/>
                      <w:sz w:val="18"/>
                      <w:szCs w:val="18"/>
                      <w:highlight w:val="none"/>
                    </w:rPr>
                    <w:t>监测项目</w:t>
                  </w:r>
                </w:p>
              </w:tc>
              <w:tc>
                <w:tcPr>
                  <w:tcW w:w="1228" w:type="pct"/>
                  <w:tcBorders>
                    <w:tl2br w:val="nil"/>
                    <w:tr2bl w:val="nil"/>
                  </w:tcBorders>
                  <w:vAlign w:val="center"/>
                </w:tcPr>
                <w:p w14:paraId="4FD8E7B6">
                  <w:pPr>
                    <w:adjustRightInd w:val="0"/>
                    <w:snapToGrid w:val="0"/>
                    <w:jc w:val="center"/>
                    <w:rPr>
                      <w:color w:val="auto"/>
                      <w:sz w:val="18"/>
                      <w:szCs w:val="18"/>
                      <w:highlight w:val="none"/>
                    </w:rPr>
                  </w:pPr>
                  <w:r>
                    <w:rPr>
                      <w:rFonts w:hint="eastAsia"/>
                      <w:color w:val="auto"/>
                      <w:sz w:val="18"/>
                      <w:szCs w:val="18"/>
                      <w:highlight w:val="none"/>
                    </w:rPr>
                    <w:t>监测频次</w:t>
                  </w:r>
                </w:p>
              </w:tc>
              <w:tc>
                <w:tcPr>
                  <w:tcW w:w="1314" w:type="pct"/>
                  <w:tcBorders>
                    <w:tl2br w:val="nil"/>
                    <w:tr2bl w:val="nil"/>
                  </w:tcBorders>
                  <w:vAlign w:val="center"/>
                </w:tcPr>
                <w:p w14:paraId="02A7C15D">
                  <w:pPr>
                    <w:adjustRightInd w:val="0"/>
                    <w:snapToGrid w:val="0"/>
                    <w:jc w:val="center"/>
                    <w:rPr>
                      <w:color w:val="auto"/>
                      <w:sz w:val="18"/>
                      <w:szCs w:val="18"/>
                      <w:highlight w:val="none"/>
                    </w:rPr>
                  </w:pPr>
                  <w:r>
                    <w:rPr>
                      <w:rFonts w:hint="eastAsia"/>
                      <w:color w:val="auto"/>
                      <w:sz w:val="18"/>
                      <w:szCs w:val="18"/>
                      <w:highlight w:val="none"/>
                    </w:rPr>
                    <w:t>执行标准</w:t>
                  </w:r>
                </w:p>
              </w:tc>
            </w:tr>
            <w:tr w14:paraId="4F7962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tcBorders>
                    <w:tl2br w:val="nil"/>
                    <w:tr2bl w:val="nil"/>
                  </w:tcBorders>
                  <w:vAlign w:val="center"/>
                </w:tcPr>
                <w:p w14:paraId="3E451B82">
                  <w:pPr>
                    <w:adjustRightInd w:val="0"/>
                    <w:snapToGrid w:val="0"/>
                    <w:jc w:val="center"/>
                    <w:rPr>
                      <w:color w:val="auto"/>
                      <w:sz w:val="18"/>
                      <w:szCs w:val="18"/>
                      <w:highlight w:val="none"/>
                    </w:rPr>
                  </w:pPr>
                  <w:r>
                    <w:rPr>
                      <w:rFonts w:hint="eastAsia"/>
                      <w:color w:val="auto"/>
                      <w:sz w:val="18"/>
                      <w:szCs w:val="18"/>
                      <w:highlight w:val="none"/>
                    </w:rPr>
                    <w:t>有组织废气</w:t>
                  </w:r>
                </w:p>
              </w:tc>
              <w:tc>
                <w:tcPr>
                  <w:tcW w:w="1498" w:type="pct"/>
                  <w:tcBorders>
                    <w:tl2br w:val="nil"/>
                    <w:tr2bl w:val="nil"/>
                  </w:tcBorders>
                  <w:vAlign w:val="center"/>
                </w:tcPr>
                <w:p w14:paraId="5695DF36">
                  <w:pPr>
                    <w:adjustRightInd w:val="0"/>
                    <w:snapToGrid w:val="0"/>
                    <w:jc w:val="center"/>
                    <w:rPr>
                      <w:color w:val="auto"/>
                      <w:sz w:val="18"/>
                      <w:szCs w:val="18"/>
                      <w:highlight w:val="none"/>
                    </w:rPr>
                  </w:pPr>
                  <w:r>
                    <w:rPr>
                      <w:rFonts w:hint="eastAsia" w:cs="Times New Roman"/>
                      <w:color w:val="auto"/>
                      <w:kern w:val="0"/>
                      <w:sz w:val="18"/>
                      <w:szCs w:val="18"/>
                      <w:lang w:val="en-US" w:eastAsia="zh-CN" w:bidi="ar"/>
                    </w:rPr>
                    <w:t>灰仓</w:t>
                  </w:r>
                  <w:r>
                    <w:rPr>
                      <w:rFonts w:hint="default" w:ascii="Times New Roman" w:hAnsi="Times New Roman" w:eastAsia="宋体" w:cs="Times New Roman"/>
                      <w:color w:val="auto"/>
                      <w:kern w:val="0"/>
                      <w:sz w:val="18"/>
                      <w:szCs w:val="18"/>
                      <w:lang w:val="en-US" w:eastAsia="zh-CN" w:bidi="ar"/>
                    </w:rPr>
                    <w:t>锅炉</w:t>
                  </w:r>
                  <w:r>
                    <w:rPr>
                      <w:rFonts w:hint="default" w:ascii="Times New Roman" w:hAnsi="Times New Roman" w:cs="Times New Roman"/>
                      <w:color w:val="auto"/>
                      <w:kern w:val="0"/>
                      <w:sz w:val="18"/>
                      <w:szCs w:val="18"/>
                      <w:lang w:val="en-US" w:eastAsia="zh-CN" w:bidi="ar"/>
                    </w:rPr>
                    <w:t>废气排放口</w:t>
                  </w:r>
                  <w:r>
                    <w:rPr>
                      <w:rFonts w:hint="default" w:ascii="Times New Roman" w:hAnsi="Times New Roman" w:eastAsia="宋体" w:cs="Times New Roman"/>
                      <w:color w:val="auto"/>
                      <w:kern w:val="0"/>
                      <w:sz w:val="18"/>
                      <w:szCs w:val="18"/>
                      <w:lang w:val="en-US" w:eastAsia="zh-CN" w:bidi="ar"/>
                    </w:rPr>
                    <w:t>（DA</w:t>
                  </w:r>
                  <w:r>
                    <w:rPr>
                      <w:rFonts w:hint="eastAsia" w:cs="Times New Roman"/>
                      <w:color w:val="auto"/>
                      <w:kern w:val="0"/>
                      <w:sz w:val="18"/>
                      <w:szCs w:val="18"/>
                      <w:lang w:val="en-US" w:eastAsia="zh-CN" w:bidi="ar"/>
                    </w:rPr>
                    <w:t>101</w:t>
                  </w:r>
                  <w:r>
                    <w:rPr>
                      <w:rFonts w:hint="default" w:ascii="Times New Roman" w:hAnsi="Times New Roman" w:eastAsia="宋体" w:cs="Times New Roman"/>
                      <w:color w:val="auto"/>
                      <w:kern w:val="0"/>
                      <w:sz w:val="18"/>
                      <w:szCs w:val="18"/>
                      <w:lang w:val="en-US" w:eastAsia="zh-CN" w:bidi="ar"/>
                    </w:rPr>
                    <w:t>）</w:t>
                  </w:r>
                </w:p>
              </w:tc>
              <w:tc>
                <w:tcPr>
                  <w:tcW w:w="498" w:type="pct"/>
                  <w:tcBorders>
                    <w:tl2br w:val="nil"/>
                    <w:tr2bl w:val="nil"/>
                  </w:tcBorders>
                  <w:vAlign w:val="center"/>
                </w:tcPr>
                <w:p w14:paraId="267E0A62">
                  <w:pPr>
                    <w:adjustRightInd w:val="0"/>
                    <w:snapToGrid w:val="0"/>
                    <w:jc w:val="center"/>
                    <w:rPr>
                      <w:color w:val="auto"/>
                      <w:sz w:val="18"/>
                      <w:szCs w:val="18"/>
                      <w:highlight w:val="none"/>
                    </w:rPr>
                  </w:pPr>
                  <w:r>
                    <w:rPr>
                      <w:rFonts w:hint="default" w:ascii="Times New Roman" w:hAnsi="Times New Roman" w:eastAsia="宋体" w:cs="Times New Roman"/>
                      <w:color w:val="auto"/>
                      <w:kern w:val="0"/>
                      <w:sz w:val="18"/>
                      <w:szCs w:val="18"/>
                      <w:lang w:val="en-US" w:eastAsia="zh-CN" w:bidi="ar"/>
                    </w:rPr>
                    <w:t>颗粒物、</w:t>
                  </w:r>
                  <w:r>
                    <w:rPr>
                      <w:rFonts w:hint="default" w:ascii="Times New Roman" w:hAnsi="Times New Roman" w:eastAsia="宋体" w:cs="Times New Roman"/>
                      <w:color w:val="auto"/>
                      <w:sz w:val="18"/>
                      <w:szCs w:val="18"/>
                      <w:highlight w:val="none"/>
                      <w:lang w:val="en-US" w:eastAsia="zh-CN"/>
                    </w:rPr>
                    <w:t>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p>
              </w:tc>
              <w:tc>
                <w:tcPr>
                  <w:tcW w:w="1228" w:type="pct"/>
                  <w:tcBorders>
                    <w:tl2br w:val="nil"/>
                    <w:tr2bl w:val="nil"/>
                  </w:tcBorders>
                  <w:vAlign w:val="center"/>
                </w:tcPr>
                <w:p w14:paraId="34D314BA">
                  <w:pPr>
                    <w:adjustRightInd w:val="0"/>
                    <w:snapToGrid w:val="0"/>
                    <w:jc w:val="center"/>
                    <w:rPr>
                      <w:rFonts w:hint="default"/>
                      <w:color w:val="auto"/>
                      <w:sz w:val="18"/>
                      <w:szCs w:val="18"/>
                      <w:highlight w:val="none"/>
                      <w:lang w:val="en-US"/>
                    </w:rPr>
                  </w:pPr>
                  <w:r>
                    <w:rPr>
                      <w:rFonts w:hint="default" w:ascii="Times New Roman" w:hAnsi="Times New Roman" w:eastAsia="宋体" w:cs="Times New Roman"/>
                      <w:color w:val="auto"/>
                      <w:kern w:val="0"/>
                      <w:sz w:val="18"/>
                      <w:szCs w:val="18"/>
                      <w:lang w:val="en-US" w:eastAsia="zh-CN" w:bidi="ar"/>
                    </w:rPr>
                    <w:t>颗粒物、</w:t>
                  </w:r>
                  <w:r>
                    <w:rPr>
                      <w:rFonts w:hint="default" w:ascii="Times New Roman" w:hAnsi="Times New Roman" w:eastAsia="宋体" w:cs="Times New Roman"/>
                      <w:color w:val="auto"/>
                      <w:sz w:val="18"/>
                      <w:szCs w:val="18"/>
                      <w:highlight w:val="none"/>
                      <w:lang w:val="en-US" w:eastAsia="zh-CN"/>
                    </w:rPr>
                    <w:t>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eastAsia" w:ascii="Times New Roman" w:hAnsi="Times New Roman" w:eastAsia="宋体" w:cs="Times New Roman"/>
                      <w:color w:val="auto"/>
                      <w:sz w:val="18"/>
                      <w:szCs w:val="18"/>
                      <w:highlight w:val="none"/>
                      <w:vertAlign w:val="baseline"/>
                      <w:lang w:val="en-US" w:eastAsia="zh-CN"/>
                    </w:rPr>
                    <w:t>x</w:t>
                  </w:r>
                  <w:r>
                    <w:rPr>
                      <w:rFonts w:hint="eastAsia" w:cs="Times New Roman"/>
                      <w:color w:val="auto"/>
                      <w:sz w:val="18"/>
                      <w:szCs w:val="18"/>
                      <w:highlight w:val="none"/>
                      <w:vertAlign w:val="baseline"/>
                      <w:lang w:val="en-US" w:eastAsia="zh-CN"/>
                    </w:rPr>
                    <w:t>自动监测</w:t>
                  </w:r>
                  <w:r>
                    <w:rPr>
                      <w:rFonts w:hint="eastAsia"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color w:val="auto"/>
                      <w:kern w:val="0"/>
                      <w:sz w:val="18"/>
                      <w:szCs w:val="18"/>
                      <w:lang w:val="en-US" w:eastAsia="zh-CN" w:bidi="ar"/>
                    </w:rPr>
                    <w:t>林格曼黑度</w:t>
                  </w:r>
                  <w:r>
                    <w:rPr>
                      <w:rFonts w:hint="eastAsia" w:ascii="Times New Roman" w:hAnsi="Times New Roman" w:eastAsia="宋体" w:cs="Times New Roman"/>
                      <w:color w:val="auto"/>
                      <w:kern w:val="0"/>
                      <w:sz w:val="18"/>
                      <w:szCs w:val="18"/>
                      <w:lang w:val="en-US" w:eastAsia="zh-CN" w:bidi="ar"/>
                    </w:rPr>
                    <w:t>1次/季</w:t>
                  </w:r>
                </w:p>
              </w:tc>
              <w:tc>
                <w:tcPr>
                  <w:tcW w:w="1314" w:type="pct"/>
                  <w:tcBorders>
                    <w:tl2br w:val="nil"/>
                    <w:tr2bl w:val="nil"/>
                  </w:tcBorders>
                  <w:vAlign w:val="center"/>
                </w:tcPr>
                <w:p w14:paraId="5517401B">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《关于推进实施钢铁行业超低排放的意见》</w:t>
                  </w:r>
                  <w:r>
                    <w:rPr>
                      <w:rFonts w:hint="eastAsia" w:ascii="Times New Roman" w:hAnsi="Times New Roman" w:eastAsia="宋体" w:cs="Times New Roman"/>
                      <w:color w:val="auto"/>
                      <w:sz w:val="18"/>
                      <w:szCs w:val="18"/>
                      <w:highlight w:val="none"/>
                      <w:lang w:eastAsia="zh-CN"/>
                    </w:rPr>
                    <w:t>中自备电厂标准限值</w:t>
                  </w:r>
                </w:p>
              </w:tc>
            </w:tr>
            <w:tr w14:paraId="7546C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tcBorders>
                    <w:tl2br w:val="nil"/>
                    <w:tr2bl w:val="nil"/>
                  </w:tcBorders>
                  <w:vAlign w:val="center"/>
                </w:tcPr>
                <w:p w14:paraId="1EFEECA3">
                  <w:pPr>
                    <w:adjustRightInd w:val="0"/>
                    <w:snapToGrid w:val="0"/>
                    <w:jc w:val="center"/>
                    <w:rPr>
                      <w:color w:val="auto"/>
                      <w:sz w:val="18"/>
                      <w:szCs w:val="18"/>
                      <w:highlight w:val="none"/>
                    </w:rPr>
                  </w:pPr>
                  <w:r>
                    <w:rPr>
                      <w:rFonts w:hint="eastAsia"/>
                      <w:color w:val="auto"/>
                      <w:sz w:val="18"/>
                      <w:szCs w:val="18"/>
                      <w:highlight w:val="none"/>
                    </w:rPr>
                    <w:t>噪声</w:t>
                  </w:r>
                </w:p>
              </w:tc>
              <w:tc>
                <w:tcPr>
                  <w:tcW w:w="1498" w:type="pct"/>
                  <w:tcBorders>
                    <w:tl2br w:val="nil"/>
                    <w:tr2bl w:val="nil"/>
                  </w:tcBorders>
                  <w:vAlign w:val="center"/>
                </w:tcPr>
                <w:p w14:paraId="00EFEF50">
                  <w:pPr>
                    <w:adjustRightInd w:val="0"/>
                    <w:snapToGrid w:val="0"/>
                    <w:jc w:val="center"/>
                    <w:rPr>
                      <w:color w:val="auto"/>
                      <w:sz w:val="18"/>
                      <w:szCs w:val="18"/>
                      <w:highlight w:val="none"/>
                    </w:rPr>
                  </w:pPr>
                  <w:r>
                    <w:rPr>
                      <w:color w:val="auto"/>
                      <w:sz w:val="18"/>
                      <w:szCs w:val="18"/>
                      <w:highlight w:val="none"/>
                    </w:rPr>
                    <w:t>厂界东、南、西、北1m处各设1个监控点</w:t>
                  </w:r>
                </w:p>
              </w:tc>
              <w:tc>
                <w:tcPr>
                  <w:tcW w:w="498" w:type="pct"/>
                  <w:tcBorders>
                    <w:tl2br w:val="nil"/>
                    <w:tr2bl w:val="nil"/>
                  </w:tcBorders>
                  <w:vAlign w:val="center"/>
                </w:tcPr>
                <w:p w14:paraId="041BF5BF">
                  <w:pPr>
                    <w:adjustRightInd w:val="0"/>
                    <w:snapToGrid w:val="0"/>
                    <w:jc w:val="center"/>
                    <w:rPr>
                      <w:color w:val="auto"/>
                      <w:sz w:val="18"/>
                      <w:szCs w:val="18"/>
                      <w:highlight w:val="none"/>
                    </w:rPr>
                  </w:pPr>
                  <w:r>
                    <w:rPr>
                      <w:color w:val="auto"/>
                      <w:sz w:val="18"/>
                      <w:szCs w:val="18"/>
                      <w:highlight w:val="none"/>
                    </w:rPr>
                    <w:t>等效连续A声级</w:t>
                  </w:r>
                </w:p>
              </w:tc>
              <w:tc>
                <w:tcPr>
                  <w:tcW w:w="1228" w:type="pct"/>
                  <w:tcBorders>
                    <w:tl2br w:val="nil"/>
                    <w:tr2bl w:val="nil"/>
                  </w:tcBorders>
                  <w:vAlign w:val="center"/>
                </w:tcPr>
                <w:p w14:paraId="199B3F69">
                  <w:pPr>
                    <w:adjustRightInd w:val="0"/>
                    <w:snapToGrid w:val="0"/>
                    <w:jc w:val="center"/>
                    <w:rPr>
                      <w:color w:val="auto"/>
                      <w:sz w:val="18"/>
                      <w:szCs w:val="18"/>
                      <w:highlight w:val="none"/>
                    </w:rPr>
                  </w:pPr>
                  <w:r>
                    <w:rPr>
                      <w:color w:val="auto"/>
                      <w:sz w:val="18"/>
                      <w:szCs w:val="18"/>
                      <w:highlight w:val="none"/>
                    </w:rPr>
                    <w:t>每季度1次，每次监测2日，昼夜各一次</w:t>
                  </w:r>
                </w:p>
              </w:tc>
              <w:tc>
                <w:tcPr>
                  <w:tcW w:w="1314" w:type="pct"/>
                  <w:tcBorders>
                    <w:tl2br w:val="nil"/>
                    <w:tr2bl w:val="nil"/>
                  </w:tcBorders>
                  <w:vAlign w:val="center"/>
                </w:tcPr>
                <w:p w14:paraId="1AA51D95">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工业企业厂界环境噪声排放标准》（GB12348-2008）3类标准要求</w:t>
                  </w:r>
                </w:p>
              </w:tc>
            </w:tr>
          </w:tbl>
          <w:p w14:paraId="4DD48A03">
            <w:pPr>
              <w:pStyle w:val="9"/>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项目每次监测结束后，对监测资料进行分析，每年年底应对当年所有的监测数据资料进行整理和评价，审核后按档案规范编号存档，以备查询</w:t>
            </w:r>
            <w:r>
              <w:rPr>
                <w:rFonts w:hint="eastAsia" w:ascii="Times New Roman" w:hAnsi="Times New Roman"/>
                <w:color w:val="auto"/>
                <w:sz w:val="24"/>
                <w:szCs w:val="24"/>
                <w:highlight w:val="none"/>
              </w:rPr>
              <w:t>。</w:t>
            </w:r>
          </w:p>
          <w:p w14:paraId="7D6323B7">
            <w:pPr>
              <w:pStyle w:val="9"/>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（3）验收监测计划</w:t>
            </w:r>
          </w:p>
          <w:p w14:paraId="1130D18B">
            <w:pPr>
              <w:pStyle w:val="9"/>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项目竣工验收监测详见表5-</w:t>
            </w:r>
            <w:r>
              <w:rPr>
                <w:rFonts w:hint="eastAsia" w:ascii="Times New Roman" w:hAnsi="Times New Roman"/>
                <w:color w:val="auto"/>
                <w:sz w:val="24"/>
                <w:szCs w:val="24"/>
                <w:highlight w:val="none"/>
                <w:lang w:val="en-US" w:eastAsia="zh-CN"/>
              </w:rPr>
              <w:t>3</w:t>
            </w:r>
            <w:r>
              <w:rPr>
                <w:rFonts w:hint="eastAsia" w:ascii="Times New Roman" w:hAnsi="Times New Roman"/>
                <w:color w:val="auto"/>
                <w:sz w:val="24"/>
                <w:szCs w:val="24"/>
                <w:highlight w:val="none"/>
              </w:rPr>
              <w:t>。</w:t>
            </w:r>
          </w:p>
          <w:p w14:paraId="43AEE158">
            <w:pPr>
              <w:adjustRightInd w:val="0"/>
              <w:snapToGrid w:val="0"/>
              <w:spacing w:line="360" w:lineRule="auto"/>
              <w:ind w:firstLine="420" w:firstLineChars="200"/>
              <w:jc w:val="center"/>
              <w:rPr>
                <w:rFonts w:eastAsia="黑体"/>
                <w:color w:val="auto"/>
                <w:szCs w:val="21"/>
                <w:highlight w:val="none"/>
              </w:rPr>
            </w:pPr>
            <w:r>
              <w:rPr>
                <w:rFonts w:eastAsia="黑体"/>
                <w:color w:val="auto"/>
                <w:szCs w:val="21"/>
                <w:highlight w:val="none"/>
              </w:rPr>
              <w:t>表5-</w:t>
            </w:r>
            <w:r>
              <w:rPr>
                <w:rFonts w:hint="eastAsia" w:eastAsia="黑体"/>
                <w:color w:val="auto"/>
                <w:szCs w:val="21"/>
                <w:highlight w:val="none"/>
                <w:lang w:val="en-US" w:eastAsia="zh-CN"/>
              </w:rPr>
              <w:t>3</w:t>
            </w:r>
            <w:r>
              <w:rPr>
                <w:rFonts w:eastAsia="黑体"/>
                <w:color w:val="auto"/>
                <w:szCs w:val="21"/>
                <w:highlight w:val="none"/>
              </w:rPr>
              <w:t xml:space="preserve">   竣工验收监测计划表</w:t>
            </w:r>
          </w:p>
          <w:tbl>
            <w:tblPr>
              <w:tblStyle w:val="17"/>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43"/>
              <w:gridCol w:w="2104"/>
              <w:gridCol w:w="804"/>
              <w:gridCol w:w="1460"/>
              <w:gridCol w:w="1930"/>
            </w:tblGrid>
            <w:tr w14:paraId="1690A1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pct"/>
                  <w:gridSpan w:val="2"/>
                  <w:tcBorders>
                    <w:tl2br w:val="nil"/>
                    <w:tr2bl w:val="nil"/>
                  </w:tcBorders>
                  <w:vAlign w:val="center"/>
                </w:tcPr>
                <w:p w14:paraId="009F40B5">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监测内容</w:t>
                  </w:r>
                </w:p>
              </w:tc>
              <w:tc>
                <w:tcPr>
                  <w:tcW w:w="1408" w:type="pct"/>
                  <w:tcBorders>
                    <w:tl2br w:val="nil"/>
                    <w:tr2bl w:val="nil"/>
                  </w:tcBorders>
                  <w:vAlign w:val="center"/>
                </w:tcPr>
                <w:p w14:paraId="022AFE2C">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监测点位</w:t>
                  </w:r>
                </w:p>
              </w:tc>
              <w:tc>
                <w:tcPr>
                  <w:tcW w:w="538" w:type="pct"/>
                  <w:tcBorders>
                    <w:tl2br w:val="nil"/>
                    <w:tr2bl w:val="nil"/>
                  </w:tcBorders>
                  <w:vAlign w:val="center"/>
                </w:tcPr>
                <w:p w14:paraId="7BD571A7">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监测指标</w:t>
                  </w:r>
                </w:p>
              </w:tc>
              <w:tc>
                <w:tcPr>
                  <w:tcW w:w="977" w:type="pct"/>
                  <w:tcBorders>
                    <w:tl2br w:val="nil"/>
                    <w:tr2bl w:val="nil"/>
                  </w:tcBorders>
                  <w:vAlign w:val="center"/>
                </w:tcPr>
                <w:p w14:paraId="7B5761AA">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监测频率</w:t>
                  </w:r>
                </w:p>
              </w:tc>
              <w:tc>
                <w:tcPr>
                  <w:tcW w:w="1292" w:type="pct"/>
                  <w:tcBorders>
                    <w:tl2br w:val="nil"/>
                    <w:tr2bl w:val="nil"/>
                  </w:tcBorders>
                  <w:vAlign w:val="center"/>
                </w:tcPr>
                <w:p w14:paraId="50407424">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执行标准</w:t>
                  </w:r>
                </w:p>
              </w:tc>
            </w:tr>
            <w:tr w14:paraId="2BA61E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 w:type="pct"/>
                  <w:vMerge w:val="restart"/>
                  <w:tcBorders>
                    <w:tl2br w:val="nil"/>
                    <w:tr2bl w:val="nil"/>
                  </w:tcBorders>
                  <w:vAlign w:val="center"/>
                </w:tcPr>
                <w:p w14:paraId="69F427D7">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废气</w:t>
                  </w:r>
                </w:p>
              </w:tc>
              <w:tc>
                <w:tcPr>
                  <w:tcW w:w="497" w:type="pct"/>
                  <w:tcBorders>
                    <w:tl2br w:val="nil"/>
                    <w:tr2bl w:val="nil"/>
                  </w:tcBorders>
                  <w:vAlign w:val="center"/>
                </w:tcPr>
                <w:p w14:paraId="1B1A8637">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无组织废气</w:t>
                  </w:r>
                </w:p>
              </w:tc>
              <w:tc>
                <w:tcPr>
                  <w:tcW w:w="1408" w:type="pct"/>
                  <w:tcBorders>
                    <w:tl2br w:val="nil"/>
                    <w:tr2bl w:val="nil"/>
                  </w:tcBorders>
                  <w:vAlign w:val="center"/>
                </w:tcPr>
                <w:p w14:paraId="01ED3A28">
                  <w:pPr>
                    <w:pStyle w:val="9"/>
                    <w:jc w:val="center"/>
                    <w:rPr>
                      <w:rFonts w:ascii="Times New Roman" w:hAnsi="Times New Roman"/>
                      <w:color w:val="auto"/>
                      <w:kern w:val="0"/>
                      <w:sz w:val="18"/>
                      <w:szCs w:val="18"/>
                      <w:highlight w:val="none"/>
                    </w:rPr>
                  </w:pPr>
                  <w:r>
                    <w:rPr>
                      <w:rFonts w:hint="default" w:ascii="Times New Roman" w:hAnsi="Times New Roman" w:eastAsia="宋体" w:cs="Times New Roman"/>
                      <w:color w:val="000000"/>
                      <w:kern w:val="0"/>
                      <w:sz w:val="18"/>
                      <w:szCs w:val="18"/>
                      <w:lang w:val="en-US" w:eastAsia="zh-CN" w:bidi="ar"/>
                    </w:rPr>
                    <w:t>厂界（上风向1个、下风向3个，共4个）</w:t>
                  </w:r>
                </w:p>
              </w:tc>
              <w:tc>
                <w:tcPr>
                  <w:tcW w:w="538" w:type="pct"/>
                  <w:tcBorders>
                    <w:tl2br w:val="nil"/>
                    <w:tr2bl w:val="nil"/>
                  </w:tcBorders>
                  <w:vAlign w:val="center"/>
                </w:tcPr>
                <w:p w14:paraId="626B06E6">
                  <w:pPr>
                    <w:pStyle w:val="9"/>
                    <w:jc w:val="center"/>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lang w:val="en-US" w:eastAsia="zh-CN"/>
                    </w:rPr>
                    <w:t>氨</w:t>
                  </w:r>
                </w:p>
              </w:tc>
              <w:tc>
                <w:tcPr>
                  <w:tcW w:w="977" w:type="pct"/>
                  <w:tcBorders>
                    <w:tl2br w:val="nil"/>
                    <w:tr2bl w:val="nil"/>
                  </w:tcBorders>
                  <w:vAlign w:val="center"/>
                </w:tcPr>
                <w:p w14:paraId="12F3F273">
                  <w:pPr>
                    <w:pStyle w:val="9"/>
                    <w:jc w:val="center"/>
                    <w:rPr>
                      <w:rFonts w:ascii="Times New Roman" w:hAnsi="Times New Roman"/>
                      <w:color w:val="auto"/>
                      <w:sz w:val="18"/>
                      <w:szCs w:val="18"/>
                      <w:highlight w:val="none"/>
                    </w:rPr>
                  </w:pPr>
                  <w:r>
                    <w:rPr>
                      <w:rFonts w:hint="default" w:ascii="Times New Roman" w:hAnsi="Times New Roman" w:eastAsia="宋体" w:cs="Times New Roman"/>
                      <w:color w:val="auto"/>
                      <w:sz w:val="18"/>
                      <w:szCs w:val="18"/>
                      <w:highlight w:val="none"/>
                    </w:rPr>
                    <w:t>竣工验收时，连续监测2天，每天采样</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次</w:t>
                  </w:r>
                </w:p>
              </w:tc>
              <w:tc>
                <w:tcPr>
                  <w:tcW w:w="1292" w:type="pct"/>
                  <w:tcBorders>
                    <w:tl2br w:val="nil"/>
                    <w:tr2bl w:val="nil"/>
                  </w:tcBorders>
                  <w:vAlign w:val="center"/>
                </w:tcPr>
                <w:p w14:paraId="1F84EABB">
                  <w:pPr>
                    <w:pStyle w:val="9"/>
                    <w:jc w:val="center"/>
                    <w:rPr>
                      <w:rFonts w:ascii="Times New Roman" w:hAnsi="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氨执行《恶臭污染物排放标准》（GB14554-93）。</w:t>
                  </w:r>
                </w:p>
              </w:tc>
            </w:tr>
            <w:tr w14:paraId="34889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 w:type="pct"/>
                  <w:vMerge w:val="continue"/>
                  <w:tcBorders>
                    <w:tl2br w:val="nil"/>
                    <w:tr2bl w:val="nil"/>
                  </w:tcBorders>
                  <w:vAlign w:val="center"/>
                </w:tcPr>
                <w:p w14:paraId="15FA37DC">
                  <w:pPr>
                    <w:pStyle w:val="9"/>
                    <w:jc w:val="center"/>
                    <w:rPr>
                      <w:rFonts w:ascii="Times New Roman" w:hAnsi="Times New Roman"/>
                      <w:color w:val="auto"/>
                      <w:sz w:val="18"/>
                      <w:szCs w:val="18"/>
                      <w:highlight w:val="none"/>
                    </w:rPr>
                  </w:pPr>
                </w:p>
              </w:tc>
              <w:tc>
                <w:tcPr>
                  <w:tcW w:w="497" w:type="pct"/>
                  <w:tcBorders>
                    <w:tl2br w:val="nil"/>
                    <w:tr2bl w:val="nil"/>
                  </w:tcBorders>
                  <w:vAlign w:val="center"/>
                </w:tcPr>
                <w:p w14:paraId="1AA71772">
                  <w:pPr>
                    <w:pStyle w:val="9"/>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有组织废气</w:t>
                  </w:r>
                </w:p>
              </w:tc>
              <w:tc>
                <w:tcPr>
                  <w:tcW w:w="1408" w:type="pct"/>
                  <w:tcBorders>
                    <w:tl2br w:val="nil"/>
                    <w:tr2bl w:val="nil"/>
                  </w:tcBorders>
                  <w:vAlign w:val="center"/>
                </w:tcPr>
                <w:p w14:paraId="2774010B">
                  <w:pPr>
                    <w:pStyle w:val="9"/>
                    <w:jc w:val="center"/>
                    <w:rPr>
                      <w:rFonts w:ascii="Times New Roman" w:hAnsi="Times New Roman"/>
                      <w:color w:val="auto"/>
                      <w:sz w:val="18"/>
                      <w:szCs w:val="18"/>
                      <w:highlight w:val="none"/>
                    </w:rPr>
                  </w:pPr>
                  <w:r>
                    <w:rPr>
                      <w:rFonts w:hint="eastAsia" w:ascii="Times New Roman" w:hAnsi="Times New Roman" w:cs="Times New Roman"/>
                      <w:color w:val="auto"/>
                      <w:sz w:val="18"/>
                      <w:szCs w:val="18"/>
                      <w:highlight w:val="none"/>
                      <w:lang w:val="en-US" w:eastAsia="zh-CN"/>
                    </w:rPr>
                    <w:t>灰仓</w:t>
                  </w:r>
                  <w:r>
                    <w:rPr>
                      <w:rFonts w:hint="default" w:ascii="Times New Roman" w:hAnsi="Times New Roman" w:eastAsia="宋体" w:cs="Times New Roman"/>
                      <w:color w:val="auto"/>
                      <w:sz w:val="18"/>
                      <w:szCs w:val="18"/>
                      <w:highlight w:val="none"/>
                      <w:lang w:val="en-US" w:eastAsia="zh-CN"/>
                    </w:rPr>
                    <w:t>锅炉废气排放口</w:t>
                  </w:r>
                </w:p>
              </w:tc>
              <w:tc>
                <w:tcPr>
                  <w:tcW w:w="538" w:type="pct"/>
                  <w:tcBorders>
                    <w:tl2br w:val="nil"/>
                    <w:tr2bl w:val="nil"/>
                  </w:tcBorders>
                  <w:vAlign w:val="center"/>
                </w:tcPr>
                <w:p w14:paraId="6286446B">
                  <w:pPr>
                    <w:pStyle w:val="9"/>
                    <w:jc w:val="center"/>
                    <w:rPr>
                      <w:rFonts w:ascii="Times New Roman" w:hAnsi="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烟尘、SO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r>
                    <w:rPr>
                      <w:rFonts w:hint="eastAsia" w:ascii="Times New Roman" w:hAnsi="Times New Roman" w:cs="Times New Roman"/>
                      <w:color w:val="auto"/>
                      <w:sz w:val="18"/>
                      <w:szCs w:val="18"/>
                      <w:highlight w:val="none"/>
                      <w:vertAlign w:val="baseline"/>
                      <w:lang w:val="en-US" w:eastAsia="zh-CN"/>
                    </w:rPr>
                    <w:t>、</w:t>
                  </w:r>
                  <w:r>
                    <w:rPr>
                      <w:rFonts w:hint="default" w:ascii="Times New Roman" w:hAnsi="Times New Roman" w:eastAsia="宋体" w:cs="Times New Roman"/>
                      <w:color w:val="auto"/>
                      <w:kern w:val="0"/>
                      <w:sz w:val="18"/>
                      <w:szCs w:val="18"/>
                      <w:lang w:val="en-US" w:eastAsia="zh-CN" w:bidi="ar"/>
                    </w:rPr>
                    <w:t>林格曼黑度</w:t>
                  </w:r>
                </w:p>
              </w:tc>
              <w:tc>
                <w:tcPr>
                  <w:tcW w:w="977" w:type="pct"/>
                  <w:tcBorders>
                    <w:tl2br w:val="nil"/>
                    <w:tr2bl w:val="nil"/>
                  </w:tcBorders>
                  <w:vAlign w:val="center"/>
                </w:tcPr>
                <w:p w14:paraId="7D4ACD8D">
                  <w:pPr>
                    <w:pStyle w:val="9"/>
                    <w:jc w:val="center"/>
                    <w:rPr>
                      <w:rFonts w:ascii="Times New Roman" w:hAnsi="Times New Roman"/>
                      <w:color w:val="auto"/>
                      <w:sz w:val="18"/>
                      <w:szCs w:val="18"/>
                      <w:highlight w:val="none"/>
                    </w:rPr>
                  </w:pPr>
                  <w:r>
                    <w:rPr>
                      <w:rFonts w:hint="default" w:ascii="Times New Roman" w:hAnsi="Times New Roman" w:eastAsia="宋体" w:cs="Times New Roman"/>
                      <w:color w:val="auto"/>
                      <w:sz w:val="18"/>
                      <w:szCs w:val="18"/>
                      <w:highlight w:val="none"/>
                    </w:rPr>
                    <w:t>竣工验收时，连续监测2天，每天采样3次</w:t>
                  </w:r>
                </w:p>
              </w:tc>
              <w:tc>
                <w:tcPr>
                  <w:tcW w:w="1292" w:type="pct"/>
                  <w:tcBorders>
                    <w:tl2br w:val="nil"/>
                    <w:tr2bl w:val="nil"/>
                  </w:tcBorders>
                  <w:vAlign w:val="center"/>
                </w:tcPr>
                <w:p w14:paraId="0BECC9CC">
                  <w:pPr>
                    <w:pStyle w:val="9"/>
                    <w:jc w:val="center"/>
                    <w:rPr>
                      <w:rFonts w:ascii="Times New Roman" w:hAnsi="Times New Roman"/>
                      <w:color w:val="auto"/>
                      <w:kern w:val="0"/>
                      <w:sz w:val="18"/>
                      <w:szCs w:val="18"/>
                      <w:highlight w:val="none"/>
                    </w:rPr>
                  </w:pPr>
                  <w:r>
                    <w:rPr>
                      <w:rFonts w:hint="default" w:ascii="Times New Roman" w:hAnsi="Times New Roman" w:eastAsia="宋体" w:cs="Times New Roman"/>
                      <w:color w:val="auto"/>
                      <w:sz w:val="18"/>
                      <w:szCs w:val="18"/>
                      <w:highlight w:val="none"/>
                    </w:rPr>
                    <w:t>《关于推进实施钢铁行业超低排放的意见》</w:t>
                  </w:r>
                  <w:r>
                    <w:rPr>
                      <w:rFonts w:hint="default" w:ascii="Times New Roman" w:hAnsi="Times New Roman" w:eastAsia="宋体" w:cs="Times New Roman"/>
                      <w:color w:val="auto"/>
                      <w:sz w:val="18"/>
                      <w:szCs w:val="18"/>
                      <w:highlight w:val="none"/>
                      <w:lang w:eastAsia="zh-CN"/>
                    </w:rPr>
                    <w:t>中自备电厂标准限值。</w:t>
                  </w:r>
                </w:p>
              </w:tc>
            </w:tr>
            <w:tr w14:paraId="59D5B0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 w:type="pct"/>
                  <w:tcBorders>
                    <w:tl2br w:val="nil"/>
                    <w:tr2bl w:val="nil"/>
                  </w:tcBorders>
                  <w:vAlign w:val="center"/>
                </w:tcPr>
                <w:p w14:paraId="17B50492">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噪声</w:t>
                  </w:r>
                </w:p>
              </w:tc>
              <w:tc>
                <w:tcPr>
                  <w:tcW w:w="497" w:type="pct"/>
                  <w:tcBorders>
                    <w:tl2br w:val="nil"/>
                    <w:tr2bl w:val="nil"/>
                  </w:tcBorders>
                  <w:vAlign w:val="center"/>
                </w:tcPr>
                <w:p w14:paraId="4538A1B6">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厂界噪声</w:t>
                  </w:r>
                </w:p>
              </w:tc>
              <w:tc>
                <w:tcPr>
                  <w:tcW w:w="1408" w:type="pct"/>
                  <w:tcBorders>
                    <w:tl2br w:val="nil"/>
                    <w:tr2bl w:val="nil"/>
                  </w:tcBorders>
                  <w:vAlign w:val="center"/>
                </w:tcPr>
                <w:p w14:paraId="138B0185">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厂界东、南、西、北</w:t>
                  </w:r>
                  <w:r>
                    <w:rPr>
                      <w:rFonts w:hint="eastAsia" w:ascii="Times New Roman" w:hAnsi="Times New Roman"/>
                      <w:color w:val="auto"/>
                      <w:sz w:val="18"/>
                      <w:szCs w:val="18"/>
                      <w:highlight w:val="none"/>
                    </w:rPr>
                    <w:t>个1个点</w:t>
                  </w:r>
                </w:p>
              </w:tc>
              <w:tc>
                <w:tcPr>
                  <w:tcW w:w="538" w:type="pct"/>
                  <w:tcBorders>
                    <w:tl2br w:val="nil"/>
                    <w:tr2bl w:val="nil"/>
                  </w:tcBorders>
                  <w:vAlign w:val="center"/>
                </w:tcPr>
                <w:p w14:paraId="246D3692">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等效连续A声级</w:t>
                  </w:r>
                </w:p>
              </w:tc>
              <w:tc>
                <w:tcPr>
                  <w:tcW w:w="977" w:type="pct"/>
                  <w:tcBorders>
                    <w:tl2br w:val="nil"/>
                    <w:tr2bl w:val="nil"/>
                  </w:tcBorders>
                  <w:vAlign w:val="center"/>
                </w:tcPr>
                <w:p w14:paraId="318A341E">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连续监测两天，每天昼夜各1次。</w:t>
                  </w:r>
                </w:p>
              </w:tc>
              <w:tc>
                <w:tcPr>
                  <w:tcW w:w="1292" w:type="pct"/>
                  <w:tcBorders>
                    <w:tl2br w:val="nil"/>
                    <w:tr2bl w:val="nil"/>
                  </w:tcBorders>
                  <w:vAlign w:val="center"/>
                </w:tcPr>
                <w:p w14:paraId="2BD5CFD8">
                  <w:pPr>
                    <w:pStyle w:val="9"/>
                    <w:jc w:val="center"/>
                    <w:rPr>
                      <w:rFonts w:ascii="Times New Roman" w:hAnsi="Times New Roman"/>
                      <w:color w:val="auto"/>
                      <w:sz w:val="18"/>
                      <w:szCs w:val="18"/>
                      <w:highlight w:val="none"/>
                    </w:rPr>
                  </w:pPr>
                  <w:r>
                    <w:rPr>
                      <w:rFonts w:ascii="Times New Roman" w:hAnsi="Times New Roman"/>
                      <w:color w:val="auto"/>
                      <w:sz w:val="18"/>
                      <w:szCs w:val="18"/>
                      <w:highlight w:val="none"/>
                    </w:rPr>
                    <w:t>《工业企业厂界环境噪声排放标准》（GB12348-2008）中3类标准</w:t>
                  </w:r>
                </w:p>
              </w:tc>
            </w:tr>
          </w:tbl>
          <w:p w14:paraId="7220976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2" w:firstLineChars="200"/>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2、建设项目竣工环境保护验收</w:t>
            </w:r>
          </w:p>
          <w:p w14:paraId="27BB9E2B">
            <w:pPr>
              <w:pStyle w:val="9"/>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国务院关于修改&lt;建设项目环境保护管理条例&gt;的决定》（国务院682号令），工程建设执行污染治理设施与主体工程同时设计、同时施工、同时投产使用的“三同时”制度。项目投入运行后，建设单位应当按照国务院环境保护行政主管部门规定的标准和程序，自行对配套建设的环境保护设施进行验收，编制验收报告，并依法向社会公开验收报告。</w:t>
            </w:r>
          </w:p>
          <w:p w14:paraId="219A67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建设单位根据《建设项目环境保护管理条例》及《建设项目竣工环境保护验收暂行办法》有关规定应进行环境保护竣工验收，项目环保措施竣工验收一览表详见下表。</w:t>
            </w:r>
          </w:p>
          <w:p w14:paraId="4D0FD9F1">
            <w:pPr>
              <w:pStyle w:val="9"/>
              <w:ind w:left="0" w:leftChars="0" w:firstLine="0" w:firstLineChars="0"/>
              <w:jc w:val="center"/>
              <w:rPr>
                <w:rFonts w:hint="default" w:ascii="Times New Roman" w:hAnsi="Times New Roman" w:eastAsia="黑体" w:cs="Times New Roman"/>
                <w:color w:val="auto"/>
                <w:sz w:val="21"/>
                <w:szCs w:val="18"/>
                <w:highlight w:val="none"/>
                <w:vertAlign w:val="baseline"/>
                <w:lang w:val="en-US" w:eastAsia="zh-CN"/>
              </w:rPr>
            </w:pPr>
            <w:r>
              <w:rPr>
                <w:rFonts w:hint="default" w:ascii="Times New Roman" w:hAnsi="Times New Roman" w:eastAsia="黑体" w:cs="Times New Roman"/>
                <w:color w:val="auto"/>
                <w:sz w:val="21"/>
                <w:szCs w:val="18"/>
                <w:highlight w:val="none"/>
                <w:vertAlign w:val="baseline"/>
                <w:lang w:val="en-US" w:eastAsia="zh-CN"/>
              </w:rPr>
              <w:t>表</w:t>
            </w:r>
            <w:r>
              <w:rPr>
                <w:rFonts w:hint="eastAsia" w:ascii="Times New Roman" w:hAnsi="Times New Roman" w:eastAsia="黑体" w:cs="Times New Roman"/>
                <w:color w:val="auto"/>
                <w:sz w:val="21"/>
                <w:szCs w:val="18"/>
                <w:highlight w:val="none"/>
                <w:vertAlign w:val="baseline"/>
                <w:lang w:val="en-US" w:eastAsia="zh-CN"/>
              </w:rPr>
              <w:t>5</w:t>
            </w:r>
            <w:r>
              <w:rPr>
                <w:rFonts w:hint="default" w:ascii="Times New Roman" w:hAnsi="Times New Roman" w:eastAsia="黑体" w:cs="Times New Roman"/>
                <w:color w:val="auto"/>
                <w:sz w:val="21"/>
                <w:szCs w:val="18"/>
                <w:highlight w:val="none"/>
                <w:vertAlign w:val="baseline"/>
                <w:lang w:val="en-US" w:eastAsia="zh-CN"/>
              </w:rPr>
              <w:t>-</w:t>
            </w:r>
            <w:r>
              <w:rPr>
                <w:rFonts w:hint="eastAsia" w:ascii="Times New Roman" w:hAnsi="Times New Roman" w:eastAsia="黑体" w:cs="Times New Roman"/>
                <w:color w:val="auto"/>
                <w:sz w:val="21"/>
                <w:szCs w:val="18"/>
                <w:highlight w:val="none"/>
                <w:vertAlign w:val="baseline"/>
                <w:lang w:val="en-US" w:eastAsia="zh-CN"/>
              </w:rPr>
              <w:t>4</w:t>
            </w:r>
            <w:r>
              <w:rPr>
                <w:rFonts w:hint="default" w:ascii="Times New Roman" w:hAnsi="Times New Roman" w:eastAsia="黑体" w:cs="Times New Roman"/>
                <w:color w:val="auto"/>
                <w:sz w:val="21"/>
                <w:szCs w:val="18"/>
                <w:highlight w:val="none"/>
                <w:vertAlign w:val="baseline"/>
                <w:lang w:val="en-US" w:eastAsia="zh-CN"/>
              </w:rPr>
              <w:t xml:space="preserve">  项目竣工环境保护验收一览表</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59"/>
              <w:gridCol w:w="1125"/>
              <w:gridCol w:w="970"/>
              <w:gridCol w:w="3977"/>
            </w:tblGrid>
            <w:tr w14:paraId="5F19F4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15A3A04F">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序号</w:t>
                  </w:r>
                </w:p>
              </w:tc>
              <w:tc>
                <w:tcPr>
                  <w:tcW w:w="575" w:type="pct"/>
                  <w:tcBorders>
                    <w:tl2br w:val="nil"/>
                    <w:tr2bl w:val="nil"/>
                  </w:tcBorders>
                  <w:vAlign w:val="center"/>
                </w:tcPr>
                <w:p w14:paraId="1066EA7F">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验收时段</w:t>
                  </w:r>
                </w:p>
              </w:tc>
              <w:tc>
                <w:tcPr>
                  <w:tcW w:w="753" w:type="pct"/>
                  <w:tcBorders>
                    <w:tl2br w:val="nil"/>
                    <w:tr2bl w:val="nil"/>
                  </w:tcBorders>
                  <w:vAlign w:val="center"/>
                </w:tcPr>
                <w:p w14:paraId="3F9C434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类别</w:t>
                  </w:r>
                </w:p>
              </w:tc>
              <w:tc>
                <w:tcPr>
                  <w:tcW w:w="3313" w:type="pct"/>
                  <w:gridSpan w:val="2"/>
                  <w:tcBorders>
                    <w:tl2br w:val="nil"/>
                    <w:tr2bl w:val="nil"/>
                  </w:tcBorders>
                  <w:vAlign w:val="center"/>
                </w:tcPr>
                <w:p w14:paraId="386DE913">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验收内容及标准</w:t>
                  </w:r>
                </w:p>
              </w:tc>
            </w:tr>
            <w:tr w14:paraId="15C9F2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572CC641">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w:t>
                  </w:r>
                </w:p>
              </w:tc>
              <w:tc>
                <w:tcPr>
                  <w:tcW w:w="575" w:type="pct"/>
                  <w:vMerge w:val="restart"/>
                  <w:tcBorders>
                    <w:tl2br w:val="nil"/>
                    <w:tr2bl w:val="nil"/>
                  </w:tcBorders>
                  <w:vAlign w:val="center"/>
                </w:tcPr>
                <w:p w14:paraId="3DF29C1C">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运营期</w:t>
                  </w:r>
                </w:p>
              </w:tc>
              <w:tc>
                <w:tcPr>
                  <w:tcW w:w="753" w:type="pct"/>
                  <w:tcBorders>
                    <w:tl2br w:val="nil"/>
                    <w:tr2bl w:val="nil"/>
                  </w:tcBorders>
                  <w:vAlign w:val="center"/>
                </w:tcPr>
                <w:p w14:paraId="6DA284E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废气</w:t>
                  </w:r>
                </w:p>
              </w:tc>
              <w:tc>
                <w:tcPr>
                  <w:tcW w:w="3313" w:type="pct"/>
                  <w:gridSpan w:val="2"/>
                  <w:tcBorders>
                    <w:tl2br w:val="nil"/>
                    <w:tr2bl w:val="nil"/>
                  </w:tcBorders>
                  <w:vAlign w:val="center"/>
                </w:tcPr>
                <w:p w14:paraId="21D5A135">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kern w:val="0"/>
                      <w:sz w:val="18"/>
                      <w:szCs w:val="18"/>
                      <w:lang w:val="en-US" w:eastAsia="zh-CN"/>
                    </w:rPr>
                    <w:t>锅炉采用低氮燃烧技术，锅炉废气经SCR脱硝+钙基干法脱硫+布袋除尘器处理后通过1根80m高排气筒排放</w:t>
                  </w:r>
                  <w:r>
                    <w:rPr>
                      <w:rFonts w:hint="eastAsia" w:ascii="Times New Roman" w:hAnsi="Times New Roman" w:eastAsia="宋体" w:cs="Times New Roman"/>
                      <w:b w:val="0"/>
                      <w:bCs w:val="0"/>
                      <w:color w:val="auto"/>
                      <w:kern w:val="0"/>
                      <w:sz w:val="18"/>
                      <w:szCs w:val="18"/>
                      <w:lang w:val="en-US" w:eastAsia="zh-CN"/>
                    </w:rPr>
                    <w:t>，灰仓粉尘和锅炉废气一同处理后，经过80m高排气筒排放，</w:t>
                  </w:r>
                  <w:r>
                    <w:rPr>
                      <w:rFonts w:hint="default" w:ascii="Times New Roman" w:hAnsi="Times New Roman" w:eastAsia="宋体" w:cs="Times New Roman"/>
                      <w:b w:val="0"/>
                      <w:bCs w:val="0"/>
                      <w:i w:val="0"/>
                      <w:iCs w:val="0"/>
                      <w:color w:val="auto"/>
                      <w:sz w:val="18"/>
                      <w:szCs w:val="18"/>
                      <w:lang w:val="en-US" w:eastAsia="zh-CN"/>
                    </w:rPr>
                    <w:t>颗粒物</w:t>
                  </w:r>
                  <w:r>
                    <w:rPr>
                      <w:rFonts w:hint="default" w:ascii="Times New Roman" w:hAnsi="Times New Roman" w:eastAsia="宋体" w:cs="Times New Roman"/>
                      <w:b w:val="0"/>
                      <w:bCs w:val="0"/>
                      <w:i w:val="0"/>
                      <w:iCs w:val="0"/>
                      <w:color w:val="auto"/>
                      <w:sz w:val="18"/>
                      <w:szCs w:val="18"/>
                      <w:lang w:eastAsia="zh-CN"/>
                    </w:rPr>
                    <w:t>、</w:t>
                  </w:r>
                  <w:r>
                    <w:rPr>
                      <w:rFonts w:hint="default" w:ascii="Times New Roman" w:hAnsi="Times New Roman" w:eastAsia="宋体" w:cs="Times New Roman"/>
                      <w:b w:val="0"/>
                      <w:bCs w:val="0"/>
                      <w:i w:val="0"/>
                      <w:iCs w:val="0"/>
                      <w:color w:val="auto"/>
                      <w:sz w:val="18"/>
                      <w:szCs w:val="18"/>
                      <w:vertAlign w:val="baseline"/>
                      <w:lang w:val="en-US" w:eastAsia="zh-CN"/>
                    </w:rPr>
                    <w:t>SO</w:t>
                  </w:r>
                  <w:r>
                    <w:rPr>
                      <w:rFonts w:hint="default" w:ascii="Times New Roman" w:hAnsi="Times New Roman" w:eastAsia="宋体" w:cs="Times New Roman"/>
                      <w:b w:val="0"/>
                      <w:bCs w:val="0"/>
                      <w:i w:val="0"/>
                      <w:iCs w:val="0"/>
                      <w:color w:val="auto"/>
                      <w:sz w:val="18"/>
                      <w:szCs w:val="18"/>
                      <w:vertAlign w:val="subscript"/>
                      <w:lang w:val="en-US" w:eastAsia="zh-CN"/>
                    </w:rPr>
                    <w:t>2</w:t>
                  </w:r>
                  <w:r>
                    <w:rPr>
                      <w:rFonts w:hint="default" w:ascii="Times New Roman" w:hAnsi="Times New Roman" w:eastAsia="宋体" w:cs="Times New Roman"/>
                      <w:b w:val="0"/>
                      <w:bCs w:val="0"/>
                      <w:i w:val="0"/>
                      <w:iCs w:val="0"/>
                      <w:color w:val="auto"/>
                      <w:sz w:val="18"/>
                      <w:szCs w:val="18"/>
                      <w:vertAlign w:val="baseline"/>
                      <w:lang w:val="en-US" w:eastAsia="zh-CN"/>
                    </w:rPr>
                    <w:t>、NOx</w:t>
                  </w:r>
                  <w:r>
                    <w:rPr>
                      <w:rFonts w:hint="eastAsia" w:ascii="Times New Roman" w:hAnsi="Times New Roman" w:eastAsia="宋体" w:cs="Times New Roman"/>
                      <w:b w:val="0"/>
                      <w:bCs w:val="0"/>
                      <w:i w:val="0"/>
                      <w:iCs w:val="0"/>
                      <w:color w:val="auto"/>
                      <w:sz w:val="18"/>
                      <w:szCs w:val="18"/>
                      <w:vertAlign w:val="baseline"/>
                      <w:lang w:val="en-US" w:eastAsia="zh-CN"/>
                    </w:rPr>
                    <w:t>执行</w:t>
                  </w:r>
                  <w:r>
                    <w:rPr>
                      <w:rFonts w:hint="default" w:ascii="Times New Roman" w:hAnsi="Times New Roman" w:eastAsia="宋体" w:cs="Times New Roman"/>
                      <w:bCs/>
                      <w:color w:val="auto"/>
                      <w:sz w:val="18"/>
                      <w:szCs w:val="18"/>
                      <w:u w:val="none"/>
                      <w:lang w:val="en-US" w:eastAsia="zh-CN"/>
                    </w:rPr>
                    <w:t>《关于推进实施钢铁行业超低排放的意见》（</w:t>
                  </w:r>
                  <w:r>
                    <w:rPr>
                      <w:rFonts w:hint="default" w:ascii="Times New Roman" w:hAnsi="Times New Roman" w:eastAsia="宋体" w:cs="Times New Roman"/>
                      <w:bCs/>
                      <w:color w:val="auto"/>
                      <w:sz w:val="18"/>
                      <w:szCs w:val="18"/>
                      <w:u w:val="none"/>
                      <w:lang w:val="en-US" w:eastAsia="zh-CN"/>
                    </w:rPr>
                    <w:fldChar w:fldCharType="begin"/>
                  </w:r>
                  <w:r>
                    <w:rPr>
                      <w:rFonts w:hint="default" w:ascii="Times New Roman" w:hAnsi="Times New Roman" w:eastAsia="宋体" w:cs="Times New Roman"/>
                      <w:bCs/>
                      <w:color w:val="auto"/>
                      <w:sz w:val="18"/>
                      <w:szCs w:val="18"/>
                      <w:u w:val="none"/>
                      <w:lang w:val="en-US" w:eastAsia="zh-CN"/>
                    </w:rPr>
                    <w:instrText xml:space="preserve"> HYPERLINK "https://www.waizi.org.cn/doc/62964.html" \o "环大气〔2019〕35号《关于推进实施钢铁行业超低排放的意见》" \t "https://www.waizi.org.cn/doc/_blank" </w:instrText>
                  </w:r>
                  <w:r>
                    <w:rPr>
                      <w:rFonts w:hint="default" w:ascii="Times New Roman" w:hAnsi="Times New Roman" w:eastAsia="宋体" w:cs="Times New Roman"/>
                      <w:bCs/>
                      <w:color w:val="auto"/>
                      <w:sz w:val="18"/>
                      <w:szCs w:val="18"/>
                      <w:u w:val="none"/>
                      <w:lang w:val="en-US" w:eastAsia="zh-CN"/>
                    </w:rPr>
                    <w:fldChar w:fldCharType="separate"/>
                  </w:r>
                  <w:r>
                    <w:rPr>
                      <w:rFonts w:hint="default" w:ascii="Times New Roman" w:hAnsi="Times New Roman" w:eastAsia="宋体" w:cs="Times New Roman"/>
                      <w:bCs/>
                      <w:color w:val="auto"/>
                      <w:sz w:val="18"/>
                      <w:szCs w:val="18"/>
                      <w:u w:val="none"/>
                      <w:lang w:val="en-US" w:eastAsia="zh-CN"/>
                    </w:rPr>
                    <w:t>环大气〔2019〕35号</w:t>
                  </w:r>
                  <w:r>
                    <w:rPr>
                      <w:rFonts w:hint="default" w:ascii="Times New Roman" w:hAnsi="Times New Roman" w:eastAsia="宋体" w:cs="Times New Roman"/>
                      <w:bCs/>
                      <w:color w:val="auto"/>
                      <w:sz w:val="18"/>
                      <w:szCs w:val="18"/>
                      <w:u w:val="none"/>
                      <w:lang w:val="en-US" w:eastAsia="zh-CN"/>
                    </w:rPr>
                    <w:fldChar w:fldCharType="end"/>
                  </w:r>
                  <w:r>
                    <w:rPr>
                      <w:rFonts w:hint="default" w:ascii="Times New Roman" w:hAnsi="Times New Roman" w:eastAsia="宋体" w:cs="Times New Roman"/>
                      <w:bCs/>
                      <w:color w:val="auto"/>
                      <w:sz w:val="18"/>
                      <w:szCs w:val="18"/>
                      <w:u w:val="none"/>
                      <w:lang w:val="en-US" w:eastAsia="zh-CN"/>
                    </w:rPr>
                    <w:t>）中自备电厂中超低排放限值</w:t>
                  </w:r>
                  <w:r>
                    <w:rPr>
                      <w:rFonts w:hint="eastAsia" w:ascii="Times New Roman" w:hAnsi="Times New Roman" w:cs="Times New Roman"/>
                      <w:bCs/>
                      <w:color w:val="auto"/>
                      <w:sz w:val="18"/>
                      <w:szCs w:val="18"/>
                      <w:u w:val="none"/>
                      <w:lang w:val="en-US" w:eastAsia="zh-CN"/>
                    </w:rPr>
                    <w:t>，</w:t>
                  </w:r>
                  <w:r>
                    <w:rPr>
                      <w:rFonts w:hint="eastAsia" w:ascii="Times New Roman" w:hAnsi="Times New Roman" w:eastAsia="宋体" w:cs="Times New Roman"/>
                      <w:b w:val="0"/>
                      <w:bCs w:val="0"/>
                      <w:color w:val="auto"/>
                      <w:kern w:val="0"/>
                      <w:sz w:val="18"/>
                      <w:szCs w:val="18"/>
                      <w:lang w:val="en-US" w:eastAsia="zh-CN"/>
                    </w:rPr>
                    <w:t>氨执行</w:t>
                  </w:r>
                  <w:r>
                    <w:rPr>
                      <w:rFonts w:hint="default" w:ascii="Times New Roman" w:hAnsi="Times New Roman" w:eastAsia="宋体" w:cs="Times New Roman"/>
                      <w:b w:val="0"/>
                      <w:bCs w:val="0"/>
                      <w:color w:val="auto"/>
                      <w:kern w:val="0"/>
                      <w:sz w:val="18"/>
                      <w:szCs w:val="18"/>
                      <w:lang w:val="en-US" w:eastAsia="zh-CN"/>
                    </w:rPr>
                    <w:t>《恶臭污染物排放标准》（GB14554-1993）</w:t>
                  </w:r>
                  <w:r>
                    <w:rPr>
                      <w:rFonts w:hint="eastAsia" w:ascii="Times New Roman" w:hAnsi="Times New Roman" w:eastAsia="宋体" w:cs="Times New Roman"/>
                      <w:b w:val="0"/>
                      <w:bCs w:val="0"/>
                      <w:color w:val="auto"/>
                      <w:kern w:val="0"/>
                      <w:sz w:val="18"/>
                      <w:szCs w:val="18"/>
                      <w:lang w:val="en-US" w:eastAsia="zh-CN"/>
                    </w:rPr>
                    <w:t>。</w:t>
                  </w:r>
                </w:p>
              </w:tc>
            </w:tr>
            <w:tr w14:paraId="49BA18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1A712DCE">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w:t>
                  </w:r>
                </w:p>
              </w:tc>
              <w:tc>
                <w:tcPr>
                  <w:tcW w:w="575" w:type="pct"/>
                  <w:vMerge w:val="continue"/>
                  <w:tcBorders>
                    <w:tl2br w:val="nil"/>
                    <w:tr2bl w:val="nil"/>
                  </w:tcBorders>
                  <w:vAlign w:val="center"/>
                </w:tcPr>
                <w:p w14:paraId="646FA5FA">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tcBorders>
                    <w:tl2br w:val="nil"/>
                    <w:tr2bl w:val="nil"/>
                  </w:tcBorders>
                  <w:vAlign w:val="center"/>
                </w:tcPr>
                <w:p w14:paraId="4E5CC612">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废水</w:t>
                  </w:r>
                </w:p>
              </w:tc>
              <w:tc>
                <w:tcPr>
                  <w:tcW w:w="3313" w:type="pct"/>
                  <w:gridSpan w:val="2"/>
                  <w:tcBorders>
                    <w:tl2br w:val="nil"/>
                    <w:tr2bl w:val="nil"/>
                  </w:tcBorders>
                  <w:vAlign w:val="center"/>
                </w:tcPr>
                <w:p w14:paraId="717F6082">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高炉煤气喷雾降温</w:t>
                  </w:r>
                  <w:r>
                    <w:rPr>
                      <w:rFonts w:hint="eastAsia" w:ascii="Times New Roman" w:hAnsi="Times New Roman" w:eastAsia="宋体" w:cs="Times New Roman"/>
                      <w:color w:val="auto"/>
                      <w:sz w:val="18"/>
                      <w:szCs w:val="18"/>
                      <w:highlight w:val="none"/>
                      <w:vertAlign w:val="baseline"/>
                      <w:lang w:val="en-US" w:eastAsia="zh-CN"/>
                    </w:rPr>
                    <w:t>废水、除盐水站废水、除盐水站反渗透系统设备冲洗水、凝结间处理站冲洗水、凝结间处理站树脂再生水、循环冷却水系统排污水、旁通过滤器反冲洗水收集至全厂中央水处理站，处理达</w:t>
                  </w:r>
                  <w:r>
                    <w:rPr>
                      <w:rFonts w:hint="eastAsia" w:ascii="Times New Roman" w:hAnsi="Times New Roman" w:eastAsia="宋体" w:cs="Times New Roman"/>
                      <w:color w:val="000000"/>
                      <w:kern w:val="0"/>
                      <w:sz w:val="18"/>
                      <w:szCs w:val="18"/>
                      <w:lang w:val="en-US" w:eastAsia="zh-CN" w:bidi="ar"/>
                    </w:rPr>
                    <w:t>《城市污水再生利用 工业用水水质标准》（</w:t>
                  </w:r>
                  <w:r>
                    <w:rPr>
                      <w:rFonts w:hint="default" w:ascii="Times New Roman" w:hAnsi="Times New Roman" w:eastAsia="宋体" w:cs="Times New Roman"/>
                      <w:color w:val="000000"/>
                      <w:kern w:val="0"/>
                      <w:sz w:val="18"/>
                      <w:szCs w:val="18"/>
                      <w:lang w:val="en-US" w:eastAsia="zh-CN" w:bidi="ar"/>
                    </w:rPr>
                    <w:t>GB/T 19923-2024</w:t>
                  </w:r>
                  <w:r>
                    <w:rPr>
                      <w:rFonts w:hint="eastAsia" w:ascii="Times New Roman" w:hAnsi="Times New Roman" w:eastAsia="宋体" w:cs="Times New Roman"/>
                      <w:color w:val="000000"/>
                      <w:kern w:val="0"/>
                      <w:sz w:val="18"/>
                      <w:szCs w:val="18"/>
                      <w:lang w:val="en-US" w:eastAsia="zh-CN" w:bidi="ar"/>
                    </w:rPr>
                    <w:t>）中的间冷开式循环冷却水补充水、锅炉补给水、工艺用水标准后，</w:t>
                  </w:r>
                  <w:r>
                    <w:rPr>
                      <w:rFonts w:hint="eastAsia" w:ascii="Times New Roman" w:hAnsi="Times New Roman" w:eastAsia="宋体" w:cs="Times New Roman"/>
                      <w:color w:val="auto"/>
                      <w:sz w:val="18"/>
                      <w:szCs w:val="18"/>
                      <w:highlight w:val="none"/>
                      <w:vertAlign w:val="baseline"/>
                      <w:lang w:val="en-US" w:eastAsia="zh-CN"/>
                    </w:rPr>
                    <w:t>回用于各用水环节，</w:t>
                  </w:r>
                  <w:r>
                    <w:rPr>
                      <w:rFonts w:hint="eastAsia" w:ascii="Times New Roman" w:hAnsi="Times New Roman" w:eastAsia="宋体" w:cs="Times New Roman"/>
                      <w:color w:val="auto"/>
                      <w:sz w:val="18"/>
                      <w:szCs w:val="18"/>
                      <w:lang w:val="en-US" w:eastAsia="zh-CN"/>
                    </w:rPr>
                    <w:t>锅炉排污水和设备冷却水经冷却后进入循环水池重复利用</w:t>
                  </w:r>
                  <w:r>
                    <w:rPr>
                      <w:rFonts w:hint="eastAsia" w:ascii="Times New Roman" w:hAnsi="Times New Roman" w:cs="Times New Roman"/>
                      <w:color w:val="auto"/>
                      <w:sz w:val="18"/>
                      <w:szCs w:val="18"/>
                      <w:lang w:val="en-US" w:eastAsia="zh-CN"/>
                    </w:rPr>
                    <w:t>，生活污水</w:t>
                  </w:r>
                  <w:r>
                    <w:rPr>
                      <w:rFonts w:hint="default" w:ascii="Times New Roman" w:hAnsi="Times New Roman" w:eastAsia="宋体" w:cs="Times New Roman"/>
                      <w:color w:val="auto"/>
                      <w:sz w:val="18"/>
                      <w:szCs w:val="18"/>
                      <w:highlight w:val="none"/>
                      <w:lang w:val="en-US" w:eastAsia="zh-CN"/>
                    </w:rPr>
                    <w:t>依托厂区现有生活污水处理站处理后回用</w:t>
                  </w:r>
                  <w:r>
                    <w:rPr>
                      <w:rFonts w:hint="eastAsia" w:ascii="Times New Roman" w:hAnsi="Times New Roman" w:eastAsia="宋体" w:cs="Times New Roman"/>
                      <w:color w:val="auto"/>
                      <w:sz w:val="18"/>
                      <w:szCs w:val="18"/>
                      <w:lang w:val="en-US" w:eastAsia="zh-CN"/>
                    </w:rPr>
                    <w:t>。</w:t>
                  </w:r>
                </w:p>
              </w:tc>
            </w:tr>
            <w:tr w14:paraId="0E59A0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4763598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w:t>
                  </w:r>
                </w:p>
              </w:tc>
              <w:tc>
                <w:tcPr>
                  <w:tcW w:w="575" w:type="pct"/>
                  <w:vMerge w:val="continue"/>
                  <w:tcBorders>
                    <w:tl2br w:val="nil"/>
                    <w:tr2bl w:val="nil"/>
                  </w:tcBorders>
                  <w:vAlign w:val="center"/>
                </w:tcPr>
                <w:p w14:paraId="2B8E857C">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tcBorders>
                    <w:tl2br w:val="nil"/>
                    <w:tr2bl w:val="nil"/>
                  </w:tcBorders>
                  <w:vAlign w:val="center"/>
                </w:tcPr>
                <w:p w14:paraId="74C2A861">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声环境</w:t>
                  </w:r>
                </w:p>
              </w:tc>
              <w:tc>
                <w:tcPr>
                  <w:tcW w:w="3313" w:type="pct"/>
                  <w:gridSpan w:val="2"/>
                  <w:tcBorders>
                    <w:tl2br w:val="nil"/>
                    <w:tr2bl w:val="nil"/>
                  </w:tcBorders>
                  <w:vAlign w:val="center"/>
                </w:tcPr>
                <w:p w14:paraId="74CF1062">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选用低噪声设备、风机安装消声器、厂房隔声</w:t>
                  </w:r>
                  <w:r>
                    <w:rPr>
                      <w:rFonts w:hint="eastAsia" w:ascii="Times New Roman" w:hAnsi="Times New Roman" w:eastAsia="宋体" w:cs="Times New Roman"/>
                      <w:color w:val="auto"/>
                      <w:sz w:val="18"/>
                      <w:szCs w:val="18"/>
                      <w:highlight w:val="none"/>
                      <w:lang w:val="en-US" w:eastAsia="zh-CN"/>
                    </w:rPr>
                    <w:t>，采取措施后</w:t>
                  </w:r>
                  <w:r>
                    <w:rPr>
                      <w:rFonts w:hint="default" w:ascii="Times New Roman" w:hAnsi="Times New Roman" w:eastAsia="宋体" w:cs="Times New Roman"/>
                      <w:color w:val="auto"/>
                      <w:sz w:val="18"/>
                      <w:szCs w:val="18"/>
                      <w:highlight w:val="none"/>
                      <w:vertAlign w:val="baseline"/>
                      <w:lang w:val="en-US" w:eastAsia="zh-CN"/>
                    </w:rPr>
                    <w:t>厂界噪声满足《工业企业厂界环境噪声排放标准》（GB12348-2008）</w:t>
                  </w:r>
                  <w:r>
                    <w:rPr>
                      <w:rFonts w:hint="eastAsia" w:ascii="Times New Roman" w:hAnsi="Times New Roman" w:cs="Times New Roman"/>
                      <w:color w:val="auto"/>
                      <w:sz w:val="18"/>
                      <w:szCs w:val="18"/>
                      <w:highlight w:val="none"/>
                      <w:vertAlign w:val="baseline"/>
                      <w:lang w:val="en-US" w:eastAsia="zh-CN"/>
                    </w:rPr>
                    <w:t>3</w:t>
                  </w:r>
                  <w:r>
                    <w:rPr>
                      <w:rFonts w:hint="default" w:ascii="Times New Roman" w:hAnsi="Times New Roman" w:eastAsia="宋体" w:cs="Times New Roman"/>
                      <w:color w:val="auto"/>
                      <w:sz w:val="18"/>
                      <w:szCs w:val="18"/>
                      <w:highlight w:val="none"/>
                      <w:vertAlign w:val="baseline"/>
                      <w:lang w:val="en-US" w:eastAsia="zh-CN"/>
                    </w:rPr>
                    <w:t>类标准要求。</w:t>
                  </w:r>
                </w:p>
              </w:tc>
            </w:tr>
            <w:tr w14:paraId="5859BB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165E2E9B">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w:t>
                  </w:r>
                </w:p>
              </w:tc>
              <w:tc>
                <w:tcPr>
                  <w:tcW w:w="575" w:type="pct"/>
                  <w:vMerge w:val="continue"/>
                  <w:tcBorders>
                    <w:tl2br w:val="nil"/>
                    <w:tr2bl w:val="nil"/>
                  </w:tcBorders>
                  <w:vAlign w:val="center"/>
                </w:tcPr>
                <w:p w14:paraId="493E6CED">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restart"/>
                  <w:tcBorders>
                    <w:tl2br w:val="nil"/>
                    <w:tr2bl w:val="nil"/>
                  </w:tcBorders>
                  <w:vAlign w:val="center"/>
                </w:tcPr>
                <w:p w14:paraId="4957C281">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固体废物</w:t>
                  </w:r>
                </w:p>
              </w:tc>
              <w:tc>
                <w:tcPr>
                  <w:tcW w:w="649" w:type="pct"/>
                  <w:tcBorders>
                    <w:tl2br w:val="nil"/>
                    <w:tr2bl w:val="nil"/>
                  </w:tcBorders>
                  <w:vAlign w:val="center"/>
                </w:tcPr>
                <w:p w14:paraId="64128F41">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生活垃圾</w:t>
                  </w:r>
                </w:p>
              </w:tc>
              <w:tc>
                <w:tcPr>
                  <w:tcW w:w="2663" w:type="pct"/>
                  <w:tcBorders>
                    <w:tl2br w:val="nil"/>
                    <w:tr2bl w:val="nil"/>
                  </w:tcBorders>
                  <w:vAlign w:val="center"/>
                </w:tcPr>
                <w:p w14:paraId="7509AC75">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经生活垃圾收集桶收集后</w:t>
                  </w:r>
                  <w:r>
                    <w:rPr>
                      <w:rFonts w:hint="eastAsia" w:ascii="Times New Roman" w:hAnsi="Times New Roman" w:cs="Times New Roman"/>
                      <w:color w:val="auto"/>
                      <w:sz w:val="18"/>
                      <w:szCs w:val="18"/>
                      <w:highlight w:val="none"/>
                      <w:vertAlign w:val="baseline"/>
                      <w:lang w:val="en-US" w:eastAsia="zh-CN"/>
                    </w:rPr>
                    <w:t>与主体项目生活垃圾一同</w:t>
                  </w:r>
                  <w:r>
                    <w:rPr>
                      <w:rFonts w:hint="eastAsia" w:ascii="Times New Roman" w:hAnsi="Times New Roman" w:eastAsia="宋体" w:cs="Times New Roman"/>
                      <w:color w:val="auto"/>
                      <w:sz w:val="18"/>
                      <w:szCs w:val="18"/>
                      <w:highlight w:val="none"/>
                      <w:vertAlign w:val="baseline"/>
                      <w:lang w:val="en-US" w:eastAsia="zh-CN"/>
                    </w:rPr>
                    <w:t>交由当地环卫部门统一进行清运处置</w:t>
                  </w:r>
                </w:p>
              </w:tc>
            </w:tr>
            <w:tr w14:paraId="7E125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75620CDF">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w:t>
                  </w:r>
                </w:p>
              </w:tc>
              <w:tc>
                <w:tcPr>
                  <w:tcW w:w="575" w:type="pct"/>
                  <w:vMerge w:val="continue"/>
                  <w:tcBorders>
                    <w:tl2br w:val="nil"/>
                    <w:tr2bl w:val="nil"/>
                  </w:tcBorders>
                  <w:vAlign w:val="center"/>
                </w:tcPr>
                <w:p w14:paraId="3C1530D7">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continue"/>
                  <w:tcBorders>
                    <w:tl2br w:val="nil"/>
                    <w:tr2bl w:val="nil"/>
                  </w:tcBorders>
                  <w:vAlign w:val="center"/>
                </w:tcPr>
                <w:p w14:paraId="671E9989">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49" w:type="pct"/>
                  <w:tcBorders>
                    <w:tl2br w:val="nil"/>
                    <w:tr2bl w:val="nil"/>
                  </w:tcBorders>
                  <w:vAlign w:val="center"/>
                </w:tcPr>
                <w:p w14:paraId="7903FBB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废过滤介质</w:t>
                  </w:r>
                </w:p>
              </w:tc>
              <w:tc>
                <w:tcPr>
                  <w:tcW w:w="2663" w:type="pct"/>
                  <w:tcBorders>
                    <w:tl2br w:val="nil"/>
                    <w:tr2bl w:val="nil"/>
                  </w:tcBorders>
                  <w:vAlign w:val="center"/>
                </w:tcPr>
                <w:p w14:paraId="617176D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由厂家回收利用</w:t>
                  </w:r>
                </w:p>
              </w:tc>
            </w:tr>
            <w:tr w14:paraId="440A3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72D1DB8D">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6</w:t>
                  </w:r>
                </w:p>
              </w:tc>
              <w:tc>
                <w:tcPr>
                  <w:tcW w:w="575" w:type="pct"/>
                  <w:vMerge w:val="continue"/>
                  <w:tcBorders>
                    <w:tl2br w:val="nil"/>
                    <w:tr2bl w:val="nil"/>
                  </w:tcBorders>
                  <w:vAlign w:val="center"/>
                </w:tcPr>
                <w:p w14:paraId="76AD6664">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continue"/>
                  <w:tcBorders>
                    <w:tl2br w:val="nil"/>
                    <w:tr2bl w:val="nil"/>
                  </w:tcBorders>
                  <w:vAlign w:val="center"/>
                </w:tcPr>
                <w:p w14:paraId="542D6DE9">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49" w:type="pct"/>
                  <w:tcBorders>
                    <w:tl2br w:val="nil"/>
                    <w:tr2bl w:val="nil"/>
                  </w:tcBorders>
                  <w:vAlign w:val="center"/>
                </w:tcPr>
                <w:p w14:paraId="1D36885C">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废树脂</w:t>
                  </w:r>
                </w:p>
              </w:tc>
              <w:tc>
                <w:tcPr>
                  <w:tcW w:w="2663" w:type="pct"/>
                  <w:tcBorders>
                    <w:tl2br w:val="nil"/>
                    <w:tr2bl w:val="nil"/>
                  </w:tcBorders>
                  <w:vAlign w:val="center"/>
                </w:tcPr>
                <w:p w14:paraId="12509A79">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由厂家回收利用</w:t>
                  </w:r>
                </w:p>
              </w:tc>
            </w:tr>
            <w:tr w14:paraId="4A1C42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325FFD3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7</w:t>
                  </w:r>
                </w:p>
              </w:tc>
              <w:tc>
                <w:tcPr>
                  <w:tcW w:w="575" w:type="pct"/>
                  <w:vMerge w:val="continue"/>
                  <w:tcBorders>
                    <w:tl2br w:val="nil"/>
                    <w:tr2bl w:val="nil"/>
                  </w:tcBorders>
                  <w:vAlign w:val="center"/>
                </w:tcPr>
                <w:p w14:paraId="0DBA6EDD">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continue"/>
                  <w:tcBorders>
                    <w:tl2br w:val="nil"/>
                    <w:tr2bl w:val="nil"/>
                  </w:tcBorders>
                  <w:vAlign w:val="center"/>
                </w:tcPr>
                <w:p w14:paraId="00A45E01">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49" w:type="pct"/>
                  <w:tcBorders>
                    <w:tl2br w:val="nil"/>
                    <w:tr2bl w:val="nil"/>
                  </w:tcBorders>
                  <w:vAlign w:val="center"/>
                </w:tcPr>
                <w:p w14:paraId="04B2C4B6">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脱硫灰</w:t>
                  </w:r>
                </w:p>
              </w:tc>
              <w:tc>
                <w:tcPr>
                  <w:tcW w:w="2663" w:type="pct"/>
                  <w:tcBorders>
                    <w:tl2br w:val="nil"/>
                    <w:tr2bl w:val="nil"/>
                  </w:tcBorders>
                  <w:vAlign w:val="center"/>
                </w:tcPr>
                <w:p w14:paraId="027809C0">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统一收集后，外售</w:t>
                  </w:r>
                </w:p>
              </w:tc>
            </w:tr>
            <w:tr w14:paraId="3F546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1BC4AF2B">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8</w:t>
                  </w:r>
                </w:p>
              </w:tc>
              <w:tc>
                <w:tcPr>
                  <w:tcW w:w="575" w:type="pct"/>
                  <w:vMerge w:val="continue"/>
                  <w:tcBorders>
                    <w:tl2br w:val="nil"/>
                    <w:tr2bl w:val="nil"/>
                  </w:tcBorders>
                  <w:vAlign w:val="center"/>
                </w:tcPr>
                <w:p w14:paraId="274C7ABF">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continue"/>
                  <w:tcBorders>
                    <w:tl2br w:val="nil"/>
                    <w:tr2bl w:val="nil"/>
                  </w:tcBorders>
                  <w:vAlign w:val="center"/>
                </w:tcPr>
                <w:p w14:paraId="0530BD39">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49" w:type="pct"/>
                  <w:tcBorders>
                    <w:tl2br w:val="nil"/>
                    <w:tr2bl w:val="nil"/>
                  </w:tcBorders>
                  <w:vAlign w:val="center"/>
                </w:tcPr>
                <w:p w14:paraId="426C25DA">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废润滑油</w:t>
                  </w:r>
                </w:p>
              </w:tc>
              <w:tc>
                <w:tcPr>
                  <w:tcW w:w="2663" w:type="pct"/>
                  <w:tcBorders>
                    <w:tl2br w:val="nil"/>
                    <w:tr2bl w:val="nil"/>
                  </w:tcBorders>
                  <w:vAlign w:val="center"/>
                </w:tcPr>
                <w:p w14:paraId="34F66868">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统一收集后暂存于仙福公司危险废物</w:t>
                  </w:r>
                  <w:r>
                    <w:rPr>
                      <w:rFonts w:hint="eastAsia" w:ascii="Times New Roman" w:hAnsi="Times New Roman" w:cs="Times New Roman"/>
                      <w:color w:val="auto"/>
                      <w:sz w:val="18"/>
                      <w:szCs w:val="18"/>
                      <w:highlight w:val="none"/>
                      <w:vertAlign w:val="baseline"/>
                      <w:lang w:val="en-US" w:eastAsia="zh-CN"/>
                    </w:rPr>
                    <w:t>贮</w:t>
                  </w:r>
                  <w:r>
                    <w:rPr>
                      <w:rFonts w:hint="eastAsia" w:ascii="Times New Roman" w:hAnsi="Times New Roman" w:eastAsia="宋体" w:cs="Times New Roman"/>
                      <w:color w:val="auto"/>
                      <w:sz w:val="18"/>
                      <w:szCs w:val="18"/>
                      <w:highlight w:val="none"/>
                      <w:vertAlign w:val="baseline"/>
                      <w:lang w:val="en-US" w:eastAsia="zh-CN"/>
                    </w:rPr>
                    <w:t>存库，委托有资质单位处置</w:t>
                  </w:r>
                </w:p>
              </w:tc>
            </w:tr>
            <w:tr w14:paraId="5C74CE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2F27D22D">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9</w:t>
                  </w:r>
                </w:p>
              </w:tc>
              <w:tc>
                <w:tcPr>
                  <w:tcW w:w="575" w:type="pct"/>
                  <w:vMerge w:val="continue"/>
                  <w:tcBorders>
                    <w:tl2br w:val="nil"/>
                    <w:tr2bl w:val="nil"/>
                  </w:tcBorders>
                  <w:vAlign w:val="center"/>
                </w:tcPr>
                <w:p w14:paraId="03528FCE">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continue"/>
                  <w:tcBorders>
                    <w:tl2br w:val="nil"/>
                    <w:tr2bl w:val="nil"/>
                  </w:tcBorders>
                  <w:vAlign w:val="center"/>
                </w:tcPr>
                <w:p w14:paraId="4702EF58">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49" w:type="pct"/>
                  <w:tcBorders>
                    <w:tl2br w:val="nil"/>
                    <w:tr2bl w:val="nil"/>
                  </w:tcBorders>
                  <w:vAlign w:val="center"/>
                </w:tcPr>
                <w:p w14:paraId="79F549A3">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废危化品包装桶</w:t>
                  </w:r>
                </w:p>
              </w:tc>
              <w:tc>
                <w:tcPr>
                  <w:tcW w:w="2663" w:type="pct"/>
                  <w:tcBorders>
                    <w:tl2br w:val="nil"/>
                    <w:tr2bl w:val="nil"/>
                  </w:tcBorders>
                  <w:vAlign w:val="center"/>
                </w:tcPr>
                <w:p w14:paraId="58406F9B">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统一收集后暂存于仙福公司危险废物</w:t>
                  </w:r>
                  <w:r>
                    <w:rPr>
                      <w:rFonts w:hint="eastAsia" w:ascii="Times New Roman" w:hAnsi="Times New Roman" w:cs="Times New Roman"/>
                      <w:color w:val="auto"/>
                      <w:sz w:val="18"/>
                      <w:szCs w:val="18"/>
                      <w:highlight w:val="none"/>
                      <w:vertAlign w:val="baseline"/>
                      <w:lang w:val="en-US" w:eastAsia="zh-CN"/>
                    </w:rPr>
                    <w:t>贮</w:t>
                  </w:r>
                  <w:r>
                    <w:rPr>
                      <w:rFonts w:hint="eastAsia" w:ascii="Times New Roman" w:hAnsi="Times New Roman" w:eastAsia="宋体" w:cs="Times New Roman"/>
                      <w:color w:val="auto"/>
                      <w:sz w:val="18"/>
                      <w:szCs w:val="18"/>
                      <w:highlight w:val="none"/>
                      <w:vertAlign w:val="baseline"/>
                      <w:lang w:val="en-US" w:eastAsia="zh-CN"/>
                    </w:rPr>
                    <w:t>存库，委托有资质单位处置</w:t>
                  </w:r>
                </w:p>
              </w:tc>
            </w:tr>
            <w:tr w14:paraId="61B566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tcBorders>
                    <w:tl2br w:val="nil"/>
                    <w:tr2bl w:val="nil"/>
                  </w:tcBorders>
                  <w:vAlign w:val="center"/>
                </w:tcPr>
                <w:p w14:paraId="66BA657F">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10</w:t>
                  </w:r>
                </w:p>
              </w:tc>
              <w:tc>
                <w:tcPr>
                  <w:tcW w:w="575" w:type="pct"/>
                  <w:vMerge w:val="continue"/>
                  <w:tcBorders>
                    <w:tl2br w:val="nil"/>
                    <w:tr2bl w:val="nil"/>
                  </w:tcBorders>
                  <w:vAlign w:val="center"/>
                </w:tcPr>
                <w:p w14:paraId="5651B3EE">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53" w:type="pct"/>
                  <w:vMerge w:val="continue"/>
                  <w:tcBorders>
                    <w:tl2br w:val="nil"/>
                    <w:tr2bl w:val="nil"/>
                  </w:tcBorders>
                  <w:vAlign w:val="center"/>
                </w:tcPr>
                <w:p w14:paraId="10D39697">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49" w:type="pct"/>
                  <w:tcBorders>
                    <w:tl2br w:val="nil"/>
                    <w:tr2bl w:val="nil"/>
                  </w:tcBorders>
                  <w:vAlign w:val="center"/>
                </w:tcPr>
                <w:p w14:paraId="1014D76B">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废催化剂</w:t>
                  </w:r>
                </w:p>
              </w:tc>
              <w:tc>
                <w:tcPr>
                  <w:tcW w:w="2663" w:type="pct"/>
                  <w:tcBorders>
                    <w:tl2br w:val="nil"/>
                    <w:tr2bl w:val="nil"/>
                  </w:tcBorders>
                  <w:vAlign w:val="center"/>
                </w:tcPr>
                <w:p w14:paraId="140CA98D">
                  <w:pPr>
                    <w:pStyle w:val="9"/>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不在厂区贮存，更换后由厂家带走回收利用。</w:t>
                  </w:r>
                </w:p>
              </w:tc>
            </w:tr>
          </w:tbl>
          <w:p w14:paraId="78BE70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p w14:paraId="0D8242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399013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238EF8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4CB3EA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365651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1F3424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22E84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4BA860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5A718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0F8D7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23D27A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0F131A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4E5B8D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14:paraId="10C8AB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bl>
    <w:p w14:paraId="6B4788C4">
      <w:pPr>
        <w:pStyle w:val="2"/>
        <w:keepNext w:val="0"/>
        <w:keepLines w:val="0"/>
        <w:pageBreakBefore/>
        <w:widowControl w:val="0"/>
        <w:kinsoku/>
        <w:wordWrap/>
        <w:overflowPunct/>
        <w:topLinePunct w:val="0"/>
        <w:autoSpaceDE/>
        <w:autoSpaceDN/>
        <w:bidi w:val="0"/>
        <w:adjustRightInd/>
        <w:snapToGrid/>
        <w:textAlignment w:val="auto"/>
        <w:outlineLvl w:val="0"/>
        <w:rPr>
          <w:rFonts w:hint="default" w:ascii="Times New Roman" w:hAnsi="Times New Roman" w:cs="Times New Roman"/>
          <w:lang w:eastAsia="zh-CN"/>
        </w:rPr>
      </w:pPr>
      <w:bookmarkStart w:id="17" w:name="_Toc30162"/>
      <w:r>
        <w:rPr>
          <w:rFonts w:hint="eastAsia" w:ascii="Times New Roman" w:hAnsi="Times New Roman" w:cs="Times New Roman"/>
          <w:lang w:val="en-US" w:eastAsia="zh-CN"/>
        </w:rPr>
        <w:t>六、结论</w:t>
      </w:r>
      <w:bookmarkEnd w:id="1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40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713C2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本项目位于云南省玉溪市新平县扬武镇大开门</w:t>
            </w:r>
            <w:r>
              <w:rPr>
                <w:rFonts w:hint="eastAsia" w:cs="Times New Roman"/>
                <w:color w:val="000000"/>
                <w:kern w:val="0"/>
                <w:sz w:val="24"/>
                <w:szCs w:val="24"/>
                <w:lang w:val="en-US" w:eastAsia="zh-CN" w:bidi="ar"/>
              </w:rPr>
              <w:t>云南新平产业园区绿色钢城片区</w:t>
            </w:r>
            <w:r>
              <w:rPr>
                <w:rFonts w:hint="default" w:ascii="Times New Roman" w:hAnsi="Times New Roman" w:eastAsia="宋体" w:cs="Times New Roman"/>
                <w:color w:val="000000"/>
                <w:kern w:val="0"/>
                <w:sz w:val="24"/>
                <w:szCs w:val="24"/>
                <w:lang w:val="en-US" w:eastAsia="zh-CN" w:bidi="ar"/>
              </w:rPr>
              <w:t>，项目</w:t>
            </w:r>
            <w:r>
              <w:rPr>
                <w:rFonts w:hint="eastAsia" w:cs="Times New Roman"/>
                <w:color w:val="000000"/>
                <w:kern w:val="0"/>
                <w:sz w:val="24"/>
                <w:szCs w:val="24"/>
                <w:lang w:val="en-US" w:eastAsia="zh-CN" w:bidi="ar"/>
              </w:rPr>
              <w:t>利用仙福公司厂区内闲置空地建设</w:t>
            </w:r>
            <w:r>
              <w:rPr>
                <w:rFonts w:hint="default" w:ascii="Times New Roman" w:hAnsi="Times New Roman" w:eastAsia="宋体" w:cs="Times New Roman"/>
                <w:color w:val="000000"/>
                <w:kern w:val="0"/>
                <w:sz w:val="24"/>
                <w:szCs w:val="24"/>
                <w:lang w:val="en-US" w:eastAsia="zh-CN" w:bidi="ar"/>
              </w:rPr>
              <w:t>，不新增用地，不占用生态红线、基本农田。项目符合国家产业政策、符合生态环境管控要求，与园区规划、规划环评及规划环评审查意见相符，符合相关法律法规及环保政策，项目选址合理，平面布置合理。</w:t>
            </w:r>
          </w:p>
          <w:p w14:paraId="62B6376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本工程采取的污染防治措施和本评价要求的污染控制措施为排污许可证</w:t>
            </w:r>
            <w:r>
              <w:rPr>
                <w:rFonts w:hint="eastAsia" w:cs="Times New Roman"/>
                <w:color w:val="000000"/>
                <w:kern w:val="0"/>
                <w:sz w:val="24"/>
                <w:szCs w:val="24"/>
                <w:lang w:val="en-US" w:eastAsia="zh-CN" w:bidi="ar"/>
              </w:rPr>
              <w:t>核发技术指南</w:t>
            </w:r>
            <w:r>
              <w:rPr>
                <w:rFonts w:hint="default" w:ascii="Times New Roman" w:hAnsi="Times New Roman" w:eastAsia="宋体" w:cs="Times New Roman"/>
                <w:color w:val="000000"/>
                <w:kern w:val="0"/>
                <w:sz w:val="24"/>
                <w:szCs w:val="24"/>
                <w:lang w:val="en-US" w:eastAsia="zh-CN" w:bidi="ar"/>
              </w:rPr>
              <w:t>推荐的技术，项目产生的</w:t>
            </w:r>
            <w:r>
              <w:rPr>
                <w:rFonts w:hint="eastAsia" w:cs="Times New Roman"/>
                <w:color w:val="000000"/>
                <w:kern w:val="0"/>
                <w:sz w:val="24"/>
                <w:szCs w:val="24"/>
                <w:lang w:val="en-US" w:eastAsia="zh-CN" w:bidi="ar"/>
              </w:rPr>
              <w:t>“三废”</w:t>
            </w:r>
            <w:r>
              <w:rPr>
                <w:rFonts w:hint="default" w:ascii="Times New Roman" w:hAnsi="Times New Roman" w:eastAsia="宋体" w:cs="Times New Roman"/>
                <w:color w:val="000000"/>
                <w:kern w:val="0"/>
                <w:sz w:val="24"/>
                <w:szCs w:val="24"/>
                <w:lang w:val="en-US" w:eastAsia="zh-CN" w:bidi="ar"/>
              </w:rPr>
              <w:t>通过采取本环评提出的对策措施后，能保证废气、噪声达标排放，废水全部回用，固废全部合理处置。项目技改后，提高能源利用率，同时节能降碳的作用，实现全厂大气污染物消减，对区域空气质量有一定的改善作用。电厂厂界500m范围内无居民，严格按照分区防渗进行建设，采取本环评提出的风险防范及应急措施，能将事故影响减少到最低，环境风险可控。本环评认为项目在认真落实本环评报告提出的环保措施后，项目的建设从环境保护的角度分析是可行的。</w:t>
            </w:r>
          </w:p>
          <w:p w14:paraId="3BD26B53">
            <w:pPr>
              <w:ind w:right="0" w:rightChars="0"/>
              <w:jc w:val="center"/>
              <w:rPr>
                <w:rFonts w:hint="eastAsia"/>
                <w:vertAlign w:val="baseline"/>
                <w:lang w:val="en-US" w:eastAsia="zh-CN"/>
              </w:rPr>
            </w:pPr>
          </w:p>
          <w:p w14:paraId="34C573F1">
            <w:pPr>
              <w:ind w:right="0" w:rightChars="0"/>
              <w:jc w:val="center"/>
              <w:rPr>
                <w:rFonts w:hint="eastAsia"/>
                <w:vertAlign w:val="baseline"/>
                <w:lang w:val="en-US" w:eastAsia="zh-CN"/>
              </w:rPr>
            </w:pPr>
          </w:p>
          <w:p w14:paraId="6D431999">
            <w:pPr>
              <w:ind w:right="0" w:rightChars="0"/>
              <w:jc w:val="center"/>
              <w:rPr>
                <w:rFonts w:hint="eastAsia"/>
                <w:vertAlign w:val="baseline"/>
                <w:lang w:val="en-US" w:eastAsia="zh-CN"/>
              </w:rPr>
            </w:pPr>
          </w:p>
          <w:p w14:paraId="20825659">
            <w:pPr>
              <w:ind w:right="0" w:rightChars="0"/>
              <w:jc w:val="center"/>
              <w:rPr>
                <w:rFonts w:hint="eastAsia"/>
                <w:vertAlign w:val="baseline"/>
                <w:lang w:val="en-US" w:eastAsia="zh-CN"/>
              </w:rPr>
            </w:pPr>
          </w:p>
          <w:p w14:paraId="28360C19">
            <w:pPr>
              <w:ind w:right="0" w:rightChars="0"/>
              <w:jc w:val="center"/>
              <w:rPr>
                <w:rFonts w:hint="eastAsia"/>
                <w:vertAlign w:val="baseline"/>
                <w:lang w:val="en-US" w:eastAsia="zh-CN"/>
              </w:rPr>
            </w:pPr>
          </w:p>
          <w:p w14:paraId="45C490B6">
            <w:pPr>
              <w:ind w:right="0" w:rightChars="0"/>
              <w:jc w:val="center"/>
              <w:rPr>
                <w:rFonts w:hint="eastAsia"/>
                <w:vertAlign w:val="baseline"/>
                <w:lang w:val="en-US" w:eastAsia="zh-CN"/>
              </w:rPr>
            </w:pPr>
          </w:p>
          <w:p w14:paraId="76FCD11D">
            <w:pPr>
              <w:ind w:right="0" w:rightChars="0"/>
              <w:jc w:val="center"/>
              <w:rPr>
                <w:rFonts w:hint="eastAsia"/>
                <w:vertAlign w:val="baseline"/>
                <w:lang w:val="en-US" w:eastAsia="zh-CN"/>
              </w:rPr>
            </w:pPr>
          </w:p>
          <w:p w14:paraId="5643549D">
            <w:pPr>
              <w:ind w:right="0" w:rightChars="0"/>
              <w:jc w:val="center"/>
              <w:rPr>
                <w:rFonts w:hint="eastAsia"/>
                <w:vertAlign w:val="baseline"/>
                <w:lang w:val="en-US" w:eastAsia="zh-CN"/>
              </w:rPr>
            </w:pPr>
          </w:p>
          <w:p w14:paraId="7E1F9406">
            <w:pPr>
              <w:ind w:right="0" w:rightChars="0"/>
              <w:jc w:val="center"/>
              <w:rPr>
                <w:rFonts w:hint="eastAsia"/>
                <w:vertAlign w:val="baseline"/>
                <w:lang w:val="en-US" w:eastAsia="zh-CN"/>
              </w:rPr>
            </w:pPr>
          </w:p>
          <w:p w14:paraId="36C0DC23">
            <w:pPr>
              <w:ind w:right="0" w:rightChars="0"/>
              <w:jc w:val="center"/>
              <w:rPr>
                <w:rFonts w:hint="eastAsia"/>
                <w:vertAlign w:val="baseline"/>
                <w:lang w:val="en-US" w:eastAsia="zh-CN"/>
              </w:rPr>
            </w:pPr>
          </w:p>
          <w:p w14:paraId="1AA01F35">
            <w:pPr>
              <w:ind w:right="0" w:rightChars="0"/>
              <w:jc w:val="center"/>
              <w:rPr>
                <w:rFonts w:hint="eastAsia"/>
                <w:vertAlign w:val="baseline"/>
                <w:lang w:val="en-US" w:eastAsia="zh-CN"/>
              </w:rPr>
            </w:pPr>
          </w:p>
          <w:p w14:paraId="2A276D22">
            <w:pPr>
              <w:ind w:right="0" w:rightChars="0"/>
              <w:jc w:val="center"/>
              <w:rPr>
                <w:rFonts w:hint="eastAsia"/>
                <w:vertAlign w:val="baseline"/>
                <w:lang w:val="en-US" w:eastAsia="zh-CN"/>
              </w:rPr>
            </w:pPr>
          </w:p>
          <w:p w14:paraId="246A6918">
            <w:pPr>
              <w:ind w:right="0" w:rightChars="0"/>
              <w:jc w:val="center"/>
              <w:rPr>
                <w:rFonts w:hint="eastAsia"/>
                <w:vertAlign w:val="baseline"/>
                <w:lang w:val="en-US" w:eastAsia="zh-CN"/>
              </w:rPr>
            </w:pPr>
          </w:p>
          <w:p w14:paraId="481012D2">
            <w:pPr>
              <w:ind w:right="0" w:rightChars="0"/>
              <w:jc w:val="center"/>
              <w:rPr>
                <w:rFonts w:hint="eastAsia"/>
                <w:vertAlign w:val="baseline"/>
                <w:lang w:val="en-US" w:eastAsia="zh-CN"/>
              </w:rPr>
            </w:pPr>
          </w:p>
          <w:p w14:paraId="5E22EFC3">
            <w:pPr>
              <w:ind w:right="0" w:rightChars="0"/>
              <w:jc w:val="center"/>
              <w:rPr>
                <w:rFonts w:hint="eastAsia"/>
                <w:vertAlign w:val="baseline"/>
                <w:lang w:val="en-US" w:eastAsia="zh-CN"/>
              </w:rPr>
            </w:pPr>
          </w:p>
          <w:p w14:paraId="2E2A7EAC">
            <w:pPr>
              <w:ind w:right="0" w:rightChars="0"/>
              <w:jc w:val="center"/>
              <w:rPr>
                <w:rFonts w:hint="eastAsia"/>
                <w:vertAlign w:val="baseline"/>
                <w:lang w:val="en-US" w:eastAsia="zh-CN"/>
              </w:rPr>
            </w:pPr>
          </w:p>
          <w:p w14:paraId="537DC6D2">
            <w:pPr>
              <w:ind w:right="0" w:rightChars="0"/>
              <w:jc w:val="center"/>
              <w:rPr>
                <w:rFonts w:hint="eastAsia"/>
                <w:vertAlign w:val="baseline"/>
                <w:lang w:val="en-US" w:eastAsia="zh-CN"/>
              </w:rPr>
            </w:pPr>
          </w:p>
          <w:p w14:paraId="087949A3">
            <w:pPr>
              <w:ind w:right="0" w:rightChars="0"/>
              <w:jc w:val="center"/>
              <w:rPr>
                <w:rFonts w:hint="eastAsia"/>
                <w:vertAlign w:val="baseline"/>
                <w:lang w:val="en-US" w:eastAsia="zh-CN"/>
              </w:rPr>
            </w:pPr>
          </w:p>
          <w:p w14:paraId="7CBF4208">
            <w:pPr>
              <w:ind w:right="0" w:rightChars="0"/>
              <w:jc w:val="center"/>
              <w:rPr>
                <w:rFonts w:hint="eastAsia"/>
                <w:vertAlign w:val="baseline"/>
                <w:lang w:val="en-US" w:eastAsia="zh-CN"/>
              </w:rPr>
            </w:pPr>
          </w:p>
          <w:p w14:paraId="76A1B105">
            <w:pPr>
              <w:ind w:right="0" w:rightChars="0"/>
              <w:jc w:val="center"/>
              <w:rPr>
                <w:rFonts w:hint="eastAsia"/>
                <w:vertAlign w:val="baseline"/>
                <w:lang w:val="en-US" w:eastAsia="zh-CN"/>
              </w:rPr>
            </w:pPr>
          </w:p>
          <w:p w14:paraId="02643817">
            <w:pPr>
              <w:ind w:right="0" w:rightChars="0"/>
              <w:jc w:val="center"/>
              <w:rPr>
                <w:rFonts w:hint="eastAsia"/>
                <w:vertAlign w:val="baseline"/>
                <w:lang w:val="en-US" w:eastAsia="zh-CN"/>
              </w:rPr>
            </w:pPr>
          </w:p>
          <w:p w14:paraId="31903545">
            <w:pPr>
              <w:ind w:right="0" w:rightChars="0"/>
              <w:jc w:val="center"/>
              <w:rPr>
                <w:rFonts w:hint="eastAsia"/>
                <w:vertAlign w:val="baseline"/>
                <w:lang w:val="en-US" w:eastAsia="zh-CN"/>
              </w:rPr>
            </w:pPr>
          </w:p>
          <w:p w14:paraId="3D8B65D2">
            <w:pPr>
              <w:ind w:right="0" w:rightChars="0"/>
              <w:jc w:val="both"/>
              <w:rPr>
                <w:rFonts w:hint="default"/>
                <w:vertAlign w:val="baseline"/>
                <w:lang w:val="en-US" w:eastAsia="zh-CN"/>
              </w:rPr>
            </w:pPr>
          </w:p>
        </w:tc>
      </w:tr>
    </w:tbl>
    <w:p w14:paraId="7180A711">
      <w:pPr>
        <w:ind w:left="0" w:leftChars="0" w:right="0" w:rightChars="0" w:firstLine="0" w:firstLineChars="0"/>
        <w:jc w:val="cente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F589A8">
      <w:pPr>
        <w:pStyle w:val="2"/>
        <w:jc w:val="left"/>
        <w:rPr>
          <w:rFonts w:hint="eastAsia"/>
          <w:color w:val="auto"/>
          <w:highlight w:val="none"/>
          <w:lang w:val="en-US" w:eastAsia="zh-CN"/>
        </w:rPr>
      </w:pPr>
      <w:bookmarkStart w:id="18" w:name="_Toc3431"/>
      <w:bookmarkStart w:id="19" w:name="_Toc7304"/>
      <w:r>
        <w:rPr>
          <w:rFonts w:hint="eastAsia"/>
          <w:color w:val="auto"/>
          <w:highlight w:val="none"/>
          <w:lang w:val="en-US" w:eastAsia="zh-CN"/>
        </w:rPr>
        <w:t>附表</w:t>
      </w:r>
      <w:bookmarkEnd w:id="18"/>
      <w:bookmarkEnd w:id="19"/>
    </w:p>
    <w:p w14:paraId="5B82C11C">
      <w:pPr>
        <w:pStyle w:val="28"/>
        <w:bidi w:val="0"/>
        <w:rPr>
          <w:rFonts w:hint="default"/>
          <w:lang w:val="en-US" w:eastAsia="zh-CN"/>
        </w:rPr>
      </w:pPr>
      <w:bookmarkStart w:id="20" w:name="_Toc22863"/>
      <w:bookmarkStart w:id="21" w:name="_Toc8175"/>
      <w:r>
        <w:rPr>
          <w:rFonts w:hint="eastAsia"/>
          <w:lang w:val="en-US" w:eastAsia="zh-CN"/>
        </w:rPr>
        <w:t>建设项目污染物排放量汇总表</w:t>
      </w:r>
      <w:bookmarkEnd w:id="20"/>
      <w:bookmarkEnd w:id="21"/>
      <w:r>
        <w:rPr>
          <w:rFonts w:hint="eastAsia"/>
          <w:lang w:val="en-US" w:eastAsia="zh-CN"/>
        </w:rPr>
        <w:t xml:space="preserve">   单位（t/a）</w:t>
      </w:r>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521"/>
        <w:gridCol w:w="1616"/>
        <w:gridCol w:w="1290"/>
        <w:gridCol w:w="1530"/>
        <w:gridCol w:w="1815"/>
        <w:gridCol w:w="1770"/>
        <w:gridCol w:w="1755"/>
        <w:gridCol w:w="1246"/>
      </w:tblGrid>
      <w:tr w14:paraId="34531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45" w:type="dxa"/>
            <w:tcBorders>
              <w:tl2br w:val="single" w:color="auto" w:sz="4" w:space="0"/>
            </w:tcBorders>
            <w:tcMar>
              <w:left w:w="28" w:type="dxa"/>
              <w:right w:w="28" w:type="dxa"/>
            </w:tcMar>
            <w:vAlign w:val="center"/>
          </w:tcPr>
          <w:p w14:paraId="31FBC508">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right"/>
              <w:textAlignment w:val="auto"/>
              <w:rPr>
                <w:rFonts w:hint="eastAsia" w:ascii="黑体" w:hAnsi="黑体" w:eastAsia="黑体" w:cs="宋体"/>
                <w:snapToGrid w:val="0"/>
                <w:color w:val="auto"/>
                <w:spacing w:val="-6"/>
                <w:kern w:val="21"/>
                <w:sz w:val="20"/>
                <w:szCs w:val="21"/>
                <w:highlight w:val="none"/>
              </w:rPr>
            </w:pPr>
            <w:r>
              <w:rPr>
                <w:rFonts w:hint="eastAsia" w:ascii="黑体" w:hAnsi="黑体" w:eastAsia="黑体" w:cs="宋体"/>
                <w:snapToGrid w:val="0"/>
                <w:color w:val="auto"/>
                <w:spacing w:val="-6"/>
                <w:kern w:val="21"/>
                <w:sz w:val="20"/>
                <w:szCs w:val="21"/>
                <w:highlight w:val="none"/>
              </w:rPr>
              <w:t>项目</w:t>
            </w:r>
          </w:p>
          <w:p w14:paraId="69B57160">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left"/>
              <w:textAlignment w:val="auto"/>
              <w:rPr>
                <w:rFonts w:hint="eastAsia" w:ascii="黑体" w:hAnsi="黑体" w:eastAsia="黑体" w:cs="宋体"/>
                <w:snapToGrid w:val="0"/>
                <w:color w:val="auto"/>
                <w:spacing w:val="-6"/>
                <w:kern w:val="21"/>
                <w:sz w:val="20"/>
                <w:szCs w:val="21"/>
                <w:highlight w:val="none"/>
              </w:rPr>
            </w:pPr>
            <w:r>
              <w:rPr>
                <w:rFonts w:hint="eastAsia" w:ascii="黑体" w:hAnsi="黑体" w:eastAsia="黑体" w:cs="宋体"/>
                <w:snapToGrid w:val="0"/>
                <w:color w:val="auto"/>
                <w:spacing w:val="-6"/>
                <w:kern w:val="21"/>
                <w:sz w:val="20"/>
                <w:szCs w:val="21"/>
                <w:highlight w:val="none"/>
              </w:rPr>
              <w:t>分类</w:t>
            </w:r>
          </w:p>
        </w:tc>
        <w:tc>
          <w:tcPr>
            <w:tcW w:w="1521" w:type="dxa"/>
            <w:tcMar>
              <w:left w:w="28" w:type="dxa"/>
              <w:right w:w="28" w:type="dxa"/>
            </w:tcMar>
            <w:vAlign w:val="center"/>
          </w:tcPr>
          <w:p w14:paraId="1E033F5C">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黑体" w:hAnsi="黑体" w:eastAsia="黑体" w:cs="宋体"/>
                <w:snapToGrid w:val="0"/>
                <w:color w:val="auto"/>
                <w:spacing w:val="-6"/>
                <w:kern w:val="21"/>
                <w:sz w:val="20"/>
                <w:szCs w:val="21"/>
                <w:highlight w:val="none"/>
              </w:rPr>
            </w:pPr>
            <w:r>
              <w:rPr>
                <w:rFonts w:hint="eastAsia" w:ascii="黑体" w:hAnsi="黑体" w:eastAsia="黑体" w:cs="宋体"/>
                <w:snapToGrid w:val="0"/>
                <w:color w:val="auto"/>
                <w:spacing w:val="-6"/>
                <w:kern w:val="21"/>
                <w:sz w:val="20"/>
                <w:szCs w:val="21"/>
                <w:highlight w:val="none"/>
              </w:rPr>
              <w:t>污染物名称</w:t>
            </w:r>
          </w:p>
        </w:tc>
        <w:tc>
          <w:tcPr>
            <w:tcW w:w="1616" w:type="dxa"/>
            <w:tcMar>
              <w:left w:w="28" w:type="dxa"/>
              <w:right w:w="28" w:type="dxa"/>
            </w:tcMar>
            <w:vAlign w:val="center"/>
          </w:tcPr>
          <w:p w14:paraId="2CE48445">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现有工程</w:t>
            </w:r>
          </w:p>
          <w:p w14:paraId="7F985A1A">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排放量（固</w:t>
            </w:r>
            <w:r>
              <w:rPr>
                <w:rFonts w:hint="eastAsia" w:ascii="黑体" w:hAnsi="黑体" w:eastAsia="黑体" w:cs="Times New Roman"/>
                <w:snapToGrid w:val="0"/>
                <w:color w:val="auto"/>
                <w:spacing w:val="-6"/>
                <w:kern w:val="21"/>
                <w:sz w:val="20"/>
                <w:szCs w:val="21"/>
                <w:highlight w:val="none"/>
              </w:rPr>
              <w:t>体</w:t>
            </w:r>
            <w:r>
              <w:rPr>
                <w:rFonts w:hint="default" w:ascii="黑体" w:hAnsi="黑体" w:eastAsia="黑体" w:cs="Times New Roman"/>
                <w:snapToGrid w:val="0"/>
                <w:color w:val="auto"/>
                <w:spacing w:val="-6"/>
                <w:kern w:val="21"/>
                <w:sz w:val="20"/>
                <w:szCs w:val="21"/>
                <w:highlight w:val="none"/>
              </w:rPr>
              <w:t>废</w:t>
            </w:r>
            <w:r>
              <w:rPr>
                <w:rFonts w:hint="eastAsia" w:ascii="黑体" w:hAnsi="黑体" w:eastAsia="黑体" w:cs="Times New Roman"/>
                <w:snapToGrid w:val="0"/>
                <w:color w:val="auto"/>
                <w:spacing w:val="-6"/>
                <w:kern w:val="21"/>
                <w:sz w:val="20"/>
                <w:szCs w:val="21"/>
                <w:highlight w:val="none"/>
              </w:rPr>
              <w:t>物</w:t>
            </w:r>
            <w:r>
              <w:rPr>
                <w:rFonts w:hint="default" w:ascii="黑体" w:hAnsi="黑体" w:eastAsia="黑体" w:cs="Times New Roman"/>
                <w:snapToGrid w:val="0"/>
                <w:color w:val="auto"/>
                <w:spacing w:val="-6"/>
                <w:kern w:val="21"/>
                <w:sz w:val="20"/>
                <w:szCs w:val="21"/>
                <w:highlight w:val="none"/>
              </w:rPr>
              <w:t>产生量）</w:t>
            </w:r>
            <w:r>
              <w:rPr>
                <w:rFonts w:hint="default" w:ascii="黑体" w:hAnsi="黑体" w:eastAsia="黑体" w:cs="Times New Roman"/>
                <w:snapToGrid w:val="0"/>
                <w:color w:val="auto"/>
                <w:spacing w:val="-6"/>
                <w:kern w:val="21"/>
                <w:sz w:val="20"/>
                <w:szCs w:val="21"/>
                <w:highlight w:val="none"/>
              </w:rPr>
              <w:fldChar w:fldCharType="begin"/>
            </w:r>
            <w:r>
              <w:rPr>
                <w:rFonts w:hint="default" w:ascii="黑体" w:hAnsi="黑体" w:eastAsia="黑体" w:cs="Times New Roman"/>
                <w:snapToGrid w:val="0"/>
                <w:color w:val="auto"/>
                <w:spacing w:val="-6"/>
                <w:kern w:val="21"/>
                <w:sz w:val="20"/>
                <w:szCs w:val="21"/>
                <w:highlight w:val="none"/>
              </w:rPr>
              <w:instrText xml:space="preserve"> = 1 \* GB3 \* MERGEFORMAT </w:instrText>
            </w:r>
            <w:r>
              <w:rPr>
                <w:rFonts w:hint="default" w:ascii="黑体" w:hAnsi="黑体" w:eastAsia="黑体" w:cs="Times New Roman"/>
                <w:snapToGrid w:val="0"/>
                <w:color w:val="auto"/>
                <w:spacing w:val="-6"/>
                <w:kern w:val="21"/>
                <w:sz w:val="20"/>
                <w:szCs w:val="21"/>
                <w:highlight w:val="none"/>
              </w:rPr>
              <w:fldChar w:fldCharType="separate"/>
            </w:r>
            <w:r>
              <w:rPr>
                <w:rFonts w:hint="eastAsia" w:ascii="黑体" w:hAnsi="黑体" w:eastAsia="黑体" w:cs="宋体"/>
                <w:color w:val="auto"/>
                <w:kern w:val="2"/>
                <w:sz w:val="20"/>
                <w:szCs w:val="21"/>
                <w:highlight w:val="none"/>
              </w:rPr>
              <w:t>①</w:t>
            </w:r>
            <w:r>
              <w:rPr>
                <w:rFonts w:hint="default" w:ascii="黑体" w:hAnsi="黑体" w:eastAsia="黑体" w:cs="Times New Roman"/>
                <w:snapToGrid w:val="0"/>
                <w:color w:val="auto"/>
                <w:spacing w:val="-6"/>
                <w:kern w:val="21"/>
                <w:sz w:val="20"/>
                <w:szCs w:val="21"/>
                <w:highlight w:val="none"/>
              </w:rPr>
              <w:fldChar w:fldCharType="end"/>
            </w:r>
          </w:p>
        </w:tc>
        <w:tc>
          <w:tcPr>
            <w:tcW w:w="1290" w:type="dxa"/>
            <w:tcMar>
              <w:left w:w="28" w:type="dxa"/>
              <w:right w:w="28" w:type="dxa"/>
            </w:tcMar>
            <w:vAlign w:val="center"/>
          </w:tcPr>
          <w:p w14:paraId="78AAA7A9">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现有工程</w:t>
            </w:r>
          </w:p>
          <w:p w14:paraId="0F1A5ABB">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许可排放量</w:t>
            </w:r>
          </w:p>
          <w:p w14:paraId="55481F88">
            <w:pPr>
              <w:keepNext w:val="0"/>
              <w:keepLines w:val="0"/>
              <w:widowControl w:val="0"/>
              <w:suppressLineNumbers w:val="0"/>
              <w:wordWrap/>
              <w:adjustRightInd w:val="0"/>
              <w:snapToGrid w:val="0"/>
              <w:spacing w:before="0" w:beforeAutospacing="0" w:after="0" w:afterAutospacing="0"/>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fldChar w:fldCharType="begin"/>
            </w:r>
            <w:r>
              <w:rPr>
                <w:rFonts w:hint="default" w:ascii="黑体" w:hAnsi="黑体" w:eastAsia="黑体" w:cs="Times New Roman"/>
                <w:snapToGrid w:val="0"/>
                <w:color w:val="auto"/>
                <w:spacing w:val="-6"/>
                <w:kern w:val="21"/>
                <w:sz w:val="20"/>
                <w:szCs w:val="21"/>
                <w:highlight w:val="none"/>
              </w:rPr>
              <w:instrText xml:space="preserve"> = 2 \* GB3 \* MERGEFORMAT </w:instrText>
            </w:r>
            <w:r>
              <w:rPr>
                <w:rFonts w:hint="default" w:ascii="黑体" w:hAnsi="黑体" w:eastAsia="黑体" w:cs="Times New Roman"/>
                <w:snapToGrid w:val="0"/>
                <w:color w:val="auto"/>
                <w:spacing w:val="-6"/>
                <w:kern w:val="21"/>
                <w:sz w:val="20"/>
                <w:szCs w:val="21"/>
                <w:highlight w:val="none"/>
              </w:rPr>
              <w:fldChar w:fldCharType="separate"/>
            </w:r>
            <w:r>
              <w:rPr>
                <w:rFonts w:hint="eastAsia" w:ascii="黑体" w:hAnsi="黑体" w:eastAsia="黑体" w:cs="宋体"/>
                <w:snapToGrid w:val="0"/>
                <w:color w:val="auto"/>
                <w:spacing w:val="-6"/>
                <w:kern w:val="21"/>
                <w:sz w:val="20"/>
                <w:szCs w:val="21"/>
                <w:highlight w:val="none"/>
              </w:rPr>
              <w:t>②</w:t>
            </w:r>
            <w:r>
              <w:rPr>
                <w:rFonts w:hint="default" w:ascii="黑体" w:hAnsi="黑体" w:eastAsia="黑体" w:cs="Times New Roman"/>
                <w:snapToGrid w:val="0"/>
                <w:color w:val="auto"/>
                <w:spacing w:val="-6"/>
                <w:kern w:val="21"/>
                <w:sz w:val="20"/>
                <w:szCs w:val="21"/>
                <w:highlight w:val="none"/>
              </w:rPr>
              <w:fldChar w:fldCharType="end"/>
            </w:r>
          </w:p>
        </w:tc>
        <w:tc>
          <w:tcPr>
            <w:tcW w:w="1530" w:type="dxa"/>
            <w:tcMar>
              <w:left w:w="28" w:type="dxa"/>
              <w:right w:w="28" w:type="dxa"/>
            </w:tcMar>
            <w:vAlign w:val="center"/>
          </w:tcPr>
          <w:p w14:paraId="39529ACF">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在建工程</w:t>
            </w:r>
          </w:p>
          <w:p w14:paraId="66838EF4">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排放量（固</w:t>
            </w:r>
            <w:r>
              <w:rPr>
                <w:rFonts w:hint="eastAsia" w:ascii="黑体" w:hAnsi="黑体" w:eastAsia="黑体" w:cs="Times New Roman"/>
                <w:snapToGrid w:val="0"/>
                <w:color w:val="auto"/>
                <w:spacing w:val="-6"/>
                <w:kern w:val="21"/>
                <w:sz w:val="20"/>
                <w:szCs w:val="21"/>
                <w:highlight w:val="none"/>
              </w:rPr>
              <w:t>体</w:t>
            </w:r>
            <w:r>
              <w:rPr>
                <w:rFonts w:hint="default" w:ascii="黑体" w:hAnsi="黑体" w:eastAsia="黑体" w:cs="Times New Roman"/>
                <w:snapToGrid w:val="0"/>
                <w:color w:val="auto"/>
                <w:spacing w:val="-6"/>
                <w:kern w:val="21"/>
                <w:sz w:val="20"/>
                <w:szCs w:val="21"/>
                <w:highlight w:val="none"/>
              </w:rPr>
              <w:t>废</w:t>
            </w:r>
            <w:r>
              <w:rPr>
                <w:rFonts w:hint="eastAsia" w:ascii="黑体" w:hAnsi="黑体" w:eastAsia="黑体" w:cs="Times New Roman"/>
                <w:snapToGrid w:val="0"/>
                <w:color w:val="auto"/>
                <w:spacing w:val="-6"/>
                <w:kern w:val="21"/>
                <w:sz w:val="20"/>
                <w:szCs w:val="21"/>
                <w:highlight w:val="none"/>
              </w:rPr>
              <w:t>物</w:t>
            </w:r>
            <w:r>
              <w:rPr>
                <w:rFonts w:hint="default" w:ascii="黑体" w:hAnsi="黑体" w:eastAsia="黑体" w:cs="Times New Roman"/>
                <w:snapToGrid w:val="0"/>
                <w:color w:val="auto"/>
                <w:spacing w:val="-6"/>
                <w:kern w:val="21"/>
                <w:sz w:val="20"/>
                <w:szCs w:val="21"/>
                <w:highlight w:val="none"/>
              </w:rPr>
              <w:t>产生量）</w:t>
            </w:r>
            <w:r>
              <w:rPr>
                <w:rFonts w:hint="default" w:ascii="黑体" w:hAnsi="黑体" w:eastAsia="黑体" w:cs="Times New Roman"/>
                <w:snapToGrid w:val="0"/>
                <w:color w:val="auto"/>
                <w:spacing w:val="-6"/>
                <w:kern w:val="21"/>
                <w:sz w:val="20"/>
                <w:szCs w:val="21"/>
                <w:highlight w:val="none"/>
              </w:rPr>
              <w:fldChar w:fldCharType="begin"/>
            </w:r>
            <w:r>
              <w:rPr>
                <w:rFonts w:hint="default" w:ascii="黑体" w:hAnsi="黑体" w:eastAsia="黑体" w:cs="Times New Roman"/>
                <w:snapToGrid w:val="0"/>
                <w:color w:val="auto"/>
                <w:spacing w:val="-6"/>
                <w:kern w:val="21"/>
                <w:sz w:val="20"/>
                <w:szCs w:val="21"/>
                <w:highlight w:val="none"/>
              </w:rPr>
              <w:instrText xml:space="preserve"> = 3 \* GB3 \* MERGEFORMAT </w:instrText>
            </w:r>
            <w:r>
              <w:rPr>
                <w:rFonts w:hint="default" w:ascii="黑体" w:hAnsi="黑体" w:eastAsia="黑体" w:cs="Times New Roman"/>
                <w:snapToGrid w:val="0"/>
                <w:color w:val="auto"/>
                <w:spacing w:val="-6"/>
                <w:kern w:val="21"/>
                <w:sz w:val="20"/>
                <w:szCs w:val="21"/>
                <w:highlight w:val="none"/>
              </w:rPr>
              <w:fldChar w:fldCharType="separate"/>
            </w:r>
            <w:r>
              <w:rPr>
                <w:rFonts w:hint="eastAsia" w:ascii="黑体" w:hAnsi="黑体" w:eastAsia="黑体" w:cs="宋体"/>
                <w:color w:val="auto"/>
                <w:kern w:val="2"/>
                <w:sz w:val="20"/>
                <w:szCs w:val="21"/>
                <w:highlight w:val="none"/>
              </w:rPr>
              <w:t>③</w:t>
            </w:r>
            <w:r>
              <w:rPr>
                <w:rFonts w:hint="default" w:ascii="黑体" w:hAnsi="黑体" w:eastAsia="黑体" w:cs="Times New Roman"/>
                <w:snapToGrid w:val="0"/>
                <w:color w:val="auto"/>
                <w:spacing w:val="-6"/>
                <w:kern w:val="21"/>
                <w:sz w:val="20"/>
                <w:szCs w:val="21"/>
                <w:highlight w:val="none"/>
              </w:rPr>
              <w:fldChar w:fldCharType="end"/>
            </w:r>
          </w:p>
        </w:tc>
        <w:tc>
          <w:tcPr>
            <w:tcW w:w="1815" w:type="dxa"/>
            <w:tcMar>
              <w:left w:w="28" w:type="dxa"/>
              <w:right w:w="28" w:type="dxa"/>
            </w:tcMar>
            <w:vAlign w:val="center"/>
          </w:tcPr>
          <w:p w14:paraId="44C9A2B0">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本项目</w:t>
            </w:r>
          </w:p>
          <w:p w14:paraId="0483DBC7">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排放量（固</w:t>
            </w:r>
            <w:r>
              <w:rPr>
                <w:rFonts w:hint="eastAsia" w:ascii="黑体" w:hAnsi="黑体" w:eastAsia="黑体" w:cs="Times New Roman"/>
                <w:snapToGrid w:val="0"/>
                <w:color w:val="auto"/>
                <w:spacing w:val="-6"/>
                <w:kern w:val="21"/>
                <w:sz w:val="20"/>
                <w:szCs w:val="21"/>
                <w:highlight w:val="none"/>
              </w:rPr>
              <w:t>体</w:t>
            </w:r>
            <w:r>
              <w:rPr>
                <w:rFonts w:hint="default" w:ascii="黑体" w:hAnsi="黑体" w:eastAsia="黑体" w:cs="Times New Roman"/>
                <w:snapToGrid w:val="0"/>
                <w:color w:val="auto"/>
                <w:spacing w:val="-6"/>
                <w:kern w:val="21"/>
                <w:sz w:val="20"/>
                <w:szCs w:val="21"/>
                <w:highlight w:val="none"/>
              </w:rPr>
              <w:t>废</w:t>
            </w:r>
            <w:r>
              <w:rPr>
                <w:rFonts w:hint="eastAsia" w:ascii="黑体" w:hAnsi="黑体" w:eastAsia="黑体" w:cs="Times New Roman"/>
                <w:snapToGrid w:val="0"/>
                <w:color w:val="auto"/>
                <w:spacing w:val="-6"/>
                <w:kern w:val="21"/>
                <w:sz w:val="20"/>
                <w:szCs w:val="21"/>
                <w:highlight w:val="none"/>
              </w:rPr>
              <w:t>物</w:t>
            </w:r>
            <w:r>
              <w:rPr>
                <w:rFonts w:hint="default" w:ascii="黑体" w:hAnsi="黑体" w:eastAsia="黑体" w:cs="Times New Roman"/>
                <w:snapToGrid w:val="0"/>
                <w:color w:val="auto"/>
                <w:spacing w:val="-6"/>
                <w:kern w:val="21"/>
                <w:sz w:val="20"/>
                <w:szCs w:val="21"/>
                <w:highlight w:val="none"/>
              </w:rPr>
              <w:t>产生量）</w:t>
            </w:r>
            <w:r>
              <w:rPr>
                <w:rFonts w:hint="default" w:ascii="黑体" w:hAnsi="黑体" w:eastAsia="黑体" w:cs="Times New Roman"/>
                <w:snapToGrid w:val="0"/>
                <w:color w:val="auto"/>
                <w:spacing w:val="-6"/>
                <w:kern w:val="21"/>
                <w:sz w:val="20"/>
                <w:szCs w:val="21"/>
                <w:highlight w:val="none"/>
              </w:rPr>
              <w:fldChar w:fldCharType="begin"/>
            </w:r>
            <w:r>
              <w:rPr>
                <w:rFonts w:hint="default" w:ascii="黑体" w:hAnsi="黑体" w:eastAsia="黑体" w:cs="Times New Roman"/>
                <w:snapToGrid w:val="0"/>
                <w:color w:val="auto"/>
                <w:spacing w:val="-6"/>
                <w:kern w:val="21"/>
                <w:sz w:val="20"/>
                <w:szCs w:val="21"/>
                <w:highlight w:val="none"/>
              </w:rPr>
              <w:instrText xml:space="preserve"> = 4 \* GB3 \* MERGEFORMAT </w:instrText>
            </w:r>
            <w:r>
              <w:rPr>
                <w:rFonts w:hint="default" w:ascii="黑体" w:hAnsi="黑体" w:eastAsia="黑体" w:cs="Times New Roman"/>
                <w:snapToGrid w:val="0"/>
                <w:color w:val="auto"/>
                <w:spacing w:val="-6"/>
                <w:kern w:val="21"/>
                <w:sz w:val="20"/>
                <w:szCs w:val="21"/>
                <w:highlight w:val="none"/>
              </w:rPr>
              <w:fldChar w:fldCharType="separate"/>
            </w:r>
            <w:r>
              <w:rPr>
                <w:rFonts w:hint="eastAsia" w:ascii="黑体" w:hAnsi="黑体" w:eastAsia="黑体" w:cs="宋体"/>
                <w:color w:val="auto"/>
                <w:kern w:val="2"/>
                <w:sz w:val="20"/>
                <w:szCs w:val="21"/>
                <w:highlight w:val="none"/>
              </w:rPr>
              <w:t>④</w:t>
            </w:r>
            <w:r>
              <w:rPr>
                <w:rFonts w:hint="default" w:ascii="黑体" w:hAnsi="黑体" w:eastAsia="黑体" w:cs="Times New Roman"/>
                <w:snapToGrid w:val="0"/>
                <w:color w:val="auto"/>
                <w:spacing w:val="-6"/>
                <w:kern w:val="21"/>
                <w:sz w:val="20"/>
                <w:szCs w:val="21"/>
                <w:highlight w:val="none"/>
              </w:rPr>
              <w:fldChar w:fldCharType="end"/>
            </w:r>
          </w:p>
        </w:tc>
        <w:tc>
          <w:tcPr>
            <w:tcW w:w="1770" w:type="dxa"/>
            <w:tcMar>
              <w:left w:w="28" w:type="dxa"/>
              <w:right w:w="28" w:type="dxa"/>
            </w:tcMar>
            <w:vAlign w:val="center"/>
          </w:tcPr>
          <w:p w14:paraId="376C8038">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黑体" w:hAnsi="黑体" w:eastAsia="黑体" w:cs="Times New Roman"/>
                <w:snapToGrid w:val="0"/>
                <w:color w:val="auto"/>
                <w:spacing w:val="-16"/>
                <w:kern w:val="21"/>
                <w:sz w:val="20"/>
                <w:szCs w:val="21"/>
                <w:highlight w:val="none"/>
              </w:rPr>
            </w:pPr>
            <w:r>
              <w:rPr>
                <w:rFonts w:hint="default" w:ascii="黑体" w:hAnsi="黑体" w:eastAsia="黑体" w:cs="Times New Roman"/>
                <w:snapToGrid w:val="0"/>
                <w:color w:val="auto"/>
                <w:spacing w:val="-16"/>
                <w:kern w:val="21"/>
                <w:sz w:val="20"/>
                <w:szCs w:val="21"/>
                <w:highlight w:val="none"/>
              </w:rPr>
              <w:t>以新带老削减量</w:t>
            </w:r>
          </w:p>
          <w:p w14:paraId="1D32D2E4">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16"/>
                <w:kern w:val="21"/>
                <w:sz w:val="20"/>
                <w:szCs w:val="21"/>
                <w:highlight w:val="none"/>
              </w:rPr>
            </w:pPr>
            <w:r>
              <w:rPr>
                <w:rFonts w:hint="default" w:ascii="黑体" w:hAnsi="黑体" w:eastAsia="黑体" w:cs="Times New Roman"/>
                <w:snapToGrid w:val="0"/>
                <w:color w:val="auto"/>
                <w:spacing w:val="-16"/>
                <w:kern w:val="21"/>
                <w:sz w:val="20"/>
                <w:szCs w:val="21"/>
                <w:highlight w:val="none"/>
              </w:rPr>
              <w:t>（新建项目不填）</w:t>
            </w:r>
            <w:r>
              <w:rPr>
                <w:rFonts w:hint="default" w:ascii="黑体" w:hAnsi="黑体" w:eastAsia="黑体" w:cs="Times New Roman"/>
                <w:snapToGrid w:val="0"/>
                <w:color w:val="auto"/>
                <w:spacing w:val="-16"/>
                <w:kern w:val="21"/>
                <w:sz w:val="20"/>
                <w:szCs w:val="21"/>
                <w:highlight w:val="none"/>
              </w:rPr>
              <w:fldChar w:fldCharType="begin"/>
            </w:r>
            <w:r>
              <w:rPr>
                <w:rFonts w:hint="default" w:ascii="黑体" w:hAnsi="黑体" w:eastAsia="黑体" w:cs="Times New Roman"/>
                <w:snapToGrid w:val="0"/>
                <w:color w:val="auto"/>
                <w:spacing w:val="-16"/>
                <w:kern w:val="21"/>
                <w:sz w:val="20"/>
                <w:szCs w:val="21"/>
                <w:highlight w:val="none"/>
              </w:rPr>
              <w:instrText xml:space="preserve"> = 5 \* GB3 \* MERGEFORMAT </w:instrText>
            </w:r>
            <w:r>
              <w:rPr>
                <w:rFonts w:hint="default" w:ascii="黑体" w:hAnsi="黑体" w:eastAsia="黑体" w:cs="Times New Roman"/>
                <w:snapToGrid w:val="0"/>
                <w:color w:val="auto"/>
                <w:spacing w:val="-16"/>
                <w:kern w:val="21"/>
                <w:sz w:val="20"/>
                <w:szCs w:val="21"/>
                <w:highlight w:val="none"/>
              </w:rPr>
              <w:fldChar w:fldCharType="separate"/>
            </w:r>
            <w:r>
              <w:rPr>
                <w:rFonts w:hint="eastAsia" w:ascii="黑体" w:hAnsi="黑体" w:eastAsia="黑体" w:cs="宋体"/>
                <w:color w:val="auto"/>
                <w:kern w:val="2"/>
                <w:sz w:val="20"/>
                <w:szCs w:val="21"/>
                <w:highlight w:val="none"/>
              </w:rPr>
              <w:t>⑤</w:t>
            </w:r>
            <w:r>
              <w:rPr>
                <w:rFonts w:hint="default" w:ascii="黑体" w:hAnsi="黑体" w:eastAsia="黑体" w:cs="Times New Roman"/>
                <w:snapToGrid w:val="0"/>
                <w:color w:val="auto"/>
                <w:spacing w:val="-16"/>
                <w:kern w:val="21"/>
                <w:sz w:val="20"/>
                <w:szCs w:val="21"/>
                <w:highlight w:val="none"/>
              </w:rPr>
              <w:fldChar w:fldCharType="end"/>
            </w:r>
          </w:p>
        </w:tc>
        <w:tc>
          <w:tcPr>
            <w:tcW w:w="1755" w:type="dxa"/>
            <w:tcMar>
              <w:left w:w="28" w:type="dxa"/>
              <w:right w:w="28" w:type="dxa"/>
            </w:tcMar>
            <w:vAlign w:val="center"/>
          </w:tcPr>
          <w:p w14:paraId="475CB503">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黑体" w:hAnsi="黑体" w:eastAsia="黑体" w:cs="Times New Roman"/>
                <w:snapToGrid w:val="0"/>
                <w:color w:val="auto"/>
                <w:spacing w:val="-16"/>
                <w:kern w:val="21"/>
                <w:sz w:val="20"/>
                <w:szCs w:val="21"/>
                <w:highlight w:val="none"/>
              </w:rPr>
            </w:pPr>
            <w:r>
              <w:rPr>
                <w:rFonts w:hint="default" w:ascii="黑体" w:hAnsi="黑体" w:eastAsia="黑体" w:cs="Times New Roman"/>
                <w:snapToGrid w:val="0"/>
                <w:color w:val="auto"/>
                <w:spacing w:val="-16"/>
                <w:kern w:val="21"/>
                <w:sz w:val="20"/>
                <w:szCs w:val="21"/>
                <w:highlight w:val="none"/>
              </w:rPr>
              <w:t>本项目建成后</w:t>
            </w:r>
          </w:p>
          <w:p w14:paraId="34BFED9B">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16"/>
                <w:kern w:val="21"/>
                <w:sz w:val="20"/>
                <w:szCs w:val="21"/>
                <w:highlight w:val="none"/>
              </w:rPr>
            </w:pPr>
            <w:r>
              <w:rPr>
                <w:rFonts w:hint="eastAsia" w:ascii="黑体" w:hAnsi="黑体" w:eastAsia="黑体" w:cs="Times New Roman"/>
                <w:snapToGrid w:val="0"/>
                <w:color w:val="auto"/>
                <w:spacing w:val="-16"/>
                <w:kern w:val="21"/>
                <w:sz w:val="20"/>
                <w:szCs w:val="21"/>
                <w:highlight w:val="none"/>
              </w:rPr>
              <w:t>全厂</w:t>
            </w:r>
            <w:r>
              <w:rPr>
                <w:rFonts w:hint="default" w:ascii="黑体" w:hAnsi="黑体" w:eastAsia="黑体" w:cs="Times New Roman"/>
                <w:snapToGrid w:val="0"/>
                <w:color w:val="auto"/>
                <w:spacing w:val="-16"/>
                <w:kern w:val="21"/>
                <w:sz w:val="20"/>
                <w:szCs w:val="21"/>
                <w:highlight w:val="none"/>
              </w:rPr>
              <w:t>排放量（固</w:t>
            </w:r>
            <w:r>
              <w:rPr>
                <w:rFonts w:hint="eastAsia" w:ascii="黑体" w:hAnsi="黑体" w:eastAsia="黑体" w:cs="Times New Roman"/>
                <w:snapToGrid w:val="0"/>
                <w:color w:val="auto"/>
                <w:spacing w:val="-16"/>
                <w:kern w:val="21"/>
                <w:sz w:val="20"/>
                <w:szCs w:val="21"/>
                <w:highlight w:val="none"/>
              </w:rPr>
              <w:t>体</w:t>
            </w:r>
            <w:r>
              <w:rPr>
                <w:rFonts w:hint="default" w:ascii="黑体" w:hAnsi="黑体" w:eastAsia="黑体" w:cs="Times New Roman"/>
                <w:snapToGrid w:val="0"/>
                <w:color w:val="auto"/>
                <w:spacing w:val="-16"/>
                <w:kern w:val="21"/>
                <w:sz w:val="20"/>
                <w:szCs w:val="21"/>
                <w:highlight w:val="none"/>
              </w:rPr>
              <w:t>废</w:t>
            </w:r>
            <w:r>
              <w:rPr>
                <w:rFonts w:hint="eastAsia" w:ascii="黑体" w:hAnsi="黑体" w:eastAsia="黑体" w:cs="Times New Roman"/>
                <w:snapToGrid w:val="0"/>
                <w:color w:val="auto"/>
                <w:spacing w:val="-16"/>
                <w:kern w:val="21"/>
                <w:sz w:val="20"/>
                <w:szCs w:val="21"/>
                <w:highlight w:val="none"/>
              </w:rPr>
              <w:t>物</w:t>
            </w:r>
            <w:r>
              <w:rPr>
                <w:rFonts w:hint="default" w:ascii="黑体" w:hAnsi="黑体" w:eastAsia="黑体" w:cs="Times New Roman"/>
                <w:snapToGrid w:val="0"/>
                <w:color w:val="auto"/>
                <w:spacing w:val="-16"/>
                <w:kern w:val="21"/>
                <w:sz w:val="20"/>
                <w:szCs w:val="21"/>
                <w:highlight w:val="none"/>
              </w:rPr>
              <w:t>产生量）</w:t>
            </w:r>
            <w:r>
              <w:rPr>
                <w:rFonts w:hint="default" w:ascii="黑体" w:hAnsi="黑体" w:eastAsia="黑体" w:cs="Times New Roman"/>
                <w:snapToGrid w:val="0"/>
                <w:color w:val="auto"/>
                <w:spacing w:val="-16"/>
                <w:kern w:val="21"/>
                <w:sz w:val="20"/>
                <w:szCs w:val="21"/>
                <w:highlight w:val="none"/>
              </w:rPr>
              <w:fldChar w:fldCharType="begin"/>
            </w:r>
            <w:r>
              <w:rPr>
                <w:rFonts w:hint="default" w:ascii="黑体" w:hAnsi="黑体" w:eastAsia="黑体" w:cs="Times New Roman"/>
                <w:snapToGrid w:val="0"/>
                <w:color w:val="auto"/>
                <w:spacing w:val="-16"/>
                <w:kern w:val="21"/>
                <w:sz w:val="20"/>
                <w:szCs w:val="21"/>
                <w:highlight w:val="none"/>
              </w:rPr>
              <w:instrText xml:space="preserve"> = 6 \* GB3 \* MERGEFORMAT </w:instrText>
            </w:r>
            <w:r>
              <w:rPr>
                <w:rFonts w:hint="default" w:ascii="黑体" w:hAnsi="黑体" w:eastAsia="黑体" w:cs="Times New Roman"/>
                <w:snapToGrid w:val="0"/>
                <w:color w:val="auto"/>
                <w:spacing w:val="-16"/>
                <w:kern w:val="21"/>
                <w:sz w:val="20"/>
                <w:szCs w:val="21"/>
                <w:highlight w:val="none"/>
              </w:rPr>
              <w:fldChar w:fldCharType="separate"/>
            </w:r>
            <w:r>
              <w:rPr>
                <w:rFonts w:hint="eastAsia" w:ascii="黑体" w:hAnsi="黑体" w:eastAsia="黑体" w:cs="宋体"/>
                <w:color w:val="auto"/>
                <w:kern w:val="2"/>
                <w:sz w:val="20"/>
                <w:szCs w:val="21"/>
                <w:highlight w:val="none"/>
              </w:rPr>
              <w:t>⑥</w:t>
            </w:r>
            <w:r>
              <w:rPr>
                <w:rFonts w:hint="default" w:ascii="黑体" w:hAnsi="黑体" w:eastAsia="黑体" w:cs="Times New Roman"/>
                <w:snapToGrid w:val="0"/>
                <w:color w:val="auto"/>
                <w:spacing w:val="-16"/>
                <w:kern w:val="21"/>
                <w:sz w:val="20"/>
                <w:szCs w:val="21"/>
                <w:highlight w:val="none"/>
              </w:rPr>
              <w:fldChar w:fldCharType="end"/>
            </w:r>
          </w:p>
        </w:tc>
        <w:tc>
          <w:tcPr>
            <w:tcW w:w="1246" w:type="dxa"/>
            <w:tcMar>
              <w:left w:w="28" w:type="dxa"/>
              <w:right w:w="28" w:type="dxa"/>
            </w:tcMar>
            <w:vAlign w:val="center"/>
          </w:tcPr>
          <w:p w14:paraId="1C72A7C4">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default" w:ascii="黑体" w:hAnsi="黑体" w:eastAsia="黑体" w:cs="Times New Roman"/>
                <w:snapToGrid w:val="0"/>
                <w:color w:val="auto"/>
                <w:spacing w:val="-6"/>
                <w:kern w:val="21"/>
                <w:sz w:val="20"/>
                <w:szCs w:val="21"/>
                <w:highlight w:val="none"/>
              </w:rPr>
            </w:pPr>
            <w:r>
              <w:rPr>
                <w:rFonts w:hint="default" w:ascii="黑体" w:hAnsi="黑体" w:eastAsia="黑体" w:cs="Times New Roman"/>
                <w:snapToGrid w:val="0"/>
                <w:color w:val="auto"/>
                <w:spacing w:val="-6"/>
                <w:kern w:val="21"/>
                <w:sz w:val="20"/>
                <w:szCs w:val="21"/>
                <w:highlight w:val="none"/>
              </w:rPr>
              <w:t>变化量</w:t>
            </w:r>
            <w:r>
              <w:rPr>
                <w:rFonts w:hint="default" w:ascii="黑体" w:hAnsi="黑体" w:eastAsia="黑体" w:cs="Times New Roman"/>
                <w:snapToGrid w:val="0"/>
                <w:color w:val="auto"/>
                <w:spacing w:val="-6"/>
                <w:kern w:val="21"/>
                <w:sz w:val="20"/>
                <w:szCs w:val="21"/>
                <w:highlight w:val="none"/>
              </w:rPr>
              <w:fldChar w:fldCharType="begin"/>
            </w:r>
            <w:r>
              <w:rPr>
                <w:rFonts w:hint="default" w:ascii="黑体" w:hAnsi="黑体" w:eastAsia="黑体" w:cs="Times New Roman"/>
                <w:snapToGrid w:val="0"/>
                <w:color w:val="auto"/>
                <w:spacing w:val="-6"/>
                <w:kern w:val="21"/>
                <w:sz w:val="20"/>
                <w:szCs w:val="21"/>
                <w:highlight w:val="none"/>
              </w:rPr>
              <w:instrText xml:space="preserve"> = 7 \* GB3 \* MERGEFORMAT </w:instrText>
            </w:r>
            <w:r>
              <w:rPr>
                <w:rFonts w:hint="default" w:ascii="黑体" w:hAnsi="黑体" w:eastAsia="黑体" w:cs="Times New Roman"/>
                <w:snapToGrid w:val="0"/>
                <w:color w:val="auto"/>
                <w:spacing w:val="-6"/>
                <w:kern w:val="21"/>
                <w:sz w:val="20"/>
                <w:szCs w:val="21"/>
                <w:highlight w:val="none"/>
              </w:rPr>
              <w:fldChar w:fldCharType="separate"/>
            </w:r>
            <w:r>
              <w:rPr>
                <w:rFonts w:hint="eastAsia" w:ascii="黑体" w:hAnsi="黑体" w:eastAsia="黑体" w:cs="宋体"/>
                <w:color w:val="auto"/>
                <w:kern w:val="2"/>
                <w:sz w:val="20"/>
                <w:szCs w:val="21"/>
                <w:highlight w:val="none"/>
              </w:rPr>
              <w:t>⑦</w:t>
            </w:r>
            <w:r>
              <w:rPr>
                <w:rFonts w:hint="default" w:ascii="黑体" w:hAnsi="黑体" w:eastAsia="黑体" w:cs="Times New Roman"/>
                <w:snapToGrid w:val="0"/>
                <w:color w:val="auto"/>
                <w:spacing w:val="-6"/>
                <w:kern w:val="21"/>
                <w:sz w:val="20"/>
                <w:szCs w:val="21"/>
                <w:highlight w:val="none"/>
              </w:rPr>
              <w:fldChar w:fldCharType="end"/>
            </w:r>
          </w:p>
        </w:tc>
      </w:tr>
      <w:tr w14:paraId="44DB1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245" w:type="dxa"/>
            <w:vMerge w:val="restart"/>
            <w:vAlign w:val="center"/>
          </w:tcPr>
          <w:p w14:paraId="2307090F">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r>
              <w:rPr>
                <w:rFonts w:hint="eastAsia" w:ascii="黑体" w:hAnsi="黑体" w:eastAsia="黑体" w:cs="Times New Roman"/>
                <w:snapToGrid w:val="0"/>
                <w:color w:val="auto"/>
                <w:spacing w:val="-6"/>
                <w:kern w:val="21"/>
                <w:sz w:val="20"/>
                <w:szCs w:val="21"/>
                <w:highlight w:val="none"/>
              </w:rPr>
              <w:t>废气</w:t>
            </w:r>
          </w:p>
        </w:tc>
        <w:tc>
          <w:tcPr>
            <w:tcW w:w="1521" w:type="dxa"/>
            <w:vAlign w:val="center"/>
          </w:tcPr>
          <w:p w14:paraId="560E3A6D">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废气量</w:t>
            </w:r>
          </w:p>
        </w:tc>
        <w:tc>
          <w:tcPr>
            <w:tcW w:w="1616" w:type="dxa"/>
            <w:vAlign w:val="center"/>
          </w:tcPr>
          <w:p w14:paraId="162070E4">
            <w:pPr>
              <w:keepNext w:val="0"/>
              <w:keepLines w:val="0"/>
              <w:widowControl w:val="0"/>
              <w:suppressLineNumbers w:val="0"/>
              <w:wordWrap/>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宋体" w:cs="宋体"/>
                <w:snapToGrid w:val="0"/>
                <w:color w:val="auto"/>
                <w:kern w:val="21"/>
                <w:sz w:val="20"/>
                <w:szCs w:val="21"/>
                <w:highlight w:val="none"/>
              </w:rPr>
            </w:pPr>
            <w:r>
              <w:rPr>
                <w:rFonts w:hint="eastAsia" w:ascii="Times New Roman" w:hAnsi="宋体" w:cs="宋体"/>
                <w:snapToGrid w:val="0"/>
                <w:color w:val="auto"/>
                <w:kern w:val="21"/>
                <w:sz w:val="20"/>
                <w:szCs w:val="21"/>
                <w:highlight w:val="none"/>
                <w:lang w:val="en-US" w:eastAsia="zh-CN"/>
              </w:rPr>
              <w:t>/</w:t>
            </w:r>
          </w:p>
        </w:tc>
        <w:tc>
          <w:tcPr>
            <w:tcW w:w="1290" w:type="dxa"/>
            <w:vAlign w:val="center"/>
          </w:tcPr>
          <w:p w14:paraId="2EF9CFB9">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cs="宋体"/>
                <w:snapToGrid w:val="0"/>
                <w:color w:val="auto"/>
                <w:kern w:val="21"/>
                <w:sz w:val="20"/>
                <w:szCs w:val="21"/>
                <w:highlight w:val="none"/>
              </w:rPr>
            </w:pPr>
            <w:r>
              <w:rPr>
                <w:rFonts w:hint="eastAsia" w:ascii="Times New Roman" w:hAnsi="宋体" w:cs="宋体"/>
                <w:snapToGrid w:val="0"/>
                <w:color w:val="auto"/>
                <w:kern w:val="21"/>
                <w:sz w:val="20"/>
                <w:szCs w:val="21"/>
                <w:highlight w:val="none"/>
                <w:lang w:val="en-US" w:eastAsia="zh-CN"/>
              </w:rPr>
              <w:t>/</w:t>
            </w:r>
          </w:p>
        </w:tc>
        <w:tc>
          <w:tcPr>
            <w:tcW w:w="1530" w:type="dxa"/>
            <w:vAlign w:val="center"/>
          </w:tcPr>
          <w:p w14:paraId="26B24A8D">
            <w:pPr>
              <w:keepNext w:val="0"/>
              <w:keepLines w:val="0"/>
              <w:widowControl w:val="0"/>
              <w:suppressLineNumbers w:val="0"/>
              <w:wordWrap/>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宋体" w:cs="宋体"/>
                <w:snapToGrid w:val="0"/>
                <w:color w:val="auto"/>
                <w:kern w:val="21"/>
                <w:sz w:val="20"/>
                <w:szCs w:val="21"/>
                <w:highlight w:val="none"/>
              </w:rPr>
            </w:pPr>
            <w:r>
              <w:rPr>
                <w:rFonts w:hint="eastAsia" w:ascii="Times New Roman" w:hAnsi="宋体" w:cs="宋体"/>
                <w:snapToGrid w:val="0"/>
                <w:color w:val="auto"/>
                <w:kern w:val="21"/>
                <w:sz w:val="20"/>
                <w:szCs w:val="21"/>
                <w:highlight w:val="none"/>
                <w:lang w:val="en-US" w:eastAsia="zh-CN"/>
              </w:rPr>
              <w:t>/</w:t>
            </w:r>
          </w:p>
        </w:tc>
        <w:tc>
          <w:tcPr>
            <w:tcW w:w="1815" w:type="dxa"/>
            <w:vAlign w:val="center"/>
          </w:tcPr>
          <w:p w14:paraId="0CC59375">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w:t>
            </w:r>
          </w:p>
        </w:tc>
        <w:tc>
          <w:tcPr>
            <w:tcW w:w="1770" w:type="dxa"/>
            <w:vAlign w:val="center"/>
          </w:tcPr>
          <w:p w14:paraId="683654E8">
            <w:pPr>
              <w:keepNext w:val="0"/>
              <w:keepLines w:val="0"/>
              <w:widowControl w:val="0"/>
              <w:suppressLineNumbers w:val="0"/>
              <w:wordWrap/>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宋体" w:cs="宋体"/>
                <w:snapToGrid w:val="0"/>
                <w:color w:val="auto"/>
                <w:kern w:val="21"/>
                <w:sz w:val="20"/>
                <w:szCs w:val="21"/>
                <w:highlight w:val="none"/>
              </w:rPr>
            </w:pPr>
            <w:r>
              <w:rPr>
                <w:rFonts w:hint="eastAsia" w:ascii="Times New Roman" w:hAnsi="宋体" w:cs="宋体"/>
                <w:snapToGrid w:val="0"/>
                <w:color w:val="auto"/>
                <w:kern w:val="21"/>
                <w:sz w:val="20"/>
                <w:szCs w:val="21"/>
                <w:highlight w:val="none"/>
                <w:lang w:val="en-US" w:eastAsia="zh-CN"/>
              </w:rPr>
              <w:t>/</w:t>
            </w:r>
          </w:p>
        </w:tc>
        <w:tc>
          <w:tcPr>
            <w:tcW w:w="1755" w:type="dxa"/>
            <w:vAlign w:val="center"/>
          </w:tcPr>
          <w:p w14:paraId="494A1F95">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rPr>
              <w:t>/</w:t>
            </w:r>
          </w:p>
        </w:tc>
        <w:tc>
          <w:tcPr>
            <w:tcW w:w="1246" w:type="dxa"/>
            <w:vAlign w:val="center"/>
          </w:tcPr>
          <w:p w14:paraId="4D9D1C7D">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w:t>
            </w:r>
          </w:p>
        </w:tc>
      </w:tr>
      <w:tr w14:paraId="2022A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245" w:type="dxa"/>
            <w:vMerge w:val="continue"/>
            <w:vAlign w:val="center"/>
          </w:tcPr>
          <w:p w14:paraId="75F3DCA6">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702B126E">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颗粒物</w:t>
            </w:r>
          </w:p>
        </w:tc>
        <w:tc>
          <w:tcPr>
            <w:tcW w:w="1616" w:type="dxa"/>
            <w:vAlign w:val="center"/>
          </w:tcPr>
          <w:p w14:paraId="1B86DF0F">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14.322</w:t>
            </w:r>
          </w:p>
        </w:tc>
        <w:tc>
          <w:tcPr>
            <w:tcW w:w="1290" w:type="dxa"/>
            <w:vAlign w:val="center"/>
          </w:tcPr>
          <w:p w14:paraId="599F8B69">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p>
        </w:tc>
        <w:tc>
          <w:tcPr>
            <w:tcW w:w="1530" w:type="dxa"/>
            <w:vAlign w:val="center"/>
          </w:tcPr>
          <w:p w14:paraId="4DAA1C27">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p>
        </w:tc>
        <w:tc>
          <w:tcPr>
            <w:tcW w:w="1815" w:type="dxa"/>
            <w:vAlign w:val="center"/>
          </w:tcPr>
          <w:p w14:paraId="4A838749">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0.880</w:t>
            </w:r>
          </w:p>
        </w:tc>
        <w:tc>
          <w:tcPr>
            <w:tcW w:w="1770" w:type="dxa"/>
            <w:vAlign w:val="center"/>
          </w:tcPr>
          <w:p w14:paraId="657686AB">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14.322</w:t>
            </w:r>
          </w:p>
        </w:tc>
        <w:tc>
          <w:tcPr>
            <w:tcW w:w="1755" w:type="dxa"/>
            <w:vAlign w:val="center"/>
          </w:tcPr>
          <w:p w14:paraId="184A60E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0.880</w:t>
            </w:r>
          </w:p>
        </w:tc>
        <w:tc>
          <w:tcPr>
            <w:tcW w:w="1246" w:type="dxa"/>
            <w:vAlign w:val="center"/>
          </w:tcPr>
          <w:p w14:paraId="773F2D01">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r>
              <w:rPr>
                <w:rFonts w:hint="eastAsia" w:hAnsi="宋体" w:cs="宋体"/>
                <w:snapToGrid w:val="0"/>
                <w:color w:val="auto"/>
                <w:kern w:val="21"/>
                <w:sz w:val="20"/>
                <w:szCs w:val="21"/>
                <w:highlight w:val="none"/>
                <w:lang w:val="en-US" w:eastAsia="zh-CN" w:bidi="ar-SA"/>
              </w:rPr>
              <w:t>13.442</w:t>
            </w:r>
          </w:p>
        </w:tc>
      </w:tr>
      <w:tr w14:paraId="6C3FD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5" w:type="dxa"/>
            <w:vMerge w:val="continue"/>
            <w:vAlign w:val="center"/>
          </w:tcPr>
          <w:p w14:paraId="3E1613B2">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1CFF807F">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二氧化硫</w:t>
            </w:r>
          </w:p>
        </w:tc>
        <w:tc>
          <w:tcPr>
            <w:tcW w:w="1616" w:type="dxa"/>
            <w:vAlign w:val="center"/>
          </w:tcPr>
          <w:p w14:paraId="1238DABD">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113.630</w:t>
            </w:r>
          </w:p>
        </w:tc>
        <w:tc>
          <w:tcPr>
            <w:tcW w:w="1290" w:type="dxa"/>
            <w:vAlign w:val="center"/>
          </w:tcPr>
          <w:p w14:paraId="6493CEB3">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p>
        </w:tc>
        <w:tc>
          <w:tcPr>
            <w:tcW w:w="1530" w:type="dxa"/>
            <w:vAlign w:val="center"/>
          </w:tcPr>
          <w:p w14:paraId="519F6D68">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p>
        </w:tc>
        <w:tc>
          <w:tcPr>
            <w:tcW w:w="1815" w:type="dxa"/>
            <w:vAlign w:val="center"/>
          </w:tcPr>
          <w:p w14:paraId="3288BB1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31.424</w:t>
            </w:r>
          </w:p>
        </w:tc>
        <w:tc>
          <w:tcPr>
            <w:tcW w:w="1770" w:type="dxa"/>
            <w:vAlign w:val="center"/>
          </w:tcPr>
          <w:p w14:paraId="64636924">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113.630</w:t>
            </w:r>
          </w:p>
        </w:tc>
        <w:tc>
          <w:tcPr>
            <w:tcW w:w="1755" w:type="dxa"/>
            <w:vAlign w:val="center"/>
          </w:tcPr>
          <w:p w14:paraId="0BDDC28C">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31.424</w:t>
            </w:r>
          </w:p>
        </w:tc>
        <w:tc>
          <w:tcPr>
            <w:tcW w:w="1246" w:type="dxa"/>
            <w:vAlign w:val="center"/>
          </w:tcPr>
          <w:p w14:paraId="3820B5F9">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-82.206</w:t>
            </w:r>
          </w:p>
        </w:tc>
      </w:tr>
      <w:tr w14:paraId="1F3B2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45" w:type="dxa"/>
            <w:vMerge w:val="continue"/>
            <w:vAlign w:val="center"/>
          </w:tcPr>
          <w:p w14:paraId="508B2886">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0F76180F">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hAnsi="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氮氧化物</w:t>
            </w:r>
          </w:p>
        </w:tc>
        <w:tc>
          <w:tcPr>
            <w:tcW w:w="1616" w:type="dxa"/>
            <w:vAlign w:val="center"/>
          </w:tcPr>
          <w:p w14:paraId="7C60686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94.377</w:t>
            </w:r>
          </w:p>
        </w:tc>
        <w:tc>
          <w:tcPr>
            <w:tcW w:w="1290" w:type="dxa"/>
            <w:vAlign w:val="center"/>
          </w:tcPr>
          <w:p w14:paraId="2268A2AB">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p>
        </w:tc>
        <w:tc>
          <w:tcPr>
            <w:tcW w:w="1530" w:type="dxa"/>
            <w:vAlign w:val="center"/>
          </w:tcPr>
          <w:p w14:paraId="429D6971">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w:t>
            </w:r>
          </w:p>
        </w:tc>
        <w:tc>
          <w:tcPr>
            <w:tcW w:w="1815" w:type="dxa"/>
            <w:vAlign w:val="center"/>
          </w:tcPr>
          <w:p w14:paraId="580CB877">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42.167</w:t>
            </w:r>
          </w:p>
        </w:tc>
        <w:tc>
          <w:tcPr>
            <w:tcW w:w="1770" w:type="dxa"/>
            <w:vAlign w:val="center"/>
          </w:tcPr>
          <w:p w14:paraId="46032E31">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94.377</w:t>
            </w:r>
          </w:p>
        </w:tc>
        <w:tc>
          <w:tcPr>
            <w:tcW w:w="1755" w:type="dxa"/>
            <w:vAlign w:val="center"/>
          </w:tcPr>
          <w:p w14:paraId="5C871733">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42.167</w:t>
            </w:r>
          </w:p>
        </w:tc>
        <w:tc>
          <w:tcPr>
            <w:tcW w:w="1246" w:type="dxa"/>
            <w:vAlign w:val="center"/>
          </w:tcPr>
          <w:p w14:paraId="1AFC5787">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eastAsia="宋体" w:cs="宋体"/>
                <w:snapToGrid w:val="0"/>
                <w:color w:val="auto"/>
                <w:kern w:val="21"/>
                <w:sz w:val="20"/>
                <w:szCs w:val="21"/>
                <w:highlight w:val="none"/>
                <w:lang w:val="en-US" w:eastAsia="zh-CN" w:bidi="ar-SA"/>
              </w:rPr>
              <w:t>-52.21</w:t>
            </w:r>
          </w:p>
        </w:tc>
      </w:tr>
      <w:tr w14:paraId="23EE2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45" w:type="dxa"/>
            <w:vMerge w:val="continue"/>
            <w:vAlign w:val="center"/>
          </w:tcPr>
          <w:p w14:paraId="68313999">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4C84C315">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hAnsi="宋体" w:cs="宋体"/>
                <w:snapToGrid w:val="0"/>
                <w:color w:val="auto"/>
                <w:kern w:val="21"/>
                <w:sz w:val="20"/>
                <w:szCs w:val="21"/>
                <w:highlight w:val="none"/>
                <w:lang w:val="en-US" w:eastAsia="zh-CN" w:bidi="ar-SA"/>
              </w:rPr>
            </w:pPr>
            <w:r>
              <w:rPr>
                <w:rFonts w:hint="eastAsia" w:hAnsi="宋体" w:cs="宋体"/>
                <w:snapToGrid w:val="0"/>
                <w:color w:val="auto"/>
                <w:kern w:val="21"/>
                <w:sz w:val="20"/>
                <w:szCs w:val="21"/>
                <w:highlight w:val="none"/>
                <w:lang w:val="en-US" w:eastAsia="zh-CN" w:bidi="ar-SA"/>
              </w:rPr>
              <w:t>氨</w:t>
            </w:r>
          </w:p>
        </w:tc>
        <w:tc>
          <w:tcPr>
            <w:tcW w:w="1616" w:type="dxa"/>
            <w:vAlign w:val="center"/>
          </w:tcPr>
          <w:p w14:paraId="75E7F49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0</w:t>
            </w:r>
          </w:p>
        </w:tc>
        <w:tc>
          <w:tcPr>
            <w:tcW w:w="1290" w:type="dxa"/>
            <w:vAlign w:val="center"/>
          </w:tcPr>
          <w:p w14:paraId="29FA36B6">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w:t>
            </w:r>
          </w:p>
        </w:tc>
        <w:tc>
          <w:tcPr>
            <w:tcW w:w="1530" w:type="dxa"/>
            <w:vAlign w:val="center"/>
          </w:tcPr>
          <w:p w14:paraId="0C9D6222">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w:t>
            </w:r>
          </w:p>
        </w:tc>
        <w:tc>
          <w:tcPr>
            <w:tcW w:w="1815" w:type="dxa"/>
            <w:vAlign w:val="center"/>
          </w:tcPr>
          <w:p w14:paraId="1660CA3A">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5.544</w:t>
            </w:r>
          </w:p>
        </w:tc>
        <w:tc>
          <w:tcPr>
            <w:tcW w:w="1770" w:type="dxa"/>
            <w:vAlign w:val="center"/>
          </w:tcPr>
          <w:p w14:paraId="41DA3869">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0</w:t>
            </w:r>
          </w:p>
        </w:tc>
        <w:tc>
          <w:tcPr>
            <w:tcW w:w="1755" w:type="dxa"/>
            <w:vAlign w:val="center"/>
          </w:tcPr>
          <w:p w14:paraId="0FCCD912">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5.544</w:t>
            </w:r>
          </w:p>
        </w:tc>
        <w:tc>
          <w:tcPr>
            <w:tcW w:w="1246" w:type="dxa"/>
            <w:vAlign w:val="center"/>
          </w:tcPr>
          <w:p w14:paraId="58340818">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eastAsia="宋体" w:cs="宋体"/>
                <w:snapToGrid w:val="0"/>
                <w:color w:val="auto"/>
                <w:kern w:val="21"/>
                <w:sz w:val="18"/>
                <w:szCs w:val="18"/>
                <w:highlight w:val="none"/>
                <w:lang w:val="en-US" w:eastAsia="zh-CN" w:bidi="ar-SA"/>
              </w:rPr>
              <w:t>+5.544</w:t>
            </w:r>
          </w:p>
        </w:tc>
      </w:tr>
      <w:tr w14:paraId="58BA6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245" w:type="dxa"/>
            <w:vMerge w:val="restart"/>
            <w:vAlign w:val="center"/>
          </w:tcPr>
          <w:p w14:paraId="58B23514">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r>
              <w:rPr>
                <w:rFonts w:hint="eastAsia" w:ascii="黑体" w:hAnsi="黑体" w:eastAsia="黑体" w:cs="Times New Roman"/>
                <w:snapToGrid w:val="0"/>
                <w:color w:val="auto"/>
                <w:spacing w:val="-6"/>
                <w:kern w:val="21"/>
                <w:sz w:val="20"/>
                <w:szCs w:val="21"/>
                <w:highlight w:val="none"/>
              </w:rPr>
              <w:t>废水</w:t>
            </w:r>
          </w:p>
        </w:tc>
        <w:tc>
          <w:tcPr>
            <w:tcW w:w="1521" w:type="dxa"/>
            <w:vAlign w:val="center"/>
          </w:tcPr>
          <w:p w14:paraId="5614FCBE">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20"/>
                <w:szCs w:val="21"/>
                <w:highlight w:val="none"/>
                <w:lang w:val="en-US" w:eastAsia="zh-CN" w:bidi="ar-SA"/>
              </w:rPr>
            </w:pPr>
            <w:r>
              <w:rPr>
                <w:rFonts w:hint="eastAsia" w:ascii="Times New Roman" w:hAnsi="宋体" w:cs="宋体"/>
                <w:snapToGrid w:val="0"/>
                <w:color w:val="auto"/>
                <w:kern w:val="21"/>
                <w:sz w:val="20"/>
                <w:szCs w:val="21"/>
                <w:highlight w:val="none"/>
                <w:lang w:val="en-US" w:eastAsia="zh-CN"/>
              </w:rPr>
              <w:t>/</w:t>
            </w:r>
          </w:p>
        </w:tc>
        <w:tc>
          <w:tcPr>
            <w:tcW w:w="1616" w:type="dxa"/>
            <w:vAlign w:val="center"/>
          </w:tcPr>
          <w:p w14:paraId="13EFD63B">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290" w:type="dxa"/>
            <w:vAlign w:val="center"/>
          </w:tcPr>
          <w:p w14:paraId="0071EA5B">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cs="宋体"/>
                <w:snapToGrid w:val="0"/>
                <w:color w:val="auto"/>
                <w:kern w:val="21"/>
                <w:sz w:val="18"/>
                <w:szCs w:val="18"/>
                <w:highlight w:val="none"/>
              </w:rPr>
            </w:pPr>
            <w:r>
              <w:rPr>
                <w:rFonts w:hint="eastAsia" w:ascii="Times New Roman" w:hAnsi="宋体" w:cs="宋体"/>
                <w:snapToGrid w:val="0"/>
                <w:color w:val="auto"/>
                <w:kern w:val="21"/>
                <w:sz w:val="18"/>
                <w:szCs w:val="18"/>
                <w:highlight w:val="none"/>
                <w:lang w:val="en-US" w:eastAsia="zh-CN"/>
              </w:rPr>
              <w:t>/</w:t>
            </w:r>
          </w:p>
        </w:tc>
        <w:tc>
          <w:tcPr>
            <w:tcW w:w="1530" w:type="dxa"/>
            <w:vAlign w:val="center"/>
          </w:tcPr>
          <w:p w14:paraId="27351297">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815" w:type="dxa"/>
            <w:vAlign w:val="center"/>
          </w:tcPr>
          <w:p w14:paraId="76964FBB">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w:t>
            </w:r>
          </w:p>
        </w:tc>
        <w:tc>
          <w:tcPr>
            <w:tcW w:w="1770" w:type="dxa"/>
            <w:vAlign w:val="center"/>
          </w:tcPr>
          <w:p w14:paraId="07B5396F">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Times New Roman" w:hAnsi="宋体" w:eastAsia="宋体" w:cs="宋体"/>
                <w:snapToGrid w:val="0"/>
                <w:color w:val="auto"/>
                <w:kern w:val="21"/>
                <w:sz w:val="18"/>
                <w:szCs w:val="18"/>
                <w:highlight w:val="none"/>
                <w:lang w:val="en-US" w:eastAsia="zh-CN"/>
              </w:rPr>
            </w:pPr>
            <w:r>
              <w:rPr>
                <w:rFonts w:hint="eastAsia" w:ascii="Times New Roman" w:hAnsi="宋体" w:cs="宋体"/>
                <w:snapToGrid w:val="0"/>
                <w:color w:val="auto"/>
                <w:kern w:val="21"/>
                <w:sz w:val="18"/>
                <w:szCs w:val="18"/>
                <w:highlight w:val="none"/>
                <w:lang w:val="en-US" w:eastAsia="zh-CN"/>
              </w:rPr>
              <w:t>/</w:t>
            </w:r>
          </w:p>
        </w:tc>
        <w:tc>
          <w:tcPr>
            <w:tcW w:w="1755" w:type="dxa"/>
            <w:vAlign w:val="center"/>
          </w:tcPr>
          <w:p w14:paraId="2A181D66">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246" w:type="dxa"/>
            <w:vAlign w:val="center"/>
          </w:tcPr>
          <w:p w14:paraId="2C37F019">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p>
        </w:tc>
      </w:tr>
      <w:tr w14:paraId="5C9F0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245" w:type="dxa"/>
            <w:vMerge w:val="continue"/>
            <w:vAlign w:val="center"/>
          </w:tcPr>
          <w:p w14:paraId="77B82DD9">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70F46FB8">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20"/>
                <w:szCs w:val="21"/>
                <w:highlight w:val="none"/>
                <w:lang w:val="en-US" w:eastAsia="zh-CN" w:bidi="ar-SA"/>
              </w:rPr>
            </w:pPr>
            <w:r>
              <w:rPr>
                <w:rFonts w:hint="eastAsia" w:ascii="Times New Roman" w:hAnsi="宋体" w:cs="宋体"/>
                <w:snapToGrid w:val="0"/>
                <w:color w:val="auto"/>
                <w:kern w:val="21"/>
                <w:sz w:val="20"/>
                <w:szCs w:val="21"/>
                <w:highlight w:val="none"/>
                <w:lang w:val="en-US" w:eastAsia="zh-CN"/>
              </w:rPr>
              <w:t>/</w:t>
            </w:r>
          </w:p>
        </w:tc>
        <w:tc>
          <w:tcPr>
            <w:tcW w:w="1616" w:type="dxa"/>
            <w:vAlign w:val="center"/>
          </w:tcPr>
          <w:p w14:paraId="459EB3FC">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290" w:type="dxa"/>
            <w:vAlign w:val="center"/>
          </w:tcPr>
          <w:p w14:paraId="31F3619A">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cs="宋体"/>
                <w:snapToGrid w:val="0"/>
                <w:color w:val="auto"/>
                <w:kern w:val="21"/>
                <w:sz w:val="18"/>
                <w:szCs w:val="18"/>
                <w:highlight w:val="none"/>
                <w:lang w:val="en-US" w:eastAsia="zh-CN"/>
              </w:rPr>
            </w:pPr>
            <w:r>
              <w:rPr>
                <w:rFonts w:hint="eastAsia" w:ascii="Times New Roman" w:hAnsi="宋体" w:cs="宋体"/>
                <w:snapToGrid w:val="0"/>
                <w:color w:val="auto"/>
                <w:kern w:val="21"/>
                <w:sz w:val="18"/>
                <w:szCs w:val="18"/>
                <w:highlight w:val="none"/>
                <w:lang w:val="en-US" w:eastAsia="zh-CN"/>
              </w:rPr>
              <w:t>/</w:t>
            </w:r>
          </w:p>
        </w:tc>
        <w:tc>
          <w:tcPr>
            <w:tcW w:w="1530" w:type="dxa"/>
            <w:vAlign w:val="center"/>
          </w:tcPr>
          <w:p w14:paraId="5CA071C7">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815" w:type="dxa"/>
            <w:vAlign w:val="center"/>
          </w:tcPr>
          <w:p w14:paraId="493CCB49">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770" w:type="dxa"/>
            <w:vAlign w:val="center"/>
          </w:tcPr>
          <w:p w14:paraId="44765434">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default" w:ascii="Times New Roman" w:hAnsi="宋体" w:cs="宋体"/>
                <w:snapToGrid w:val="0"/>
                <w:color w:val="auto"/>
                <w:kern w:val="21"/>
                <w:sz w:val="18"/>
                <w:szCs w:val="18"/>
                <w:highlight w:val="none"/>
                <w:lang w:val="en-US" w:eastAsia="zh-CN"/>
              </w:rPr>
            </w:pPr>
            <w:r>
              <w:rPr>
                <w:rFonts w:hint="eastAsia" w:ascii="Times New Roman" w:hAnsi="宋体" w:cs="宋体"/>
                <w:snapToGrid w:val="0"/>
                <w:color w:val="auto"/>
                <w:kern w:val="21"/>
                <w:sz w:val="18"/>
                <w:szCs w:val="18"/>
                <w:highlight w:val="none"/>
                <w:lang w:val="en-US" w:eastAsia="zh-CN"/>
              </w:rPr>
              <w:t>/</w:t>
            </w:r>
          </w:p>
        </w:tc>
        <w:tc>
          <w:tcPr>
            <w:tcW w:w="1755" w:type="dxa"/>
            <w:vAlign w:val="center"/>
          </w:tcPr>
          <w:p w14:paraId="746924FB">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246" w:type="dxa"/>
            <w:vAlign w:val="center"/>
          </w:tcPr>
          <w:p w14:paraId="76604E17">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p>
        </w:tc>
      </w:tr>
      <w:tr w14:paraId="19F8F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245" w:type="dxa"/>
            <w:vMerge w:val="restart"/>
            <w:vAlign w:val="center"/>
          </w:tcPr>
          <w:p w14:paraId="45483CCB">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default" w:ascii="黑体" w:hAnsi="黑体" w:eastAsia="黑体" w:cs="Times New Roman"/>
                <w:snapToGrid w:val="0"/>
                <w:color w:val="auto"/>
                <w:spacing w:val="-6"/>
                <w:kern w:val="21"/>
                <w:sz w:val="20"/>
                <w:szCs w:val="21"/>
                <w:highlight w:val="none"/>
              </w:rPr>
            </w:pPr>
            <w:r>
              <w:rPr>
                <w:rFonts w:hint="eastAsia" w:ascii="黑体" w:hAnsi="黑体" w:eastAsia="黑体" w:cs="Times New Roman"/>
                <w:snapToGrid w:val="0"/>
                <w:color w:val="auto"/>
                <w:spacing w:val="-6"/>
                <w:kern w:val="21"/>
                <w:sz w:val="20"/>
                <w:szCs w:val="21"/>
                <w:highlight w:val="none"/>
              </w:rPr>
              <w:t>一般工业</w:t>
            </w:r>
          </w:p>
          <w:p w14:paraId="17089E7E">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r>
              <w:rPr>
                <w:rFonts w:hint="eastAsia" w:ascii="黑体" w:hAnsi="黑体" w:eastAsia="黑体" w:cs="Times New Roman"/>
                <w:snapToGrid w:val="0"/>
                <w:color w:val="auto"/>
                <w:spacing w:val="-6"/>
                <w:kern w:val="21"/>
                <w:sz w:val="20"/>
                <w:szCs w:val="21"/>
                <w:highlight w:val="none"/>
              </w:rPr>
              <w:t>固体废物</w:t>
            </w:r>
          </w:p>
        </w:tc>
        <w:tc>
          <w:tcPr>
            <w:tcW w:w="1521" w:type="dxa"/>
            <w:vAlign w:val="center"/>
          </w:tcPr>
          <w:p w14:paraId="07846E02">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rPr>
            </w:pPr>
            <w:r>
              <w:rPr>
                <w:rFonts w:hint="eastAsia"/>
                <w:color w:val="auto"/>
                <w:highlight w:val="none"/>
                <w:lang w:val="en-US" w:eastAsia="zh-CN"/>
              </w:rPr>
              <w:t>废过滤介质</w:t>
            </w:r>
          </w:p>
        </w:tc>
        <w:tc>
          <w:tcPr>
            <w:tcW w:w="1616" w:type="dxa"/>
            <w:vAlign w:val="center"/>
          </w:tcPr>
          <w:p w14:paraId="2C874B8A">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w:t>
            </w:r>
          </w:p>
        </w:tc>
        <w:tc>
          <w:tcPr>
            <w:tcW w:w="1290" w:type="dxa"/>
            <w:vAlign w:val="center"/>
          </w:tcPr>
          <w:p w14:paraId="770DA343">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cs="宋体" w:eastAsiaTheme="minorEastAsia"/>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530" w:type="dxa"/>
            <w:vAlign w:val="center"/>
          </w:tcPr>
          <w:p w14:paraId="6E87382D">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815" w:type="dxa"/>
            <w:vAlign w:val="center"/>
          </w:tcPr>
          <w:p w14:paraId="54097E4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1.5</w:t>
            </w:r>
          </w:p>
        </w:tc>
        <w:tc>
          <w:tcPr>
            <w:tcW w:w="1770" w:type="dxa"/>
            <w:vAlign w:val="center"/>
          </w:tcPr>
          <w:p w14:paraId="35E38FF6">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宋体" w:cs="宋体" w:eastAsiaTheme="minorEastAsia"/>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w:t>
            </w:r>
          </w:p>
        </w:tc>
        <w:tc>
          <w:tcPr>
            <w:tcW w:w="1755" w:type="dxa"/>
            <w:vAlign w:val="center"/>
          </w:tcPr>
          <w:p w14:paraId="4C35AA66">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1.5</w:t>
            </w:r>
          </w:p>
        </w:tc>
        <w:tc>
          <w:tcPr>
            <w:tcW w:w="1246" w:type="dxa"/>
            <w:vAlign w:val="center"/>
          </w:tcPr>
          <w:p w14:paraId="723C9249">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0.5</w:t>
            </w:r>
          </w:p>
        </w:tc>
      </w:tr>
      <w:tr w14:paraId="555C1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45" w:type="dxa"/>
            <w:vMerge w:val="continue"/>
            <w:vAlign w:val="center"/>
          </w:tcPr>
          <w:p w14:paraId="77D98CE2">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7F9DF1BC">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20"/>
                <w:szCs w:val="21"/>
                <w:highlight w:val="none"/>
                <w:lang w:val="en-US" w:eastAsia="zh-CN" w:bidi="ar-SA"/>
              </w:rPr>
            </w:pPr>
            <w:r>
              <w:rPr>
                <w:rFonts w:hint="eastAsia"/>
                <w:color w:val="auto"/>
                <w:highlight w:val="none"/>
                <w:lang w:val="en-US" w:eastAsia="zh-CN"/>
              </w:rPr>
              <w:t>废树脂</w:t>
            </w:r>
          </w:p>
        </w:tc>
        <w:tc>
          <w:tcPr>
            <w:tcW w:w="1616" w:type="dxa"/>
            <w:vAlign w:val="center"/>
          </w:tcPr>
          <w:p w14:paraId="31D4401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0.2</w:t>
            </w:r>
          </w:p>
        </w:tc>
        <w:tc>
          <w:tcPr>
            <w:tcW w:w="1290" w:type="dxa"/>
            <w:vAlign w:val="center"/>
          </w:tcPr>
          <w:p w14:paraId="25032F0C">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530" w:type="dxa"/>
            <w:vAlign w:val="center"/>
          </w:tcPr>
          <w:p w14:paraId="10F911F0">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815" w:type="dxa"/>
            <w:vAlign w:val="center"/>
          </w:tcPr>
          <w:p w14:paraId="33F4A81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1.2</w:t>
            </w:r>
          </w:p>
        </w:tc>
        <w:tc>
          <w:tcPr>
            <w:tcW w:w="1770" w:type="dxa"/>
            <w:vAlign w:val="center"/>
          </w:tcPr>
          <w:p w14:paraId="103A060B">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0.2</w:t>
            </w:r>
          </w:p>
        </w:tc>
        <w:tc>
          <w:tcPr>
            <w:tcW w:w="1755" w:type="dxa"/>
            <w:vAlign w:val="center"/>
          </w:tcPr>
          <w:p w14:paraId="33B4CF8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1.2</w:t>
            </w:r>
          </w:p>
        </w:tc>
        <w:tc>
          <w:tcPr>
            <w:tcW w:w="1246" w:type="dxa"/>
            <w:vAlign w:val="center"/>
          </w:tcPr>
          <w:p w14:paraId="32C51CF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1.0</w:t>
            </w:r>
          </w:p>
        </w:tc>
      </w:tr>
      <w:tr w14:paraId="4C273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45" w:type="dxa"/>
            <w:vMerge w:val="continue"/>
            <w:vAlign w:val="center"/>
          </w:tcPr>
          <w:p w14:paraId="7BAD537E">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p>
        </w:tc>
        <w:tc>
          <w:tcPr>
            <w:tcW w:w="1521" w:type="dxa"/>
            <w:vAlign w:val="center"/>
          </w:tcPr>
          <w:p w14:paraId="7C021236">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20"/>
                <w:szCs w:val="21"/>
                <w:highlight w:val="none"/>
                <w:lang w:val="en-US" w:eastAsia="zh-CN"/>
              </w:rPr>
            </w:pPr>
            <w:r>
              <w:rPr>
                <w:rFonts w:hint="eastAsia"/>
                <w:color w:val="auto"/>
                <w:highlight w:val="none"/>
                <w:lang w:val="en-US" w:eastAsia="zh-CN"/>
              </w:rPr>
              <w:t>脱硫灰</w:t>
            </w:r>
          </w:p>
        </w:tc>
        <w:tc>
          <w:tcPr>
            <w:tcW w:w="1616" w:type="dxa"/>
            <w:vAlign w:val="center"/>
          </w:tcPr>
          <w:p w14:paraId="363B5D26">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cs="Times New Roman"/>
                <w:color w:val="auto"/>
                <w:kern w:val="0"/>
                <w:sz w:val="18"/>
                <w:szCs w:val="18"/>
                <w:vertAlign w:val="baseline"/>
                <w:lang w:val="en-US" w:eastAsia="zh-CN"/>
              </w:rPr>
              <w:t>0</w:t>
            </w:r>
          </w:p>
        </w:tc>
        <w:tc>
          <w:tcPr>
            <w:tcW w:w="1290" w:type="dxa"/>
            <w:vAlign w:val="center"/>
          </w:tcPr>
          <w:p w14:paraId="311FADCB">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530" w:type="dxa"/>
            <w:vAlign w:val="center"/>
          </w:tcPr>
          <w:p w14:paraId="5F6404F3">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815" w:type="dxa"/>
            <w:vAlign w:val="center"/>
          </w:tcPr>
          <w:p w14:paraId="36A78972">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1129.93</w:t>
            </w:r>
          </w:p>
        </w:tc>
        <w:tc>
          <w:tcPr>
            <w:tcW w:w="1770" w:type="dxa"/>
            <w:vAlign w:val="center"/>
          </w:tcPr>
          <w:p w14:paraId="083B089F">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18"/>
                <w:szCs w:val="18"/>
                <w:highlight w:val="none"/>
                <w:lang w:val="en-US" w:eastAsia="zh-CN"/>
              </w:rPr>
            </w:pPr>
            <w:r>
              <w:rPr>
                <w:rFonts w:hint="eastAsia" w:cs="Times New Roman"/>
                <w:color w:val="auto"/>
                <w:kern w:val="0"/>
                <w:sz w:val="18"/>
                <w:szCs w:val="18"/>
                <w:vertAlign w:val="baseline"/>
                <w:lang w:val="en-US" w:eastAsia="zh-CN"/>
              </w:rPr>
              <w:t>0</w:t>
            </w:r>
          </w:p>
        </w:tc>
        <w:tc>
          <w:tcPr>
            <w:tcW w:w="1755" w:type="dxa"/>
            <w:vAlign w:val="center"/>
          </w:tcPr>
          <w:p w14:paraId="5739B0A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rPr>
              <w:t>0</w:t>
            </w:r>
          </w:p>
        </w:tc>
        <w:tc>
          <w:tcPr>
            <w:tcW w:w="1246" w:type="dxa"/>
            <w:vAlign w:val="center"/>
          </w:tcPr>
          <w:p w14:paraId="21834D7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cs="Times New Roman"/>
                <w:color w:val="auto"/>
                <w:kern w:val="0"/>
                <w:sz w:val="18"/>
                <w:szCs w:val="18"/>
                <w:vertAlign w:val="baseline"/>
                <w:lang w:val="en-US" w:eastAsia="zh-CN"/>
              </w:rPr>
              <w:t>1129.93</w:t>
            </w:r>
          </w:p>
        </w:tc>
      </w:tr>
      <w:tr w14:paraId="3F4A0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5" w:type="dxa"/>
            <w:vMerge w:val="restart"/>
            <w:vAlign w:val="center"/>
          </w:tcPr>
          <w:p w14:paraId="67FB6DF2">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center"/>
              <w:textAlignment w:val="auto"/>
              <w:rPr>
                <w:rFonts w:hint="eastAsia" w:ascii="黑体" w:hAnsi="黑体" w:eastAsia="黑体" w:cs="Times New Roman"/>
                <w:snapToGrid w:val="0"/>
                <w:color w:val="auto"/>
                <w:spacing w:val="-6"/>
                <w:kern w:val="21"/>
                <w:sz w:val="20"/>
                <w:szCs w:val="21"/>
                <w:highlight w:val="none"/>
              </w:rPr>
            </w:pPr>
            <w:r>
              <w:rPr>
                <w:rFonts w:hint="eastAsia" w:ascii="黑体" w:hAnsi="黑体" w:eastAsia="黑体" w:cs="Times New Roman"/>
                <w:snapToGrid w:val="0"/>
                <w:color w:val="auto"/>
                <w:spacing w:val="-6"/>
                <w:kern w:val="21"/>
                <w:sz w:val="20"/>
                <w:szCs w:val="21"/>
                <w:highlight w:val="none"/>
              </w:rPr>
              <w:t>危险废物</w:t>
            </w:r>
          </w:p>
        </w:tc>
        <w:tc>
          <w:tcPr>
            <w:tcW w:w="1521" w:type="dxa"/>
            <w:vAlign w:val="center"/>
          </w:tcPr>
          <w:p w14:paraId="434E86D1">
            <w:pPr>
              <w:pStyle w:val="29"/>
              <w:keepNext w:val="0"/>
              <w:keepLines w:val="0"/>
              <w:suppressLineNumbers w:val="0"/>
              <w:spacing w:before="0" w:beforeAutospacing="0" w:after="0" w:afterAutospacing="0"/>
              <w:ind w:left="0" w:leftChars="0" w:right="0" w:rightChars="0" w:firstLine="0" w:firstLineChars="0"/>
              <w:jc w:val="center"/>
              <w:rPr>
                <w:rFonts w:hint="eastAsia" w:ascii="Times New Roman" w:hAnsi="宋体" w:eastAsia="宋体" w:cs="宋体"/>
                <w:snapToGrid w:val="0"/>
                <w:color w:val="auto"/>
                <w:kern w:val="21"/>
                <w:sz w:val="20"/>
                <w:szCs w:val="21"/>
                <w:highlight w:val="none"/>
                <w:lang w:val="en-US" w:eastAsia="zh-CN" w:bidi="ar-SA"/>
              </w:rPr>
            </w:pPr>
            <w:r>
              <w:rPr>
                <w:rFonts w:hint="eastAsia"/>
                <w:color w:val="auto"/>
                <w:highlight w:val="none"/>
                <w:lang w:val="en-US" w:eastAsia="zh-CN"/>
              </w:rPr>
              <w:t>废乳化油</w:t>
            </w:r>
          </w:p>
        </w:tc>
        <w:tc>
          <w:tcPr>
            <w:tcW w:w="1616" w:type="dxa"/>
            <w:vAlign w:val="center"/>
          </w:tcPr>
          <w:p w14:paraId="23F79366">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0</w:t>
            </w:r>
          </w:p>
        </w:tc>
        <w:tc>
          <w:tcPr>
            <w:tcW w:w="1290" w:type="dxa"/>
            <w:vAlign w:val="center"/>
          </w:tcPr>
          <w:p w14:paraId="0915A22F">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530" w:type="dxa"/>
            <w:vAlign w:val="center"/>
          </w:tcPr>
          <w:p w14:paraId="086761AF">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宋体"/>
                <w:snapToGrid w:val="0"/>
                <w:color w:val="auto"/>
                <w:kern w:val="21"/>
                <w:sz w:val="18"/>
                <w:szCs w:val="18"/>
                <w:highlight w:val="none"/>
                <w:lang w:val="en-US" w:eastAsia="zh-CN" w:bidi="ar-SA"/>
              </w:rPr>
            </w:pPr>
            <w:r>
              <w:rPr>
                <w:rFonts w:hint="eastAsia" w:ascii="Times New Roman" w:hAnsi="宋体" w:cs="宋体"/>
                <w:snapToGrid w:val="0"/>
                <w:color w:val="auto"/>
                <w:kern w:val="21"/>
                <w:sz w:val="18"/>
                <w:szCs w:val="18"/>
                <w:highlight w:val="none"/>
                <w:lang w:val="en-US" w:eastAsia="zh-CN"/>
              </w:rPr>
              <w:t>/</w:t>
            </w:r>
          </w:p>
        </w:tc>
        <w:tc>
          <w:tcPr>
            <w:tcW w:w="1815" w:type="dxa"/>
            <w:vAlign w:val="center"/>
          </w:tcPr>
          <w:p w14:paraId="57E86244">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2.0</w:t>
            </w:r>
          </w:p>
        </w:tc>
        <w:tc>
          <w:tcPr>
            <w:tcW w:w="1770" w:type="dxa"/>
            <w:vAlign w:val="center"/>
          </w:tcPr>
          <w:p w14:paraId="2DDB1C0F">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0</w:t>
            </w:r>
          </w:p>
        </w:tc>
        <w:tc>
          <w:tcPr>
            <w:tcW w:w="1755" w:type="dxa"/>
            <w:vAlign w:val="center"/>
          </w:tcPr>
          <w:p w14:paraId="15B02DE8">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2.0</w:t>
            </w:r>
          </w:p>
        </w:tc>
        <w:tc>
          <w:tcPr>
            <w:tcW w:w="1246" w:type="dxa"/>
            <w:vAlign w:val="center"/>
          </w:tcPr>
          <w:p w14:paraId="38F441F4">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eastAsia="宋体" w:cs="宋体"/>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bidi="ar-SA"/>
              </w:rPr>
              <w:t>2.0</w:t>
            </w:r>
          </w:p>
        </w:tc>
      </w:tr>
      <w:tr w14:paraId="328C8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45" w:type="dxa"/>
            <w:vMerge w:val="continue"/>
            <w:vAlign w:val="center"/>
          </w:tcPr>
          <w:p w14:paraId="5D56BC64">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Times New Roman" w:hAnsi="宋体" w:cs="宋体"/>
                <w:snapToGrid w:val="0"/>
                <w:color w:val="auto"/>
                <w:kern w:val="21"/>
                <w:sz w:val="20"/>
                <w:szCs w:val="21"/>
                <w:highlight w:val="none"/>
              </w:rPr>
            </w:pPr>
          </w:p>
        </w:tc>
        <w:tc>
          <w:tcPr>
            <w:tcW w:w="1521" w:type="dxa"/>
            <w:vAlign w:val="center"/>
          </w:tcPr>
          <w:p w14:paraId="417DF77C">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20"/>
                <w:szCs w:val="21"/>
                <w:highlight w:val="none"/>
                <w:lang w:val="en-US" w:eastAsia="zh-CN"/>
              </w:rPr>
            </w:pPr>
            <w:r>
              <w:rPr>
                <w:rFonts w:hint="eastAsia"/>
                <w:color w:val="auto"/>
                <w:highlight w:val="none"/>
                <w:lang w:val="en-US" w:eastAsia="zh-CN"/>
              </w:rPr>
              <w:t>废润滑油</w:t>
            </w:r>
          </w:p>
        </w:tc>
        <w:tc>
          <w:tcPr>
            <w:tcW w:w="1616" w:type="dxa"/>
            <w:vAlign w:val="center"/>
          </w:tcPr>
          <w:p w14:paraId="1D436FA5">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0.03</w:t>
            </w:r>
          </w:p>
        </w:tc>
        <w:tc>
          <w:tcPr>
            <w:tcW w:w="1290" w:type="dxa"/>
            <w:vAlign w:val="center"/>
          </w:tcPr>
          <w:p w14:paraId="0227AEB9">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w:t>
            </w:r>
          </w:p>
        </w:tc>
        <w:tc>
          <w:tcPr>
            <w:tcW w:w="1530" w:type="dxa"/>
            <w:vAlign w:val="center"/>
          </w:tcPr>
          <w:p w14:paraId="6BFBA20E">
            <w:pPr>
              <w:keepNext w:val="0"/>
              <w:keepLines w:val="0"/>
              <w:widowControl w:val="0"/>
              <w:suppressLineNumbers w:val="0"/>
              <w:wordWrap/>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w:t>
            </w:r>
          </w:p>
        </w:tc>
        <w:tc>
          <w:tcPr>
            <w:tcW w:w="1815" w:type="dxa"/>
            <w:vAlign w:val="center"/>
          </w:tcPr>
          <w:p w14:paraId="0CD6AA63">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0.45</w:t>
            </w:r>
          </w:p>
        </w:tc>
        <w:tc>
          <w:tcPr>
            <w:tcW w:w="1770" w:type="dxa"/>
            <w:vAlign w:val="center"/>
          </w:tcPr>
          <w:p w14:paraId="5322A7F3">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0.03</w:t>
            </w:r>
          </w:p>
        </w:tc>
        <w:tc>
          <w:tcPr>
            <w:tcW w:w="1755" w:type="dxa"/>
            <w:vAlign w:val="center"/>
          </w:tcPr>
          <w:p w14:paraId="5E6162CF">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eastAsiaTheme="minorEastAsia"/>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rPr>
              <w:t>0.45</w:t>
            </w:r>
          </w:p>
        </w:tc>
        <w:tc>
          <w:tcPr>
            <w:tcW w:w="1246" w:type="dxa"/>
            <w:vAlign w:val="center"/>
          </w:tcPr>
          <w:p w14:paraId="1C7EB9E2">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宋体" w:cs="宋体" w:eastAsiaTheme="minorEastAsia"/>
                <w:snapToGrid w:val="0"/>
                <w:color w:val="auto"/>
                <w:kern w:val="21"/>
                <w:sz w:val="18"/>
                <w:szCs w:val="18"/>
                <w:highlight w:val="none"/>
                <w:lang w:val="en-US" w:eastAsia="zh-CN" w:bidi="ar-SA"/>
              </w:rPr>
            </w:pPr>
            <w:r>
              <w:rPr>
                <w:rFonts w:hint="eastAsia" w:hAnsi="宋体" w:cs="宋体" w:eastAsiaTheme="minorEastAsia"/>
                <w:snapToGrid w:val="0"/>
                <w:color w:val="auto"/>
                <w:kern w:val="21"/>
                <w:sz w:val="18"/>
                <w:szCs w:val="18"/>
                <w:highlight w:val="none"/>
                <w:lang w:val="en-US" w:eastAsia="zh-CN" w:bidi="ar-SA"/>
              </w:rPr>
              <w:t>0.42</w:t>
            </w:r>
          </w:p>
        </w:tc>
      </w:tr>
      <w:tr w14:paraId="10A24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45" w:type="dxa"/>
            <w:vMerge w:val="continue"/>
            <w:vAlign w:val="center"/>
          </w:tcPr>
          <w:p w14:paraId="7486F3B6">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Times New Roman" w:hAnsi="宋体" w:cs="宋体"/>
                <w:snapToGrid w:val="0"/>
                <w:color w:val="auto"/>
                <w:kern w:val="21"/>
                <w:sz w:val="20"/>
                <w:szCs w:val="21"/>
                <w:highlight w:val="none"/>
              </w:rPr>
            </w:pPr>
          </w:p>
        </w:tc>
        <w:tc>
          <w:tcPr>
            <w:tcW w:w="1521" w:type="dxa"/>
            <w:vAlign w:val="center"/>
          </w:tcPr>
          <w:p w14:paraId="1876B89C">
            <w:pPr>
              <w:pStyle w:val="29"/>
              <w:keepNext w:val="0"/>
              <w:keepLines w:val="0"/>
              <w:suppressLineNumbers w:val="0"/>
              <w:spacing w:before="0" w:beforeAutospacing="0" w:after="0" w:afterAutospacing="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危化品包装桶</w:t>
            </w:r>
          </w:p>
        </w:tc>
        <w:tc>
          <w:tcPr>
            <w:tcW w:w="1616" w:type="dxa"/>
            <w:vAlign w:val="center"/>
          </w:tcPr>
          <w:p w14:paraId="63B169D8">
            <w:pPr>
              <w:pStyle w:val="29"/>
              <w:keepNext w:val="0"/>
              <w:keepLines w:val="0"/>
              <w:suppressLineNumbers w:val="0"/>
              <w:spacing w:before="0" w:beforeAutospacing="0" w:after="0" w:afterAutospacing="0"/>
              <w:ind w:left="0" w:leftChars="0" w:right="0" w:rightChars="0" w:firstLine="0" w:firstLineChars="0"/>
              <w:jc w:val="center"/>
              <w:rPr>
                <w:rFonts w:hint="default"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0.01</w:t>
            </w:r>
          </w:p>
        </w:tc>
        <w:tc>
          <w:tcPr>
            <w:tcW w:w="1290" w:type="dxa"/>
            <w:vAlign w:val="center"/>
          </w:tcPr>
          <w:p w14:paraId="7150D2B6">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hAnsi="宋体" w:cs="宋体"/>
                <w:snapToGrid w:val="0"/>
                <w:color w:val="auto"/>
                <w:kern w:val="21"/>
                <w:sz w:val="18"/>
                <w:szCs w:val="18"/>
                <w:highlight w:val="none"/>
                <w:lang w:val="en-US" w:eastAsia="zh-CN"/>
              </w:rPr>
            </w:pPr>
          </w:p>
        </w:tc>
        <w:tc>
          <w:tcPr>
            <w:tcW w:w="1530" w:type="dxa"/>
            <w:vAlign w:val="center"/>
          </w:tcPr>
          <w:p w14:paraId="515280E1">
            <w:pPr>
              <w:keepNext w:val="0"/>
              <w:keepLines w:val="0"/>
              <w:widowControl w:val="0"/>
              <w:suppressLineNumbers w:val="0"/>
              <w:wordWrap/>
              <w:adjustRightInd w:val="0"/>
              <w:snapToGrid w:val="0"/>
              <w:spacing w:before="0" w:beforeAutospacing="0" w:after="0" w:afterAutospacing="0" w:line="240" w:lineRule="auto"/>
              <w:ind w:left="0" w:leftChars="0" w:right="0" w:firstLine="0" w:firstLineChars="0"/>
              <w:jc w:val="center"/>
              <w:textAlignment w:val="auto"/>
              <w:rPr>
                <w:rFonts w:hint="eastAsia" w:hAnsi="宋体" w:cs="宋体"/>
                <w:snapToGrid w:val="0"/>
                <w:color w:val="auto"/>
                <w:kern w:val="21"/>
                <w:sz w:val="18"/>
                <w:szCs w:val="18"/>
                <w:highlight w:val="none"/>
                <w:lang w:val="en-US" w:eastAsia="zh-CN"/>
              </w:rPr>
            </w:pPr>
          </w:p>
        </w:tc>
        <w:tc>
          <w:tcPr>
            <w:tcW w:w="1815" w:type="dxa"/>
            <w:vAlign w:val="center"/>
          </w:tcPr>
          <w:p w14:paraId="34A8BA03">
            <w:pPr>
              <w:pStyle w:val="29"/>
              <w:keepNext w:val="0"/>
              <w:keepLines w:val="0"/>
              <w:suppressLineNumbers w:val="0"/>
              <w:spacing w:before="0" w:beforeAutospacing="0" w:after="0" w:afterAutospacing="0"/>
              <w:ind w:left="0" w:leftChars="0" w:right="0" w:rightChars="0" w:firstLine="0" w:firstLineChars="0"/>
              <w:jc w:val="center"/>
              <w:rPr>
                <w:rFonts w:hint="default"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2.5</w:t>
            </w:r>
          </w:p>
        </w:tc>
        <w:tc>
          <w:tcPr>
            <w:tcW w:w="1770" w:type="dxa"/>
            <w:vAlign w:val="center"/>
          </w:tcPr>
          <w:p w14:paraId="53CBCAE8">
            <w:pPr>
              <w:pStyle w:val="29"/>
              <w:keepNext w:val="0"/>
              <w:keepLines w:val="0"/>
              <w:suppressLineNumbers w:val="0"/>
              <w:spacing w:before="0" w:beforeAutospacing="0" w:after="0" w:afterAutospacing="0"/>
              <w:ind w:left="0" w:leftChars="0" w:right="0" w:rightChars="0" w:firstLine="0" w:firstLineChars="0"/>
              <w:jc w:val="center"/>
              <w:rPr>
                <w:rFonts w:hint="default"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0.01</w:t>
            </w:r>
          </w:p>
        </w:tc>
        <w:tc>
          <w:tcPr>
            <w:tcW w:w="1755" w:type="dxa"/>
            <w:vAlign w:val="center"/>
          </w:tcPr>
          <w:p w14:paraId="51E1FBEA">
            <w:pPr>
              <w:pStyle w:val="29"/>
              <w:keepNext w:val="0"/>
              <w:keepLines w:val="0"/>
              <w:suppressLineNumbers w:val="0"/>
              <w:spacing w:before="0" w:beforeAutospacing="0" w:after="0" w:afterAutospacing="0"/>
              <w:ind w:left="0" w:leftChars="0" w:right="0" w:rightChars="0" w:firstLine="0" w:firstLineChars="0"/>
              <w:jc w:val="center"/>
              <w:rPr>
                <w:rFonts w:hint="eastAsia" w:hAnsi="宋体" w:cs="宋体" w:eastAsiaTheme="minorEastAsia"/>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rPr>
              <w:t>2.5</w:t>
            </w:r>
          </w:p>
        </w:tc>
        <w:tc>
          <w:tcPr>
            <w:tcW w:w="1246" w:type="dxa"/>
            <w:vAlign w:val="center"/>
          </w:tcPr>
          <w:p w14:paraId="596A2071">
            <w:pPr>
              <w:pStyle w:val="29"/>
              <w:keepNext w:val="0"/>
              <w:keepLines w:val="0"/>
              <w:suppressLineNumbers w:val="0"/>
              <w:spacing w:before="0" w:beforeAutospacing="0" w:after="0" w:afterAutospacing="0"/>
              <w:ind w:left="0" w:leftChars="0" w:right="0" w:righ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2.49</w:t>
            </w:r>
          </w:p>
        </w:tc>
      </w:tr>
      <w:tr w14:paraId="42E58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45" w:type="dxa"/>
            <w:vMerge w:val="continue"/>
            <w:vAlign w:val="center"/>
          </w:tcPr>
          <w:p w14:paraId="183EA1C6">
            <w:pPr>
              <w:keepNext w:val="0"/>
              <w:keepLines w:val="0"/>
              <w:widowControl w:val="0"/>
              <w:suppressLineNumbers w:val="0"/>
              <w:wordWrap/>
              <w:adjustRightInd w:val="0"/>
              <w:snapToGrid w:val="0"/>
              <w:spacing w:before="0" w:beforeAutospacing="0" w:after="0" w:afterAutospacing="0" w:line="240" w:lineRule="auto"/>
              <w:ind w:left="0" w:right="0" w:firstLine="0" w:firstLineChars="0"/>
              <w:textAlignment w:val="auto"/>
              <w:rPr>
                <w:rFonts w:hint="eastAsia" w:ascii="Times New Roman" w:hAnsi="宋体" w:cs="宋体"/>
                <w:snapToGrid w:val="0"/>
                <w:color w:val="auto"/>
                <w:kern w:val="21"/>
                <w:sz w:val="20"/>
                <w:szCs w:val="21"/>
                <w:highlight w:val="none"/>
              </w:rPr>
            </w:pPr>
          </w:p>
        </w:tc>
        <w:tc>
          <w:tcPr>
            <w:tcW w:w="1521" w:type="dxa"/>
            <w:vAlign w:val="center"/>
          </w:tcPr>
          <w:p w14:paraId="743E86C8">
            <w:pPr>
              <w:pStyle w:val="29"/>
              <w:keepNext w:val="0"/>
              <w:keepLines w:val="0"/>
              <w:suppressLineNumbers w:val="0"/>
              <w:spacing w:before="0" w:beforeAutospacing="0" w:after="0" w:afterAutospacing="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废催化剂</w:t>
            </w:r>
          </w:p>
        </w:tc>
        <w:tc>
          <w:tcPr>
            <w:tcW w:w="1616" w:type="dxa"/>
            <w:vAlign w:val="center"/>
          </w:tcPr>
          <w:p w14:paraId="7002395C">
            <w:pPr>
              <w:pStyle w:val="29"/>
              <w:keepNext w:val="0"/>
              <w:keepLines w:val="0"/>
              <w:suppressLineNumbers w:val="0"/>
              <w:spacing w:before="0" w:beforeAutospacing="0" w:after="0" w:afterAutospacing="0"/>
              <w:ind w:left="0" w:leftChars="0" w:right="0" w:rightChars="0" w:firstLine="0" w:firstLineChars="0"/>
              <w:jc w:val="center"/>
              <w:rPr>
                <w:rFonts w:hint="eastAsia"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290" w:type="dxa"/>
            <w:vAlign w:val="center"/>
          </w:tcPr>
          <w:p w14:paraId="0B6D8414">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center"/>
              <w:textAlignment w:val="auto"/>
              <w:rPr>
                <w:rFonts w:hint="eastAsia" w:hAnsi="宋体" w:cs="宋体"/>
                <w:snapToGrid w:val="0"/>
                <w:color w:val="auto"/>
                <w:kern w:val="21"/>
                <w:sz w:val="18"/>
                <w:szCs w:val="18"/>
                <w:highlight w:val="none"/>
                <w:lang w:val="en-US" w:eastAsia="zh-CN"/>
              </w:rPr>
            </w:pPr>
          </w:p>
        </w:tc>
        <w:tc>
          <w:tcPr>
            <w:tcW w:w="1530" w:type="dxa"/>
            <w:vAlign w:val="center"/>
          </w:tcPr>
          <w:p w14:paraId="2FF43E0E">
            <w:pPr>
              <w:keepNext w:val="0"/>
              <w:keepLines w:val="0"/>
              <w:widowControl w:val="0"/>
              <w:suppressLineNumbers w:val="0"/>
              <w:wordWrap/>
              <w:adjustRightInd w:val="0"/>
              <w:snapToGrid w:val="0"/>
              <w:spacing w:before="0" w:beforeAutospacing="0" w:after="0" w:afterAutospacing="0" w:line="240" w:lineRule="auto"/>
              <w:ind w:left="0" w:leftChars="0" w:right="0" w:firstLine="0" w:firstLineChars="0"/>
              <w:jc w:val="center"/>
              <w:textAlignment w:val="auto"/>
              <w:rPr>
                <w:rFonts w:hint="eastAsia" w:hAnsi="宋体" w:cs="宋体"/>
                <w:snapToGrid w:val="0"/>
                <w:color w:val="auto"/>
                <w:kern w:val="21"/>
                <w:sz w:val="18"/>
                <w:szCs w:val="18"/>
                <w:highlight w:val="none"/>
                <w:lang w:val="en-US" w:eastAsia="zh-CN"/>
              </w:rPr>
            </w:pPr>
          </w:p>
        </w:tc>
        <w:tc>
          <w:tcPr>
            <w:tcW w:w="1815" w:type="dxa"/>
            <w:vAlign w:val="center"/>
          </w:tcPr>
          <w:p w14:paraId="2443137E">
            <w:pPr>
              <w:pStyle w:val="29"/>
              <w:keepNext w:val="0"/>
              <w:keepLines w:val="0"/>
              <w:suppressLineNumbers w:val="0"/>
              <w:spacing w:before="0" w:beforeAutospacing="0" w:after="0" w:afterAutospacing="0"/>
              <w:ind w:left="0" w:leftChars="0" w:right="0" w:rightChars="0" w:firstLine="0" w:firstLineChars="0"/>
              <w:jc w:val="center"/>
              <w:rPr>
                <w:rFonts w:hint="default"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40.58</w:t>
            </w:r>
          </w:p>
        </w:tc>
        <w:tc>
          <w:tcPr>
            <w:tcW w:w="1770" w:type="dxa"/>
            <w:vAlign w:val="center"/>
          </w:tcPr>
          <w:p w14:paraId="7016DE18">
            <w:pPr>
              <w:pStyle w:val="29"/>
              <w:keepNext w:val="0"/>
              <w:keepLines w:val="0"/>
              <w:suppressLineNumbers w:val="0"/>
              <w:spacing w:before="0" w:beforeAutospacing="0" w:after="0" w:afterAutospacing="0"/>
              <w:ind w:left="0" w:leftChars="0" w:right="0" w:rightChars="0" w:firstLine="0" w:firstLineChars="0"/>
              <w:jc w:val="center"/>
              <w:rPr>
                <w:rFonts w:hint="eastAsia" w:hAnsi="宋体" w:cs="宋体"/>
                <w:snapToGrid w:val="0"/>
                <w:color w:val="auto"/>
                <w:kern w:val="21"/>
                <w:sz w:val="18"/>
                <w:szCs w:val="18"/>
                <w:highlight w:val="none"/>
                <w:lang w:val="en-US" w:eastAsia="zh-CN"/>
              </w:rPr>
            </w:pPr>
            <w:r>
              <w:rPr>
                <w:rFonts w:hint="eastAsia" w:hAnsi="宋体" w:cs="宋体"/>
                <w:snapToGrid w:val="0"/>
                <w:color w:val="auto"/>
                <w:kern w:val="21"/>
                <w:sz w:val="18"/>
                <w:szCs w:val="18"/>
                <w:highlight w:val="none"/>
                <w:lang w:val="en-US" w:eastAsia="zh-CN"/>
              </w:rPr>
              <w:t>0</w:t>
            </w:r>
          </w:p>
        </w:tc>
        <w:tc>
          <w:tcPr>
            <w:tcW w:w="1755" w:type="dxa"/>
            <w:vAlign w:val="center"/>
          </w:tcPr>
          <w:p w14:paraId="3EF10BEF">
            <w:pPr>
              <w:pStyle w:val="29"/>
              <w:keepNext w:val="0"/>
              <w:keepLines w:val="0"/>
              <w:suppressLineNumbers w:val="0"/>
              <w:spacing w:before="0" w:beforeAutospacing="0" w:after="0" w:afterAutospacing="0"/>
              <w:ind w:left="0" w:leftChars="0" w:right="0" w:rightChars="0" w:firstLine="0" w:firstLineChars="0"/>
              <w:jc w:val="center"/>
              <w:rPr>
                <w:rFonts w:hint="eastAsia" w:hAnsi="宋体" w:cs="宋体" w:eastAsiaTheme="minorEastAsia"/>
                <w:snapToGrid w:val="0"/>
                <w:color w:val="auto"/>
                <w:kern w:val="21"/>
                <w:sz w:val="18"/>
                <w:szCs w:val="18"/>
                <w:highlight w:val="none"/>
                <w:lang w:val="en-US" w:eastAsia="zh-CN" w:bidi="ar-SA"/>
              </w:rPr>
            </w:pPr>
            <w:r>
              <w:rPr>
                <w:rFonts w:hint="eastAsia" w:hAnsi="宋体" w:cs="宋体"/>
                <w:snapToGrid w:val="0"/>
                <w:color w:val="auto"/>
                <w:kern w:val="21"/>
                <w:sz w:val="18"/>
                <w:szCs w:val="18"/>
                <w:highlight w:val="none"/>
                <w:lang w:val="en-US" w:eastAsia="zh-CN"/>
              </w:rPr>
              <w:t>40.58</w:t>
            </w:r>
          </w:p>
        </w:tc>
        <w:tc>
          <w:tcPr>
            <w:tcW w:w="1246" w:type="dxa"/>
            <w:vAlign w:val="center"/>
          </w:tcPr>
          <w:p w14:paraId="7257B42B">
            <w:pPr>
              <w:pStyle w:val="29"/>
              <w:keepNext w:val="0"/>
              <w:keepLines w:val="0"/>
              <w:suppressLineNumbers w:val="0"/>
              <w:spacing w:before="0" w:beforeAutospacing="0" w:after="0" w:afterAutospacing="0"/>
              <w:ind w:left="0" w:leftChars="0" w:right="0" w:righ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40.58</w:t>
            </w:r>
          </w:p>
        </w:tc>
      </w:tr>
    </w:tbl>
    <w:p w14:paraId="10F5C763">
      <w:pPr>
        <w:ind w:left="0" w:leftChars="0" w:right="0" w:rightChars="0" w:firstLine="0" w:firstLineChars="0"/>
        <w:jc w:val="both"/>
        <w:rPr>
          <w:rFonts w:hint="default"/>
          <w:lang w:val="en-US" w:eastAsia="zh-CN"/>
        </w:rPr>
      </w:pPr>
      <w:r>
        <w:rPr>
          <w:rFonts w:hint="eastAsia"/>
          <w:b w:val="0"/>
          <w:bCs w:val="0"/>
          <w:color w:val="auto"/>
          <w:highlight w:val="none"/>
          <w:lang w:val="en-US" w:eastAsia="zh-CN"/>
        </w:rPr>
        <w:t>注：⑥=①+③+④-⑤；⑦=⑥-①</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0129F">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D73FF">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FED73FF">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B09BC">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3E4EE">
    <w:pPr>
      <w:pStyle w:val="11"/>
      <w:pBdr>
        <w:bottom w:val="single" w:color="auto" w:sz="4" w:space="1"/>
      </w:pBdr>
      <w:rPr>
        <w:rFonts w:hint="default" w:eastAsia="宋体"/>
        <w:lang w:val="en-US" w:eastAsia="zh-CN"/>
      </w:rPr>
    </w:pPr>
    <w:r>
      <w:rPr>
        <w:rFonts w:hint="eastAsia"/>
        <w:lang w:val="en-US" w:eastAsia="zh-CN"/>
      </w:rPr>
      <w:t>云南玉溪仙福钢铁（集团）有限公司能源综合利用升级改造80兆瓦富余煤气发电项目    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9451C"/>
    <w:multiLevelType w:val="singleLevel"/>
    <w:tmpl w:val="8149451C"/>
    <w:lvl w:ilvl="0" w:tentative="0">
      <w:start w:val="3"/>
      <w:numFmt w:val="decimal"/>
      <w:suff w:val="nothing"/>
      <w:lvlText w:val="%1、"/>
      <w:lvlJc w:val="left"/>
    </w:lvl>
  </w:abstractNum>
  <w:abstractNum w:abstractNumId="1">
    <w:nsid w:val="3EF0F113"/>
    <w:multiLevelType w:val="singleLevel"/>
    <w:tmpl w:val="3EF0F113"/>
    <w:lvl w:ilvl="0" w:tentative="0">
      <w:start w:val="2"/>
      <w:numFmt w:val="decimal"/>
      <w:suff w:val="nothing"/>
      <w:lvlText w:val="（%1）"/>
      <w:lvlJc w:val="left"/>
    </w:lvl>
  </w:abstractNum>
  <w:abstractNum w:abstractNumId="2">
    <w:nsid w:val="43F6A701"/>
    <w:multiLevelType w:val="singleLevel"/>
    <w:tmpl w:val="43F6A701"/>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0827A8"/>
    <w:rsid w:val="00011989"/>
    <w:rsid w:val="00417EF4"/>
    <w:rsid w:val="00704336"/>
    <w:rsid w:val="019E3125"/>
    <w:rsid w:val="01B91D0C"/>
    <w:rsid w:val="01C26E13"/>
    <w:rsid w:val="02502671"/>
    <w:rsid w:val="02ED1C6E"/>
    <w:rsid w:val="037B371D"/>
    <w:rsid w:val="03B629A7"/>
    <w:rsid w:val="04137DFA"/>
    <w:rsid w:val="04441D61"/>
    <w:rsid w:val="046917C8"/>
    <w:rsid w:val="04AC7907"/>
    <w:rsid w:val="059E72D3"/>
    <w:rsid w:val="05B25528"/>
    <w:rsid w:val="05EE26AB"/>
    <w:rsid w:val="06693D01"/>
    <w:rsid w:val="067526A6"/>
    <w:rsid w:val="074A3B33"/>
    <w:rsid w:val="075B5D40"/>
    <w:rsid w:val="079C1EB4"/>
    <w:rsid w:val="08296BBE"/>
    <w:rsid w:val="082C3238"/>
    <w:rsid w:val="083A6D8C"/>
    <w:rsid w:val="08C96CD9"/>
    <w:rsid w:val="08EB4EA1"/>
    <w:rsid w:val="09AD2157"/>
    <w:rsid w:val="09B72FD5"/>
    <w:rsid w:val="0A00672A"/>
    <w:rsid w:val="0A081A83"/>
    <w:rsid w:val="0B5D0F63"/>
    <w:rsid w:val="0B9A670B"/>
    <w:rsid w:val="0BCD1E4C"/>
    <w:rsid w:val="0BD51E39"/>
    <w:rsid w:val="0C032502"/>
    <w:rsid w:val="0C2B1A59"/>
    <w:rsid w:val="0C594818"/>
    <w:rsid w:val="0D442DD2"/>
    <w:rsid w:val="0D86163D"/>
    <w:rsid w:val="0E351471"/>
    <w:rsid w:val="0F1B7B63"/>
    <w:rsid w:val="0F784FB5"/>
    <w:rsid w:val="0F7D081D"/>
    <w:rsid w:val="0FC95811"/>
    <w:rsid w:val="10417A9D"/>
    <w:rsid w:val="10637A13"/>
    <w:rsid w:val="111D4FEA"/>
    <w:rsid w:val="11E93F48"/>
    <w:rsid w:val="11FD79F3"/>
    <w:rsid w:val="13653AA2"/>
    <w:rsid w:val="13D11138"/>
    <w:rsid w:val="14D8301E"/>
    <w:rsid w:val="151730A3"/>
    <w:rsid w:val="156F0C08"/>
    <w:rsid w:val="15B17473"/>
    <w:rsid w:val="15E2762C"/>
    <w:rsid w:val="15E433A4"/>
    <w:rsid w:val="15FF24C3"/>
    <w:rsid w:val="16AE5760"/>
    <w:rsid w:val="17171557"/>
    <w:rsid w:val="177644D0"/>
    <w:rsid w:val="18982224"/>
    <w:rsid w:val="18A961DF"/>
    <w:rsid w:val="19962C07"/>
    <w:rsid w:val="19F65454"/>
    <w:rsid w:val="1A3D12D5"/>
    <w:rsid w:val="1B4072CF"/>
    <w:rsid w:val="1B9273FE"/>
    <w:rsid w:val="1B943177"/>
    <w:rsid w:val="1B9A62B3"/>
    <w:rsid w:val="1BC03F6C"/>
    <w:rsid w:val="1C226954"/>
    <w:rsid w:val="1C817B9F"/>
    <w:rsid w:val="1D6E17A5"/>
    <w:rsid w:val="1D8A2A83"/>
    <w:rsid w:val="1DA17DCD"/>
    <w:rsid w:val="1E0740D4"/>
    <w:rsid w:val="1E3E561C"/>
    <w:rsid w:val="1EC93137"/>
    <w:rsid w:val="1EE937D9"/>
    <w:rsid w:val="1F640557"/>
    <w:rsid w:val="1FA45952"/>
    <w:rsid w:val="1FA63478"/>
    <w:rsid w:val="1FAF67D1"/>
    <w:rsid w:val="20DD55C0"/>
    <w:rsid w:val="20F85F56"/>
    <w:rsid w:val="22356D36"/>
    <w:rsid w:val="23A93537"/>
    <w:rsid w:val="253B1E62"/>
    <w:rsid w:val="25B05051"/>
    <w:rsid w:val="25D86356"/>
    <w:rsid w:val="26976211"/>
    <w:rsid w:val="26E03714"/>
    <w:rsid w:val="270A0791"/>
    <w:rsid w:val="27EE3C0E"/>
    <w:rsid w:val="283F446A"/>
    <w:rsid w:val="28702638"/>
    <w:rsid w:val="28810F26"/>
    <w:rsid w:val="28F348B4"/>
    <w:rsid w:val="291C47AB"/>
    <w:rsid w:val="29257B04"/>
    <w:rsid w:val="29312005"/>
    <w:rsid w:val="29710C98"/>
    <w:rsid w:val="2973086F"/>
    <w:rsid w:val="29746395"/>
    <w:rsid w:val="29D67050"/>
    <w:rsid w:val="29E51041"/>
    <w:rsid w:val="29EF5D10"/>
    <w:rsid w:val="29F80D74"/>
    <w:rsid w:val="2A4D10C0"/>
    <w:rsid w:val="2A750617"/>
    <w:rsid w:val="2A7A5C2D"/>
    <w:rsid w:val="2AC46EA9"/>
    <w:rsid w:val="2B100347"/>
    <w:rsid w:val="2B3869C3"/>
    <w:rsid w:val="2BDA4BD6"/>
    <w:rsid w:val="2C4E1120"/>
    <w:rsid w:val="2D39746A"/>
    <w:rsid w:val="2D4744ED"/>
    <w:rsid w:val="2D855015"/>
    <w:rsid w:val="2E586286"/>
    <w:rsid w:val="2F27416E"/>
    <w:rsid w:val="2F4E5764"/>
    <w:rsid w:val="2F5C3B54"/>
    <w:rsid w:val="2FAF1ED5"/>
    <w:rsid w:val="2FE9188B"/>
    <w:rsid w:val="3034687E"/>
    <w:rsid w:val="306A22A0"/>
    <w:rsid w:val="30D8545C"/>
    <w:rsid w:val="31662A68"/>
    <w:rsid w:val="320C360F"/>
    <w:rsid w:val="321D581C"/>
    <w:rsid w:val="322C3CB1"/>
    <w:rsid w:val="323E25A2"/>
    <w:rsid w:val="32904240"/>
    <w:rsid w:val="32E43F5A"/>
    <w:rsid w:val="33576B0C"/>
    <w:rsid w:val="33896EE1"/>
    <w:rsid w:val="33C01934"/>
    <w:rsid w:val="33C87A09"/>
    <w:rsid w:val="345968B4"/>
    <w:rsid w:val="347F27BE"/>
    <w:rsid w:val="34E14AE2"/>
    <w:rsid w:val="35346C7B"/>
    <w:rsid w:val="355E0625"/>
    <w:rsid w:val="3579545F"/>
    <w:rsid w:val="35A41DB0"/>
    <w:rsid w:val="35E84393"/>
    <w:rsid w:val="360A255B"/>
    <w:rsid w:val="3647730B"/>
    <w:rsid w:val="368C2F70"/>
    <w:rsid w:val="36EE3C2B"/>
    <w:rsid w:val="3744384B"/>
    <w:rsid w:val="37A44B1A"/>
    <w:rsid w:val="37CB7AC8"/>
    <w:rsid w:val="39BE37D7"/>
    <w:rsid w:val="3A3E4582"/>
    <w:rsid w:val="3B385475"/>
    <w:rsid w:val="3B9C3C56"/>
    <w:rsid w:val="3BBD597A"/>
    <w:rsid w:val="3BE850ED"/>
    <w:rsid w:val="3CA60B04"/>
    <w:rsid w:val="3DCC00F6"/>
    <w:rsid w:val="3EEB416F"/>
    <w:rsid w:val="3F18462D"/>
    <w:rsid w:val="3F67457A"/>
    <w:rsid w:val="3F8659C6"/>
    <w:rsid w:val="3F8A0269"/>
    <w:rsid w:val="3FD414E4"/>
    <w:rsid w:val="3FD83751"/>
    <w:rsid w:val="400B75FC"/>
    <w:rsid w:val="402661E4"/>
    <w:rsid w:val="407A208B"/>
    <w:rsid w:val="40980764"/>
    <w:rsid w:val="40AD420F"/>
    <w:rsid w:val="41120516"/>
    <w:rsid w:val="412A3AB2"/>
    <w:rsid w:val="41C07F72"/>
    <w:rsid w:val="420460B1"/>
    <w:rsid w:val="42162288"/>
    <w:rsid w:val="422F6EA6"/>
    <w:rsid w:val="43014CE6"/>
    <w:rsid w:val="4359067E"/>
    <w:rsid w:val="43AC2EA4"/>
    <w:rsid w:val="4492209A"/>
    <w:rsid w:val="44D04970"/>
    <w:rsid w:val="453F5652"/>
    <w:rsid w:val="46164604"/>
    <w:rsid w:val="467557CF"/>
    <w:rsid w:val="479F062A"/>
    <w:rsid w:val="487D4E0F"/>
    <w:rsid w:val="48E02B0A"/>
    <w:rsid w:val="48ED31DB"/>
    <w:rsid w:val="490948F4"/>
    <w:rsid w:val="491C0184"/>
    <w:rsid w:val="493D634C"/>
    <w:rsid w:val="4968786D"/>
    <w:rsid w:val="49F7474D"/>
    <w:rsid w:val="4CA24E44"/>
    <w:rsid w:val="4CC823D1"/>
    <w:rsid w:val="4D6E4D26"/>
    <w:rsid w:val="4E922C96"/>
    <w:rsid w:val="4F90367A"/>
    <w:rsid w:val="4FCD667C"/>
    <w:rsid w:val="50487AB0"/>
    <w:rsid w:val="505521CD"/>
    <w:rsid w:val="513D513B"/>
    <w:rsid w:val="5144296E"/>
    <w:rsid w:val="51890380"/>
    <w:rsid w:val="525F7333"/>
    <w:rsid w:val="528154FB"/>
    <w:rsid w:val="529C40E3"/>
    <w:rsid w:val="529F5982"/>
    <w:rsid w:val="536270DB"/>
    <w:rsid w:val="53641925"/>
    <w:rsid w:val="548E3F00"/>
    <w:rsid w:val="54A43723"/>
    <w:rsid w:val="558275C0"/>
    <w:rsid w:val="558C48E3"/>
    <w:rsid w:val="55CA71B9"/>
    <w:rsid w:val="564835C8"/>
    <w:rsid w:val="5683424B"/>
    <w:rsid w:val="571406EC"/>
    <w:rsid w:val="571A1A7B"/>
    <w:rsid w:val="57BD0D84"/>
    <w:rsid w:val="58D5034F"/>
    <w:rsid w:val="58DA5965"/>
    <w:rsid w:val="58ED7447"/>
    <w:rsid w:val="593432C8"/>
    <w:rsid w:val="59617E35"/>
    <w:rsid w:val="597C7866"/>
    <w:rsid w:val="59BE5287"/>
    <w:rsid w:val="59D86349"/>
    <w:rsid w:val="5A0E1D6B"/>
    <w:rsid w:val="5A91261A"/>
    <w:rsid w:val="5B694D7F"/>
    <w:rsid w:val="5B953DC6"/>
    <w:rsid w:val="5BAF4E87"/>
    <w:rsid w:val="5BE32D83"/>
    <w:rsid w:val="5BE3612C"/>
    <w:rsid w:val="5C2F5FC8"/>
    <w:rsid w:val="5C9C18B0"/>
    <w:rsid w:val="5D096819"/>
    <w:rsid w:val="5DEB5F1F"/>
    <w:rsid w:val="5E671A49"/>
    <w:rsid w:val="5EBD3013"/>
    <w:rsid w:val="5EFF7ED4"/>
    <w:rsid w:val="5F447FDD"/>
    <w:rsid w:val="5F585836"/>
    <w:rsid w:val="5FC52ECB"/>
    <w:rsid w:val="5FE62E42"/>
    <w:rsid w:val="5FFC2665"/>
    <w:rsid w:val="608E5C74"/>
    <w:rsid w:val="60EC7779"/>
    <w:rsid w:val="61D90EB0"/>
    <w:rsid w:val="62EF64B1"/>
    <w:rsid w:val="630261E5"/>
    <w:rsid w:val="631A1780"/>
    <w:rsid w:val="63497970"/>
    <w:rsid w:val="63972DD1"/>
    <w:rsid w:val="649317EA"/>
    <w:rsid w:val="64A63DD0"/>
    <w:rsid w:val="650C334B"/>
    <w:rsid w:val="652341F0"/>
    <w:rsid w:val="652F0DE7"/>
    <w:rsid w:val="656211BC"/>
    <w:rsid w:val="657D5FF6"/>
    <w:rsid w:val="66442670"/>
    <w:rsid w:val="668F5FE1"/>
    <w:rsid w:val="67281F92"/>
    <w:rsid w:val="680D18B3"/>
    <w:rsid w:val="68833924"/>
    <w:rsid w:val="68FF63B1"/>
    <w:rsid w:val="6A9040D6"/>
    <w:rsid w:val="6AC67AF8"/>
    <w:rsid w:val="6AF22DB3"/>
    <w:rsid w:val="6B0074AE"/>
    <w:rsid w:val="6B0827A8"/>
    <w:rsid w:val="6B680BAF"/>
    <w:rsid w:val="6BB12556"/>
    <w:rsid w:val="6BD821D8"/>
    <w:rsid w:val="6C5D448C"/>
    <w:rsid w:val="6E292877"/>
    <w:rsid w:val="6E4771A1"/>
    <w:rsid w:val="6E922B12"/>
    <w:rsid w:val="6EE60768"/>
    <w:rsid w:val="70357BF9"/>
    <w:rsid w:val="70466EB4"/>
    <w:rsid w:val="70D34D1C"/>
    <w:rsid w:val="710E3FA6"/>
    <w:rsid w:val="71175551"/>
    <w:rsid w:val="715C1F07"/>
    <w:rsid w:val="71DB20DB"/>
    <w:rsid w:val="71DE7E1D"/>
    <w:rsid w:val="72233A82"/>
    <w:rsid w:val="72323CC5"/>
    <w:rsid w:val="72755F49"/>
    <w:rsid w:val="733F48EB"/>
    <w:rsid w:val="743E4BA3"/>
    <w:rsid w:val="74454183"/>
    <w:rsid w:val="747A35FC"/>
    <w:rsid w:val="749E3893"/>
    <w:rsid w:val="74BF3F35"/>
    <w:rsid w:val="74EE0DD7"/>
    <w:rsid w:val="75466405"/>
    <w:rsid w:val="756E14B8"/>
    <w:rsid w:val="75EB48B6"/>
    <w:rsid w:val="76053BCA"/>
    <w:rsid w:val="768076F4"/>
    <w:rsid w:val="768371E5"/>
    <w:rsid w:val="76C021E7"/>
    <w:rsid w:val="76C34768"/>
    <w:rsid w:val="771D4F43"/>
    <w:rsid w:val="77E837A3"/>
    <w:rsid w:val="783A38D3"/>
    <w:rsid w:val="78632E2A"/>
    <w:rsid w:val="79B37DE1"/>
    <w:rsid w:val="79E607C0"/>
    <w:rsid w:val="79F95EC8"/>
    <w:rsid w:val="7A7237F8"/>
    <w:rsid w:val="7AAA11E4"/>
    <w:rsid w:val="7B114DBF"/>
    <w:rsid w:val="7BCD518A"/>
    <w:rsid w:val="7CDB7433"/>
    <w:rsid w:val="7CE81B50"/>
    <w:rsid w:val="7D1172F8"/>
    <w:rsid w:val="7D2708CA"/>
    <w:rsid w:val="7E123328"/>
    <w:rsid w:val="7ED92098"/>
    <w:rsid w:val="7F286B7B"/>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0" w:afterAutospacing="0" w:line="360" w:lineRule="auto"/>
      <w:ind w:firstLine="0" w:firstLineChars="0"/>
      <w:jc w:val="center"/>
      <w:outlineLvl w:val="0"/>
    </w:pPr>
    <w:rPr>
      <w:rFonts w:hint="eastAsia" w:ascii="Times New Roman" w:hAnsi="Times New Roman" w:eastAsia="黑体"/>
      <w:kern w:val="44"/>
      <w:sz w:val="32"/>
      <w:szCs w:val="32"/>
      <w:lang w:bidi="ar"/>
    </w:rPr>
  </w:style>
  <w:style w:type="paragraph" w:styleId="3">
    <w:name w:val="heading 2"/>
    <w:basedOn w:val="1"/>
    <w:next w:val="1"/>
    <w:qFormat/>
    <w:uiPriority w:val="0"/>
    <w:pPr>
      <w:keepNext/>
      <w:keepLines/>
      <w:adjustRightInd w:val="0"/>
      <w:snapToGrid w:val="0"/>
      <w:spacing w:beforeLines="0" w:beforeAutospacing="0" w:afterLines="0" w:afterAutospacing="0" w:line="360" w:lineRule="auto"/>
      <w:outlineLvl w:val="1"/>
    </w:pPr>
    <w:rPr>
      <w:rFonts w:ascii="Times New Roman" w:hAnsi="Times New Roman" w:eastAsia="黑体"/>
      <w:sz w:val="28"/>
    </w:rPr>
  </w:style>
  <w:style w:type="paragraph" w:styleId="4">
    <w:name w:val="heading 3"/>
    <w:basedOn w:val="1"/>
    <w:next w:val="1"/>
    <w:qFormat/>
    <w:uiPriority w:val="0"/>
    <w:pPr>
      <w:keepNext/>
      <w:keepLines/>
      <w:spacing w:before="120" w:after="120"/>
      <w:outlineLvl w:val="2"/>
    </w:pPr>
    <w:rPr>
      <w:rFonts w:ascii="Arial" w:hAnsi="Arial"/>
      <w:b/>
      <w:bCs/>
      <w:kern w:val="21"/>
    </w:rPr>
  </w:style>
  <w:style w:type="paragraph" w:styleId="5">
    <w:name w:val="heading 4"/>
    <w:basedOn w:val="1"/>
    <w:next w:val="1"/>
    <w:qFormat/>
    <w:uiPriority w:val="0"/>
    <w:pPr>
      <w:keepNext/>
      <w:keepLines/>
      <w:spacing w:line="360" w:lineRule="auto"/>
      <w:outlineLvl w:val="3"/>
    </w:pPr>
    <w:rPr>
      <w:b/>
      <w:bCs/>
      <w:sz w:val="24"/>
      <w:szCs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annotation text"/>
    <w:basedOn w:val="1"/>
    <w:qFormat/>
    <w:uiPriority w:val="0"/>
    <w:pPr>
      <w:jc w:val="left"/>
    </w:pPr>
  </w:style>
  <w:style w:type="paragraph" w:styleId="8">
    <w:name w:val="Body Text Indent"/>
    <w:basedOn w:val="1"/>
    <w:qFormat/>
    <w:uiPriority w:val="0"/>
    <w:pPr>
      <w:ind w:firstLine="480" w:firstLineChars="200"/>
    </w:pPr>
  </w:style>
  <w:style w:type="paragraph" w:styleId="9">
    <w:name w:val="Plain Text"/>
    <w:basedOn w:val="1"/>
    <w:next w:val="1"/>
    <w:qFormat/>
    <w:uiPriority w:val="0"/>
    <w:pPr>
      <w:spacing w:line="240" w:lineRule="atLeast"/>
    </w:pPr>
    <w:rPr>
      <w:rFonts w:ascii="宋体" w:hAnsi="Courier New"/>
      <w:sz w:val="28"/>
      <w:szCs w:val="21"/>
    </w:r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2">
    <w:name w:val="正文1"/>
    <w:basedOn w:val="1"/>
    <w:qFormat/>
    <w:uiPriority w:val="0"/>
    <w:pPr>
      <w:spacing w:line="360" w:lineRule="auto"/>
      <w:ind w:firstLine="420"/>
    </w:pPr>
    <w:rPr>
      <w:rFonts w:cs="宋体"/>
      <w:szCs w:val="20"/>
    </w:rPr>
  </w:style>
  <w:style w:type="paragraph" w:styleId="13">
    <w:name w:val="toc 1"/>
    <w:basedOn w:val="1"/>
    <w:next w:val="1"/>
    <w:qFormat/>
    <w:uiPriority w:val="0"/>
  </w:style>
  <w:style w:type="paragraph" w:styleId="14">
    <w:name w:val="Subtitle"/>
    <w:basedOn w:val="1"/>
    <w:qFormat/>
    <w:uiPriority w:val="0"/>
    <w:pPr>
      <w:spacing w:line="360" w:lineRule="auto"/>
      <w:jc w:val="center"/>
    </w:pPr>
    <w:rPr>
      <w:rFonts w:ascii="楷体_GB2312" w:eastAsia="楷体_GB2312"/>
      <w:sz w:val="44"/>
      <w:szCs w:val="44"/>
    </w:r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6">
    <w:name w:val="Body Text First Indent 2"/>
    <w:basedOn w:val="8"/>
    <w:qFormat/>
    <w:uiPriority w:val="0"/>
    <w:pPr>
      <w:adjustRightInd/>
      <w:spacing w:after="120" w:line="240" w:lineRule="auto"/>
      <w:ind w:left="420" w:leftChars="200" w:firstLine="420"/>
      <w:textAlignment w:val="auto"/>
    </w:pPr>
    <w:rPr>
      <w:kern w:val="2"/>
      <w:sz w:val="21"/>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样式 标题 1 + 四号 段前: 0 磅 段后: 0 磅 行距: 1.5 倍行距"/>
    <w:basedOn w:val="22"/>
    <w:next w:val="23"/>
    <w:autoRedefine/>
    <w:qFormat/>
    <w:uiPriority w:val="0"/>
    <w:pPr>
      <w:spacing w:line="360" w:lineRule="auto"/>
      <w:jc w:val="center"/>
    </w:pPr>
  </w:style>
  <w:style w:type="paragraph" w:customStyle="1" w:styleId="22">
    <w:name w:val="报告表正文"/>
    <w:basedOn w:val="1"/>
    <w:autoRedefine/>
    <w:qFormat/>
    <w:uiPriority w:val="0"/>
    <w:pPr>
      <w:keepNext/>
      <w:wordWrap w:val="0"/>
      <w:topLinePunct/>
      <w:adjustRightInd w:val="0"/>
      <w:snapToGrid w:val="0"/>
      <w:spacing w:line="360" w:lineRule="auto"/>
      <w:ind w:firstLine="883" w:firstLineChars="200"/>
      <w:jc w:val="left"/>
    </w:pPr>
    <w:rPr>
      <w:sz w:val="24"/>
    </w:rPr>
  </w:style>
  <w:style w:type="paragraph" w:customStyle="1" w:styleId="23">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24">
    <w:name w:val="表头"/>
    <w:basedOn w:val="25"/>
    <w:next w:val="1"/>
    <w:autoRedefine/>
    <w:qFormat/>
    <w:uiPriority w:val="0"/>
    <w:pPr>
      <w:spacing w:line="240" w:lineRule="auto"/>
      <w:ind w:firstLine="0" w:firstLineChars="0"/>
      <w:jc w:val="center"/>
    </w:pPr>
    <w:rPr>
      <w:rFonts w:ascii="Times New Roman" w:hAnsi="Times New Roman" w:eastAsia="宋体"/>
      <w:b/>
      <w:bCs/>
      <w:sz w:val="21"/>
      <w:szCs w:val="21"/>
    </w:rPr>
  </w:style>
  <w:style w:type="paragraph" w:customStyle="1" w:styleId="25">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6">
    <w:name w:val="Table Paragraph"/>
    <w:basedOn w:val="1"/>
    <w:qFormat/>
    <w:uiPriority w:val="1"/>
  </w:style>
  <w:style w:type="paragraph" w:customStyle="1" w:styleId="27">
    <w:name w:val="表格修改"/>
    <w:basedOn w:val="1"/>
    <w:autoRedefine/>
    <w:qFormat/>
    <w:uiPriority w:val="0"/>
    <w:pPr>
      <w:spacing w:line="240" w:lineRule="auto"/>
      <w:ind w:firstLine="0" w:firstLineChars="0"/>
      <w:jc w:val="center"/>
    </w:pPr>
    <w:rPr>
      <w:rFonts w:hint="eastAsia" w:ascii="Times New Roman" w:hAnsi="Times New Roman" w:eastAsia="宋体"/>
      <w:color w:val="0000FF"/>
      <w:sz w:val="18"/>
      <w:szCs w:val="28"/>
    </w:rPr>
  </w:style>
  <w:style w:type="paragraph" w:customStyle="1" w:styleId="28">
    <w:name w:val="表格标题"/>
    <w:basedOn w:val="1"/>
    <w:next w:val="1"/>
    <w:qFormat/>
    <w:uiPriority w:val="0"/>
    <w:pPr>
      <w:spacing w:line="240" w:lineRule="auto"/>
      <w:ind w:firstLine="0" w:firstLineChars="0"/>
      <w:jc w:val="center"/>
    </w:pPr>
    <w:rPr>
      <w:rFonts w:hint="eastAsia" w:ascii="Times New Roman" w:hAnsi="Times New Roman" w:eastAsia="宋体"/>
      <w:b/>
      <w:sz w:val="21"/>
    </w:rPr>
  </w:style>
  <w:style w:type="paragraph" w:customStyle="1" w:styleId="29">
    <w:name w:val="表格内容"/>
    <w:basedOn w:val="28"/>
    <w:next w:val="1"/>
    <w:link w:val="31"/>
    <w:qFormat/>
    <w:uiPriority w:val="0"/>
    <w:pPr>
      <w:spacing w:line="240" w:lineRule="auto"/>
      <w:ind w:firstLine="0" w:firstLineChars="0"/>
      <w:jc w:val="left"/>
    </w:pPr>
    <w:rPr>
      <w:rFonts w:ascii="Times New Roman" w:hAnsi="Times New Roman" w:eastAsia="宋体"/>
      <w:b w:val="0"/>
    </w:rPr>
  </w:style>
  <w:style w:type="paragraph" w:customStyle="1" w:styleId="30">
    <w:name w:val="正文（缩进）"/>
    <w:basedOn w:val="1"/>
    <w:qFormat/>
    <w:uiPriority w:val="0"/>
    <w:pPr>
      <w:spacing w:line="288" w:lineRule="auto"/>
      <w:ind w:firstLine="200" w:firstLineChars="200"/>
    </w:pPr>
  </w:style>
  <w:style w:type="character" w:customStyle="1" w:styleId="31">
    <w:name w:val="表格内容 Char"/>
    <w:link w:val="29"/>
    <w:qFormat/>
    <w:uiPriority w:val="0"/>
    <w:rPr>
      <w:rFonts w:ascii="Times New Roman" w:hAnsi="Times New Roman" w:eastAsia="宋体"/>
    </w:rPr>
  </w:style>
  <w:style w:type="paragraph" w:customStyle="1" w:styleId="32">
    <w:name w:val="表格"/>
    <w:basedOn w:val="6"/>
    <w:next w:val="1"/>
    <w:qFormat/>
    <w:uiPriority w:val="0"/>
    <w:pPr>
      <w:adjustRightInd w:val="0"/>
      <w:snapToGrid w:val="0"/>
      <w:spacing w:line="240" w:lineRule="auto"/>
      <w:ind w:firstLine="0" w:firstLineChars="0"/>
      <w:jc w:val="center"/>
    </w:pPr>
    <w:rPr>
      <w:color w:val="auto"/>
      <w:sz w:val="18"/>
    </w:rPr>
  </w:style>
  <w:style w:type="paragraph" w:customStyle="1" w:styleId="33">
    <w:name w:val="cucd-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4">
    <w:name w:val="正文_16"/>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35">
    <w:name w:val="Table Text"/>
    <w:basedOn w:val="1"/>
    <w:autoRedefine/>
    <w:semiHidden/>
    <w:qFormat/>
    <w:uiPriority w:val="0"/>
    <w:rPr>
      <w:rFonts w:ascii="宋体" w:hAnsi="宋体" w:eastAsia="宋体" w:cs="宋体"/>
      <w:sz w:val="20"/>
      <w:szCs w:val="20"/>
      <w:lang w:val="en-US" w:eastAsia="en-US" w:bidi="ar-SA"/>
    </w:rPr>
  </w:style>
  <w:style w:type="paragraph" w:customStyle="1" w:styleId="36">
    <w:name w:val="正文修改"/>
    <w:basedOn w:val="1"/>
    <w:autoRedefine/>
    <w:qFormat/>
    <w:uiPriority w:val="0"/>
    <w:rPr>
      <w:rFonts w:hint="eastAsia" w:ascii="Times New Roman" w:hAnsi="Times New Roman" w:eastAsia="宋体"/>
      <w:color w:val="0000FF"/>
    </w:rPr>
  </w:style>
  <w:style w:type="paragraph" w:customStyle="1" w:styleId="37">
    <w:name w:val="表格五号"/>
    <w:basedOn w:val="1"/>
    <w:autoRedefine/>
    <w:qFormat/>
    <w:uiPriority w:val="0"/>
    <w:pPr>
      <w:widowControl/>
      <w:snapToGrid w:val="0"/>
      <w:spacing w:line="240" w:lineRule="auto"/>
      <w:ind w:firstLine="0" w:firstLineChars="0"/>
      <w:jc w:val="center"/>
    </w:pPr>
    <w:rPr>
      <w:rFonts w:ascii="Times New Roman" w:hAnsi="Times New Roman" w:eastAsia="宋体"/>
      <w:bCs/>
      <w:color w:val="000000"/>
      <w:kern w:val="0"/>
      <w:sz w:val="1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theme" Target="theme/theme1.xml"/><Relationship Id="rId59" Type="http://schemas.openxmlformats.org/officeDocument/2006/relationships/image" Target="media/image32.wmf"/><Relationship Id="rId58" Type="http://schemas.openxmlformats.org/officeDocument/2006/relationships/oleObject" Target="embeddings/oleObject21.bin"/><Relationship Id="rId57" Type="http://schemas.openxmlformats.org/officeDocument/2006/relationships/image" Target="media/image31.wmf"/><Relationship Id="rId56" Type="http://schemas.openxmlformats.org/officeDocument/2006/relationships/oleObject" Target="embeddings/oleObject20.bin"/><Relationship Id="rId55" Type="http://schemas.openxmlformats.org/officeDocument/2006/relationships/image" Target="media/image30.wmf"/><Relationship Id="rId54" Type="http://schemas.openxmlformats.org/officeDocument/2006/relationships/oleObject" Target="embeddings/oleObject19.bin"/><Relationship Id="rId53" Type="http://schemas.openxmlformats.org/officeDocument/2006/relationships/image" Target="media/image29.wmf"/><Relationship Id="rId52" Type="http://schemas.openxmlformats.org/officeDocument/2006/relationships/oleObject" Target="embeddings/oleObject18.bin"/><Relationship Id="rId51" Type="http://schemas.openxmlformats.org/officeDocument/2006/relationships/image" Target="media/image28.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7.wmf"/><Relationship Id="rId48" Type="http://schemas.openxmlformats.org/officeDocument/2006/relationships/oleObject" Target="embeddings/oleObject16.bin"/><Relationship Id="rId47" Type="http://schemas.openxmlformats.org/officeDocument/2006/relationships/image" Target="media/image26.wmf"/><Relationship Id="rId46" Type="http://schemas.openxmlformats.org/officeDocument/2006/relationships/oleObject" Target="embeddings/oleObject15.bin"/><Relationship Id="rId45" Type="http://schemas.openxmlformats.org/officeDocument/2006/relationships/image" Target="media/image25.wmf"/><Relationship Id="rId44" Type="http://schemas.openxmlformats.org/officeDocument/2006/relationships/oleObject" Target="embeddings/oleObject14.bin"/><Relationship Id="rId43" Type="http://schemas.openxmlformats.org/officeDocument/2006/relationships/image" Target="media/image24.wmf"/><Relationship Id="rId42" Type="http://schemas.openxmlformats.org/officeDocument/2006/relationships/oleObject" Target="embeddings/oleObject13.bin"/><Relationship Id="rId41" Type="http://schemas.openxmlformats.org/officeDocument/2006/relationships/image" Target="media/image23.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2.wmf"/><Relationship Id="rId38" Type="http://schemas.openxmlformats.org/officeDocument/2006/relationships/oleObject" Target="embeddings/oleObject11.bin"/><Relationship Id="rId37" Type="http://schemas.openxmlformats.org/officeDocument/2006/relationships/image" Target="media/image21.wmf"/><Relationship Id="rId36" Type="http://schemas.openxmlformats.org/officeDocument/2006/relationships/oleObject" Target="embeddings/oleObject10.bin"/><Relationship Id="rId35" Type="http://schemas.openxmlformats.org/officeDocument/2006/relationships/image" Target="media/image20.wmf"/><Relationship Id="rId34" Type="http://schemas.openxmlformats.org/officeDocument/2006/relationships/oleObject" Target="embeddings/oleObject9.bin"/><Relationship Id="rId33" Type="http://schemas.openxmlformats.org/officeDocument/2006/relationships/image" Target="media/image19.wmf"/><Relationship Id="rId32" Type="http://schemas.openxmlformats.org/officeDocument/2006/relationships/oleObject" Target="embeddings/oleObject8.bin"/><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emf"/><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26463</Words>
  <Characters>27525</Characters>
  <Lines>0</Lines>
  <Paragraphs>0</Paragraphs>
  <TotalTime>23</TotalTime>
  <ScaleCrop>false</ScaleCrop>
  <LinksUpToDate>false</LinksUpToDate>
  <CharactersWithSpaces>27649</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2026-02-07T02:56:00Z</dcterms:created>
  <dc:creator>木木</dc:creator>
  <cp:lastModifiedBy>王振华</cp:lastModifiedBy>
  <cp:lastPrinted>2026-03-31T09:15:00Z</cp:lastPrinted>
  <dcterms:modified xsi:type="dcterms:W3CDTF">2026-04-23T01:34:06Z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93C534F819E341F2BC72FB336EA0E95A_13</vt:lpwstr>
  </property>
  <property fmtid="{D5CDD505-2E9C-101B-9397-08002B2CF9AE}" pid="4" name="KSOTemplateDocerSaveRecord">
    <vt:lpwstr>eyJoZGlkIjoiMDE2MDg0NTg3NDMzODVkZWQxMjM2NGEwNmQxZTU2NDMiLCJ1c2VySWQiOiIxNzcxODI0MzQxIn0=</vt:lpwstr>
  </property>
</Properties>
</file>