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b/>
          <w:bCs/>
          <w:color w:val="000000" w:themeColor="text1"/>
          <w:sz w:val="28"/>
          <w:szCs w:val="28"/>
          <w14:textFill>
            <w14:solidFill>
              <w14:schemeClr w14:val="tx1"/>
            </w14:solidFill>
          </w14:textFill>
        </w:rPr>
        <w:id w:val="147466643"/>
        <w15:color w:val="DBDBDB"/>
        <w:docPartObj>
          <w:docPartGallery w:val="Table of Contents"/>
          <w:docPartUnique/>
        </w:docPartObj>
      </w:sdtPr>
      <w:sdtEndPr>
        <w:rPr>
          <w:rFonts w:ascii="Times New Roman" w:hAnsi="Times New Roman"/>
          <w:b/>
          <w:bCs/>
          <w:color w:val="000000" w:themeColor="text1"/>
          <w:sz w:val="24"/>
          <w:szCs w:val="24"/>
          <w14:textFill>
            <w14:solidFill>
              <w14:schemeClr w14:val="tx1"/>
            </w14:solidFill>
          </w14:textFill>
        </w:rPr>
      </w:sdtEndPr>
      <w:sdtContent>
        <w:p w14:paraId="44CE1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8"/>
              <w:szCs w:val="28"/>
              <w14:textFill>
                <w14:solidFill>
                  <w14:schemeClr w14:val="tx1"/>
                </w14:solidFill>
              </w14:textFill>
            </w:rPr>
          </w:pPr>
          <w:r>
            <w:rPr>
              <w:rFonts w:ascii="宋体" w:hAnsi="宋体"/>
              <w:b/>
              <w:bCs/>
              <w:color w:val="000000" w:themeColor="text1"/>
              <w:sz w:val="28"/>
              <w:szCs w:val="28"/>
              <w14:textFill>
                <w14:solidFill>
                  <w14:schemeClr w14:val="tx1"/>
                </w14:solidFill>
              </w14:textFill>
            </w:rPr>
            <w:t>目录</w:t>
          </w:r>
        </w:p>
        <w:p w14:paraId="30D6BADB">
          <w:pPr>
            <w:pStyle w:val="17"/>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"1-3" \h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_Toc5684 </w:instrText>
          </w:r>
          <w:r>
            <w:fldChar w:fldCharType="separate"/>
          </w:r>
          <w:r>
            <w:rPr>
              <w:rFonts w:hint="eastAsia"/>
            </w:rPr>
            <w:t>概述</w:t>
          </w:r>
          <w:r>
            <w:tab/>
          </w:r>
          <w:r>
            <w:fldChar w:fldCharType="begin"/>
          </w:r>
          <w:r>
            <w:instrText xml:space="preserve"> PAGEREF _Toc5684 \h </w:instrText>
          </w:r>
          <w:r>
            <w:fldChar w:fldCharType="separate"/>
          </w:r>
          <w:r>
            <w:t>1</w:t>
          </w:r>
          <w:r>
            <w:fldChar w:fldCharType="end"/>
          </w:r>
          <w:r>
            <w:rPr>
              <w:color w:val="000000" w:themeColor="text1"/>
              <w14:textFill>
                <w14:solidFill>
                  <w14:schemeClr w14:val="tx1"/>
                </w14:solidFill>
              </w14:textFill>
            </w:rPr>
            <w:fldChar w:fldCharType="end"/>
          </w:r>
        </w:p>
        <w:p w14:paraId="11712DEF">
          <w:pPr>
            <w:pStyle w:val="17"/>
            <w:tabs>
              <w:tab w:val="right" w:leader="dot" w:pos="8306"/>
            </w:tabs>
          </w:pPr>
          <w:r>
            <w:rPr>
              <w:color w:val="000000" w:themeColor="text1"/>
              <w14:textFill>
                <w14:solidFill>
                  <w14:schemeClr w14:val="tx1"/>
                </w14:solidFill>
              </w14:textFill>
            </w:rPr>
            <w:fldChar w:fldCharType="begin"/>
          </w:r>
          <w:r>
            <w:instrText xml:space="preserve"> HYPERLINK \l _Toc7789 </w:instrText>
          </w:r>
          <w:r>
            <w:fldChar w:fldCharType="separate"/>
          </w:r>
          <w:r>
            <w:rPr>
              <w:rFonts w:hint="eastAsia"/>
            </w:rPr>
            <w:t>1、总则</w:t>
          </w:r>
          <w:r>
            <w:tab/>
          </w:r>
          <w:r>
            <w:fldChar w:fldCharType="begin"/>
          </w:r>
          <w:r>
            <w:instrText xml:space="preserve"> PAGEREF _Toc7789 \h </w:instrText>
          </w:r>
          <w:r>
            <w:fldChar w:fldCharType="separate"/>
          </w:r>
          <w:r>
            <w:t>9</w:t>
          </w:r>
          <w:r>
            <w:fldChar w:fldCharType="end"/>
          </w:r>
          <w:r>
            <w:rPr>
              <w:color w:val="000000" w:themeColor="text1"/>
              <w14:textFill>
                <w14:solidFill>
                  <w14:schemeClr w14:val="tx1"/>
                </w14:solidFill>
              </w14:textFill>
            </w:rPr>
            <w:fldChar w:fldCharType="end"/>
          </w:r>
        </w:p>
        <w:p w14:paraId="1D18EF84">
          <w:pPr>
            <w:pStyle w:val="18"/>
            <w:tabs>
              <w:tab w:val="right" w:leader="dot" w:pos="8306"/>
            </w:tabs>
          </w:pPr>
          <w:r>
            <w:rPr>
              <w:color w:val="000000" w:themeColor="text1"/>
              <w14:textFill>
                <w14:solidFill>
                  <w14:schemeClr w14:val="tx1"/>
                </w14:solidFill>
              </w14:textFill>
            </w:rPr>
            <w:fldChar w:fldCharType="begin"/>
          </w:r>
          <w:r>
            <w:instrText xml:space="preserve"> HYPERLINK \l _Toc27200 </w:instrText>
          </w:r>
          <w:r>
            <w:fldChar w:fldCharType="separate"/>
          </w:r>
          <w:r>
            <w:rPr>
              <w:rFonts w:hint="eastAsia"/>
            </w:rPr>
            <w:t>1.1 评价目的</w:t>
          </w:r>
          <w:r>
            <w:tab/>
          </w:r>
          <w:r>
            <w:fldChar w:fldCharType="begin"/>
          </w:r>
          <w:r>
            <w:instrText xml:space="preserve"> PAGEREF _Toc27200 \h </w:instrText>
          </w:r>
          <w:r>
            <w:fldChar w:fldCharType="separate"/>
          </w:r>
          <w:r>
            <w:t>9</w:t>
          </w:r>
          <w:r>
            <w:fldChar w:fldCharType="end"/>
          </w:r>
          <w:r>
            <w:rPr>
              <w:color w:val="000000" w:themeColor="text1"/>
              <w14:textFill>
                <w14:solidFill>
                  <w14:schemeClr w14:val="tx1"/>
                </w14:solidFill>
              </w14:textFill>
            </w:rPr>
            <w:fldChar w:fldCharType="end"/>
          </w:r>
        </w:p>
        <w:p w14:paraId="32B5E9EC">
          <w:pPr>
            <w:pStyle w:val="18"/>
            <w:tabs>
              <w:tab w:val="right" w:leader="dot" w:pos="8306"/>
            </w:tabs>
          </w:pPr>
          <w:r>
            <w:rPr>
              <w:color w:val="000000" w:themeColor="text1"/>
              <w14:textFill>
                <w14:solidFill>
                  <w14:schemeClr w14:val="tx1"/>
                </w14:solidFill>
              </w14:textFill>
            </w:rPr>
            <w:fldChar w:fldCharType="begin"/>
          </w:r>
          <w:r>
            <w:instrText xml:space="preserve"> HYPERLINK \l _Toc7424 </w:instrText>
          </w:r>
          <w:r>
            <w:fldChar w:fldCharType="separate"/>
          </w:r>
          <w:r>
            <w:rPr>
              <w:rFonts w:hint="eastAsia"/>
            </w:rPr>
            <w:t>1.2 指导思想</w:t>
          </w:r>
          <w:r>
            <w:tab/>
          </w:r>
          <w:r>
            <w:fldChar w:fldCharType="begin"/>
          </w:r>
          <w:r>
            <w:instrText xml:space="preserve"> PAGEREF _Toc7424 \h </w:instrText>
          </w:r>
          <w:r>
            <w:fldChar w:fldCharType="separate"/>
          </w:r>
          <w:r>
            <w:t>9</w:t>
          </w:r>
          <w:r>
            <w:fldChar w:fldCharType="end"/>
          </w:r>
          <w:r>
            <w:rPr>
              <w:color w:val="000000" w:themeColor="text1"/>
              <w14:textFill>
                <w14:solidFill>
                  <w14:schemeClr w14:val="tx1"/>
                </w14:solidFill>
              </w14:textFill>
            </w:rPr>
            <w:fldChar w:fldCharType="end"/>
          </w:r>
        </w:p>
        <w:p w14:paraId="1E4C708C">
          <w:pPr>
            <w:pStyle w:val="18"/>
            <w:tabs>
              <w:tab w:val="right" w:leader="dot" w:pos="8306"/>
            </w:tabs>
          </w:pPr>
          <w:r>
            <w:rPr>
              <w:color w:val="000000" w:themeColor="text1"/>
              <w14:textFill>
                <w14:solidFill>
                  <w14:schemeClr w14:val="tx1"/>
                </w14:solidFill>
              </w14:textFill>
            </w:rPr>
            <w:fldChar w:fldCharType="begin"/>
          </w:r>
          <w:r>
            <w:instrText xml:space="preserve"> HYPERLINK \l _Toc14087 </w:instrText>
          </w:r>
          <w:r>
            <w:fldChar w:fldCharType="separate"/>
          </w:r>
          <w:r>
            <w:rPr>
              <w:rFonts w:hint="eastAsia"/>
            </w:rPr>
            <w:t>1.3 评价原则</w:t>
          </w:r>
          <w:r>
            <w:tab/>
          </w:r>
          <w:r>
            <w:fldChar w:fldCharType="begin"/>
          </w:r>
          <w:r>
            <w:instrText xml:space="preserve"> PAGEREF _Toc14087 \h </w:instrText>
          </w:r>
          <w:r>
            <w:fldChar w:fldCharType="separate"/>
          </w:r>
          <w:r>
            <w:t>10</w:t>
          </w:r>
          <w:r>
            <w:fldChar w:fldCharType="end"/>
          </w:r>
          <w:r>
            <w:rPr>
              <w:color w:val="000000" w:themeColor="text1"/>
              <w14:textFill>
                <w14:solidFill>
                  <w14:schemeClr w14:val="tx1"/>
                </w14:solidFill>
              </w14:textFill>
            </w:rPr>
            <w:fldChar w:fldCharType="end"/>
          </w:r>
        </w:p>
        <w:p w14:paraId="4FE67C27">
          <w:pPr>
            <w:pStyle w:val="18"/>
            <w:tabs>
              <w:tab w:val="right" w:leader="dot" w:pos="8306"/>
            </w:tabs>
          </w:pPr>
          <w:r>
            <w:rPr>
              <w:color w:val="000000" w:themeColor="text1"/>
              <w14:textFill>
                <w14:solidFill>
                  <w14:schemeClr w14:val="tx1"/>
                </w14:solidFill>
              </w14:textFill>
            </w:rPr>
            <w:fldChar w:fldCharType="begin"/>
          </w:r>
          <w:r>
            <w:instrText xml:space="preserve"> HYPERLINK \l _Toc13135 </w:instrText>
          </w:r>
          <w:r>
            <w:fldChar w:fldCharType="separate"/>
          </w:r>
          <w:r>
            <w:rPr>
              <w:rFonts w:hint="eastAsia"/>
            </w:rPr>
            <w:t>1.4 编制依据</w:t>
          </w:r>
          <w:r>
            <w:tab/>
          </w:r>
          <w:r>
            <w:fldChar w:fldCharType="begin"/>
          </w:r>
          <w:r>
            <w:instrText xml:space="preserve"> PAGEREF _Toc13135 \h </w:instrText>
          </w:r>
          <w:r>
            <w:fldChar w:fldCharType="separate"/>
          </w:r>
          <w:r>
            <w:t>10</w:t>
          </w:r>
          <w:r>
            <w:fldChar w:fldCharType="end"/>
          </w:r>
          <w:r>
            <w:rPr>
              <w:color w:val="000000" w:themeColor="text1"/>
              <w14:textFill>
                <w14:solidFill>
                  <w14:schemeClr w14:val="tx1"/>
                </w14:solidFill>
              </w14:textFill>
            </w:rPr>
            <w:fldChar w:fldCharType="end"/>
          </w:r>
        </w:p>
        <w:p w14:paraId="218D77A1">
          <w:pPr>
            <w:pStyle w:val="13"/>
            <w:tabs>
              <w:tab w:val="right" w:leader="dot" w:pos="8306"/>
            </w:tabs>
          </w:pPr>
          <w:r>
            <w:rPr>
              <w:color w:val="000000" w:themeColor="text1"/>
              <w14:textFill>
                <w14:solidFill>
                  <w14:schemeClr w14:val="tx1"/>
                </w14:solidFill>
              </w14:textFill>
            </w:rPr>
            <w:fldChar w:fldCharType="begin"/>
          </w:r>
          <w:r>
            <w:instrText xml:space="preserve"> HYPERLINK \l _Toc31698 </w:instrText>
          </w:r>
          <w:r>
            <w:fldChar w:fldCharType="separate"/>
          </w:r>
          <w:r>
            <w:rPr>
              <w:rFonts w:hint="eastAsia"/>
            </w:rPr>
            <w:t>1.4.1相关法律法规和部门规章及政策</w:t>
          </w:r>
          <w:r>
            <w:tab/>
          </w:r>
          <w:r>
            <w:fldChar w:fldCharType="begin"/>
          </w:r>
          <w:r>
            <w:instrText xml:space="preserve"> PAGEREF _Toc31698 \h </w:instrText>
          </w:r>
          <w:r>
            <w:fldChar w:fldCharType="separate"/>
          </w:r>
          <w:r>
            <w:t>10</w:t>
          </w:r>
          <w:r>
            <w:fldChar w:fldCharType="end"/>
          </w:r>
          <w:r>
            <w:rPr>
              <w:color w:val="000000" w:themeColor="text1"/>
              <w14:textFill>
                <w14:solidFill>
                  <w14:schemeClr w14:val="tx1"/>
                </w14:solidFill>
              </w14:textFill>
            </w:rPr>
            <w:fldChar w:fldCharType="end"/>
          </w:r>
        </w:p>
        <w:p w14:paraId="5B87B54C">
          <w:pPr>
            <w:pStyle w:val="13"/>
            <w:tabs>
              <w:tab w:val="right" w:leader="dot" w:pos="8306"/>
            </w:tabs>
          </w:pPr>
          <w:r>
            <w:rPr>
              <w:color w:val="000000" w:themeColor="text1"/>
              <w14:textFill>
                <w14:solidFill>
                  <w14:schemeClr w14:val="tx1"/>
                </w14:solidFill>
              </w14:textFill>
            </w:rPr>
            <w:fldChar w:fldCharType="begin"/>
          </w:r>
          <w:r>
            <w:instrText xml:space="preserve"> HYPERLINK \l _Toc21735 </w:instrText>
          </w:r>
          <w:r>
            <w:fldChar w:fldCharType="separate"/>
          </w:r>
          <w:r>
            <w:rPr>
              <w:rFonts w:hint="eastAsia"/>
            </w:rPr>
            <w:t>1.4.2 技术导则与规范</w:t>
          </w:r>
          <w:r>
            <w:tab/>
          </w:r>
          <w:r>
            <w:fldChar w:fldCharType="begin"/>
          </w:r>
          <w:r>
            <w:instrText xml:space="preserve"> PAGEREF _Toc21735 \h </w:instrText>
          </w:r>
          <w:r>
            <w:fldChar w:fldCharType="separate"/>
          </w:r>
          <w:r>
            <w:t>12</w:t>
          </w:r>
          <w:r>
            <w:fldChar w:fldCharType="end"/>
          </w:r>
          <w:r>
            <w:rPr>
              <w:color w:val="000000" w:themeColor="text1"/>
              <w14:textFill>
                <w14:solidFill>
                  <w14:schemeClr w14:val="tx1"/>
                </w14:solidFill>
              </w14:textFill>
            </w:rPr>
            <w:fldChar w:fldCharType="end"/>
          </w:r>
        </w:p>
        <w:p w14:paraId="2090CFE0">
          <w:pPr>
            <w:pStyle w:val="13"/>
            <w:tabs>
              <w:tab w:val="right" w:leader="dot" w:pos="8306"/>
            </w:tabs>
          </w:pPr>
          <w:r>
            <w:rPr>
              <w:color w:val="000000" w:themeColor="text1"/>
              <w14:textFill>
                <w14:solidFill>
                  <w14:schemeClr w14:val="tx1"/>
                </w14:solidFill>
              </w14:textFill>
            </w:rPr>
            <w:fldChar w:fldCharType="begin"/>
          </w:r>
          <w:r>
            <w:instrText xml:space="preserve"> HYPERLINK \l _Toc12729 </w:instrText>
          </w:r>
          <w:r>
            <w:fldChar w:fldCharType="separate"/>
          </w:r>
          <w:r>
            <w:rPr>
              <w:rFonts w:hint="eastAsia"/>
            </w:rPr>
            <w:t>1.4.3 地方性法规及规范性文件</w:t>
          </w:r>
          <w:r>
            <w:tab/>
          </w:r>
          <w:r>
            <w:fldChar w:fldCharType="begin"/>
          </w:r>
          <w:r>
            <w:instrText xml:space="preserve"> PAGEREF _Toc12729 \h </w:instrText>
          </w:r>
          <w:r>
            <w:fldChar w:fldCharType="separate"/>
          </w:r>
          <w:r>
            <w:t>13</w:t>
          </w:r>
          <w:r>
            <w:fldChar w:fldCharType="end"/>
          </w:r>
          <w:r>
            <w:rPr>
              <w:color w:val="000000" w:themeColor="text1"/>
              <w14:textFill>
                <w14:solidFill>
                  <w14:schemeClr w14:val="tx1"/>
                </w14:solidFill>
              </w14:textFill>
            </w:rPr>
            <w:fldChar w:fldCharType="end"/>
          </w:r>
        </w:p>
        <w:p w14:paraId="721F3226">
          <w:pPr>
            <w:pStyle w:val="13"/>
            <w:tabs>
              <w:tab w:val="right" w:leader="dot" w:pos="8306"/>
            </w:tabs>
          </w:pPr>
          <w:r>
            <w:rPr>
              <w:color w:val="000000" w:themeColor="text1"/>
              <w14:textFill>
                <w14:solidFill>
                  <w14:schemeClr w14:val="tx1"/>
                </w14:solidFill>
              </w14:textFill>
            </w:rPr>
            <w:fldChar w:fldCharType="begin"/>
          </w:r>
          <w:r>
            <w:instrText xml:space="preserve"> HYPERLINK \l _Toc9020 </w:instrText>
          </w:r>
          <w:r>
            <w:fldChar w:fldCharType="separate"/>
          </w:r>
          <w:r>
            <w:rPr>
              <w:rFonts w:hint="eastAsia"/>
            </w:rPr>
            <w:t>1.4.4 其他相关资料与文件</w:t>
          </w:r>
          <w:r>
            <w:tab/>
          </w:r>
          <w:r>
            <w:fldChar w:fldCharType="begin"/>
          </w:r>
          <w:r>
            <w:instrText xml:space="preserve"> PAGEREF _Toc9020 \h </w:instrText>
          </w:r>
          <w:r>
            <w:fldChar w:fldCharType="separate"/>
          </w:r>
          <w:r>
            <w:t>14</w:t>
          </w:r>
          <w:r>
            <w:fldChar w:fldCharType="end"/>
          </w:r>
          <w:r>
            <w:rPr>
              <w:color w:val="000000" w:themeColor="text1"/>
              <w14:textFill>
                <w14:solidFill>
                  <w14:schemeClr w14:val="tx1"/>
                </w14:solidFill>
              </w14:textFill>
            </w:rPr>
            <w:fldChar w:fldCharType="end"/>
          </w:r>
        </w:p>
        <w:p w14:paraId="28B46319">
          <w:pPr>
            <w:pStyle w:val="18"/>
            <w:tabs>
              <w:tab w:val="right" w:leader="dot" w:pos="8306"/>
            </w:tabs>
          </w:pPr>
          <w:r>
            <w:rPr>
              <w:color w:val="000000" w:themeColor="text1"/>
              <w14:textFill>
                <w14:solidFill>
                  <w14:schemeClr w14:val="tx1"/>
                </w14:solidFill>
              </w14:textFill>
            </w:rPr>
            <w:fldChar w:fldCharType="begin"/>
          </w:r>
          <w:r>
            <w:instrText xml:space="preserve"> HYPERLINK \l _Toc13880 </w:instrText>
          </w:r>
          <w:r>
            <w:fldChar w:fldCharType="separate"/>
          </w:r>
          <w:r>
            <w:rPr>
              <w:rFonts w:hint="eastAsia"/>
            </w:rPr>
            <w:t>1.5 环境影响因素识别及评价因子选择</w:t>
          </w:r>
          <w:r>
            <w:tab/>
          </w:r>
          <w:r>
            <w:fldChar w:fldCharType="begin"/>
          </w:r>
          <w:r>
            <w:instrText xml:space="preserve"> PAGEREF _Toc13880 \h </w:instrText>
          </w:r>
          <w:r>
            <w:fldChar w:fldCharType="separate"/>
          </w:r>
          <w:r>
            <w:t>15</w:t>
          </w:r>
          <w:r>
            <w:fldChar w:fldCharType="end"/>
          </w:r>
          <w:r>
            <w:rPr>
              <w:color w:val="000000" w:themeColor="text1"/>
              <w14:textFill>
                <w14:solidFill>
                  <w14:schemeClr w14:val="tx1"/>
                </w14:solidFill>
              </w14:textFill>
            </w:rPr>
            <w:fldChar w:fldCharType="end"/>
          </w:r>
        </w:p>
        <w:p w14:paraId="36750D41">
          <w:pPr>
            <w:pStyle w:val="13"/>
            <w:tabs>
              <w:tab w:val="right" w:leader="dot" w:pos="8306"/>
            </w:tabs>
          </w:pPr>
          <w:r>
            <w:rPr>
              <w:color w:val="000000" w:themeColor="text1"/>
              <w14:textFill>
                <w14:solidFill>
                  <w14:schemeClr w14:val="tx1"/>
                </w14:solidFill>
              </w14:textFill>
            </w:rPr>
            <w:fldChar w:fldCharType="begin"/>
          </w:r>
          <w:r>
            <w:instrText xml:space="preserve"> HYPERLINK \l _Toc2150 </w:instrText>
          </w:r>
          <w:r>
            <w:fldChar w:fldCharType="separate"/>
          </w:r>
          <w:r>
            <w:rPr>
              <w:rFonts w:hint="eastAsia"/>
            </w:rPr>
            <w:t>1.5.1 环境影响因素识别</w:t>
          </w:r>
          <w:r>
            <w:tab/>
          </w:r>
          <w:r>
            <w:fldChar w:fldCharType="begin"/>
          </w:r>
          <w:r>
            <w:instrText xml:space="preserve"> PAGEREF _Toc2150 \h </w:instrText>
          </w:r>
          <w:r>
            <w:fldChar w:fldCharType="separate"/>
          </w:r>
          <w:r>
            <w:t>15</w:t>
          </w:r>
          <w:r>
            <w:fldChar w:fldCharType="end"/>
          </w:r>
          <w:r>
            <w:rPr>
              <w:color w:val="000000" w:themeColor="text1"/>
              <w14:textFill>
                <w14:solidFill>
                  <w14:schemeClr w14:val="tx1"/>
                </w14:solidFill>
              </w14:textFill>
            </w:rPr>
            <w:fldChar w:fldCharType="end"/>
          </w:r>
        </w:p>
        <w:p w14:paraId="405A4A78">
          <w:pPr>
            <w:pStyle w:val="13"/>
            <w:tabs>
              <w:tab w:val="right" w:leader="dot" w:pos="8306"/>
            </w:tabs>
          </w:pPr>
          <w:r>
            <w:rPr>
              <w:color w:val="000000" w:themeColor="text1"/>
              <w14:textFill>
                <w14:solidFill>
                  <w14:schemeClr w14:val="tx1"/>
                </w14:solidFill>
              </w14:textFill>
            </w:rPr>
            <w:fldChar w:fldCharType="begin"/>
          </w:r>
          <w:r>
            <w:instrText xml:space="preserve"> HYPERLINK \l _Toc27495 </w:instrText>
          </w:r>
          <w:r>
            <w:fldChar w:fldCharType="separate"/>
          </w:r>
          <w:r>
            <w:rPr>
              <w:rFonts w:hint="eastAsia"/>
            </w:rPr>
            <w:t>1.5.2 评价因子识别与筛选</w:t>
          </w:r>
          <w:r>
            <w:tab/>
          </w:r>
          <w:r>
            <w:fldChar w:fldCharType="begin"/>
          </w:r>
          <w:r>
            <w:instrText xml:space="preserve"> PAGEREF _Toc27495 \h </w:instrText>
          </w:r>
          <w:r>
            <w:fldChar w:fldCharType="separate"/>
          </w:r>
          <w:r>
            <w:t>16</w:t>
          </w:r>
          <w:r>
            <w:fldChar w:fldCharType="end"/>
          </w:r>
          <w:r>
            <w:rPr>
              <w:color w:val="000000" w:themeColor="text1"/>
              <w14:textFill>
                <w14:solidFill>
                  <w14:schemeClr w14:val="tx1"/>
                </w14:solidFill>
              </w14:textFill>
            </w:rPr>
            <w:fldChar w:fldCharType="end"/>
          </w:r>
        </w:p>
        <w:p w14:paraId="16A330C2">
          <w:pPr>
            <w:pStyle w:val="18"/>
            <w:tabs>
              <w:tab w:val="right" w:leader="dot" w:pos="8306"/>
            </w:tabs>
          </w:pPr>
          <w:r>
            <w:rPr>
              <w:color w:val="000000" w:themeColor="text1"/>
              <w14:textFill>
                <w14:solidFill>
                  <w14:schemeClr w14:val="tx1"/>
                </w14:solidFill>
              </w14:textFill>
            </w:rPr>
            <w:fldChar w:fldCharType="begin"/>
          </w:r>
          <w:r>
            <w:instrText xml:space="preserve"> HYPERLINK \l _Toc1271 </w:instrText>
          </w:r>
          <w:r>
            <w:fldChar w:fldCharType="separate"/>
          </w:r>
          <w:r>
            <w:rPr>
              <w:rFonts w:hint="eastAsia"/>
            </w:rPr>
            <w:t>1.6评价标准</w:t>
          </w:r>
          <w:r>
            <w:tab/>
          </w:r>
          <w:r>
            <w:fldChar w:fldCharType="begin"/>
          </w:r>
          <w:r>
            <w:instrText xml:space="preserve"> PAGEREF _Toc1271 \h </w:instrText>
          </w:r>
          <w:r>
            <w:fldChar w:fldCharType="separate"/>
          </w:r>
          <w:r>
            <w:t>17</w:t>
          </w:r>
          <w:r>
            <w:fldChar w:fldCharType="end"/>
          </w:r>
          <w:r>
            <w:rPr>
              <w:color w:val="000000" w:themeColor="text1"/>
              <w14:textFill>
                <w14:solidFill>
                  <w14:schemeClr w14:val="tx1"/>
                </w14:solidFill>
              </w14:textFill>
            </w:rPr>
            <w:fldChar w:fldCharType="end"/>
          </w:r>
        </w:p>
        <w:p w14:paraId="45D5C6FD">
          <w:pPr>
            <w:pStyle w:val="13"/>
            <w:tabs>
              <w:tab w:val="right" w:leader="dot" w:pos="8306"/>
            </w:tabs>
          </w:pPr>
          <w:r>
            <w:rPr>
              <w:color w:val="000000" w:themeColor="text1"/>
              <w14:textFill>
                <w14:solidFill>
                  <w14:schemeClr w14:val="tx1"/>
                </w14:solidFill>
              </w14:textFill>
            </w:rPr>
            <w:fldChar w:fldCharType="begin"/>
          </w:r>
          <w:r>
            <w:instrText xml:space="preserve"> HYPERLINK \l _Toc17152 </w:instrText>
          </w:r>
          <w:r>
            <w:fldChar w:fldCharType="separate"/>
          </w:r>
          <w:r>
            <w:rPr>
              <w:rFonts w:hint="eastAsia"/>
            </w:rPr>
            <w:t>1.6.1环境质量标准</w:t>
          </w:r>
          <w:r>
            <w:tab/>
          </w:r>
          <w:r>
            <w:fldChar w:fldCharType="begin"/>
          </w:r>
          <w:r>
            <w:instrText xml:space="preserve"> PAGEREF _Toc17152 \h </w:instrText>
          </w:r>
          <w:r>
            <w:fldChar w:fldCharType="separate"/>
          </w:r>
          <w:r>
            <w:t>17</w:t>
          </w:r>
          <w:r>
            <w:fldChar w:fldCharType="end"/>
          </w:r>
          <w:r>
            <w:rPr>
              <w:color w:val="000000" w:themeColor="text1"/>
              <w14:textFill>
                <w14:solidFill>
                  <w14:schemeClr w14:val="tx1"/>
                </w14:solidFill>
              </w14:textFill>
            </w:rPr>
            <w:fldChar w:fldCharType="end"/>
          </w:r>
        </w:p>
        <w:p w14:paraId="30165C41">
          <w:pPr>
            <w:pStyle w:val="13"/>
            <w:tabs>
              <w:tab w:val="right" w:leader="dot" w:pos="8306"/>
            </w:tabs>
          </w:pPr>
          <w:r>
            <w:rPr>
              <w:color w:val="000000" w:themeColor="text1"/>
              <w14:textFill>
                <w14:solidFill>
                  <w14:schemeClr w14:val="tx1"/>
                </w14:solidFill>
              </w14:textFill>
            </w:rPr>
            <w:fldChar w:fldCharType="begin"/>
          </w:r>
          <w:r>
            <w:instrText xml:space="preserve"> HYPERLINK \l _Toc12647 </w:instrText>
          </w:r>
          <w:r>
            <w:fldChar w:fldCharType="separate"/>
          </w:r>
          <w:r>
            <w:rPr>
              <w:rFonts w:hint="eastAsia"/>
            </w:rPr>
            <w:t>1.6.2污染物排放标准</w:t>
          </w:r>
          <w:r>
            <w:tab/>
          </w:r>
          <w:r>
            <w:fldChar w:fldCharType="begin"/>
          </w:r>
          <w:r>
            <w:instrText xml:space="preserve"> PAGEREF _Toc12647 \h </w:instrText>
          </w:r>
          <w:r>
            <w:fldChar w:fldCharType="separate"/>
          </w:r>
          <w:r>
            <w:t>22</w:t>
          </w:r>
          <w:r>
            <w:fldChar w:fldCharType="end"/>
          </w:r>
          <w:r>
            <w:rPr>
              <w:color w:val="000000" w:themeColor="text1"/>
              <w14:textFill>
                <w14:solidFill>
                  <w14:schemeClr w14:val="tx1"/>
                </w14:solidFill>
              </w14:textFill>
            </w:rPr>
            <w:fldChar w:fldCharType="end"/>
          </w:r>
        </w:p>
        <w:p w14:paraId="731BAB1B">
          <w:pPr>
            <w:pStyle w:val="18"/>
            <w:tabs>
              <w:tab w:val="right" w:leader="dot" w:pos="8306"/>
            </w:tabs>
          </w:pPr>
          <w:r>
            <w:rPr>
              <w:color w:val="000000" w:themeColor="text1"/>
              <w14:textFill>
                <w14:solidFill>
                  <w14:schemeClr w14:val="tx1"/>
                </w14:solidFill>
              </w14:textFill>
            </w:rPr>
            <w:fldChar w:fldCharType="begin"/>
          </w:r>
          <w:r>
            <w:instrText xml:space="preserve"> HYPERLINK \l _Toc21150 </w:instrText>
          </w:r>
          <w:r>
            <w:fldChar w:fldCharType="separate"/>
          </w:r>
          <w:r>
            <w:rPr>
              <w:rFonts w:hint="eastAsia"/>
            </w:rPr>
            <w:t>1.7评价工作等级及评价范围</w:t>
          </w:r>
          <w:r>
            <w:tab/>
          </w:r>
          <w:r>
            <w:fldChar w:fldCharType="begin"/>
          </w:r>
          <w:r>
            <w:instrText xml:space="preserve"> PAGEREF _Toc21150 \h </w:instrText>
          </w:r>
          <w:r>
            <w:fldChar w:fldCharType="separate"/>
          </w:r>
          <w:r>
            <w:t>25</w:t>
          </w:r>
          <w:r>
            <w:fldChar w:fldCharType="end"/>
          </w:r>
          <w:r>
            <w:rPr>
              <w:color w:val="000000" w:themeColor="text1"/>
              <w14:textFill>
                <w14:solidFill>
                  <w14:schemeClr w14:val="tx1"/>
                </w14:solidFill>
              </w14:textFill>
            </w:rPr>
            <w:fldChar w:fldCharType="end"/>
          </w:r>
        </w:p>
        <w:p w14:paraId="246DA5BD">
          <w:pPr>
            <w:pStyle w:val="13"/>
            <w:tabs>
              <w:tab w:val="right" w:leader="dot" w:pos="8306"/>
            </w:tabs>
          </w:pPr>
          <w:r>
            <w:rPr>
              <w:color w:val="000000" w:themeColor="text1"/>
              <w14:textFill>
                <w14:solidFill>
                  <w14:schemeClr w14:val="tx1"/>
                </w14:solidFill>
              </w14:textFill>
            </w:rPr>
            <w:fldChar w:fldCharType="begin"/>
          </w:r>
          <w:r>
            <w:instrText xml:space="preserve"> HYPERLINK \l _Toc14305 </w:instrText>
          </w:r>
          <w:r>
            <w:fldChar w:fldCharType="separate"/>
          </w:r>
          <w:r>
            <w:rPr>
              <w:rFonts w:hint="eastAsia"/>
            </w:rPr>
            <w:t>1.7.1评价工作等级</w:t>
          </w:r>
          <w:r>
            <w:tab/>
          </w:r>
          <w:r>
            <w:fldChar w:fldCharType="begin"/>
          </w:r>
          <w:r>
            <w:instrText xml:space="preserve"> PAGEREF _Toc14305 \h </w:instrText>
          </w:r>
          <w:r>
            <w:fldChar w:fldCharType="separate"/>
          </w:r>
          <w:r>
            <w:t>25</w:t>
          </w:r>
          <w:r>
            <w:fldChar w:fldCharType="end"/>
          </w:r>
          <w:r>
            <w:rPr>
              <w:color w:val="000000" w:themeColor="text1"/>
              <w14:textFill>
                <w14:solidFill>
                  <w14:schemeClr w14:val="tx1"/>
                </w14:solidFill>
              </w14:textFill>
            </w:rPr>
            <w:fldChar w:fldCharType="end"/>
          </w:r>
        </w:p>
        <w:p w14:paraId="63CA354A">
          <w:pPr>
            <w:pStyle w:val="13"/>
            <w:tabs>
              <w:tab w:val="right" w:leader="dot" w:pos="8306"/>
            </w:tabs>
          </w:pPr>
          <w:r>
            <w:rPr>
              <w:color w:val="000000" w:themeColor="text1"/>
              <w14:textFill>
                <w14:solidFill>
                  <w14:schemeClr w14:val="tx1"/>
                </w14:solidFill>
              </w14:textFill>
            </w:rPr>
            <w:fldChar w:fldCharType="begin"/>
          </w:r>
          <w:r>
            <w:instrText xml:space="preserve"> HYPERLINK \l _Toc17107 </w:instrText>
          </w:r>
          <w:r>
            <w:fldChar w:fldCharType="separate"/>
          </w:r>
          <w:r>
            <w:rPr>
              <w:rFonts w:hint="eastAsia"/>
            </w:rPr>
            <w:t>1.7.2 评价范围</w:t>
          </w:r>
          <w:r>
            <w:tab/>
          </w:r>
          <w:r>
            <w:fldChar w:fldCharType="begin"/>
          </w:r>
          <w:r>
            <w:instrText xml:space="preserve"> PAGEREF _Toc17107 \h </w:instrText>
          </w:r>
          <w:r>
            <w:fldChar w:fldCharType="separate"/>
          </w:r>
          <w:r>
            <w:t>36</w:t>
          </w:r>
          <w:r>
            <w:fldChar w:fldCharType="end"/>
          </w:r>
          <w:r>
            <w:rPr>
              <w:color w:val="000000" w:themeColor="text1"/>
              <w14:textFill>
                <w14:solidFill>
                  <w14:schemeClr w14:val="tx1"/>
                </w14:solidFill>
              </w14:textFill>
            </w:rPr>
            <w:fldChar w:fldCharType="end"/>
          </w:r>
        </w:p>
        <w:p w14:paraId="7FA13E71">
          <w:pPr>
            <w:pStyle w:val="18"/>
            <w:tabs>
              <w:tab w:val="right" w:leader="dot" w:pos="8306"/>
            </w:tabs>
          </w:pPr>
          <w:r>
            <w:rPr>
              <w:color w:val="000000" w:themeColor="text1"/>
              <w14:textFill>
                <w14:solidFill>
                  <w14:schemeClr w14:val="tx1"/>
                </w14:solidFill>
              </w14:textFill>
            </w:rPr>
            <w:fldChar w:fldCharType="begin"/>
          </w:r>
          <w:r>
            <w:instrText xml:space="preserve"> HYPERLINK \l _Toc29048 </w:instrText>
          </w:r>
          <w:r>
            <w:fldChar w:fldCharType="separate"/>
          </w:r>
          <w:r>
            <w:rPr>
              <w:rFonts w:hint="eastAsia"/>
            </w:rPr>
            <w:t>1.8 环境保护目标</w:t>
          </w:r>
          <w:r>
            <w:tab/>
          </w:r>
          <w:r>
            <w:fldChar w:fldCharType="begin"/>
          </w:r>
          <w:r>
            <w:instrText xml:space="preserve"> PAGEREF _Toc29048 \h </w:instrText>
          </w:r>
          <w:r>
            <w:fldChar w:fldCharType="separate"/>
          </w:r>
          <w:r>
            <w:t>37</w:t>
          </w:r>
          <w:r>
            <w:fldChar w:fldCharType="end"/>
          </w:r>
          <w:r>
            <w:rPr>
              <w:color w:val="000000" w:themeColor="text1"/>
              <w14:textFill>
                <w14:solidFill>
                  <w14:schemeClr w14:val="tx1"/>
                </w14:solidFill>
              </w14:textFill>
            </w:rPr>
            <w:fldChar w:fldCharType="end"/>
          </w:r>
        </w:p>
        <w:p w14:paraId="430F8BAA">
          <w:pPr>
            <w:pStyle w:val="18"/>
            <w:tabs>
              <w:tab w:val="right" w:leader="dot" w:pos="8306"/>
            </w:tabs>
          </w:pPr>
          <w:r>
            <w:rPr>
              <w:color w:val="000000" w:themeColor="text1"/>
              <w14:textFill>
                <w14:solidFill>
                  <w14:schemeClr w14:val="tx1"/>
                </w14:solidFill>
              </w14:textFill>
            </w:rPr>
            <w:fldChar w:fldCharType="begin"/>
          </w:r>
          <w:r>
            <w:instrText xml:space="preserve"> HYPERLINK \l _Toc14344 </w:instrText>
          </w:r>
          <w:r>
            <w:fldChar w:fldCharType="separate"/>
          </w:r>
          <w:r>
            <w:rPr>
              <w:rFonts w:hint="eastAsia"/>
            </w:rPr>
            <w:t>1.9 评价内容及评价重点</w:t>
          </w:r>
          <w:r>
            <w:tab/>
          </w:r>
          <w:r>
            <w:fldChar w:fldCharType="begin"/>
          </w:r>
          <w:r>
            <w:instrText xml:space="preserve"> PAGEREF _Toc14344 \h </w:instrText>
          </w:r>
          <w:r>
            <w:fldChar w:fldCharType="separate"/>
          </w:r>
          <w:r>
            <w:t>41</w:t>
          </w:r>
          <w:r>
            <w:fldChar w:fldCharType="end"/>
          </w:r>
          <w:r>
            <w:rPr>
              <w:color w:val="000000" w:themeColor="text1"/>
              <w14:textFill>
                <w14:solidFill>
                  <w14:schemeClr w14:val="tx1"/>
                </w14:solidFill>
              </w14:textFill>
            </w:rPr>
            <w:fldChar w:fldCharType="end"/>
          </w:r>
        </w:p>
        <w:p w14:paraId="4A5AF667">
          <w:pPr>
            <w:pStyle w:val="13"/>
            <w:tabs>
              <w:tab w:val="right" w:leader="dot" w:pos="8306"/>
            </w:tabs>
          </w:pPr>
          <w:r>
            <w:rPr>
              <w:color w:val="000000" w:themeColor="text1"/>
              <w14:textFill>
                <w14:solidFill>
                  <w14:schemeClr w14:val="tx1"/>
                </w14:solidFill>
              </w14:textFill>
            </w:rPr>
            <w:fldChar w:fldCharType="begin"/>
          </w:r>
          <w:r>
            <w:instrText xml:space="preserve"> HYPERLINK \l _Toc27152 </w:instrText>
          </w:r>
          <w:r>
            <w:fldChar w:fldCharType="separate"/>
          </w:r>
          <w:r>
            <w:rPr>
              <w:rFonts w:hint="eastAsia"/>
            </w:rPr>
            <w:t>1.9.1</w:t>
          </w:r>
          <w:r>
            <w:t>评价内容</w:t>
          </w:r>
          <w:r>
            <w:tab/>
          </w:r>
          <w:r>
            <w:fldChar w:fldCharType="begin"/>
          </w:r>
          <w:r>
            <w:instrText xml:space="preserve"> PAGEREF _Toc27152 \h </w:instrText>
          </w:r>
          <w:r>
            <w:fldChar w:fldCharType="separate"/>
          </w:r>
          <w:r>
            <w:t>41</w:t>
          </w:r>
          <w:r>
            <w:fldChar w:fldCharType="end"/>
          </w:r>
          <w:r>
            <w:rPr>
              <w:color w:val="000000" w:themeColor="text1"/>
              <w14:textFill>
                <w14:solidFill>
                  <w14:schemeClr w14:val="tx1"/>
                </w14:solidFill>
              </w14:textFill>
            </w:rPr>
            <w:fldChar w:fldCharType="end"/>
          </w:r>
        </w:p>
        <w:p w14:paraId="10F79B04">
          <w:pPr>
            <w:pStyle w:val="13"/>
            <w:tabs>
              <w:tab w:val="right" w:leader="dot" w:pos="8306"/>
            </w:tabs>
          </w:pPr>
          <w:r>
            <w:rPr>
              <w:color w:val="000000" w:themeColor="text1"/>
              <w14:textFill>
                <w14:solidFill>
                  <w14:schemeClr w14:val="tx1"/>
                </w14:solidFill>
              </w14:textFill>
            </w:rPr>
            <w:fldChar w:fldCharType="begin"/>
          </w:r>
          <w:r>
            <w:instrText xml:space="preserve"> HYPERLINK \l _Toc2883 </w:instrText>
          </w:r>
          <w:r>
            <w:fldChar w:fldCharType="separate"/>
          </w:r>
          <w:r>
            <w:t>1.</w:t>
          </w:r>
          <w:r>
            <w:rPr>
              <w:rFonts w:hint="eastAsia"/>
            </w:rPr>
            <w:t>9</w:t>
          </w:r>
          <w:r>
            <w:t>.2评价重点</w:t>
          </w:r>
          <w:r>
            <w:tab/>
          </w:r>
          <w:r>
            <w:fldChar w:fldCharType="begin"/>
          </w:r>
          <w:r>
            <w:instrText xml:space="preserve"> PAGEREF _Toc2883 \h </w:instrText>
          </w:r>
          <w:r>
            <w:fldChar w:fldCharType="separate"/>
          </w:r>
          <w:r>
            <w:t>41</w:t>
          </w:r>
          <w:r>
            <w:fldChar w:fldCharType="end"/>
          </w:r>
          <w:r>
            <w:rPr>
              <w:color w:val="000000" w:themeColor="text1"/>
              <w14:textFill>
                <w14:solidFill>
                  <w14:schemeClr w14:val="tx1"/>
                </w14:solidFill>
              </w14:textFill>
            </w:rPr>
            <w:fldChar w:fldCharType="end"/>
          </w:r>
        </w:p>
        <w:p w14:paraId="425F40C3">
          <w:pPr>
            <w:pStyle w:val="18"/>
            <w:tabs>
              <w:tab w:val="right" w:leader="dot" w:pos="8306"/>
            </w:tabs>
          </w:pPr>
          <w:r>
            <w:rPr>
              <w:color w:val="000000" w:themeColor="text1"/>
              <w14:textFill>
                <w14:solidFill>
                  <w14:schemeClr w14:val="tx1"/>
                </w14:solidFill>
              </w14:textFill>
            </w:rPr>
            <w:fldChar w:fldCharType="begin"/>
          </w:r>
          <w:r>
            <w:instrText xml:space="preserve"> HYPERLINK \l _Toc26747 </w:instrText>
          </w:r>
          <w:r>
            <w:fldChar w:fldCharType="separate"/>
          </w:r>
          <w:r>
            <w:rPr>
              <w:rFonts w:hint="eastAsia"/>
            </w:rPr>
            <w:t>1.10 评价方法及评价工作程序</w:t>
          </w:r>
          <w:r>
            <w:tab/>
          </w:r>
          <w:r>
            <w:fldChar w:fldCharType="begin"/>
          </w:r>
          <w:r>
            <w:instrText xml:space="preserve"> PAGEREF _Toc26747 \h </w:instrText>
          </w:r>
          <w:r>
            <w:fldChar w:fldCharType="separate"/>
          </w:r>
          <w:r>
            <w:t>41</w:t>
          </w:r>
          <w:r>
            <w:fldChar w:fldCharType="end"/>
          </w:r>
          <w:r>
            <w:rPr>
              <w:color w:val="000000" w:themeColor="text1"/>
              <w14:textFill>
                <w14:solidFill>
                  <w14:schemeClr w14:val="tx1"/>
                </w14:solidFill>
              </w14:textFill>
            </w:rPr>
            <w:fldChar w:fldCharType="end"/>
          </w:r>
        </w:p>
        <w:p w14:paraId="7C7DC137">
          <w:pPr>
            <w:pStyle w:val="13"/>
            <w:tabs>
              <w:tab w:val="right" w:leader="dot" w:pos="8306"/>
            </w:tabs>
          </w:pPr>
          <w:r>
            <w:rPr>
              <w:color w:val="000000" w:themeColor="text1"/>
              <w14:textFill>
                <w14:solidFill>
                  <w14:schemeClr w14:val="tx1"/>
                </w14:solidFill>
              </w14:textFill>
            </w:rPr>
            <w:fldChar w:fldCharType="begin"/>
          </w:r>
          <w:r>
            <w:instrText xml:space="preserve"> HYPERLINK \l _Toc6731 </w:instrText>
          </w:r>
          <w:r>
            <w:fldChar w:fldCharType="separate"/>
          </w:r>
          <w:r>
            <w:rPr>
              <w:rFonts w:hint="eastAsia"/>
            </w:rPr>
            <w:t>1.10.1评价方法</w:t>
          </w:r>
          <w:r>
            <w:tab/>
          </w:r>
          <w:r>
            <w:fldChar w:fldCharType="begin"/>
          </w:r>
          <w:r>
            <w:instrText xml:space="preserve"> PAGEREF _Toc6731 \h </w:instrText>
          </w:r>
          <w:r>
            <w:fldChar w:fldCharType="separate"/>
          </w:r>
          <w:r>
            <w:t>41</w:t>
          </w:r>
          <w:r>
            <w:fldChar w:fldCharType="end"/>
          </w:r>
          <w:r>
            <w:rPr>
              <w:color w:val="000000" w:themeColor="text1"/>
              <w14:textFill>
                <w14:solidFill>
                  <w14:schemeClr w14:val="tx1"/>
                </w14:solidFill>
              </w14:textFill>
            </w:rPr>
            <w:fldChar w:fldCharType="end"/>
          </w:r>
        </w:p>
        <w:p w14:paraId="2BA7E42C">
          <w:pPr>
            <w:pStyle w:val="13"/>
            <w:tabs>
              <w:tab w:val="right" w:leader="dot" w:pos="8306"/>
            </w:tabs>
          </w:pPr>
          <w:r>
            <w:rPr>
              <w:color w:val="000000" w:themeColor="text1"/>
              <w14:textFill>
                <w14:solidFill>
                  <w14:schemeClr w14:val="tx1"/>
                </w14:solidFill>
              </w14:textFill>
            </w:rPr>
            <w:fldChar w:fldCharType="begin"/>
          </w:r>
          <w:r>
            <w:instrText xml:space="preserve"> HYPERLINK \l _Toc17568 </w:instrText>
          </w:r>
          <w:r>
            <w:fldChar w:fldCharType="separate"/>
          </w:r>
          <w:r>
            <w:rPr>
              <w:rFonts w:hint="eastAsia"/>
            </w:rPr>
            <w:t>1.10.2评价工作程序</w:t>
          </w:r>
          <w:r>
            <w:tab/>
          </w:r>
          <w:r>
            <w:fldChar w:fldCharType="begin"/>
          </w:r>
          <w:r>
            <w:instrText xml:space="preserve"> PAGEREF _Toc17568 \h </w:instrText>
          </w:r>
          <w:r>
            <w:fldChar w:fldCharType="separate"/>
          </w:r>
          <w:r>
            <w:t>41</w:t>
          </w:r>
          <w:r>
            <w:fldChar w:fldCharType="end"/>
          </w:r>
          <w:r>
            <w:rPr>
              <w:color w:val="000000" w:themeColor="text1"/>
              <w14:textFill>
                <w14:solidFill>
                  <w14:schemeClr w14:val="tx1"/>
                </w14:solidFill>
              </w14:textFill>
            </w:rPr>
            <w:fldChar w:fldCharType="end"/>
          </w:r>
        </w:p>
        <w:p w14:paraId="3498E278">
          <w:pPr>
            <w:pStyle w:val="17"/>
            <w:tabs>
              <w:tab w:val="right" w:leader="dot" w:pos="8306"/>
            </w:tabs>
          </w:pPr>
          <w:r>
            <w:rPr>
              <w:color w:val="000000" w:themeColor="text1"/>
              <w14:textFill>
                <w14:solidFill>
                  <w14:schemeClr w14:val="tx1"/>
                </w14:solidFill>
              </w14:textFill>
            </w:rPr>
            <w:fldChar w:fldCharType="begin"/>
          </w:r>
          <w:r>
            <w:instrText xml:space="preserve"> HYPERLINK \l _Toc29124 </w:instrText>
          </w:r>
          <w:r>
            <w:fldChar w:fldCharType="separate"/>
          </w:r>
          <w:r>
            <w:rPr>
              <w:rFonts w:hint="eastAsia"/>
            </w:rPr>
            <w:t>2、项目概况</w:t>
          </w:r>
          <w:r>
            <w:tab/>
          </w:r>
          <w:r>
            <w:fldChar w:fldCharType="begin"/>
          </w:r>
          <w:r>
            <w:instrText xml:space="preserve"> PAGEREF _Toc29124 \h </w:instrText>
          </w:r>
          <w:r>
            <w:fldChar w:fldCharType="separate"/>
          </w:r>
          <w:r>
            <w:t>43</w:t>
          </w:r>
          <w:r>
            <w:fldChar w:fldCharType="end"/>
          </w:r>
          <w:r>
            <w:rPr>
              <w:color w:val="000000" w:themeColor="text1"/>
              <w14:textFill>
                <w14:solidFill>
                  <w14:schemeClr w14:val="tx1"/>
                </w14:solidFill>
              </w14:textFill>
            </w:rPr>
            <w:fldChar w:fldCharType="end"/>
          </w:r>
        </w:p>
        <w:p w14:paraId="5E9A7A44">
          <w:pPr>
            <w:pStyle w:val="18"/>
            <w:tabs>
              <w:tab w:val="right" w:leader="dot" w:pos="8306"/>
            </w:tabs>
          </w:pPr>
          <w:r>
            <w:rPr>
              <w:color w:val="000000" w:themeColor="text1"/>
              <w14:textFill>
                <w14:solidFill>
                  <w14:schemeClr w14:val="tx1"/>
                </w14:solidFill>
              </w14:textFill>
            </w:rPr>
            <w:fldChar w:fldCharType="begin"/>
          </w:r>
          <w:r>
            <w:instrText xml:space="preserve"> HYPERLINK \l _Toc25503 </w:instrText>
          </w:r>
          <w:r>
            <w:fldChar w:fldCharType="separate"/>
          </w:r>
          <w:r>
            <w:rPr>
              <w:rFonts w:hint="eastAsia"/>
            </w:rPr>
            <w:t>2.1 项目概况</w:t>
          </w:r>
          <w:r>
            <w:tab/>
          </w:r>
          <w:r>
            <w:fldChar w:fldCharType="begin"/>
          </w:r>
          <w:r>
            <w:instrText xml:space="preserve"> PAGEREF _Toc25503 \h </w:instrText>
          </w:r>
          <w:r>
            <w:fldChar w:fldCharType="separate"/>
          </w:r>
          <w:r>
            <w:t>43</w:t>
          </w:r>
          <w:r>
            <w:fldChar w:fldCharType="end"/>
          </w:r>
          <w:r>
            <w:rPr>
              <w:color w:val="000000" w:themeColor="text1"/>
              <w14:textFill>
                <w14:solidFill>
                  <w14:schemeClr w14:val="tx1"/>
                </w14:solidFill>
              </w14:textFill>
            </w:rPr>
            <w:fldChar w:fldCharType="end"/>
          </w:r>
        </w:p>
        <w:p w14:paraId="53ACE376">
          <w:pPr>
            <w:pStyle w:val="13"/>
            <w:tabs>
              <w:tab w:val="right" w:leader="dot" w:pos="8306"/>
            </w:tabs>
          </w:pPr>
          <w:r>
            <w:rPr>
              <w:color w:val="000000" w:themeColor="text1"/>
              <w14:textFill>
                <w14:solidFill>
                  <w14:schemeClr w14:val="tx1"/>
                </w14:solidFill>
              </w14:textFill>
            </w:rPr>
            <w:fldChar w:fldCharType="begin"/>
          </w:r>
          <w:r>
            <w:instrText xml:space="preserve"> HYPERLINK \l _Toc26926 </w:instrText>
          </w:r>
          <w:r>
            <w:fldChar w:fldCharType="separate"/>
          </w:r>
          <w:r>
            <w:rPr>
              <w:rFonts w:hint="eastAsia"/>
            </w:rPr>
            <w:t>2.1.1基本情况</w:t>
          </w:r>
          <w:r>
            <w:tab/>
          </w:r>
          <w:r>
            <w:fldChar w:fldCharType="begin"/>
          </w:r>
          <w:r>
            <w:instrText xml:space="preserve"> PAGEREF _Toc26926 \h </w:instrText>
          </w:r>
          <w:r>
            <w:fldChar w:fldCharType="separate"/>
          </w:r>
          <w:r>
            <w:t>43</w:t>
          </w:r>
          <w:r>
            <w:fldChar w:fldCharType="end"/>
          </w:r>
          <w:r>
            <w:rPr>
              <w:color w:val="000000" w:themeColor="text1"/>
              <w14:textFill>
                <w14:solidFill>
                  <w14:schemeClr w14:val="tx1"/>
                </w14:solidFill>
              </w14:textFill>
            </w:rPr>
            <w:fldChar w:fldCharType="end"/>
          </w:r>
        </w:p>
        <w:p w14:paraId="226C6E73">
          <w:pPr>
            <w:pStyle w:val="13"/>
            <w:tabs>
              <w:tab w:val="right" w:leader="dot" w:pos="8306"/>
            </w:tabs>
          </w:pPr>
          <w:r>
            <w:rPr>
              <w:color w:val="000000" w:themeColor="text1"/>
              <w14:textFill>
                <w14:solidFill>
                  <w14:schemeClr w14:val="tx1"/>
                </w14:solidFill>
              </w14:textFill>
            </w:rPr>
            <w:fldChar w:fldCharType="begin"/>
          </w:r>
          <w:r>
            <w:instrText xml:space="preserve"> HYPERLINK \l _Toc12878 </w:instrText>
          </w:r>
          <w:r>
            <w:fldChar w:fldCharType="separate"/>
          </w:r>
          <w:r>
            <w:rPr>
              <w:rFonts w:hint="eastAsia"/>
            </w:rPr>
            <w:t>2.1.2 地理位置及交通</w:t>
          </w:r>
          <w:r>
            <w:tab/>
          </w:r>
          <w:r>
            <w:fldChar w:fldCharType="begin"/>
          </w:r>
          <w:r>
            <w:instrText xml:space="preserve"> PAGEREF _Toc12878 \h </w:instrText>
          </w:r>
          <w:r>
            <w:fldChar w:fldCharType="separate"/>
          </w:r>
          <w:r>
            <w:t>43</w:t>
          </w:r>
          <w:r>
            <w:fldChar w:fldCharType="end"/>
          </w:r>
          <w:r>
            <w:rPr>
              <w:color w:val="000000" w:themeColor="text1"/>
              <w14:textFill>
                <w14:solidFill>
                  <w14:schemeClr w14:val="tx1"/>
                </w14:solidFill>
              </w14:textFill>
            </w:rPr>
            <w:fldChar w:fldCharType="end"/>
          </w:r>
        </w:p>
        <w:p w14:paraId="7194815F">
          <w:pPr>
            <w:pStyle w:val="13"/>
            <w:tabs>
              <w:tab w:val="right" w:leader="dot" w:pos="8306"/>
            </w:tabs>
          </w:pPr>
          <w:r>
            <w:rPr>
              <w:color w:val="000000" w:themeColor="text1"/>
              <w14:textFill>
                <w14:solidFill>
                  <w14:schemeClr w14:val="tx1"/>
                </w14:solidFill>
              </w14:textFill>
            </w:rPr>
            <w:fldChar w:fldCharType="begin"/>
          </w:r>
          <w:r>
            <w:instrText xml:space="preserve"> HYPERLINK \l _Toc18423 </w:instrText>
          </w:r>
          <w:r>
            <w:fldChar w:fldCharType="separate"/>
          </w:r>
          <w:r>
            <w:rPr>
              <w:rFonts w:hint="eastAsia"/>
            </w:rPr>
            <w:t>2.1.3 建设内容</w:t>
          </w:r>
          <w:r>
            <w:tab/>
          </w:r>
          <w:r>
            <w:fldChar w:fldCharType="begin"/>
          </w:r>
          <w:r>
            <w:instrText xml:space="preserve"> PAGEREF _Toc18423 \h </w:instrText>
          </w:r>
          <w:r>
            <w:fldChar w:fldCharType="separate"/>
          </w:r>
          <w:r>
            <w:t>43</w:t>
          </w:r>
          <w:r>
            <w:fldChar w:fldCharType="end"/>
          </w:r>
          <w:r>
            <w:rPr>
              <w:color w:val="000000" w:themeColor="text1"/>
              <w14:textFill>
                <w14:solidFill>
                  <w14:schemeClr w14:val="tx1"/>
                </w14:solidFill>
              </w14:textFill>
            </w:rPr>
            <w:fldChar w:fldCharType="end"/>
          </w:r>
        </w:p>
        <w:p w14:paraId="5D34A1EB">
          <w:pPr>
            <w:pStyle w:val="13"/>
            <w:tabs>
              <w:tab w:val="right" w:leader="dot" w:pos="8306"/>
            </w:tabs>
          </w:pPr>
          <w:r>
            <w:rPr>
              <w:color w:val="000000" w:themeColor="text1"/>
              <w14:textFill>
                <w14:solidFill>
                  <w14:schemeClr w14:val="tx1"/>
                </w14:solidFill>
              </w14:textFill>
            </w:rPr>
            <w:fldChar w:fldCharType="begin"/>
          </w:r>
          <w:r>
            <w:instrText xml:space="preserve"> HYPERLINK \l _Toc30863 </w:instrText>
          </w:r>
          <w:r>
            <w:fldChar w:fldCharType="separate"/>
          </w:r>
          <w:r>
            <w:rPr>
              <w:rFonts w:hint="eastAsia"/>
            </w:rPr>
            <w:t>2.1.4 产品方案及规模</w:t>
          </w:r>
          <w:r>
            <w:tab/>
          </w:r>
          <w:r>
            <w:fldChar w:fldCharType="begin"/>
          </w:r>
          <w:r>
            <w:instrText xml:space="preserve"> PAGEREF _Toc30863 \h </w:instrText>
          </w:r>
          <w:r>
            <w:fldChar w:fldCharType="separate"/>
          </w:r>
          <w:r>
            <w:t>45</w:t>
          </w:r>
          <w:r>
            <w:fldChar w:fldCharType="end"/>
          </w:r>
          <w:r>
            <w:rPr>
              <w:color w:val="000000" w:themeColor="text1"/>
              <w14:textFill>
                <w14:solidFill>
                  <w14:schemeClr w14:val="tx1"/>
                </w14:solidFill>
              </w14:textFill>
            </w:rPr>
            <w:fldChar w:fldCharType="end"/>
          </w:r>
        </w:p>
        <w:p w14:paraId="21FB8BC1">
          <w:pPr>
            <w:pStyle w:val="13"/>
            <w:tabs>
              <w:tab w:val="right" w:leader="dot" w:pos="8306"/>
            </w:tabs>
          </w:pPr>
          <w:r>
            <w:rPr>
              <w:color w:val="000000" w:themeColor="text1"/>
              <w14:textFill>
                <w14:solidFill>
                  <w14:schemeClr w14:val="tx1"/>
                </w14:solidFill>
              </w14:textFill>
            </w:rPr>
            <w:fldChar w:fldCharType="begin"/>
          </w:r>
          <w:r>
            <w:instrText xml:space="preserve"> HYPERLINK \l _Toc1022 </w:instrText>
          </w:r>
          <w:r>
            <w:fldChar w:fldCharType="separate"/>
          </w:r>
          <w:r>
            <w:rPr>
              <w:rFonts w:hint="eastAsia"/>
            </w:rPr>
            <w:t>2.1.5 原辅材料及能源</w:t>
          </w:r>
          <w:r>
            <w:tab/>
          </w:r>
          <w:r>
            <w:fldChar w:fldCharType="begin"/>
          </w:r>
          <w:r>
            <w:instrText xml:space="preserve"> PAGEREF _Toc1022 \h </w:instrText>
          </w:r>
          <w:r>
            <w:fldChar w:fldCharType="separate"/>
          </w:r>
          <w:r>
            <w:t>45</w:t>
          </w:r>
          <w:r>
            <w:fldChar w:fldCharType="end"/>
          </w:r>
          <w:r>
            <w:rPr>
              <w:color w:val="000000" w:themeColor="text1"/>
              <w14:textFill>
                <w14:solidFill>
                  <w14:schemeClr w14:val="tx1"/>
                </w14:solidFill>
              </w14:textFill>
            </w:rPr>
            <w:fldChar w:fldCharType="end"/>
          </w:r>
        </w:p>
        <w:p w14:paraId="10D5562B">
          <w:pPr>
            <w:pStyle w:val="13"/>
            <w:tabs>
              <w:tab w:val="right" w:leader="dot" w:pos="8306"/>
            </w:tabs>
          </w:pPr>
          <w:r>
            <w:rPr>
              <w:color w:val="000000" w:themeColor="text1"/>
              <w14:textFill>
                <w14:solidFill>
                  <w14:schemeClr w14:val="tx1"/>
                </w14:solidFill>
              </w14:textFill>
            </w:rPr>
            <w:fldChar w:fldCharType="begin"/>
          </w:r>
          <w:r>
            <w:instrText xml:space="preserve"> HYPERLINK \l _Toc29762 </w:instrText>
          </w:r>
          <w:r>
            <w:fldChar w:fldCharType="separate"/>
          </w:r>
          <w:r>
            <w:rPr>
              <w:rFonts w:hint="eastAsia"/>
            </w:rPr>
            <w:t>2.1.6 主要生产设备</w:t>
          </w:r>
          <w:r>
            <w:tab/>
          </w:r>
          <w:r>
            <w:fldChar w:fldCharType="begin"/>
          </w:r>
          <w:r>
            <w:instrText xml:space="preserve"> PAGEREF _Toc29762 \h </w:instrText>
          </w:r>
          <w:r>
            <w:fldChar w:fldCharType="separate"/>
          </w:r>
          <w:r>
            <w:t>48</w:t>
          </w:r>
          <w:r>
            <w:fldChar w:fldCharType="end"/>
          </w:r>
          <w:r>
            <w:rPr>
              <w:color w:val="000000" w:themeColor="text1"/>
              <w14:textFill>
                <w14:solidFill>
                  <w14:schemeClr w14:val="tx1"/>
                </w14:solidFill>
              </w14:textFill>
            </w:rPr>
            <w:fldChar w:fldCharType="end"/>
          </w:r>
        </w:p>
        <w:p w14:paraId="5320C60A">
          <w:pPr>
            <w:pStyle w:val="13"/>
            <w:tabs>
              <w:tab w:val="right" w:leader="dot" w:pos="8306"/>
            </w:tabs>
          </w:pPr>
          <w:r>
            <w:rPr>
              <w:color w:val="000000" w:themeColor="text1"/>
              <w14:textFill>
                <w14:solidFill>
                  <w14:schemeClr w14:val="tx1"/>
                </w14:solidFill>
              </w14:textFill>
            </w:rPr>
            <w:fldChar w:fldCharType="begin"/>
          </w:r>
          <w:r>
            <w:instrText xml:space="preserve"> HYPERLINK \l _Toc27951 </w:instrText>
          </w:r>
          <w:r>
            <w:fldChar w:fldCharType="separate"/>
          </w:r>
          <w:r>
            <w:rPr>
              <w:rFonts w:hint="eastAsia"/>
            </w:rPr>
            <w:t>2.1.7 平面布置</w:t>
          </w:r>
          <w:r>
            <w:tab/>
          </w:r>
          <w:r>
            <w:fldChar w:fldCharType="begin"/>
          </w:r>
          <w:r>
            <w:instrText xml:space="preserve"> PAGEREF _Toc27951 \h </w:instrText>
          </w:r>
          <w:r>
            <w:fldChar w:fldCharType="separate"/>
          </w:r>
          <w:r>
            <w:t>49</w:t>
          </w:r>
          <w:r>
            <w:fldChar w:fldCharType="end"/>
          </w:r>
          <w:r>
            <w:rPr>
              <w:color w:val="000000" w:themeColor="text1"/>
              <w14:textFill>
                <w14:solidFill>
                  <w14:schemeClr w14:val="tx1"/>
                </w14:solidFill>
              </w14:textFill>
            </w:rPr>
            <w:fldChar w:fldCharType="end"/>
          </w:r>
        </w:p>
        <w:p w14:paraId="572932DE">
          <w:pPr>
            <w:pStyle w:val="13"/>
            <w:tabs>
              <w:tab w:val="right" w:leader="dot" w:pos="8306"/>
            </w:tabs>
          </w:pPr>
          <w:r>
            <w:rPr>
              <w:color w:val="000000" w:themeColor="text1"/>
              <w14:textFill>
                <w14:solidFill>
                  <w14:schemeClr w14:val="tx1"/>
                </w14:solidFill>
              </w14:textFill>
            </w:rPr>
            <w:fldChar w:fldCharType="begin"/>
          </w:r>
          <w:r>
            <w:instrText xml:space="preserve"> HYPERLINK \l _Toc24809 </w:instrText>
          </w:r>
          <w:r>
            <w:fldChar w:fldCharType="separate"/>
          </w:r>
          <w:r>
            <w:rPr>
              <w:rFonts w:hint="eastAsia"/>
            </w:rPr>
            <w:t>2.1.8 公用工程</w:t>
          </w:r>
          <w:r>
            <w:tab/>
          </w:r>
          <w:r>
            <w:fldChar w:fldCharType="begin"/>
          </w:r>
          <w:r>
            <w:instrText xml:space="preserve"> PAGEREF _Toc24809 \h </w:instrText>
          </w:r>
          <w:r>
            <w:fldChar w:fldCharType="separate"/>
          </w:r>
          <w:r>
            <w:t>49</w:t>
          </w:r>
          <w:r>
            <w:fldChar w:fldCharType="end"/>
          </w:r>
          <w:r>
            <w:rPr>
              <w:color w:val="000000" w:themeColor="text1"/>
              <w14:textFill>
                <w14:solidFill>
                  <w14:schemeClr w14:val="tx1"/>
                </w14:solidFill>
              </w14:textFill>
            </w:rPr>
            <w:fldChar w:fldCharType="end"/>
          </w:r>
        </w:p>
        <w:p w14:paraId="489C869B">
          <w:pPr>
            <w:pStyle w:val="13"/>
            <w:tabs>
              <w:tab w:val="right" w:leader="dot" w:pos="8306"/>
            </w:tabs>
          </w:pPr>
          <w:r>
            <w:rPr>
              <w:color w:val="000000" w:themeColor="text1"/>
              <w14:textFill>
                <w14:solidFill>
                  <w14:schemeClr w14:val="tx1"/>
                </w14:solidFill>
              </w14:textFill>
            </w:rPr>
            <w:fldChar w:fldCharType="begin"/>
          </w:r>
          <w:r>
            <w:instrText xml:space="preserve"> HYPERLINK \l _Toc30512 </w:instrText>
          </w:r>
          <w:r>
            <w:fldChar w:fldCharType="separate"/>
          </w:r>
          <w:r>
            <w:rPr>
              <w:rFonts w:hint="eastAsia"/>
            </w:rPr>
            <w:t>2.1.9 工作制度及劳动定员</w:t>
          </w:r>
          <w:r>
            <w:tab/>
          </w:r>
          <w:r>
            <w:fldChar w:fldCharType="begin"/>
          </w:r>
          <w:r>
            <w:instrText xml:space="preserve"> PAGEREF _Toc30512 \h </w:instrText>
          </w:r>
          <w:r>
            <w:fldChar w:fldCharType="separate"/>
          </w:r>
          <w:r>
            <w:t>49</w:t>
          </w:r>
          <w:r>
            <w:fldChar w:fldCharType="end"/>
          </w:r>
          <w:r>
            <w:rPr>
              <w:color w:val="000000" w:themeColor="text1"/>
              <w14:textFill>
                <w14:solidFill>
                  <w14:schemeClr w14:val="tx1"/>
                </w14:solidFill>
              </w14:textFill>
            </w:rPr>
            <w:fldChar w:fldCharType="end"/>
          </w:r>
        </w:p>
        <w:p w14:paraId="29F207B1">
          <w:pPr>
            <w:pStyle w:val="13"/>
            <w:tabs>
              <w:tab w:val="right" w:leader="dot" w:pos="8306"/>
            </w:tabs>
          </w:pPr>
          <w:r>
            <w:rPr>
              <w:color w:val="000000" w:themeColor="text1"/>
              <w14:textFill>
                <w14:solidFill>
                  <w14:schemeClr w14:val="tx1"/>
                </w14:solidFill>
              </w14:textFill>
            </w:rPr>
            <w:fldChar w:fldCharType="begin"/>
          </w:r>
          <w:r>
            <w:instrText xml:space="preserve"> HYPERLINK \l _Toc31021 </w:instrText>
          </w:r>
          <w:r>
            <w:fldChar w:fldCharType="separate"/>
          </w:r>
          <w:r>
            <w:rPr>
              <w:rFonts w:hint="eastAsia"/>
            </w:rPr>
            <w:t>2.1.10 平衡分析</w:t>
          </w:r>
          <w:r>
            <w:tab/>
          </w:r>
          <w:r>
            <w:fldChar w:fldCharType="begin"/>
          </w:r>
          <w:r>
            <w:instrText xml:space="preserve"> PAGEREF _Toc31021 \h </w:instrText>
          </w:r>
          <w:r>
            <w:fldChar w:fldCharType="separate"/>
          </w:r>
          <w:r>
            <w:t>50</w:t>
          </w:r>
          <w:r>
            <w:fldChar w:fldCharType="end"/>
          </w:r>
          <w:r>
            <w:rPr>
              <w:color w:val="000000" w:themeColor="text1"/>
              <w14:textFill>
                <w14:solidFill>
                  <w14:schemeClr w14:val="tx1"/>
                </w14:solidFill>
              </w14:textFill>
            </w:rPr>
            <w:fldChar w:fldCharType="end"/>
          </w:r>
        </w:p>
        <w:p w14:paraId="5A85C1C3">
          <w:pPr>
            <w:pStyle w:val="18"/>
            <w:tabs>
              <w:tab w:val="right" w:leader="dot" w:pos="8306"/>
            </w:tabs>
          </w:pPr>
          <w:r>
            <w:rPr>
              <w:color w:val="000000" w:themeColor="text1"/>
              <w14:textFill>
                <w14:solidFill>
                  <w14:schemeClr w14:val="tx1"/>
                </w14:solidFill>
              </w14:textFill>
            </w:rPr>
            <w:fldChar w:fldCharType="begin"/>
          </w:r>
          <w:r>
            <w:instrText xml:space="preserve"> HYPERLINK \l _Toc6446 </w:instrText>
          </w:r>
          <w:r>
            <w:fldChar w:fldCharType="separate"/>
          </w:r>
          <w:r>
            <w:rPr>
              <w:rFonts w:hint="eastAsia"/>
            </w:rPr>
            <w:t>2.2依托项目概况</w:t>
          </w:r>
          <w:r>
            <w:tab/>
          </w:r>
          <w:r>
            <w:fldChar w:fldCharType="begin"/>
          </w:r>
          <w:r>
            <w:instrText xml:space="preserve"> PAGEREF _Toc6446 \h </w:instrText>
          </w:r>
          <w:r>
            <w:fldChar w:fldCharType="separate"/>
          </w:r>
          <w:r>
            <w:t>53</w:t>
          </w:r>
          <w:r>
            <w:fldChar w:fldCharType="end"/>
          </w:r>
          <w:r>
            <w:rPr>
              <w:color w:val="000000" w:themeColor="text1"/>
              <w14:textFill>
                <w14:solidFill>
                  <w14:schemeClr w14:val="tx1"/>
                </w14:solidFill>
              </w14:textFill>
            </w:rPr>
            <w:fldChar w:fldCharType="end"/>
          </w:r>
        </w:p>
        <w:p w14:paraId="0D55ACAA">
          <w:pPr>
            <w:pStyle w:val="13"/>
            <w:tabs>
              <w:tab w:val="right" w:leader="dot" w:pos="8306"/>
            </w:tabs>
          </w:pPr>
          <w:r>
            <w:rPr>
              <w:color w:val="000000" w:themeColor="text1"/>
              <w14:textFill>
                <w14:solidFill>
                  <w14:schemeClr w14:val="tx1"/>
                </w14:solidFill>
              </w14:textFill>
            </w:rPr>
            <w:fldChar w:fldCharType="begin"/>
          </w:r>
          <w:r>
            <w:instrText xml:space="preserve"> HYPERLINK \l _Toc10737 </w:instrText>
          </w:r>
          <w:r>
            <w:fldChar w:fldCharType="separate"/>
          </w:r>
          <w:r>
            <w:rPr>
              <w:rFonts w:hint="eastAsia"/>
            </w:rPr>
            <w:t>2.2.1环保手续办理情况</w:t>
          </w:r>
          <w:r>
            <w:tab/>
          </w:r>
          <w:r>
            <w:fldChar w:fldCharType="begin"/>
          </w:r>
          <w:r>
            <w:instrText xml:space="preserve"> PAGEREF _Toc10737 \h </w:instrText>
          </w:r>
          <w:r>
            <w:fldChar w:fldCharType="separate"/>
          </w:r>
          <w:r>
            <w:t>53</w:t>
          </w:r>
          <w:r>
            <w:fldChar w:fldCharType="end"/>
          </w:r>
          <w:r>
            <w:rPr>
              <w:color w:val="000000" w:themeColor="text1"/>
              <w14:textFill>
                <w14:solidFill>
                  <w14:schemeClr w14:val="tx1"/>
                </w14:solidFill>
              </w14:textFill>
            </w:rPr>
            <w:fldChar w:fldCharType="end"/>
          </w:r>
        </w:p>
        <w:p w14:paraId="417A7334">
          <w:pPr>
            <w:pStyle w:val="13"/>
            <w:tabs>
              <w:tab w:val="right" w:leader="dot" w:pos="8306"/>
            </w:tabs>
          </w:pPr>
          <w:r>
            <w:rPr>
              <w:color w:val="000000" w:themeColor="text1"/>
              <w14:textFill>
                <w14:solidFill>
                  <w14:schemeClr w14:val="tx1"/>
                </w14:solidFill>
              </w14:textFill>
            </w:rPr>
            <w:fldChar w:fldCharType="begin"/>
          </w:r>
          <w:r>
            <w:instrText xml:space="preserve"> HYPERLINK \l _Toc15687 </w:instrText>
          </w:r>
          <w:r>
            <w:fldChar w:fldCharType="separate"/>
          </w:r>
          <w:r>
            <w:rPr>
              <w:rFonts w:hint="eastAsia"/>
            </w:rPr>
            <w:t>2.2.2依托项目建设概况</w:t>
          </w:r>
          <w:r>
            <w:tab/>
          </w:r>
          <w:r>
            <w:fldChar w:fldCharType="begin"/>
          </w:r>
          <w:r>
            <w:instrText xml:space="preserve"> PAGEREF _Toc15687 \h </w:instrText>
          </w:r>
          <w:r>
            <w:fldChar w:fldCharType="separate"/>
          </w:r>
          <w:r>
            <w:t>54</w:t>
          </w:r>
          <w:r>
            <w:fldChar w:fldCharType="end"/>
          </w:r>
          <w:r>
            <w:rPr>
              <w:color w:val="000000" w:themeColor="text1"/>
              <w14:textFill>
                <w14:solidFill>
                  <w14:schemeClr w14:val="tx1"/>
                </w14:solidFill>
              </w14:textFill>
            </w:rPr>
            <w:fldChar w:fldCharType="end"/>
          </w:r>
        </w:p>
        <w:p w14:paraId="39E66130">
          <w:pPr>
            <w:pStyle w:val="13"/>
            <w:tabs>
              <w:tab w:val="right" w:leader="dot" w:pos="8306"/>
            </w:tabs>
          </w:pPr>
          <w:r>
            <w:rPr>
              <w:color w:val="000000" w:themeColor="text1"/>
              <w14:textFill>
                <w14:solidFill>
                  <w14:schemeClr w14:val="tx1"/>
                </w14:solidFill>
              </w14:textFill>
            </w:rPr>
            <w:fldChar w:fldCharType="begin"/>
          </w:r>
          <w:r>
            <w:instrText xml:space="preserve"> HYPERLINK \l _Toc10900 </w:instrText>
          </w:r>
          <w:r>
            <w:fldChar w:fldCharType="separate"/>
          </w:r>
          <w:r>
            <w:rPr>
              <w:rFonts w:hint="eastAsia"/>
            </w:rPr>
            <w:t>2.2.3环保责任划分情况</w:t>
          </w:r>
          <w:r>
            <w:tab/>
          </w:r>
          <w:r>
            <w:fldChar w:fldCharType="begin"/>
          </w:r>
          <w:r>
            <w:instrText xml:space="preserve"> PAGEREF _Toc10900 \h </w:instrText>
          </w:r>
          <w:r>
            <w:fldChar w:fldCharType="separate"/>
          </w:r>
          <w:r>
            <w:t>60</w:t>
          </w:r>
          <w:r>
            <w:fldChar w:fldCharType="end"/>
          </w:r>
          <w:r>
            <w:rPr>
              <w:color w:val="000000" w:themeColor="text1"/>
              <w14:textFill>
                <w14:solidFill>
                  <w14:schemeClr w14:val="tx1"/>
                </w14:solidFill>
              </w14:textFill>
            </w:rPr>
            <w:fldChar w:fldCharType="end"/>
          </w:r>
        </w:p>
        <w:p w14:paraId="4ED3269B">
          <w:pPr>
            <w:pStyle w:val="17"/>
            <w:tabs>
              <w:tab w:val="right" w:leader="dot" w:pos="8306"/>
            </w:tabs>
          </w:pPr>
          <w:r>
            <w:rPr>
              <w:color w:val="000000" w:themeColor="text1"/>
              <w14:textFill>
                <w14:solidFill>
                  <w14:schemeClr w14:val="tx1"/>
                </w14:solidFill>
              </w14:textFill>
            </w:rPr>
            <w:fldChar w:fldCharType="begin"/>
          </w:r>
          <w:r>
            <w:instrText xml:space="preserve"> HYPERLINK \l _Toc17455 </w:instrText>
          </w:r>
          <w:r>
            <w:fldChar w:fldCharType="separate"/>
          </w:r>
          <w:r>
            <w:rPr>
              <w:rFonts w:hint="eastAsia"/>
            </w:rPr>
            <w:t>3、工程分析</w:t>
          </w:r>
          <w:r>
            <w:tab/>
          </w:r>
          <w:r>
            <w:fldChar w:fldCharType="begin"/>
          </w:r>
          <w:r>
            <w:instrText xml:space="preserve"> PAGEREF _Toc17455 \h </w:instrText>
          </w:r>
          <w:r>
            <w:fldChar w:fldCharType="separate"/>
          </w:r>
          <w:r>
            <w:t>64</w:t>
          </w:r>
          <w:r>
            <w:fldChar w:fldCharType="end"/>
          </w:r>
          <w:r>
            <w:rPr>
              <w:color w:val="000000" w:themeColor="text1"/>
              <w14:textFill>
                <w14:solidFill>
                  <w14:schemeClr w14:val="tx1"/>
                </w14:solidFill>
              </w14:textFill>
            </w:rPr>
            <w:fldChar w:fldCharType="end"/>
          </w:r>
        </w:p>
        <w:p w14:paraId="164810AA">
          <w:pPr>
            <w:pStyle w:val="18"/>
            <w:tabs>
              <w:tab w:val="right" w:leader="dot" w:pos="8306"/>
            </w:tabs>
          </w:pPr>
          <w:r>
            <w:rPr>
              <w:color w:val="000000" w:themeColor="text1"/>
              <w14:textFill>
                <w14:solidFill>
                  <w14:schemeClr w14:val="tx1"/>
                </w14:solidFill>
              </w14:textFill>
            </w:rPr>
            <w:fldChar w:fldCharType="begin"/>
          </w:r>
          <w:r>
            <w:instrText xml:space="preserve"> HYPERLINK \l _Toc3207 </w:instrText>
          </w:r>
          <w:r>
            <w:fldChar w:fldCharType="separate"/>
          </w:r>
          <w:r>
            <w:rPr>
              <w:rFonts w:hint="eastAsia"/>
            </w:rPr>
            <w:t>3.1施工期工程分析</w:t>
          </w:r>
          <w:r>
            <w:tab/>
          </w:r>
          <w:r>
            <w:fldChar w:fldCharType="begin"/>
          </w:r>
          <w:r>
            <w:instrText xml:space="preserve"> PAGEREF _Toc3207 \h </w:instrText>
          </w:r>
          <w:r>
            <w:fldChar w:fldCharType="separate"/>
          </w:r>
          <w:r>
            <w:t>64</w:t>
          </w:r>
          <w:r>
            <w:fldChar w:fldCharType="end"/>
          </w:r>
          <w:r>
            <w:rPr>
              <w:color w:val="000000" w:themeColor="text1"/>
              <w14:textFill>
                <w14:solidFill>
                  <w14:schemeClr w14:val="tx1"/>
                </w14:solidFill>
              </w14:textFill>
            </w:rPr>
            <w:fldChar w:fldCharType="end"/>
          </w:r>
        </w:p>
        <w:p w14:paraId="0C794C04">
          <w:pPr>
            <w:pStyle w:val="13"/>
            <w:tabs>
              <w:tab w:val="right" w:leader="dot" w:pos="8306"/>
            </w:tabs>
          </w:pPr>
          <w:r>
            <w:rPr>
              <w:color w:val="000000" w:themeColor="text1"/>
              <w14:textFill>
                <w14:solidFill>
                  <w14:schemeClr w14:val="tx1"/>
                </w14:solidFill>
              </w14:textFill>
            </w:rPr>
            <w:fldChar w:fldCharType="begin"/>
          </w:r>
          <w:r>
            <w:instrText xml:space="preserve"> HYPERLINK \l _Toc1784 </w:instrText>
          </w:r>
          <w:r>
            <w:fldChar w:fldCharType="separate"/>
          </w:r>
          <w:r>
            <w:rPr>
              <w:rFonts w:hint="eastAsia"/>
            </w:rPr>
            <w:t>3.1.1施工期工艺流程及产污环节</w:t>
          </w:r>
          <w:r>
            <w:tab/>
          </w:r>
          <w:r>
            <w:fldChar w:fldCharType="begin"/>
          </w:r>
          <w:r>
            <w:instrText xml:space="preserve"> PAGEREF _Toc1784 \h </w:instrText>
          </w:r>
          <w:r>
            <w:fldChar w:fldCharType="separate"/>
          </w:r>
          <w:r>
            <w:t>64</w:t>
          </w:r>
          <w:r>
            <w:fldChar w:fldCharType="end"/>
          </w:r>
          <w:r>
            <w:rPr>
              <w:color w:val="000000" w:themeColor="text1"/>
              <w14:textFill>
                <w14:solidFill>
                  <w14:schemeClr w14:val="tx1"/>
                </w14:solidFill>
              </w14:textFill>
            </w:rPr>
            <w:fldChar w:fldCharType="end"/>
          </w:r>
        </w:p>
        <w:p w14:paraId="3B956F22">
          <w:pPr>
            <w:pStyle w:val="13"/>
            <w:tabs>
              <w:tab w:val="right" w:leader="dot" w:pos="8306"/>
            </w:tabs>
          </w:pPr>
          <w:r>
            <w:rPr>
              <w:color w:val="000000" w:themeColor="text1"/>
              <w14:textFill>
                <w14:solidFill>
                  <w14:schemeClr w14:val="tx1"/>
                </w14:solidFill>
              </w14:textFill>
            </w:rPr>
            <w:fldChar w:fldCharType="begin"/>
          </w:r>
          <w:r>
            <w:instrText xml:space="preserve"> HYPERLINK \l _Toc9324 </w:instrText>
          </w:r>
          <w:r>
            <w:fldChar w:fldCharType="separate"/>
          </w:r>
          <w:r>
            <w:rPr>
              <w:rFonts w:hint="eastAsia"/>
            </w:rPr>
            <w:t>3.1.2施工组织</w:t>
          </w:r>
          <w:r>
            <w:tab/>
          </w:r>
          <w:r>
            <w:fldChar w:fldCharType="begin"/>
          </w:r>
          <w:r>
            <w:instrText xml:space="preserve"> PAGEREF _Toc9324 \h </w:instrText>
          </w:r>
          <w:r>
            <w:fldChar w:fldCharType="separate"/>
          </w:r>
          <w:r>
            <w:t>64</w:t>
          </w:r>
          <w:r>
            <w:fldChar w:fldCharType="end"/>
          </w:r>
          <w:r>
            <w:rPr>
              <w:color w:val="000000" w:themeColor="text1"/>
              <w14:textFill>
                <w14:solidFill>
                  <w14:schemeClr w14:val="tx1"/>
                </w14:solidFill>
              </w14:textFill>
            </w:rPr>
            <w:fldChar w:fldCharType="end"/>
          </w:r>
        </w:p>
        <w:p w14:paraId="7738328A">
          <w:pPr>
            <w:pStyle w:val="13"/>
            <w:tabs>
              <w:tab w:val="right" w:leader="dot" w:pos="8306"/>
            </w:tabs>
          </w:pPr>
          <w:r>
            <w:rPr>
              <w:color w:val="000000" w:themeColor="text1"/>
              <w14:textFill>
                <w14:solidFill>
                  <w14:schemeClr w14:val="tx1"/>
                </w14:solidFill>
              </w14:textFill>
            </w:rPr>
            <w:fldChar w:fldCharType="begin"/>
          </w:r>
          <w:r>
            <w:instrText xml:space="preserve"> HYPERLINK \l _Toc20522 </w:instrText>
          </w:r>
          <w:r>
            <w:fldChar w:fldCharType="separate"/>
          </w:r>
          <w:r>
            <w:rPr>
              <w:rFonts w:hint="eastAsia"/>
            </w:rPr>
            <w:t>3.1.3施工期污染源强分析</w:t>
          </w:r>
          <w:r>
            <w:tab/>
          </w:r>
          <w:r>
            <w:fldChar w:fldCharType="begin"/>
          </w:r>
          <w:r>
            <w:instrText xml:space="preserve"> PAGEREF _Toc20522 \h </w:instrText>
          </w:r>
          <w:r>
            <w:fldChar w:fldCharType="separate"/>
          </w:r>
          <w:r>
            <w:t>64</w:t>
          </w:r>
          <w:r>
            <w:fldChar w:fldCharType="end"/>
          </w:r>
          <w:r>
            <w:rPr>
              <w:color w:val="000000" w:themeColor="text1"/>
              <w14:textFill>
                <w14:solidFill>
                  <w14:schemeClr w14:val="tx1"/>
                </w14:solidFill>
              </w14:textFill>
            </w:rPr>
            <w:fldChar w:fldCharType="end"/>
          </w:r>
        </w:p>
        <w:p w14:paraId="29DC8179">
          <w:pPr>
            <w:pStyle w:val="18"/>
            <w:tabs>
              <w:tab w:val="right" w:leader="dot" w:pos="8306"/>
            </w:tabs>
          </w:pPr>
          <w:r>
            <w:rPr>
              <w:color w:val="000000" w:themeColor="text1"/>
              <w14:textFill>
                <w14:solidFill>
                  <w14:schemeClr w14:val="tx1"/>
                </w14:solidFill>
              </w14:textFill>
            </w:rPr>
            <w:fldChar w:fldCharType="begin"/>
          </w:r>
          <w:r>
            <w:instrText xml:space="preserve"> HYPERLINK \l _Toc342 </w:instrText>
          </w:r>
          <w:r>
            <w:fldChar w:fldCharType="separate"/>
          </w:r>
          <w:r>
            <w:rPr>
              <w:rFonts w:hint="eastAsia"/>
            </w:rPr>
            <w:t>3.2运营期工程分析</w:t>
          </w:r>
          <w:r>
            <w:tab/>
          </w:r>
          <w:r>
            <w:fldChar w:fldCharType="begin"/>
          </w:r>
          <w:r>
            <w:instrText xml:space="preserve"> PAGEREF _Toc342 \h </w:instrText>
          </w:r>
          <w:r>
            <w:fldChar w:fldCharType="separate"/>
          </w:r>
          <w:r>
            <w:t>65</w:t>
          </w:r>
          <w:r>
            <w:fldChar w:fldCharType="end"/>
          </w:r>
          <w:r>
            <w:rPr>
              <w:color w:val="000000" w:themeColor="text1"/>
              <w14:textFill>
                <w14:solidFill>
                  <w14:schemeClr w14:val="tx1"/>
                </w14:solidFill>
              </w14:textFill>
            </w:rPr>
            <w:fldChar w:fldCharType="end"/>
          </w:r>
        </w:p>
        <w:p w14:paraId="26F9FB29">
          <w:pPr>
            <w:pStyle w:val="13"/>
            <w:tabs>
              <w:tab w:val="right" w:leader="dot" w:pos="8306"/>
            </w:tabs>
          </w:pPr>
          <w:r>
            <w:rPr>
              <w:color w:val="000000" w:themeColor="text1"/>
              <w14:textFill>
                <w14:solidFill>
                  <w14:schemeClr w14:val="tx1"/>
                </w14:solidFill>
              </w14:textFill>
            </w:rPr>
            <w:fldChar w:fldCharType="begin"/>
          </w:r>
          <w:r>
            <w:instrText xml:space="preserve"> HYPERLINK \l _Toc20108 </w:instrText>
          </w:r>
          <w:r>
            <w:fldChar w:fldCharType="separate"/>
          </w:r>
          <w:r>
            <w:rPr>
              <w:rFonts w:hint="eastAsia"/>
            </w:rPr>
            <w:t>3.2.1工艺流程及产污环节</w:t>
          </w:r>
          <w:r>
            <w:tab/>
          </w:r>
          <w:r>
            <w:fldChar w:fldCharType="begin"/>
          </w:r>
          <w:r>
            <w:instrText xml:space="preserve"> PAGEREF _Toc20108 \h </w:instrText>
          </w:r>
          <w:r>
            <w:fldChar w:fldCharType="separate"/>
          </w:r>
          <w:r>
            <w:t>65</w:t>
          </w:r>
          <w:r>
            <w:fldChar w:fldCharType="end"/>
          </w:r>
          <w:r>
            <w:rPr>
              <w:color w:val="000000" w:themeColor="text1"/>
              <w14:textFill>
                <w14:solidFill>
                  <w14:schemeClr w14:val="tx1"/>
                </w14:solidFill>
              </w14:textFill>
            </w:rPr>
            <w:fldChar w:fldCharType="end"/>
          </w:r>
        </w:p>
        <w:p w14:paraId="2F1CCDE0">
          <w:pPr>
            <w:pStyle w:val="13"/>
            <w:tabs>
              <w:tab w:val="right" w:leader="dot" w:pos="8306"/>
            </w:tabs>
          </w:pPr>
          <w:r>
            <w:rPr>
              <w:color w:val="000000" w:themeColor="text1"/>
              <w14:textFill>
                <w14:solidFill>
                  <w14:schemeClr w14:val="tx1"/>
                </w14:solidFill>
              </w14:textFill>
            </w:rPr>
            <w:fldChar w:fldCharType="begin"/>
          </w:r>
          <w:r>
            <w:instrText xml:space="preserve"> HYPERLINK \l _Toc2790 </w:instrText>
          </w:r>
          <w:r>
            <w:fldChar w:fldCharType="separate"/>
          </w:r>
          <w:r>
            <w:rPr>
              <w:rFonts w:hint="eastAsia"/>
            </w:rPr>
            <w:t>3.2.2源强分析</w:t>
          </w:r>
          <w:r>
            <w:tab/>
          </w:r>
          <w:r>
            <w:fldChar w:fldCharType="begin"/>
          </w:r>
          <w:r>
            <w:instrText xml:space="preserve"> PAGEREF _Toc2790 \h </w:instrText>
          </w:r>
          <w:r>
            <w:fldChar w:fldCharType="separate"/>
          </w:r>
          <w:r>
            <w:t>68</w:t>
          </w:r>
          <w:r>
            <w:fldChar w:fldCharType="end"/>
          </w:r>
          <w:r>
            <w:rPr>
              <w:color w:val="000000" w:themeColor="text1"/>
              <w14:textFill>
                <w14:solidFill>
                  <w14:schemeClr w14:val="tx1"/>
                </w14:solidFill>
              </w14:textFill>
            </w:rPr>
            <w:fldChar w:fldCharType="end"/>
          </w:r>
        </w:p>
        <w:p w14:paraId="788922DF">
          <w:pPr>
            <w:pStyle w:val="13"/>
            <w:tabs>
              <w:tab w:val="right" w:leader="dot" w:pos="8306"/>
            </w:tabs>
          </w:pPr>
          <w:r>
            <w:rPr>
              <w:color w:val="000000" w:themeColor="text1"/>
              <w14:textFill>
                <w14:solidFill>
                  <w14:schemeClr w14:val="tx1"/>
                </w14:solidFill>
              </w14:textFill>
            </w:rPr>
            <w:fldChar w:fldCharType="begin"/>
          </w:r>
          <w:r>
            <w:instrText xml:space="preserve"> HYPERLINK \l _Toc22355 </w:instrText>
          </w:r>
          <w:r>
            <w:fldChar w:fldCharType="separate"/>
          </w:r>
          <w:r>
            <w:rPr>
              <w:rFonts w:hint="eastAsia"/>
            </w:rPr>
            <w:t>3.2.3污染物排放汇总</w:t>
          </w:r>
          <w:r>
            <w:tab/>
          </w:r>
          <w:r>
            <w:fldChar w:fldCharType="begin"/>
          </w:r>
          <w:r>
            <w:instrText xml:space="preserve"> PAGEREF _Toc22355 \h </w:instrText>
          </w:r>
          <w:r>
            <w:fldChar w:fldCharType="separate"/>
          </w:r>
          <w:r>
            <w:t>81</w:t>
          </w:r>
          <w:r>
            <w:fldChar w:fldCharType="end"/>
          </w:r>
          <w:r>
            <w:rPr>
              <w:color w:val="000000" w:themeColor="text1"/>
              <w14:textFill>
                <w14:solidFill>
                  <w14:schemeClr w14:val="tx1"/>
                </w14:solidFill>
              </w14:textFill>
            </w:rPr>
            <w:fldChar w:fldCharType="end"/>
          </w:r>
        </w:p>
        <w:p w14:paraId="64303DCC">
          <w:pPr>
            <w:pStyle w:val="13"/>
            <w:tabs>
              <w:tab w:val="right" w:leader="dot" w:pos="8306"/>
            </w:tabs>
          </w:pPr>
          <w:r>
            <w:rPr>
              <w:color w:val="000000" w:themeColor="text1"/>
              <w14:textFill>
                <w14:solidFill>
                  <w14:schemeClr w14:val="tx1"/>
                </w14:solidFill>
              </w14:textFill>
            </w:rPr>
            <w:fldChar w:fldCharType="begin"/>
          </w:r>
          <w:r>
            <w:instrText xml:space="preserve"> HYPERLINK \l _Toc25935 </w:instrText>
          </w:r>
          <w:r>
            <w:fldChar w:fldCharType="separate"/>
          </w:r>
          <w:r>
            <w:rPr>
              <w:rFonts w:hint="eastAsia"/>
            </w:rPr>
            <w:t>3.2.4碳排放评价</w:t>
          </w:r>
          <w:r>
            <w:tab/>
          </w:r>
          <w:r>
            <w:fldChar w:fldCharType="begin"/>
          </w:r>
          <w:r>
            <w:instrText xml:space="preserve"> PAGEREF _Toc25935 \h </w:instrText>
          </w:r>
          <w:r>
            <w:fldChar w:fldCharType="separate"/>
          </w:r>
          <w:r>
            <w:t>83</w:t>
          </w:r>
          <w:r>
            <w:fldChar w:fldCharType="end"/>
          </w:r>
          <w:r>
            <w:rPr>
              <w:color w:val="000000" w:themeColor="text1"/>
              <w14:textFill>
                <w14:solidFill>
                  <w14:schemeClr w14:val="tx1"/>
                </w14:solidFill>
              </w14:textFill>
            </w:rPr>
            <w:fldChar w:fldCharType="end"/>
          </w:r>
        </w:p>
        <w:p w14:paraId="20DFD2C0">
          <w:pPr>
            <w:pStyle w:val="13"/>
            <w:tabs>
              <w:tab w:val="right" w:leader="dot" w:pos="8306"/>
            </w:tabs>
          </w:pPr>
          <w:r>
            <w:rPr>
              <w:color w:val="000000" w:themeColor="text1"/>
              <w14:textFill>
                <w14:solidFill>
                  <w14:schemeClr w14:val="tx1"/>
                </w14:solidFill>
              </w14:textFill>
            </w:rPr>
            <w:fldChar w:fldCharType="begin"/>
          </w:r>
          <w:r>
            <w:instrText xml:space="preserve"> HYPERLINK \l _Toc14983 </w:instrText>
          </w:r>
          <w:r>
            <w:fldChar w:fldCharType="separate"/>
          </w:r>
          <w:r>
            <w:rPr>
              <w:rFonts w:hint="eastAsia"/>
            </w:rPr>
            <w:t>3.2.5清洁生产分析</w:t>
          </w:r>
          <w:r>
            <w:tab/>
          </w:r>
          <w:r>
            <w:fldChar w:fldCharType="begin"/>
          </w:r>
          <w:r>
            <w:instrText xml:space="preserve"> PAGEREF _Toc14983 \h </w:instrText>
          </w:r>
          <w:r>
            <w:fldChar w:fldCharType="separate"/>
          </w:r>
          <w:r>
            <w:t>91</w:t>
          </w:r>
          <w:r>
            <w:fldChar w:fldCharType="end"/>
          </w:r>
          <w:r>
            <w:rPr>
              <w:color w:val="000000" w:themeColor="text1"/>
              <w14:textFill>
                <w14:solidFill>
                  <w14:schemeClr w14:val="tx1"/>
                </w14:solidFill>
              </w14:textFill>
            </w:rPr>
            <w:fldChar w:fldCharType="end"/>
          </w:r>
        </w:p>
        <w:p w14:paraId="5BA093D7">
          <w:pPr>
            <w:pStyle w:val="17"/>
            <w:tabs>
              <w:tab w:val="right" w:leader="dot" w:pos="8306"/>
            </w:tabs>
          </w:pPr>
          <w:r>
            <w:rPr>
              <w:color w:val="000000" w:themeColor="text1"/>
              <w14:textFill>
                <w14:solidFill>
                  <w14:schemeClr w14:val="tx1"/>
                </w14:solidFill>
              </w14:textFill>
            </w:rPr>
            <w:fldChar w:fldCharType="begin"/>
          </w:r>
          <w:r>
            <w:instrText xml:space="preserve"> HYPERLINK \l _Toc29324 </w:instrText>
          </w:r>
          <w:r>
            <w:fldChar w:fldCharType="separate"/>
          </w:r>
          <w:r>
            <w:rPr>
              <w:rFonts w:hint="eastAsia"/>
            </w:rPr>
            <w:t>4</w:t>
          </w:r>
          <w:r>
            <w:t>、环境现状调查与评价</w:t>
          </w:r>
          <w:r>
            <w:tab/>
          </w:r>
          <w:r>
            <w:fldChar w:fldCharType="begin"/>
          </w:r>
          <w:r>
            <w:instrText xml:space="preserve"> PAGEREF _Toc29324 \h </w:instrText>
          </w:r>
          <w:r>
            <w:fldChar w:fldCharType="separate"/>
          </w:r>
          <w:r>
            <w:t>95</w:t>
          </w:r>
          <w:r>
            <w:fldChar w:fldCharType="end"/>
          </w:r>
          <w:r>
            <w:rPr>
              <w:color w:val="000000" w:themeColor="text1"/>
              <w14:textFill>
                <w14:solidFill>
                  <w14:schemeClr w14:val="tx1"/>
                </w14:solidFill>
              </w14:textFill>
            </w:rPr>
            <w:fldChar w:fldCharType="end"/>
          </w:r>
        </w:p>
        <w:p w14:paraId="1DB13462">
          <w:pPr>
            <w:pStyle w:val="18"/>
            <w:tabs>
              <w:tab w:val="right" w:leader="dot" w:pos="8306"/>
            </w:tabs>
          </w:pPr>
          <w:r>
            <w:rPr>
              <w:color w:val="000000" w:themeColor="text1"/>
              <w14:textFill>
                <w14:solidFill>
                  <w14:schemeClr w14:val="tx1"/>
                </w14:solidFill>
              </w14:textFill>
            </w:rPr>
            <w:fldChar w:fldCharType="begin"/>
          </w:r>
          <w:r>
            <w:instrText xml:space="preserve"> HYPERLINK \l _Toc17379 </w:instrText>
          </w:r>
          <w:r>
            <w:fldChar w:fldCharType="separate"/>
          </w:r>
          <w:r>
            <w:t>4.1自然环境概</w:t>
          </w:r>
          <w:r>
            <w:tab/>
          </w:r>
          <w:r>
            <w:fldChar w:fldCharType="begin"/>
          </w:r>
          <w:r>
            <w:instrText xml:space="preserve"> PAGEREF _Toc17379 \h </w:instrText>
          </w:r>
          <w:r>
            <w:fldChar w:fldCharType="separate"/>
          </w:r>
          <w:r>
            <w:t>95</w:t>
          </w:r>
          <w:r>
            <w:fldChar w:fldCharType="end"/>
          </w:r>
          <w:r>
            <w:rPr>
              <w:color w:val="000000" w:themeColor="text1"/>
              <w14:textFill>
                <w14:solidFill>
                  <w14:schemeClr w14:val="tx1"/>
                </w14:solidFill>
              </w14:textFill>
            </w:rPr>
            <w:fldChar w:fldCharType="end"/>
          </w:r>
        </w:p>
        <w:p w14:paraId="0447E5E0">
          <w:pPr>
            <w:pStyle w:val="13"/>
            <w:tabs>
              <w:tab w:val="right" w:leader="dot" w:pos="8306"/>
            </w:tabs>
          </w:pPr>
          <w:r>
            <w:rPr>
              <w:color w:val="000000" w:themeColor="text1"/>
              <w14:textFill>
                <w14:solidFill>
                  <w14:schemeClr w14:val="tx1"/>
                </w14:solidFill>
              </w14:textFill>
            </w:rPr>
            <w:fldChar w:fldCharType="begin"/>
          </w:r>
          <w:r>
            <w:instrText xml:space="preserve"> HYPERLINK \l _Toc16982 </w:instrText>
          </w:r>
          <w:r>
            <w:fldChar w:fldCharType="separate"/>
          </w:r>
          <w:r>
            <w:t>4.1.1 地形、地貌、地质</w:t>
          </w:r>
          <w:r>
            <w:tab/>
          </w:r>
          <w:r>
            <w:fldChar w:fldCharType="begin"/>
          </w:r>
          <w:r>
            <w:instrText xml:space="preserve"> PAGEREF _Toc16982 \h </w:instrText>
          </w:r>
          <w:r>
            <w:fldChar w:fldCharType="separate"/>
          </w:r>
          <w:r>
            <w:t>95</w:t>
          </w:r>
          <w:r>
            <w:fldChar w:fldCharType="end"/>
          </w:r>
          <w:r>
            <w:rPr>
              <w:color w:val="000000" w:themeColor="text1"/>
              <w14:textFill>
                <w14:solidFill>
                  <w14:schemeClr w14:val="tx1"/>
                </w14:solidFill>
              </w14:textFill>
            </w:rPr>
            <w:fldChar w:fldCharType="end"/>
          </w:r>
        </w:p>
        <w:p w14:paraId="2CF8E160">
          <w:pPr>
            <w:pStyle w:val="13"/>
            <w:tabs>
              <w:tab w:val="right" w:leader="dot" w:pos="8306"/>
            </w:tabs>
          </w:pPr>
          <w:r>
            <w:rPr>
              <w:color w:val="000000" w:themeColor="text1"/>
              <w14:textFill>
                <w14:solidFill>
                  <w14:schemeClr w14:val="tx1"/>
                </w14:solidFill>
              </w14:textFill>
            </w:rPr>
            <w:fldChar w:fldCharType="begin"/>
          </w:r>
          <w:r>
            <w:instrText xml:space="preserve"> HYPERLINK \l _Toc4999 </w:instrText>
          </w:r>
          <w:r>
            <w:fldChar w:fldCharType="separate"/>
          </w:r>
          <w:r>
            <w:t>4.1.2气象、气候</w:t>
          </w:r>
          <w:r>
            <w:tab/>
          </w:r>
          <w:r>
            <w:fldChar w:fldCharType="begin"/>
          </w:r>
          <w:r>
            <w:instrText xml:space="preserve"> PAGEREF _Toc4999 \h </w:instrText>
          </w:r>
          <w:r>
            <w:fldChar w:fldCharType="separate"/>
          </w:r>
          <w:r>
            <w:t>95</w:t>
          </w:r>
          <w:r>
            <w:fldChar w:fldCharType="end"/>
          </w:r>
          <w:r>
            <w:rPr>
              <w:color w:val="000000" w:themeColor="text1"/>
              <w14:textFill>
                <w14:solidFill>
                  <w14:schemeClr w14:val="tx1"/>
                </w14:solidFill>
              </w14:textFill>
            </w:rPr>
            <w:fldChar w:fldCharType="end"/>
          </w:r>
        </w:p>
        <w:p w14:paraId="3C3E9204">
          <w:pPr>
            <w:pStyle w:val="13"/>
            <w:tabs>
              <w:tab w:val="right" w:leader="dot" w:pos="8306"/>
            </w:tabs>
          </w:pPr>
          <w:r>
            <w:rPr>
              <w:color w:val="000000" w:themeColor="text1"/>
              <w14:textFill>
                <w14:solidFill>
                  <w14:schemeClr w14:val="tx1"/>
                </w14:solidFill>
              </w14:textFill>
            </w:rPr>
            <w:fldChar w:fldCharType="begin"/>
          </w:r>
          <w:r>
            <w:instrText xml:space="preserve"> HYPERLINK \l _Toc3725 </w:instrText>
          </w:r>
          <w:r>
            <w:fldChar w:fldCharType="separate"/>
          </w:r>
          <w:r>
            <w:t>4.1.3 水文水系</w:t>
          </w:r>
          <w:r>
            <w:tab/>
          </w:r>
          <w:r>
            <w:fldChar w:fldCharType="begin"/>
          </w:r>
          <w:r>
            <w:instrText xml:space="preserve"> PAGEREF _Toc3725 \h </w:instrText>
          </w:r>
          <w:r>
            <w:fldChar w:fldCharType="separate"/>
          </w:r>
          <w:r>
            <w:t>95</w:t>
          </w:r>
          <w:r>
            <w:fldChar w:fldCharType="end"/>
          </w:r>
          <w:r>
            <w:rPr>
              <w:color w:val="000000" w:themeColor="text1"/>
              <w14:textFill>
                <w14:solidFill>
                  <w14:schemeClr w14:val="tx1"/>
                </w14:solidFill>
              </w14:textFill>
            </w:rPr>
            <w:fldChar w:fldCharType="end"/>
          </w:r>
        </w:p>
        <w:p w14:paraId="59EFB0F5">
          <w:pPr>
            <w:pStyle w:val="13"/>
            <w:tabs>
              <w:tab w:val="right" w:leader="dot" w:pos="8306"/>
            </w:tabs>
          </w:pPr>
          <w:r>
            <w:rPr>
              <w:color w:val="000000" w:themeColor="text1"/>
              <w14:textFill>
                <w14:solidFill>
                  <w14:schemeClr w14:val="tx1"/>
                </w14:solidFill>
              </w14:textFill>
            </w:rPr>
            <w:fldChar w:fldCharType="begin"/>
          </w:r>
          <w:r>
            <w:instrText xml:space="preserve"> HYPERLINK \l _Toc5404 </w:instrText>
          </w:r>
          <w:r>
            <w:fldChar w:fldCharType="separate"/>
          </w:r>
          <w:r>
            <w:t>4.1.4 生物多样性</w:t>
          </w:r>
          <w:r>
            <w:tab/>
          </w:r>
          <w:r>
            <w:fldChar w:fldCharType="begin"/>
          </w:r>
          <w:r>
            <w:instrText xml:space="preserve"> PAGEREF _Toc5404 \h </w:instrText>
          </w:r>
          <w:r>
            <w:fldChar w:fldCharType="separate"/>
          </w:r>
          <w:r>
            <w:t>96</w:t>
          </w:r>
          <w:r>
            <w:fldChar w:fldCharType="end"/>
          </w:r>
          <w:r>
            <w:rPr>
              <w:color w:val="000000" w:themeColor="text1"/>
              <w14:textFill>
                <w14:solidFill>
                  <w14:schemeClr w14:val="tx1"/>
                </w14:solidFill>
              </w14:textFill>
            </w:rPr>
            <w:fldChar w:fldCharType="end"/>
          </w:r>
        </w:p>
        <w:p w14:paraId="1C59BA3E">
          <w:pPr>
            <w:pStyle w:val="13"/>
            <w:tabs>
              <w:tab w:val="right" w:leader="dot" w:pos="8306"/>
            </w:tabs>
          </w:pPr>
          <w:r>
            <w:rPr>
              <w:color w:val="000000" w:themeColor="text1"/>
              <w14:textFill>
                <w14:solidFill>
                  <w14:schemeClr w14:val="tx1"/>
                </w14:solidFill>
              </w14:textFill>
            </w:rPr>
            <w:fldChar w:fldCharType="begin"/>
          </w:r>
          <w:r>
            <w:instrText xml:space="preserve"> HYPERLINK \l _Toc4154 </w:instrText>
          </w:r>
          <w:r>
            <w:fldChar w:fldCharType="separate"/>
          </w:r>
          <w:r>
            <w:rPr>
              <w:rFonts w:hint="eastAsia"/>
            </w:rPr>
            <w:t>4.1.5环境敏感区调查</w:t>
          </w:r>
          <w:r>
            <w:tab/>
          </w:r>
          <w:r>
            <w:fldChar w:fldCharType="begin"/>
          </w:r>
          <w:r>
            <w:instrText xml:space="preserve"> PAGEREF _Toc4154 \h </w:instrText>
          </w:r>
          <w:r>
            <w:fldChar w:fldCharType="separate"/>
          </w:r>
          <w:r>
            <w:t>97</w:t>
          </w:r>
          <w:r>
            <w:fldChar w:fldCharType="end"/>
          </w:r>
          <w:r>
            <w:rPr>
              <w:color w:val="000000" w:themeColor="text1"/>
              <w14:textFill>
                <w14:solidFill>
                  <w14:schemeClr w14:val="tx1"/>
                </w14:solidFill>
              </w14:textFill>
            </w:rPr>
            <w:fldChar w:fldCharType="end"/>
          </w:r>
        </w:p>
        <w:p w14:paraId="3D70E302">
          <w:pPr>
            <w:pStyle w:val="13"/>
            <w:tabs>
              <w:tab w:val="right" w:leader="dot" w:pos="8306"/>
            </w:tabs>
          </w:pPr>
          <w:r>
            <w:rPr>
              <w:color w:val="000000" w:themeColor="text1"/>
              <w14:textFill>
                <w14:solidFill>
                  <w14:schemeClr w14:val="tx1"/>
                </w14:solidFill>
              </w14:textFill>
            </w:rPr>
            <w:fldChar w:fldCharType="begin"/>
          </w:r>
          <w:r>
            <w:instrText xml:space="preserve"> HYPERLINK \l _Toc20846 </w:instrText>
          </w:r>
          <w:r>
            <w:fldChar w:fldCharType="separate"/>
          </w:r>
          <w:r>
            <w:rPr>
              <w:rFonts w:hint="eastAsia"/>
            </w:rPr>
            <w:t>4.1.6区域污染源调查</w:t>
          </w:r>
          <w:r>
            <w:tab/>
          </w:r>
          <w:r>
            <w:fldChar w:fldCharType="begin"/>
          </w:r>
          <w:r>
            <w:instrText xml:space="preserve"> PAGEREF _Toc20846 \h </w:instrText>
          </w:r>
          <w:r>
            <w:fldChar w:fldCharType="separate"/>
          </w:r>
          <w:r>
            <w:t>100</w:t>
          </w:r>
          <w:r>
            <w:fldChar w:fldCharType="end"/>
          </w:r>
          <w:r>
            <w:rPr>
              <w:color w:val="000000" w:themeColor="text1"/>
              <w14:textFill>
                <w14:solidFill>
                  <w14:schemeClr w14:val="tx1"/>
                </w14:solidFill>
              </w14:textFill>
            </w:rPr>
            <w:fldChar w:fldCharType="end"/>
          </w:r>
        </w:p>
        <w:p w14:paraId="5BCB8D01">
          <w:pPr>
            <w:pStyle w:val="18"/>
            <w:tabs>
              <w:tab w:val="right" w:leader="dot" w:pos="8306"/>
            </w:tabs>
          </w:pPr>
          <w:r>
            <w:rPr>
              <w:color w:val="000000" w:themeColor="text1"/>
              <w14:textFill>
                <w14:solidFill>
                  <w14:schemeClr w14:val="tx1"/>
                </w14:solidFill>
              </w14:textFill>
            </w:rPr>
            <w:fldChar w:fldCharType="begin"/>
          </w:r>
          <w:r>
            <w:instrText xml:space="preserve"> HYPERLINK \l _Toc6485 </w:instrText>
          </w:r>
          <w:r>
            <w:fldChar w:fldCharType="separate"/>
          </w:r>
          <w:r>
            <w:t>4.2环境现状调查与评价</w:t>
          </w:r>
          <w:r>
            <w:tab/>
          </w:r>
          <w:r>
            <w:fldChar w:fldCharType="begin"/>
          </w:r>
          <w:r>
            <w:instrText xml:space="preserve"> PAGEREF _Toc6485 \h </w:instrText>
          </w:r>
          <w:r>
            <w:fldChar w:fldCharType="separate"/>
          </w:r>
          <w:r>
            <w:t>103</w:t>
          </w:r>
          <w:r>
            <w:fldChar w:fldCharType="end"/>
          </w:r>
          <w:r>
            <w:rPr>
              <w:color w:val="000000" w:themeColor="text1"/>
              <w14:textFill>
                <w14:solidFill>
                  <w14:schemeClr w14:val="tx1"/>
                </w14:solidFill>
              </w14:textFill>
            </w:rPr>
            <w:fldChar w:fldCharType="end"/>
          </w:r>
        </w:p>
        <w:p w14:paraId="72FA877E">
          <w:pPr>
            <w:pStyle w:val="13"/>
            <w:tabs>
              <w:tab w:val="right" w:leader="dot" w:pos="8306"/>
            </w:tabs>
          </w:pPr>
          <w:r>
            <w:rPr>
              <w:color w:val="000000" w:themeColor="text1"/>
              <w14:textFill>
                <w14:solidFill>
                  <w14:schemeClr w14:val="tx1"/>
                </w14:solidFill>
              </w14:textFill>
            </w:rPr>
            <w:fldChar w:fldCharType="begin"/>
          </w:r>
          <w:r>
            <w:instrText xml:space="preserve"> HYPERLINK \l _Toc30087 </w:instrText>
          </w:r>
          <w:r>
            <w:fldChar w:fldCharType="separate"/>
          </w:r>
          <w:r>
            <w:t>4.2.1环境空气质量现状</w:t>
          </w:r>
          <w:r>
            <w:tab/>
          </w:r>
          <w:r>
            <w:fldChar w:fldCharType="begin"/>
          </w:r>
          <w:r>
            <w:instrText xml:space="preserve"> PAGEREF _Toc30087 \h </w:instrText>
          </w:r>
          <w:r>
            <w:fldChar w:fldCharType="separate"/>
          </w:r>
          <w:r>
            <w:t>103</w:t>
          </w:r>
          <w:r>
            <w:fldChar w:fldCharType="end"/>
          </w:r>
          <w:r>
            <w:rPr>
              <w:color w:val="000000" w:themeColor="text1"/>
              <w14:textFill>
                <w14:solidFill>
                  <w14:schemeClr w14:val="tx1"/>
                </w14:solidFill>
              </w14:textFill>
            </w:rPr>
            <w:fldChar w:fldCharType="end"/>
          </w:r>
        </w:p>
        <w:p w14:paraId="171F46B7">
          <w:pPr>
            <w:pStyle w:val="13"/>
            <w:tabs>
              <w:tab w:val="right" w:leader="dot" w:pos="8306"/>
            </w:tabs>
          </w:pPr>
          <w:r>
            <w:rPr>
              <w:color w:val="000000" w:themeColor="text1"/>
              <w14:textFill>
                <w14:solidFill>
                  <w14:schemeClr w14:val="tx1"/>
                </w14:solidFill>
              </w14:textFill>
            </w:rPr>
            <w:fldChar w:fldCharType="begin"/>
          </w:r>
          <w:r>
            <w:instrText xml:space="preserve"> HYPERLINK \l _Toc491 </w:instrText>
          </w:r>
          <w:r>
            <w:fldChar w:fldCharType="separate"/>
          </w:r>
          <w:r>
            <w:t>4.2.2 地表水环境质量现状</w:t>
          </w:r>
          <w:r>
            <w:tab/>
          </w:r>
          <w:r>
            <w:fldChar w:fldCharType="begin"/>
          </w:r>
          <w:r>
            <w:instrText xml:space="preserve"> PAGEREF _Toc491 \h </w:instrText>
          </w:r>
          <w:r>
            <w:fldChar w:fldCharType="separate"/>
          </w:r>
          <w:r>
            <w:t>106</w:t>
          </w:r>
          <w:r>
            <w:fldChar w:fldCharType="end"/>
          </w:r>
          <w:r>
            <w:rPr>
              <w:color w:val="000000" w:themeColor="text1"/>
              <w14:textFill>
                <w14:solidFill>
                  <w14:schemeClr w14:val="tx1"/>
                </w14:solidFill>
              </w14:textFill>
            </w:rPr>
            <w:fldChar w:fldCharType="end"/>
          </w:r>
        </w:p>
        <w:p w14:paraId="19231FE0">
          <w:pPr>
            <w:pStyle w:val="13"/>
            <w:tabs>
              <w:tab w:val="right" w:leader="dot" w:pos="8306"/>
            </w:tabs>
          </w:pPr>
          <w:r>
            <w:rPr>
              <w:color w:val="000000" w:themeColor="text1"/>
              <w14:textFill>
                <w14:solidFill>
                  <w14:schemeClr w14:val="tx1"/>
                </w14:solidFill>
              </w14:textFill>
            </w:rPr>
            <w:fldChar w:fldCharType="begin"/>
          </w:r>
          <w:r>
            <w:instrText xml:space="preserve"> HYPERLINK \l _Toc963 </w:instrText>
          </w:r>
          <w:r>
            <w:fldChar w:fldCharType="separate"/>
          </w:r>
          <w:r>
            <w:t>4.2.3 声环境质量现状</w:t>
          </w:r>
          <w:r>
            <w:tab/>
          </w:r>
          <w:r>
            <w:fldChar w:fldCharType="begin"/>
          </w:r>
          <w:r>
            <w:instrText xml:space="preserve"> PAGEREF _Toc963 \h </w:instrText>
          </w:r>
          <w:r>
            <w:fldChar w:fldCharType="separate"/>
          </w:r>
          <w:r>
            <w:t>108</w:t>
          </w:r>
          <w:r>
            <w:fldChar w:fldCharType="end"/>
          </w:r>
          <w:r>
            <w:rPr>
              <w:color w:val="000000" w:themeColor="text1"/>
              <w14:textFill>
                <w14:solidFill>
                  <w14:schemeClr w14:val="tx1"/>
                </w14:solidFill>
              </w14:textFill>
            </w:rPr>
            <w:fldChar w:fldCharType="end"/>
          </w:r>
        </w:p>
        <w:p w14:paraId="70749EA6">
          <w:pPr>
            <w:pStyle w:val="13"/>
            <w:tabs>
              <w:tab w:val="right" w:leader="dot" w:pos="8306"/>
            </w:tabs>
          </w:pPr>
          <w:r>
            <w:rPr>
              <w:color w:val="000000" w:themeColor="text1"/>
              <w14:textFill>
                <w14:solidFill>
                  <w14:schemeClr w14:val="tx1"/>
                </w14:solidFill>
              </w14:textFill>
            </w:rPr>
            <w:fldChar w:fldCharType="begin"/>
          </w:r>
          <w:r>
            <w:instrText xml:space="preserve"> HYPERLINK \l _Toc11105 </w:instrText>
          </w:r>
          <w:r>
            <w:fldChar w:fldCharType="separate"/>
          </w:r>
          <w:r>
            <w:t>4.2.</w:t>
          </w:r>
          <w:r>
            <w:rPr>
              <w:rFonts w:hint="eastAsia"/>
            </w:rPr>
            <w:t>4</w:t>
          </w:r>
          <w:r>
            <w:t xml:space="preserve"> 土壤环境现状</w:t>
          </w:r>
          <w:r>
            <w:tab/>
          </w:r>
          <w:r>
            <w:fldChar w:fldCharType="begin"/>
          </w:r>
          <w:r>
            <w:instrText xml:space="preserve"> PAGEREF _Toc11105 \h </w:instrText>
          </w:r>
          <w:r>
            <w:fldChar w:fldCharType="separate"/>
          </w:r>
          <w:r>
            <w:t>110</w:t>
          </w:r>
          <w:r>
            <w:fldChar w:fldCharType="end"/>
          </w:r>
          <w:r>
            <w:rPr>
              <w:color w:val="000000" w:themeColor="text1"/>
              <w14:textFill>
                <w14:solidFill>
                  <w14:schemeClr w14:val="tx1"/>
                </w14:solidFill>
              </w14:textFill>
            </w:rPr>
            <w:fldChar w:fldCharType="end"/>
          </w:r>
        </w:p>
        <w:p w14:paraId="48F7C4DE">
          <w:pPr>
            <w:pStyle w:val="13"/>
            <w:tabs>
              <w:tab w:val="right" w:leader="dot" w:pos="8306"/>
            </w:tabs>
          </w:pPr>
          <w:r>
            <w:rPr>
              <w:color w:val="000000" w:themeColor="text1"/>
              <w14:textFill>
                <w14:solidFill>
                  <w14:schemeClr w14:val="tx1"/>
                </w14:solidFill>
              </w14:textFill>
            </w:rPr>
            <w:fldChar w:fldCharType="begin"/>
          </w:r>
          <w:r>
            <w:instrText xml:space="preserve"> HYPERLINK \l _Toc1665 </w:instrText>
          </w:r>
          <w:r>
            <w:fldChar w:fldCharType="separate"/>
          </w:r>
          <w:r>
            <w:t>4.2.</w:t>
          </w:r>
          <w:r>
            <w:rPr>
              <w:rFonts w:hint="eastAsia"/>
              <w:lang w:val="en-US" w:eastAsia="zh-CN"/>
            </w:rPr>
            <w:t>5</w:t>
          </w:r>
          <w:r>
            <w:rPr>
              <w:rFonts w:hint="eastAsia"/>
            </w:rPr>
            <w:t>地下水环境现状</w:t>
          </w:r>
          <w:r>
            <w:tab/>
          </w:r>
          <w:r>
            <w:fldChar w:fldCharType="begin"/>
          </w:r>
          <w:r>
            <w:instrText xml:space="preserve"> PAGEREF _Toc1665 \h </w:instrText>
          </w:r>
          <w:r>
            <w:fldChar w:fldCharType="separate"/>
          </w:r>
          <w:r>
            <w:t>125</w:t>
          </w:r>
          <w:r>
            <w:fldChar w:fldCharType="end"/>
          </w:r>
          <w:r>
            <w:rPr>
              <w:color w:val="000000" w:themeColor="text1"/>
              <w14:textFill>
                <w14:solidFill>
                  <w14:schemeClr w14:val="tx1"/>
                </w14:solidFill>
              </w14:textFill>
            </w:rPr>
            <w:fldChar w:fldCharType="end"/>
          </w:r>
        </w:p>
        <w:p w14:paraId="10F02880">
          <w:pPr>
            <w:pStyle w:val="13"/>
            <w:tabs>
              <w:tab w:val="right" w:leader="dot" w:pos="8306"/>
            </w:tabs>
          </w:pPr>
          <w:r>
            <w:rPr>
              <w:color w:val="000000" w:themeColor="text1"/>
              <w14:textFill>
                <w14:solidFill>
                  <w14:schemeClr w14:val="tx1"/>
                </w14:solidFill>
              </w14:textFill>
            </w:rPr>
            <w:fldChar w:fldCharType="begin"/>
          </w:r>
          <w:r>
            <w:instrText xml:space="preserve"> HYPERLINK \l _Toc13031 </w:instrText>
          </w:r>
          <w:r>
            <w:fldChar w:fldCharType="separate"/>
          </w:r>
          <w:r>
            <w:rPr>
              <w:rFonts w:hint="eastAsia"/>
            </w:rPr>
            <w:t>4.2.</w:t>
          </w:r>
          <w:r>
            <w:rPr>
              <w:rFonts w:hint="eastAsia"/>
              <w:lang w:val="en-US" w:eastAsia="zh-CN"/>
            </w:rPr>
            <w:t>6</w:t>
          </w:r>
          <w:r>
            <w:t>生态环境现状</w:t>
          </w:r>
          <w:r>
            <w:tab/>
          </w:r>
          <w:r>
            <w:fldChar w:fldCharType="begin"/>
          </w:r>
          <w:r>
            <w:instrText xml:space="preserve"> PAGEREF _Toc13031 \h </w:instrText>
          </w:r>
          <w:r>
            <w:fldChar w:fldCharType="separate"/>
          </w:r>
          <w:r>
            <w:t>128</w:t>
          </w:r>
          <w:r>
            <w:fldChar w:fldCharType="end"/>
          </w:r>
          <w:r>
            <w:rPr>
              <w:color w:val="000000" w:themeColor="text1"/>
              <w14:textFill>
                <w14:solidFill>
                  <w14:schemeClr w14:val="tx1"/>
                </w14:solidFill>
              </w14:textFill>
            </w:rPr>
            <w:fldChar w:fldCharType="end"/>
          </w:r>
        </w:p>
        <w:p w14:paraId="65381A71">
          <w:pPr>
            <w:pStyle w:val="17"/>
            <w:tabs>
              <w:tab w:val="right" w:leader="dot" w:pos="8306"/>
            </w:tabs>
          </w:pPr>
          <w:r>
            <w:rPr>
              <w:color w:val="000000" w:themeColor="text1"/>
              <w14:textFill>
                <w14:solidFill>
                  <w14:schemeClr w14:val="tx1"/>
                </w14:solidFill>
              </w14:textFill>
            </w:rPr>
            <w:fldChar w:fldCharType="begin"/>
          </w:r>
          <w:r>
            <w:instrText xml:space="preserve"> HYPERLINK \l _Toc6486 </w:instrText>
          </w:r>
          <w:r>
            <w:fldChar w:fldCharType="separate"/>
          </w:r>
          <w:r>
            <w:rPr>
              <w:rFonts w:hint="eastAsia"/>
            </w:rPr>
            <w:t>5、环境影响预测与评价</w:t>
          </w:r>
          <w:r>
            <w:tab/>
          </w:r>
          <w:r>
            <w:fldChar w:fldCharType="begin"/>
          </w:r>
          <w:r>
            <w:instrText xml:space="preserve"> PAGEREF _Toc6486 \h </w:instrText>
          </w:r>
          <w:r>
            <w:fldChar w:fldCharType="separate"/>
          </w:r>
          <w:r>
            <w:t>129</w:t>
          </w:r>
          <w:r>
            <w:fldChar w:fldCharType="end"/>
          </w:r>
          <w:r>
            <w:rPr>
              <w:color w:val="000000" w:themeColor="text1"/>
              <w14:textFill>
                <w14:solidFill>
                  <w14:schemeClr w14:val="tx1"/>
                </w14:solidFill>
              </w14:textFill>
            </w:rPr>
            <w:fldChar w:fldCharType="end"/>
          </w:r>
        </w:p>
        <w:p w14:paraId="2E120773">
          <w:pPr>
            <w:pStyle w:val="18"/>
            <w:tabs>
              <w:tab w:val="right" w:leader="dot" w:pos="8306"/>
            </w:tabs>
          </w:pPr>
          <w:r>
            <w:rPr>
              <w:color w:val="000000" w:themeColor="text1"/>
              <w14:textFill>
                <w14:solidFill>
                  <w14:schemeClr w14:val="tx1"/>
                </w14:solidFill>
              </w14:textFill>
            </w:rPr>
            <w:fldChar w:fldCharType="begin"/>
          </w:r>
          <w:r>
            <w:instrText xml:space="preserve"> HYPERLINK \l _Toc29778 </w:instrText>
          </w:r>
          <w:r>
            <w:fldChar w:fldCharType="separate"/>
          </w:r>
          <w:r>
            <w:rPr>
              <w:rFonts w:hint="eastAsia"/>
            </w:rPr>
            <w:t>5.1施工期环境影响预测与评价</w:t>
          </w:r>
          <w:r>
            <w:tab/>
          </w:r>
          <w:r>
            <w:fldChar w:fldCharType="begin"/>
          </w:r>
          <w:r>
            <w:instrText xml:space="preserve"> PAGEREF _Toc29778 \h </w:instrText>
          </w:r>
          <w:r>
            <w:fldChar w:fldCharType="separate"/>
          </w:r>
          <w:r>
            <w:t>129</w:t>
          </w:r>
          <w:r>
            <w:fldChar w:fldCharType="end"/>
          </w:r>
          <w:r>
            <w:rPr>
              <w:color w:val="000000" w:themeColor="text1"/>
              <w14:textFill>
                <w14:solidFill>
                  <w14:schemeClr w14:val="tx1"/>
                </w14:solidFill>
              </w14:textFill>
            </w:rPr>
            <w:fldChar w:fldCharType="end"/>
          </w:r>
        </w:p>
        <w:p w14:paraId="6D6F2B7F">
          <w:pPr>
            <w:pStyle w:val="18"/>
            <w:tabs>
              <w:tab w:val="right" w:leader="dot" w:pos="8306"/>
            </w:tabs>
          </w:pPr>
          <w:r>
            <w:rPr>
              <w:color w:val="000000" w:themeColor="text1"/>
              <w14:textFill>
                <w14:solidFill>
                  <w14:schemeClr w14:val="tx1"/>
                </w14:solidFill>
              </w14:textFill>
            </w:rPr>
            <w:fldChar w:fldCharType="begin"/>
          </w:r>
          <w:r>
            <w:instrText xml:space="preserve"> HYPERLINK \l _Toc1269 </w:instrText>
          </w:r>
          <w:r>
            <w:fldChar w:fldCharType="separate"/>
          </w:r>
          <w:r>
            <w:rPr>
              <w:rFonts w:hint="eastAsia"/>
            </w:rPr>
            <w:t>5.2运营期环境影响预测与评价</w:t>
          </w:r>
          <w:r>
            <w:tab/>
          </w:r>
          <w:r>
            <w:fldChar w:fldCharType="begin"/>
          </w:r>
          <w:r>
            <w:instrText xml:space="preserve"> PAGEREF _Toc1269 \h </w:instrText>
          </w:r>
          <w:r>
            <w:fldChar w:fldCharType="separate"/>
          </w:r>
          <w:r>
            <w:t>129</w:t>
          </w:r>
          <w:r>
            <w:fldChar w:fldCharType="end"/>
          </w:r>
          <w:r>
            <w:rPr>
              <w:color w:val="000000" w:themeColor="text1"/>
              <w14:textFill>
                <w14:solidFill>
                  <w14:schemeClr w14:val="tx1"/>
                </w14:solidFill>
              </w14:textFill>
            </w:rPr>
            <w:fldChar w:fldCharType="end"/>
          </w:r>
        </w:p>
        <w:p w14:paraId="0083B4EB">
          <w:pPr>
            <w:pStyle w:val="13"/>
            <w:tabs>
              <w:tab w:val="right" w:leader="dot" w:pos="8306"/>
            </w:tabs>
          </w:pPr>
          <w:r>
            <w:rPr>
              <w:color w:val="000000" w:themeColor="text1"/>
              <w14:textFill>
                <w14:solidFill>
                  <w14:schemeClr w14:val="tx1"/>
                </w14:solidFill>
              </w14:textFill>
            </w:rPr>
            <w:fldChar w:fldCharType="begin"/>
          </w:r>
          <w:r>
            <w:instrText xml:space="preserve"> HYPERLINK \l _Toc18678 </w:instrText>
          </w:r>
          <w:r>
            <w:fldChar w:fldCharType="separate"/>
          </w:r>
          <w:r>
            <w:rPr>
              <w:rFonts w:hint="eastAsia"/>
            </w:rPr>
            <w:t>5.2.1大气环境影响分析</w:t>
          </w:r>
          <w:r>
            <w:tab/>
          </w:r>
          <w:r>
            <w:fldChar w:fldCharType="begin"/>
          </w:r>
          <w:r>
            <w:instrText xml:space="preserve"> PAGEREF _Toc18678 \h </w:instrText>
          </w:r>
          <w:r>
            <w:fldChar w:fldCharType="separate"/>
          </w:r>
          <w:r>
            <w:t>129</w:t>
          </w:r>
          <w:r>
            <w:fldChar w:fldCharType="end"/>
          </w:r>
          <w:r>
            <w:rPr>
              <w:color w:val="000000" w:themeColor="text1"/>
              <w14:textFill>
                <w14:solidFill>
                  <w14:schemeClr w14:val="tx1"/>
                </w14:solidFill>
              </w14:textFill>
            </w:rPr>
            <w:fldChar w:fldCharType="end"/>
          </w:r>
        </w:p>
        <w:p w14:paraId="51606F9D">
          <w:pPr>
            <w:pStyle w:val="13"/>
            <w:tabs>
              <w:tab w:val="right" w:leader="dot" w:pos="8306"/>
            </w:tabs>
          </w:pPr>
          <w:r>
            <w:rPr>
              <w:color w:val="000000" w:themeColor="text1"/>
              <w14:textFill>
                <w14:solidFill>
                  <w14:schemeClr w14:val="tx1"/>
                </w14:solidFill>
              </w14:textFill>
            </w:rPr>
            <w:fldChar w:fldCharType="begin"/>
          </w:r>
          <w:r>
            <w:instrText xml:space="preserve"> HYPERLINK \l _Toc19235 </w:instrText>
          </w:r>
          <w:r>
            <w:fldChar w:fldCharType="separate"/>
          </w:r>
          <w:r>
            <w:rPr>
              <w:rFonts w:hint="eastAsia"/>
            </w:rPr>
            <w:t>5.2.2地表水环境影响评价</w:t>
          </w:r>
          <w:r>
            <w:tab/>
          </w:r>
          <w:r>
            <w:fldChar w:fldCharType="begin"/>
          </w:r>
          <w:r>
            <w:instrText xml:space="preserve"> PAGEREF _Toc19235 \h </w:instrText>
          </w:r>
          <w:r>
            <w:fldChar w:fldCharType="separate"/>
          </w:r>
          <w:r>
            <w:t>135</w:t>
          </w:r>
          <w:r>
            <w:fldChar w:fldCharType="end"/>
          </w:r>
          <w:r>
            <w:rPr>
              <w:color w:val="000000" w:themeColor="text1"/>
              <w14:textFill>
                <w14:solidFill>
                  <w14:schemeClr w14:val="tx1"/>
                </w14:solidFill>
              </w14:textFill>
            </w:rPr>
            <w:fldChar w:fldCharType="end"/>
          </w:r>
        </w:p>
        <w:p w14:paraId="3E42CEA3">
          <w:pPr>
            <w:pStyle w:val="13"/>
            <w:tabs>
              <w:tab w:val="right" w:leader="dot" w:pos="8306"/>
            </w:tabs>
          </w:pPr>
          <w:r>
            <w:rPr>
              <w:color w:val="000000" w:themeColor="text1"/>
              <w14:textFill>
                <w14:solidFill>
                  <w14:schemeClr w14:val="tx1"/>
                </w14:solidFill>
              </w14:textFill>
            </w:rPr>
            <w:fldChar w:fldCharType="begin"/>
          </w:r>
          <w:r>
            <w:instrText xml:space="preserve"> HYPERLINK \l _Toc2624 </w:instrText>
          </w:r>
          <w:r>
            <w:fldChar w:fldCharType="separate"/>
          </w:r>
          <w:r>
            <w:rPr>
              <w:rFonts w:hint="eastAsia"/>
            </w:rPr>
            <w:t>5.2.3声环境影响预测与评价</w:t>
          </w:r>
          <w:r>
            <w:tab/>
          </w:r>
          <w:r>
            <w:fldChar w:fldCharType="begin"/>
          </w:r>
          <w:r>
            <w:instrText xml:space="preserve"> PAGEREF _Toc2624 \h </w:instrText>
          </w:r>
          <w:r>
            <w:fldChar w:fldCharType="separate"/>
          </w:r>
          <w:r>
            <w:t>144</w:t>
          </w:r>
          <w:r>
            <w:fldChar w:fldCharType="end"/>
          </w:r>
          <w:r>
            <w:rPr>
              <w:color w:val="000000" w:themeColor="text1"/>
              <w14:textFill>
                <w14:solidFill>
                  <w14:schemeClr w14:val="tx1"/>
                </w14:solidFill>
              </w14:textFill>
            </w:rPr>
            <w:fldChar w:fldCharType="end"/>
          </w:r>
        </w:p>
        <w:p w14:paraId="2BE3B0F8">
          <w:pPr>
            <w:pStyle w:val="13"/>
            <w:tabs>
              <w:tab w:val="right" w:leader="dot" w:pos="8306"/>
            </w:tabs>
          </w:pPr>
          <w:r>
            <w:rPr>
              <w:color w:val="000000" w:themeColor="text1"/>
              <w14:textFill>
                <w14:solidFill>
                  <w14:schemeClr w14:val="tx1"/>
                </w14:solidFill>
              </w14:textFill>
            </w:rPr>
            <w:fldChar w:fldCharType="begin"/>
          </w:r>
          <w:r>
            <w:instrText xml:space="preserve"> HYPERLINK \l _Toc11115 </w:instrText>
          </w:r>
          <w:r>
            <w:fldChar w:fldCharType="separate"/>
          </w:r>
          <w:r>
            <w:rPr>
              <w:rFonts w:hint="eastAsia"/>
            </w:rPr>
            <w:t>5.2.4固体废物环境影响评价</w:t>
          </w:r>
          <w:r>
            <w:tab/>
          </w:r>
          <w:r>
            <w:fldChar w:fldCharType="begin"/>
          </w:r>
          <w:r>
            <w:instrText xml:space="preserve"> PAGEREF _Toc11115 \h </w:instrText>
          </w:r>
          <w:r>
            <w:fldChar w:fldCharType="separate"/>
          </w:r>
          <w:r>
            <w:t>152</w:t>
          </w:r>
          <w:r>
            <w:fldChar w:fldCharType="end"/>
          </w:r>
          <w:r>
            <w:rPr>
              <w:color w:val="000000" w:themeColor="text1"/>
              <w14:textFill>
                <w14:solidFill>
                  <w14:schemeClr w14:val="tx1"/>
                </w14:solidFill>
              </w14:textFill>
            </w:rPr>
            <w:fldChar w:fldCharType="end"/>
          </w:r>
        </w:p>
        <w:p w14:paraId="43EF9109">
          <w:pPr>
            <w:pStyle w:val="13"/>
            <w:tabs>
              <w:tab w:val="right" w:leader="dot" w:pos="8306"/>
            </w:tabs>
          </w:pPr>
          <w:r>
            <w:rPr>
              <w:color w:val="000000" w:themeColor="text1"/>
              <w14:textFill>
                <w14:solidFill>
                  <w14:schemeClr w14:val="tx1"/>
                </w14:solidFill>
              </w14:textFill>
            </w:rPr>
            <w:fldChar w:fldCharType="begin"/>
          </w:r>
          <w:r>
            <w:instrText xml:space="preserve"> HYPERLINK \l _Toc24087 </w:instrText>
          </w:r>
          <w:r>
            <w:fldChar w:fldCharType="separate"/>
          </w:r>
          <w:r>
            <w:rPr>
              <w:rFonts w:hint="eastAsia"/>
            </w:rPr>
            <w:t>5.2.5土壤环境影响与评价</w:t>
          </w:r>
          <w:r>
            <w:tab/>
          </w:r>
          <w:r>
            <w:fldChar w:fldCharType="begin"/>
          </w:r>
          <w:r>
            <w:instrText xml:space="preserve"> PAGEREF _Toc24087 \h </w:instrText>
          </w:r>
          <w:r>
            <w:fldChar w:fldCharType="separate"/>
          </w:r>
          <w:r>
            <w:t>156</w:t>
          </w:r>
          <w:r>
            <w:fldChar w:fldCharType="end"/>
          </w:r>
          <w:r>
            <w:rPr>
              <w:color w:val="000000" w:themeColor="text1"/>
              <w14:textFill>
                <w14:solidFill>
                  <w14:schemeClr w14:val="tx1"/>
                </w14:solidFill>
              </w14:textFill>
            </w:rPr>
            <w:fldChar w:fldCharType="end"/>
          </w:r>
        </w:p>
        <w:p w14:paraId="7D2D6E15">
          <w:pPr>
            <w:pStyle w:val="13"/>
            <w:tabs>
              <w:tab w:val="right" w:leader="dot" w:pos="8306"/>
            </w:tabs>
          </w:pPr>
          <w:r>
            <w:rPr>
              <w:color w:val="000000" w:themeColor="text1"/>
              <w14:textFill>
                <w14:solidFill>
                  <w14:schemeClr w14:val="tx1"/>
                </w14:solidFill>
              </w14:textFill>
            </w:rPr>
            <w:fldChar w:fldCharType="begin"/>
          </w:r>
          <w:r>
            <w:instrText xml:space="preserve"> HYPERLINK \l _Toc11897 </w:instrText>
          </w:r>
          <w:r>
            <w:fldChar w:fldCharType="separate"/>
          </w:r>
          <w:r>
            <w:rPr>
              <w:rFonts w:hint="eastAsia"/>
            </w:rPr>
            <w:t>5.2.6地下水环境影响分析</w:t>
          </w:r>
          <w:r>
            <w:tab/>
          </w:r>
          <w:r>
            <w:fldChar w:fldCharType="begin"/>
          </w:r>
          <w:r>
            <w:instrText xml:space="preserve"> PAGEREF _Toc11897 \h </w:instrText>
          </w:r>
          <w:r>
            <w:fldChar w:fldCharType="separate"/>
          </w:r>
          <w:r>
            <w:t>159</w:t>
          </w:r>
          <w:r>
            <w:fldChar w:fldCharType="end"/>
          </w:r>
          <w:r>
            <w:rPr>
              <w:color w:val="000000" w:themeColor="text1"/>
              <w14:textFill>
                <w14:solidFill>
                  <w14:schemeClr w14:val="tx1"/>
                </w14:solidFill>
              </w14:textFill>
            </w:rPr>
            <w:fldChar w:fldCharType="end"/>
          </w:r>
        </w:p>
        <w:p w14:paraId="200EFC1D">
          <w:pPr>
            <w:pStyle w:val="13"/>
            <w:tabs>
              <w:tab w:val="right" w:leader="dot" w:pos="8306"/>
            </w:tabs>
          </w:pPr>
          <w:r>
            <w:rPr>
              <w:color w:val="000000" w:themeColor="text1"/>
              <w14:textFill>
                <w14:solidFill>
                  <w14:schemeClr w14:val="tx1"/>
                </w14:solidFill>
              </w14:textFill>
            </w:rPr>
            <w:fldChar w:fldCharType="begin"/>
          </w:r>
          <w:r>
            <w:instrText xml:space="preserve"> HYPERLINK \l _Toc17232 </w:instrText>
          </w:r>
          <w:r>
            <w:fldChar w:fldCharType="separate"/>
          </w:r>
          <w:r>
            <w:rPr>
              <w:rFonts w:hint="eastAsia"/>
            </w:rPr>
            <w:t>5.2.7生态环境影响分析</w:t>
          </w:r>
          <w:r>
            <w:tab/>
          </w:r>
          <w:r>
            <w:fldChar w:fldCharType="begin"/>
          </w:r>
          <w:r>
            <w:instrText xml:space="preserve"> PAGEREF _Toc17232 \h </w:instrText>
          </w:r>
          <w:r>
            <w:fldChar w:fldCharType="separate"/>
          </w:r>
          <w:r>
            <w:t>163</w:t>
          </w:r>
          <w:r>
            <w:fldChar w:fldCharType="end"/>
          </w:r>
          <w:r>
            <w:rPr>
              <w:color w:val="000000" w:themeColor="text1"/>
              <w14:textFill>
                <w14:solidFill>
                  <w14:schemeClr w14:val="tx1"/>
                </w14:solidFill>
              </w14:textFill>
            </w:rPr>
            <w:fldChar w:fldCharType="end"/>
          </w:r>
        </w:p>
        <w:p w14:paraId="6F239E54">
          <w:pPr>
            <w:pStyle w:val="13"/>
            <w:tabs>
              <w:tab w:val="right" w:leader="dot" w:pos="8306"/>
            </w:tabs>
          </w:pPr>
          <w:r>
            <w:rPr>
              <w:color w:val="000000" w:themeColor="text1"/>
              <w14:textFill>
                <w14:solidFill>
                  <w14:schemeClr w14:val="tx1"/>
                </w14:solidFill>
              </w14:textFill>
            </w:rPr>
            <w:fldChar w:fldCharType="begin"/>
          </w:r>
          <w:r>
            <w:instrText xml:space="preserve"> HYPERLINK \l _Toc30018 </w:instrText>
          </w:r>
          <w:r>
            <w:fldChar w:fldCharType="separate"/>
          </w:r>
          <w:r>
            <w:rPr>
              <w:rFonts w:hint="eastAsia"/>
            </w:rPr>
            <w:t>5.2.8环境风险影响分析</w:t>
          </w:r>
          <w:r>
            <w:tab/>
          </w:r>
          <w:r>
            <w:fldChar w:fldCharType="begin"/>
          </w:r>
          <w:r>
            <w:instrText xml:space="preserve"> PAGEREF _Toc30018 \h </w:instrText>
          </w:r>
          <w:r>
            <w:fldChar w:fldCharType="separate"/>
          </w:r>
          <w:r>
            <w:t>163</w:t>
          </w:r>
          <w:r>
            <w:fldChar w:fldCharType="end"/>
          </w:r>
          <w:r>
            <w:rPr>
              <w:color w:val="000000" w:themeColor="text1"/>
              <w14:textFill>
                <w14:solidFill>
                  <w14:schemeClr w14:val="tx1"/>
                </w14:solidFill>
              </w14:textFill>
            </w:rPr>
            <w:fldChar w:fldCharType="end"/>
          </w:r>
        </w:p>
        <w:p w14:paraId="660482F2">
          <w:pPr>
            <w:pStyle w:val="17"/>
            <w:tabs>
              <w:tab w:val="right" w:leader="dot" w:pos="8306"/>
            </w:tabs>
          </w:pPr>
          <w:r>
            <w:rPr>
              <w:color w:val="000000" w:themeColor="text1"/>
              <w14:textFill>
                <w14:solidFill>
                  <w14:schemeClr w14:val="tx1"/>
                </w14:solidFill>
              </w14:textFill>
            </w:rPr>
            <w:fldChar w:fldCharType="begin"/>
          </w:r>
          <w:r>
            <w:instrText xml:space="preserve"> HYPERLINK \l _Toc18106 </w:instrText>
          </w:r>
          <w:r>
            <w:fldChar w:fldCharType="separate"/>
          </w:r>
          <w:r>
            <w:rPr>
              <w:rFonts w:hint="eastAsia"/>
            </w:rPr>
            <w:t>6</w:t>
          </w:r>
          <w:r>
            <w:t>、环境保护措施及其可行性论证</w:t>
          </w:r>
          <w:r>
            <w:tab/>
          </w:r>
          <w:r>
            <w:fldChar w:fldCharType="begin"/>
          </w:r>
          <w:r>
            <w:instrText xml:space="preserve"> PAGEREF _Toc18106 \h </w:instrText>
          </w:r>
          <w:r>
            <w:fldChar w:fldCharType="separate"/>
          </w:r>
          <w:r>
            <w:t>179</w:t>
          </w:r>
          <w:r>
            <w:fldChar w:fldCharType="end"/>
          </w:r>
          <w:r>
            <w:rPr>
              <w:color w:val="000000" w:themeColor="text1"/>
              <w14:textFill>
                <w14:solidFill>
                  <w14:schemeClr w14:val="tx1"/>
                </w14:solidFill>
              </w14:textFill>
            </w:rPr>
            <w:fldChar w:fldCharType="end"/>
          </w:r>
        </w:p>
        <w:p w14:paraId="5E79140F">
          <w:pPr>
            <w:pStyle w:val="18"/>
            <w:tabs>
              <w:tab w:val="right" w:leader="dot" w:pos="8306"/>
            </w:tabs>
          </w:pPr>
          <w:r>
            <w:rPr>
              <w:color w:val="000000" w:themeColor="text1"/>
              <w14:textFill>
                <w14:solidFill>
                  <w14:schemeClr w14:val="tx1"/>
                </w14:solidFill>
              </w14:textFill>
            </w:rPr>
            <w:fldChar w:fldCharType="begin"/>
          </w:r>
          <w:r>
            <w:instrText xml:space="preserve"> HYPERLINK \l _Toc12892 </w:instrText>
          </w:r>
          <w:r>
            <w:fldChar w:fldCharType="separate"/>
          </w:r>
          <w:r>
            <w:rPr>
              <w:rFonts w:hint="eastAsia"/>
            </w:rPr>
            <w:t>6</w:t>
          </w:r>
          <w:r>
            <w:t>.</w:t>
          </w:r>
          <w:r>
            <w:rPr>
              <w:rFonts w:hint="eastAsia"/>
            </w:rPr>
            <w:t>1施工</w:t>
          </w:r>
          <w:r>
            <w:t>期环境保护措施及其可行性</w:t>
          </w:r>
          <w:r>
            <w:rPr>
              <w:rFonts w:hint="eastAsia"/>
            </w:rPr>
            <w:t>分析</w:t>
          </w:r>
          <w:r>
            <w:tab/>
          </w:r>
          <w:r>
            <w:fldChar w:fldCharType="begin"/>
          </w:r>
          <w:r>
            <w:instrText xml:space="preserve"> PAGEREF _Toc12892 \h </w:instrText>
          </w:r>
          <w:r>
            <w:fldChar w:fldCharType="separate"/>
          </w:r>
          <w:r>
            <w:t>179</w:t>
          </w:r>
          <w:r>
            <w:fldChar w:fldCharType="end"/>
          </w:r>
          <w:r>
            <w:rPr>
              <w:color w:val="000000" w:themeColor="text1"/>
              <w14:textFill>
                <w14:solidFill>
                  <w14:schemeClr w14:val="tx1"/>
                </w14:solidFill>
              </w14:textFill>
            </w:rPr>
            <w:fldChar w:fldCharType="end"/>
          </w:r>
        </w:p>
        <w:p w14:paraId="0962C05F">
          <w:pPr>
            <w:pStyle w:val="18"/>
            <w:tabs>
              <w:tab w:val="right" w:leader="dot" w:pos="8306"/>
            </w:tabs>
          </w:pPr>
          <w:r>
            <w:rPr>
              <w:color w:val="000000" w:themeColor="text1"/>
              <w14:textFill>
                <w14:solidFill>
                  <w14:schemeClr w14:val="tx1"/>
                </w14:solidFill>
              </w14:textFill>
            </w:rPr>
            <w:fldChar w:fldCharType="begin"/>
          </w:r>
          <w:r>
            <w:instrText xml:space="preserve"> HYPERLINK \l _Toc19849 </w:instrText>
          </w:r>
          <w:r>
            <w:fldChar w:fldCharType="separate"/>
          </w:r>
          <w:r>
            <w:rPr>
              <w:rFonts w:hint="eastAsia"/>
            </w:rPr>
            <w:t>6</w:t>
          </w:r>
          <w:r>
            <w:t>.2运营期环境保护措施及其可行性</w:t>
          </w:r>
          <w:r>
            <w:rPr>
              <w:rFonts w:hint="eastAsia"/>
            </w:rPr>
            <w:t>分析</w:t>
          </w:r>
          <w:r>
            <w:tab/>
          </w:r>
          <w:r>
            <w:fldChar w:fldCharType="begin"/>
          </w:r>
          <w:r>
            <w:instrText xml:space="preserve"> PAGEREF _Toc19849 \h </w:instrText>
          </w:r>
          <w:r>
            <w:fldChar w:fldCharType="separate"/>
          </w:r>
          <w:r>
            <w:t>179</w:t>
          </w:r>
          <w:r>
            <w:fldChar w:fldCharType="end"/>
          </w:r>
          <w:r>
            <w:rPr>
              <w:color w:val="000000" w:themeColor="text1"/>
              <w14:textFill>
                <w14:solidFill>
                  <w14:schemeClr w14:val="tx1"/>
                </w14:solidFill>
              </w14:textFill>
            </w:rPr>
            <w:fldChar w:fldCharType="end"/>
          </w:r>
        </w:p>
        <w:p w14:paraId="01F96A55">
          <w:pPr>
            <w:pStyle w:val="13"/>
            <w:tabs>
              <w:tab w:val="right" w:leader="dot" w:pos="8306"/>
            </w:tabs>
          </w:pPr>
          <w:r>
            <w:rPr>
              <w:color w:val="000000" w:themeColor="text1"/>
              <w14:textFill>
                <w14:solidFill>
                  <w14:schemeClr w14:val="tx1"/>
                </w14:solidFill>
              </w14:textFill>
            </w:rPr>
            <w:fldChar w:fldCharType="begin"/>
          </w:r>
          <w:r>
            <w:instrText xml:space="preserve"> HYPERLINK \l _Toc10041 </w:instrText>
          </w:r>
          <w:r>
            <w:fldChar w:fldCharType="separate"/>
          </w:r>
          <w:r>
            <w:rPr>
              <w:rFonts w:hint="eastAsia"/>
            </w:rPr>
            <w:t>6</w:t>
          </w:r>
          <w:r>
            <w:t>.2.1大气污染防治措施</w:t>
          </w:r>
          <w:r>
            <w:tab/>
          </w:r>
          <w:r>
            <w:fldChar w:fldCharType="begin"/>
          </w:r>
          <w:r>
            <w:instrText xml:space="preserve"> PAGEREF _Toc10041 \h </w:instrText>
          </w:r>
          <w:r>
            <w:fldChar w:fldCharType="separate"/>
          </w:r>
          <w:r>
            <w:t>179</w:t>
          </w:r>
          <w:r>
            <w:fldChar w:fldCharType="end"/>
          </w:r>
          <w:r>
            <w:rPr>
              <w:color w:val="000000" w:themeColor="text1"/>
              <w14:textFill>
                <w14:solidFill>
                  <w14:schemeClr w14:val="tx1"/>
                </w14:solidFill>
              </w14:textFill>
            </w:rPr>
            <w:fldChar w:fldCharType="end"/>
          </w:r>
        </w:p>
        <w:p w14:paraId="07D072D2">
          <w:pPr>
            <w:pStyle w:val="13"/>
            <w:tabs>
              <w:tab w:val="right" w:leader="dot" w:pos="8306"/>
            </w:tabs>
          </w:pPr>
          <w:r>
            <w:rPr>
              <w:color w:val="000000" w:themeColor="text1"/>
              <w14:textFill>
                <w14:solidFill>
                  <w14:schemeClr w14:val="tx1"/>
                </w14:solidFill>
              </w14:textFill>
            </w:rPr>
            <w:fldChar w:fldCharType="begin"/>
          </w:r>
          <w:r>
            <w:instrText xml:space="preserve"> HYPERLINK \l _Toc2095 </w:instrText>
          </w:r>
          <w:r>
            <w:fldChar w:fldCharType="separate"/>
          </w:r>
          <w:r>
            <w:rPr>
              <w:rFonts w:hint="eastAsia"/>
            </w:rPr>
            <w:t>6</w:t>
          </w:r>
          <w:r>
            <w:t>.2.2 地表水污染防治措施及其可行</w:t>
          </w:r>
          <w:r>
            <w:rPr>
              <w:rFonts w:hint="eastAsia"/>
            </w:rPr>
            <w:t>分析</w:t>
          </w:r>
          <w:r>
            <w:tab/>
          </w:r>
          <w:r>
            <w:fldChar w:fldCharType="begin"/>
          </w:r>
          <w:r>
            <w:instrText xml:space="preserve"> PAGEREF _Toc2095 \h </w:instrText>
          </w:r>
          <w:r>
            <w:fldChar w:fldCharType="separate"/>
          </w:r>
          <w:r>
            <w:t>183</w:t>
          </w:r>
          <w:r>
            <w:fldChar w:fldCharType="end"/>
          </w:r>
          <w:r>
            <w:rPr>
              <w:color w:val="000000" w:themeColor="text1"/>
              <w14:textFill>
                <w14:solidFill>
                  <w14:schemeClr w14:val="tx1"/>
                </w14:solidFill>
              </w14:textFill>
            </w:rPr>
            <w:fldChar w:fldCharType="end"/>
          </w:r>
        </w:p>
        <w:p w14:paraId="7833D065">
          <w:pPr>
            <w:pStyle w:val="13"/>
            <w:tabs>
              <w:tab w:val="right" w:leader="dot" w:pos="8306"/>
            </w:tabs>
          </w:pPr>
          <w:r>
            <w:rPr>
              <w:color w:val="000000" w:themeColor="text1"/>
              <w14:textFill>
                <w14:solidFill>
                  <w14:schemeClr w14:val="tx1"/>
                </w14:solidFill>
              </w14:textFill>
            </w:rPr>
            <w:fldChar w:fldCharType="begin"/>
          </w:r>
          <w:r>
            <w:instrText xml:space="preserve"> HYPERLINK \l _Toc3111 </w:instrText>
          </w:r>
          <w:r>
            <w:fldChar w:fldCharType="separate"/>
          </w:r>
          <w:r>
            <w:rPr>
              <w:rFonts w:hint="eastAsia"/>
            </w:rPr>
            <w:t>6</w:t>
          </w:r>
          <w:r>
            <w:t>.2.3 噪声污染防治措施</w:t>
          </w:r>
          <w:r>
            <w:tab/>
          </w:r>
          <w:r>
            <w:fldChar w:fldCharType="begin"/>
          </w:r>
          <w:r>
            <w:instrText xml:space="preserve"> PAGEREF _Toc3111 \h </w:instrText>
          </w:r>
          <w:r>
            <w:fldChar w:fldCharType="separate"/>
          </w:r>
          <w:r>
            <w:t>186</w:t>
          </w:r>
          <w:r>
            <w:fldChar w:fldCharType="end"/>
          </w:r>
          <w:r>
            <w:rPr>
              <w:color w:val="000000" w:themeColor="text1"/>
              <w14:textFill>
                <w14:solidFill>
                  <w14:schemeClr w14:val="tx1"/>
                </w14:solidFill>
              </w14:textFill>
            </w:rPr>
            <w:fldChar w:fldCharType="end"/>
          </w:r>
        </w:p>
        <w:p w14:paraId="4EF90CA8">
          <w:pPr>
            <w:pStyle w:val="13"/>
            <w:tabs>
              <w:tab w:val="right" w:leader="dot" w:pos="8306"/>
            </w:tabs>
          </w:pPr>
          <w:r>
            <w:rPr>
              <w:color w:val="000000" w:themeColor="text1"/>
              <w14:textFill>
                <w14:solidFill>
                  <w14:schemeClr w14:val="tx1"/>
                </w14:solidFill>
              </w14:textFill>
            </w:rPr>
            <w:fldChar w:fldCharType="begin"/>
          </w:r>
          <w:r>
            <w:instrText xml:space="preserve"> HYPERLINK \l _Toc30947 </w:instrText>
          </w:r>
          <w:r>
            <w:fldChar w:fldCharType="separate"/>
          </w:r>
          <w:r>
            <w:rPr>
              <w:rFonts w:hint="eastAsia"/>
            </w:rPr>
            <w:t>6</w:t>
          </w:r>
          <w:r>
            <w:t>.2.4 固体废物污染防治措施</w:t>
          </w:r>
          <w:r>
            <w:tab/>
          </w:r>
          <w:r>
            <w:fldChar w:fldCharType="begin"/>
          </w:r>
          <w:r>
            <w:instrText xml:space="preserve"> PAGEREF _Toc30947 \h </w:instrText>
          </w:r>
          <w:r>
            <w:fldChar w:fldCharType="separate"/>
          </w:r>
          <w:r>
            <w:t>186</w:t>
          </w:r>
          <w:r>
            <w:fldChar w:fldCharType="end"/>
          </w:r>
          <w:r>
            <w:rPr>
              <w:color w:val="000000" w:themeColor="text1"/>
              <w14:textFill>
                <w14:solidFill>
                  <w14:schemeClr w14:val="tx1"/>
                </w14:solidFill>
              </w14:textFill>
            </w:rPr>
            <w:fldChar w:fldCharType="end"/>
          </w:r>
        </w:p>
        <w:p w14:paraId="2C11B250">
          <w:pPr>
            <w:pStyle w:val="13"/>
            <w:tabs>
              <w:tab w:val="right" w:leader="dot" w:pos="8306"/>
            </w:tabs>
          </w:pPr>
          <w:r>
            <w:rPr>
              <w:color w:val="000000" w:themeColor="text1"/>
              <w14:textFill>
                <w14:solidFill>
                  <w14:schemeClr w14:val="tx1"/>
                </w14:solidFill>
              </w14:textFill>
            </w:rPr>
            <w:fldChar w:fldCharType="begin"/>
          </w:r>
          <w:r>
            <w:instrText xml:space="preserve"> HYPERLINK \l _Toc16693 </w:instrText>
          </w:r>
          <w:r>
            <w:fldChar w:fldCharType="separate"/>
          </w:r>
          <w:r>
            <w:rPr>
              <w:rFonts w:hint="eastAsia"/>
            </w:rPr>
            <w:t>6</w:t>
          </w:r>
          <w:r>
            <w:t xml:space="preserve">.2.5 </w:t>
          </w:r>
          <w:r>
            <w:rPr>
              <w:rFonts w:hint="eastAsia"/>
            </w:rPr>
            <w:t>地下水、</w:t>
          </w:r>
          <w:r>
            <w:t>土壤</w:t>
          </w:r>
          <w:r>
            <w:rPr>
              <w:rFonts w:hint="eastAsia"/>
            </w:rPr>
            <w:t>污染</w:t>
          </w:r>
          <w:r>
            <w:t>防治措施</w:t>
          </w:r>
          <w:r>
            <w:tab/>
          </w:r>
          <w:r>
            <w:fldChar w:fldCharType="begin"/>
          </w:r>
          <w:r>
            <w:instrText xml:space="preserve"> PAGEREF _Toc16693 \h </w:instrText>
          </w:r>
          <w:r>
            <w:fldChar w:fldCharType="separate"/>
          </w:r>
          <w:r>
            <w:t>191</w:t>
          </w:r>
          <w:r>
            <w:fldChar w:fldCharType="end"/>
          </w:r>
          <w:r>
            <w:rPr>
              <w:color w:val="000000" w:themeColor="text1"/>
              <w14:textFill>
                <w14:solidFill>
                  <w14:schemeClr w14:val="tx1"/>
                </w14:solidFill>
              </w14:textFill>
            </w:rPr>
            <w:fldChar w:fldCharType="end"/>
          </w:r>
        </w:p>
        <w:p w14:paraId="2F5A445B">
          <w:pPr>
            <w:pStyle w:val="13"/>
            <w:tabs>
              <w:tab w:val="right" w:leader="dot" w:pos="8306"/>
            </w:tabs>
          </w:pPr>
          <w:r>
            <w:rPr>
              <w:color w:val="000000" w:themeColor="text1"/>
              <w14:textFill>
                <w14:solidFill>
                  <w14:schemeClr w14:val="tx1"/>
                </w14:solidFill>
              </w14:textFill>
            </w:rPr>
            <w:fldChar w:fldCharType="begin"/>
          </w:r>
          <w:r>
            <w:instrText xml:space="preserve"> HYPERLINK \l _Toc4959 </w:instrText>
          </w:r>
          <w:r>
            <w:fldChar w:fldCharType="separate"/>
          </w:r>
          <w:r>
            <w:rPr>
              <w:rFonts w:hint="eastAsia"/>
            </w:rPr>
            <w:t>6.2.6生态环境保护措施</w:t>
          </w:r>
          <w:r>
            <w:tab/>
          </w:r>
          <w:r>
            <w:fldChar w:fldCharType="begin"/>
          </w:r>
          <w:r>
            <w:instrText xml:space="preserve"> PAGEREF _Toc4959 \h </w:instrText>
          </w:r>
          <w:r>
            <w:fldChar w:fldCharType="separate"/>
          </w:r>
          <w:r>
            <w:t>193</w:t>
          </w:r>
          <w:r>
            <w:fldChar w:fldCharType="end"/>
          </w:r>
          <w:r>
            <w:rPr>
              <w:color w:val="000000" w:themeColor="text1"/>
              <w14:textFill>
                <w14:solidFill>
                  <w14:schemeClr w14:val="tx1"/>
                </w14:solidFill>
              </w14:textFill>
            </w:rPr>
            <w:fldChar w:fldCharType="end"/>
          </w:r>
        </w:p>
        <w:p w14:paraId="30F9585D">
          <w:pPr>
            <w:pStyle w:val="17"/>
            <w:tabs>
              <w:tab w:val="right" w:leader="dot" w:pos="8306"/>
            </w:tabs>
          </w:pPr>
          <w:r>
            <w:rPr>
              <w:color w:val="000000" w:themeColor="text1"/>
              <w14:textFill>
                <w14:solidFill>
                  <w14:schemeClr w14:val="tx1"/>
                </w14:solidFill>
              </w14:textFill>
            </w:rPr>
            <w:fldChar w:fldCharType="begin"/>
          </w:r>
          <w:r>
            <w:instrText xml:space="preserve"> HYPERLINK \l _Toc22390 </w:instrText>
          </w:r>
          <w:r>
            <w:fldChar w:fldCharType="separate"/>
          </w:r>
          <w:r>
            <w:rPr>
              <w:rFonts w:hint="eastAsia"/>
            </w:rPr>
            <w:t>7</w:t>
          </w:r>
          <w:r>
            <w:t>、环境影响经济损益分析</w:t>
          </w:r>
          <w:r>
            <w:tab/>
          </w:r>
          <w:r>
            <w:fldChar w:fldCharType="begin"/>
          </w:r>
          <w:r>
            <w:instrText xml:space="preserve"> PAGEREF _Toc22390 \h </w:instrText>
          </w:r>
          <w:r>
            <w:fldChar w:fldCharType="separate"/>
          </w:r>
          <w:r>
            <w:t>195</w:t>
          </w:r>
          <w:r>
            <w:fldChar w:fldCharType="end"/>
          </w:r>
          <w:r>
            <w:rPr>
              <w:color w:val="000000" w:themeColor="text1"/>
              <w14:textFill>
                <w14:solidFill>
                  <w14:schemeClr w14:val="tx1"/>
                </w14:solidFill>
              </w14:textFill>
            </w:rPr>
            <w:fldChar w:fldCharType="end"/>
          </w:r>
        </w:p>
        <w:p w14:paraId="1608E6DD">
          <w:pPr>
            <w:pStyle w:val="18"/>
            <w:tabs>
              <w:tab w:val="right" w:leader="dot" w:pos="8306"/>
            </w:tabs>
          </w:pPr>
          <w:r>
            <w:rPr>
              <w:color w:val="000000" w:themeColor="text1"/>
              <w14:textFill>
                <w14:solidFill>
                  <w14:schemeClr w14:val="tx1"/>
                </w14:solidFill>
              </w14:textFill>
            </w:rPr>
            <w:fldChar w:fldCharType="begin"/>
          </w:r>
          <w:r>
            <w:instrText xml:space="preserve"> HYPERLINK \l _Toc26529 </w:instrText>
          </w:r>
          <w:r>
            <w:fldChar w:fldCharType="separate"/>
          </w:r>
          <w:r>
            <w:rPr>
              <w:rFonts w:hint="eastAsia"/>
            </w:rPr>
            <w:t>7</w:t>
          </w:r>
          <w:r>
            <w:t>.1 社会效益分析</w:t>
          </w:r>
          <w:r>
            <w:tab/>
          </w:r>
          <w:r>
            <w:fldChar w:fldCharType="begin"/>
          </w:r>
          <w:r>
            <w:instrText xml:space="preserve"> PAGEREF _Toc26529 \h </w:instrText>
          </w:r>
          <w:r>
            <w:fldChar w:fldCharType="separate"/>
          </w:r>
          <w:r>
            <w:t>195</w:t>
          </w:r>
          <w:r>
            <w:fldChar w:fldCharType="end"/>
          </w:r>
          <w:r>
            <w:rPr>
              <w:color w:val="000000" w:themeColor="text1"/>
              <w14:textFill>
                <w14:solidFill>
                  <w14:schemeClr w14:val="tx1"/>
                </w14:solidFill>
              </w14:textFill>
            </w:rPr>
            <w:fldChar w:fldCharType="end"/>
          </w:r>
        </w:p>
        <w:p w14:paraId="6A2699BB">
          <w:pPr>
            <w:pStyle w:val="18"/>
            <w:tabs>
              <w:tab w:val="right" w:leader="dot" w:pos="8306"/>
            </w:tabs>
          </w:pPr>
          <w:r>
            <w:rPr>
              <w:color w:val="000000" w:themeColor="text1"/>
              <w14:textFill>
                <w14:solidFill>
                  <w14:schemeClr w14:val="tx1"/>
                </w14:solidFill>
              </w14:textFill>
            </w:rPr>
            <w:fldChar w:fldCharType="begin"/>
          </w:r>
          <w:r>
            <w:instrText xml:space="preserve"> HYPERLINK \l _Toc15678 </w:instrText>
          </w:r>
          <w:r>
            <w:fldChar w:fldCharType="separate"/>
          </w:r>
          <w:r>
            <w:rPr>
              <w:rFonts w:hint="eastAsia"/>
            </w:rPr>
            <w:t>7</w:t>
          </w:r>
          <w:r>
            <w:t>.2经济效益分析</w:t>
          </w:r>
          <w:r>
            <w:tab/>
          </w:r>
          <w:r>
            <w:fldChar w:fldCharType="begin"/>
          </w:r>
          <w:r>
            <w:instrText xml:space="preserve"> PAGEREF _Toc15678 \h </w:instrText>
          </w:r>
          <w:r>
            <w:fldChar w:fldCharType="separate"/>
          </w:r>
          <w:r>
            <w:t>195</w:t>
          </w:r>
          <w:r>
            <w:fldChar w:fldCharType="end"/>
          </w:r>
          <w:r>
            <w:rPr>
              <w:color w:val="000000" w:themeColor="text1"/>
              <w14:textFill>
                <w14:solidFill>
                  <w14:schemeClr w14:val="tx1"/>
                </w14:solidFill>
              </w14:textFill>
            </w:rPr>
            <w:fldChar w:fldCharType="end"/>
          </w:r>
        </w:p>
        <w:p w14:paraId="5008DD67">
          <w:pPr>
            <w:pStyle w:val="18"/>
            <w:tabs>
              <w:tab w:val="right" w:leader="dot" w:pos="8306"/>
            </w:tabs>
          </w:pPr>
          <w:r>
            <w:rPr>
              <w:color w:val="000000" w:themeColor="text1"/>
              <w14:textFill>
                <w14:solidFill>
                  <w14:schemeClr w14:val="tx1"/>
                </w14:solidFill>
              </w14:textFill>
            </w:rPr>
            <w:fldChar w:fldCharType="begin"/>
          </w:r>
          <w:r>
            <w:instrText xml:space="preserve"> HYPERLINK \l _Toc6074 </w:instrText>
          </w:r>
          <w:r>
            <w:fldChar w:fldCharType="separate"/>
          </w:r>
          <w:r>
            <w:rPr>
              <w:rFonts w:hint="eastAsia"/>
            </w:rPr>
            <w:t>7</w:t>
          </w:r>
          <w:r>
            <w:t>.3 环境效益分析</w:t>
          </w:r>
          <w:r>
            <w:tab/>
          </w:r>
          <w:r>
            <w:fldChar w:fldCharType="begin"/>
          </w:r>
          <w:r>
            <w:instrText xml:space="preserve"> PAGEREF _Toc6074 \h </w:instrText>
          </w:r>
          <w:r>
            <w:fldChar w:fldCharType="separate"/>
          </w:r>
          <w:r>
            <w:t>196</w:t>
          </w:r>
          <w:r>
            <w:fldChar w:fldCharType="end"/>
          </w:r>
          <w:r>
            <w:rPr>
              <w:color w:val="000000" w:themeColor="text1"/>
              <w14:textFill>
                <w14:solidFill>
                  <w14:schemeClr w14:val="tx1"/>
                </w14:solidFill>
              </w14:textFill>
            </w:rPr>
            <w:fldChar w:fldCharType="end"/>
          </w:r>
        </w:p>
        <w:p w14:paraId="3B8DA3E8">
          <w:pPr>
            <w:pStyle w:val="13"/>
            <w:tabs>
              <w:tab w:val="right" w:leader="dot" w:pos="8306"/>
            </w:tabs>
          </w:pPr>
          <w:r>
            <w:rPr>
              <w:color w:val="000000" w:themeColor="text1"/>
              <w14:textFill>
                <w14:solidFill>
                  <w14:schemeClr w14:val="tx1"/>
                </w14:solidFill>
              </w14:textFill>
            </w:rPr>
            <w:fldChar w:fldCharType="begin"/>
          </w:r>
          <w:r>
            <w:instrText xml:space="preserve"> HYPERLINK \l _Toc27970 </w:instrText>
          </w:r>
          <w:r>
            <w:fldChar w:fldCharType="separate"/>
          </w:r>
          <w:r>
            <w:rPr>
              <w:rFonts w:hint="eastAsia"/>
            </w:rPr>
            <w:t>7</w:t>
          </w:r>
          <w:r>
            <w:t>.3.1环保工程投资概算</w:t>
          </w:r>
          <w:r>
            <w:tab/>
          </w:r>
          <w:r>
            <w:fldChar w:fldCharType="begin"/>
          </w:r>
          <w:r>
            <w:instrText xml:space="preserve"> PAGEREF _Toc27970 \h </w:instrText>
          </w:r>
          <w:r>
            <w:fldChar w:fldCharType="separate"/>
          </w:r>
          <w:r>
            <w:t>196</w:t>
          </w:r>
          <w:r>
            <w:fldChar w:fldCharType="end"/>
          </w:r>
          <w:r>
            <w:rPr>
              <w:color w:val="000000" w:themeColor="text1"/>
              <w14:textFill>
                <w14:solidFill>
                  <w14:schemeClr w14:val="tx1"/>
                </w14:solidFill>
              </w14:textFill>
            </w:rPr>
            <w:fldChar w:fldCharType="end"/>
          </w:r>
        </w:p>
        <w:p w14:paraId="1B672F31">
          <w:pPr>
            <w:pStyle w:val="13"/>
            <w:tabs>
              <w:tab w:val="right" w:leader="dot" w:pos="8306"/>
            </w:tabs>
          </w:pPr>
          <w:r>
            <w:rPr>
              <w:color w:val="000000" w:themeColor="text1"/>
              <w14:textFill>
                <w14:solidFill>
                  <w14:schemeClr w14:val="tx1"/>
                </w14:solidFill>
              </w14:textFill>
            </w:rPr>
            <w:fldChar w:fldCharType="begin"/>
          </w:r>
          <w:r>
            <w:instrText xml:space="preserve"> HYPERLINK \l _Toc6369 </w:instrText>
          </w:r>
          <w:r>
            <w:fldChar w:fldCharType="separate"/>
          </w:r>
          <w:r>
            <w:rPr>
              <w:rFonts w:hint="eastAsia"/>
            </w:rPr>
            <w:t>7</w:t>
          </w:r>
          <w:r>
            <w:t>.3.2 环境经济损益分析</w:t>
          </w:r>
          <w:r>
            <w:tab/>
          </w:r>
          <w:r>
            <w:fldChar w:fldCharType="begin"/>
          </w:r>
          <w:r>
            <w:instrText xml:space="preserve"> PAGEREF _Toc6369 \h </w:instrText>
          </w:r>
          <w:r>
            <w:fldChar w:fldCharType="separate"/>
          </w:r>
          <w:r>
            <w:t>196</w:t>
          </w:r>
          <w:r>
            <w:fldChar w:fldCharType="end"/>
          </w:r>
          <w:r>
            <w:rPr>
              <w:color w:val="000000" w:themeColor="text1"/>
              <w14:textFill>
                <w14:solidFill>
                  <w14:schemeClr w14:val="tx1"/>
                </w14:solidFill>
              </w14:textFill>
            </w:rPr>
            <w:fldChar w:fldCharType="end"/>
          </w:r>
        </w:p>
        <w:p w14:paraId="00116FD7">
          <w:pPr>
            <w:pStyle w:val="18"/>
            <w:tabs>
              <w:tab w:val="right" w:leader="dot" w:pos="8306"/>
            </w:tabs>
          </w:pPr>
          <w:r>
            <w:rPr>
              <w:color w:val="000000" w:themeColor="text1"/>
              <w14:textFill>
                <w14:solidFill>
                  <w14:schemeClr w14:val="tx1"/>
                </w14:solidFill>
              </w14:textFill>
            </w:rPr>
            <w:fldChar w:fldCharType="begin"/>
          </w:r>
          <w:r>
            <w:instrText xml:space="preserve"> HYPERLINK \l _Toc16330 </w:instrText>
          </w:r>
          <w:r>
            <w:fldChar w:fldCharType="separate"/>
          </w:r>
          <w:r>
            <w:rPr>
              <w:rFonts w:hint="eastAsia"/>
            </w:rPr>
            <w:t>7</w:t>
          </w:r>
          <w:r>
            <w:t>.4小结</w:t>
          </w:r>
          <w:r>
            <w:tab/>
          </w:r>
          <w:r>
            <w:fldChar w:fldCharType="begin"/>
          </w:r>
          <w:r>
            <w:instrText xml:space="preserve"> PAGEREF _Toc16330 \h </w:instrText>
          </w:r>
          <w:r>
            <w:fldChar w:fldCharType="separate"/>
          </w:r>
          <w:r>
            <w:t>197</w:t>
          </w:r>
          <w:r>
            <w:fldChar w:fldCharType="end"/>
          </w:r>
          <w:r>
            <w:rPr>
              <w:color w:val="000000" w:themeColor="text1"/>
              <w14:textFill>
                <w14:solidFill>
                  <w14:schemeClr w14:val="tx1"/>
                </w14:solidFill>
              </w14:textFill>
            </w:rPr>
            <w:fldChar w:fldCharType="end"/>
          </w:r>
        </w:p>
        <w:p w14:paraId="7D791A22">
          <w:pPr>
            <w:pStyle w:val="17"/>
            <w:tabs>
              <w:tab w:val="right" w:leader="dot" w:pos="8306"/>
            </w:tabs>
          </w:pPr>
          <w:r>
            <w:rPr>
              <w:color w:val="000000" w:themeColor="text1"/>
              <w14:textFill>
                <w14:solidFill>
                  <w14:schemeClr w14:val="tx1"/>
                </w14:solidFill>
              </w14:textFill>
            </w:rPr>
            <w:fldChar w:fldCharType="begin"/>
          </w:r>
          <w:r>
            <w:instrText xml:space="preserve"> HYPERLINK \l _Toc624 </w:instrText>
          </w:r>
          <w:r>
            <w:fldChar w:fldCharType="separate"/>
          </w:r>
          <w:r>
            <w:rPr>
              <w:rFonts w:hint="eastAsia"/>
            </w:rPr>
            <w:t>8</w:t>
          </w:r>
          <w:r>
            <w:t>、环境管理及环境监测</w:t>
          </w:r>
          <w:r>
            <w:tab/>
          </w:r>
          <w:r>
            <w:fldChar w:fldCharType="begin"/>
          </w:r>
          <w:r>
            <w:instrText xml:space="preserve"> PAGEREF _Toc624 \h </w:instrText>
          </w:r>
          <w:r>
            <w:fldChar w:fldCharType="separate"/>
          </w:r>
          <w:r>
            <w:t>198</w:t>
          </w:r>
          <w:r>
            <w:fldChar w:fldCharType="end"/>
          </w:r>
          <w:r>
            <w:rPr>
              <w:color w:val="000000" w:themeColor="text1"/>
              <w14:textFill>
                <w14:solidFill>
                  <w14:schemeClr w14:val="tx1"/>
                </w14:solidFill>
              </w14:textFill>
            </w:rPr>
            <w:fldChar w:fldCharType="end"/>
          </w:r>
        </w:p>
        <w:p w14:paraId="66576265">
          <w:pPr>
            <w:pStyle w:val="18"/>
            <w:tabs>
              <w:tab w:val="right" w:leader="dot" w:pos="8306"/>
            </w:tabs>
          </w:pPr>
          <w:r>
            <w:rPr>
              <w:color w:val="000000" w:themeColor="text1"/>
              <w14:textFill>
                <w14:solidFill>
                  <w14:schemeClr w14:val="tx1"/>
                </w14:solidFill>
              </w14:textFill>
            </w:rPr>
            <w:fldChar w:fldCharType="begin"/>
          </w:r>
          <w:r>
            <w:instrText xml:space="preserve"> HYPERLINK \l _Toc13902 </w:instrText>
          </w:r>
          <w:r>
            <w:fldChar w:fldCharType="separate"/>
          </w:r>
          <w:r>
            <w:rPr>
              <w:rFonts w:hint="eastAsia"/>
            </w:rPr>
            <w:t>8</w:t>
          </w:r>
          <w:r>
            <w:t>.1</w:t>
          </w:r>
          <w:r>
            <w:rPr>
              <w:rFonts w:hint="eastAsia"/>
            </w:rPr>
            <w:t>环境管理</w:t>
          </w:r>
          <w:r>
            <w:tab/>
          </w:r>
          <w:r>
            <w:fldChar w:fldCharType="begin"/>
          </w:r>
          <w:r>
            <w:instrText xml:space="preserve"> PAGEREF _Toc13902 \h </w:instrText>
          </w:r>
          <w:r>
            <w:fldChar w:fldCharType="separate"/>
          </w:r>
          <w:r>
            <w:t>198</w:t>
          </w:r>
          <w:r>
            <w:fldChar w:fldCharType="end"/>
          </w:r>
          <w:r>
            <w:rPr>
              <w:color w:val="000000" w:themeColor="text1"/>
              <w14:textFill>
                <w14:solidFill>
                  <w14:schemeClr w14:val="tx1"/>
                </w14:solidFill>
              </w14:textFill>
            </w:rPr>
            <w:fldChar w:fldCharType="end"/>
          </w:r>
        </w:p>
        <w:p w14:paraId="0B218520">
          <w:pPr>
            <w:pStyle w:val="13"/>
            <w:tabs>
              <w:tab w:val="right" w:leader="dot" w:pos="8306"/>
            </w:tabs>
          </w:pPr>
          <w:r>
            <w:rPr>
              <w:color w:val="000000" w:themeColor="text1"/>
              <w14:textFill>
                <w14:solidFill>
                  <w14:schemeClr w14:val="tx1"/>
                </w14:solidFill>
              </w14:textFill>
            </w:rPr>
            <w:fldChar w:fldCharType="begin"/>
          </w:r>
          <w:r>
            <w:instrText xml:space="preserve"> HYPERLINK \l _Toc370 </w:instrText>
          </w:r>
          <w:r>
            <w:fldChar w:fldCharType="separate"/>
          </w:r>
          <w:r>
            <w:rPr>
              <w:rFonts w:hint="eastAsia"/>
            </w:rPr>
            <w:t>8</w:t>
          </w:r>
          <w:r>
            <w:t>.1.1</w:t>
          </w:r>
          <w:r>
            <w:rPr>
              <w:rFonts w:hint="eastAsia"/>
            </w:rPr>
            <w:t>环境管理要求</w:t>
          </w:r>
          <w:r>
            <w:tab/>
          </w:r>
          <w:r>
            <w:fldChar w:fldCharType="begin"/>
          </w:r>
          <w:r>
            <w:instrText xml:space="preserve"> PAGEREF _Toc370 \h </w:instrText>
          </w:r>
          <w:r>
            <w:fldChar w:fldCharType="separate"/>
          </w:r>
          <w:r>
            <w:t>198</w:t>
          </w:r>
          <w:r>
            <w:fldChar w:fldCharType="end"/>
          </w:r>
          <w:r>
            <w:rPr>
              <w:color w:val="000000" w:themeColor="text1"/>
              <w14:textFill>
                <w14:solidFill>
                  <w14:schemeClr w14:val="tx1"/>
                </w14:solidFill>
              </w14:textFill>
            </w:rPr>
            <w:fldChar w:fldCharType="end"/>
          </w:r>
        </w:p>
        <w:p w14:paraId="60A71896">
          <w:pPr>
            <w:pStyle w:val="13"/>
            <w:tabs>
              <w:tab w:val="right" w:leader="dot" w:pos="8306"/>
            </w:tabs>
          </w:pPr>
          <w:r>
            <w:rPr>
              <w:color w:val="000000" w:themeColor="text1"/>
              <w14:textFill>
                <w14:solidFill>
                  <w14:schemeClr w14:val="tx1"/>
                </w14:solidFill>
              </w14:textFill>
            </w:rPr>
            <w:fldChar w:fldCharType="begin"/>
          </w:r>
          <w:r>
            <w:instrText xml:space="preserve"> HYPERLINK \l _Toc7486 </w:instrText>
          </w:r>
          <w:r>
            <w:fldChar w:fldCharType="separate"/>
          </w:r>
          <w:r>
            <w:rPr>
              <w:rFonts w:hint="eastAsia"/>
            </w:rPr>
            <w:t>8.1.2环境管理制度</w:t>
          </w:r>
          <w:r>
            <w:tab/>
          </w:r>
          <w:r>
            <w:fldChar w:fldCharType="begin"/>
          </w:r>
          <w:r>
            <w:instrText xml:space="preserve"> PAGEREF _Toc7486 \h </w:instrText>
          </w:r>
          <w:r>
            <w:fldChar w:fldCharType="separate"/>
          </w:r>
          <w:r>
            <w:t>199</w:t>
          </w:r>
          <w:r>
            <w:fldChar w:fldCharType="end"/>
          </w:r>
          <w:r>
            <w:rPr>
              <w:color w:val="000000" w:themeColor="text1"/>
              <w14:textFill>
                <w14:solidFill>
                  <w14:schemeClr w14:val="tx1"/>
                </w14:solidFill>
              </w14:textFill>
            </w:rPr>
            <w:fldChar w:fldCharType="end"/>
          </w:r>
        </w:p>
        <w:p w14:paraId="6F33A6A5">
          <w:pPr>
            <w:pStyle w:val="13"/>
            <w:tabs>
              <w:tab w:val="right" w:leader="dot" w:pos="8306"/>
            </w:tabs>
          </w:pPr>
          <w:r>
            <w:rPr>
              <w:color w:val="000000" w:themeColor="text1"/>
              <w14:textFill>
                <w14:solidFill>
                  <w14:schemeClr w14:val="tx1"/>
                </w14:solidFill>
              </w14:textFill>
            </w:rPr>
            <w:fldChar w:fldCharType="begin"/>
          </w:r>
          <w:r>
            <w:instrText xml:space="preserve"> HYPERLINK \l _Toc32228 </w:instrText>
          </w:r>
          <w:r>
            <w:fldChar w:fldCharType="separate"/>
          </w:r>
          <w:r>
            <w:rPr>
              <w:rFonts w:hint="eastAsia"/>
            </w:rPr>
            <w:t>8</w:t>
          </w:r>
          <w:r>
            <w:t>.1.</w:t>
          </w:r>
          <w:r>
            <w:rPr>
              <w:rFonts w:hint="eastAsia"/>
            </w:rPr>
            <w:t>3建立环境管理机构</w:t>
          </w:r>
          <w:r>
            <w:tab/>
          </w:r>
          <w:r>
            <w:fldChar w:fldCharType="begin"/>
          </w:r>
          <w:r>
            <w:instrText xml:space="preserve"> PAGEREF _Toc32228 \h </w:instrText>
          </w:r>
          <w:r>
            <w:fldChar w:fldCharType="separate"/>
          </w:r>
          <w:r>
            <w:t>199</w:t>
          </w:r>
          <w:r>
            <w:fldChar w:fldCharType="end"/>
          </w:r>
          <w:r>
            <w:rPr>
              <w:color w:val="000000" w:themeColor="text1"/>
              <w14:textFill>
                <w14:solidFill>
                  <w14:schemeClr w14:val="tx1"/>
                </w14:solidFill>
              </w14:textFill>
            </w:rPr>
            <w:fldChar w:fldCharType="end"/>
          </w:r>
        </w:p>
        <w:p w14:paraId="034E0457">
          <w:pPr>
            <w:pStyle w:val="13"/>
            <w:tabs>
              <w:tab w:val="right" w:leader="dot" w:pos="8306"/>
            </w:tabs>
          </w:pPr>
          <w:r>
            <w:rPr>
              <w:color w:val="000000" w:themeColor="text1"/>
              <w14:textFill>
                <w14:solidFill>
                  <w14:schemeClr w14:val="tx1"/>
                </w14:solidFill>
              </w14:textFill>
            </w:rPr>
            <w:fldChar w:fldCharType="begin"/>
          </w:r>
          <w:r>
            <w:instrText xml:space="preserve"> HYPERLINK \l _Toc31938 </w:instrText>
          </w:r>
          <w:r>
            <w:fldChar w:fldCharType="separate"/>
          </w:r>
          <w:r>
            <w:rPr>
              <w:rFonts w:hint="eastAsia"/>
            </w:rPr>
            <w:t>8.1.4环境管理台账</w:t>
          </w:r>
          <w:r>
            <w:tab/>
          </w:r>
          <w:r>
            <w:fldChar w:fldCharType="begin"/>
          </w:r>
          <w:r>
            <w:instrText xml:space="preserve"> PAGEREF _Toc31938 \h </w:instrText>
          </w:r>
          <w:r>
            <w:fldChar w:fldCharType="separate"/>
          </w:r>
          <w:r>
            <w:t>200</w:t>
          </w:r>
          <w:r>
            <w:fldChar w:fldCharType="end"/>
          </w:r>
          <w:r>
            <w:rPr>
              <w:color w:val="000000" w:themeColor="text1"/>
              <w14:textFill>
                <w14:solidFill>
                  <w14:schemeClr w14:val="tx1"/>
                </w14:solidFill>
              </w14:textFill>
            </w:rPr>
            <w:fldChar w:fldCharType="end"/>
          </w:r>
        </w:p>
        <w:p w14:paraId="296F562A">
          <w:pPr>
            <w:pStyle w:val="18"/>
            <w:tabs>
              <w:tab w:val="right" w:leader="dot" w:pos="8306"/>
            </w:tabs>
          </w:pPr>
          <w:r>
            <w:rPr>
              <w:color w:val="000000" w:themeColor="text1"/>
              <w14:textFill>
                <w14:solidFill>
                  <w14:schemeClr w14:val="tx1"/>
                </w14:solidFill>
              </w14:textFill>
            </w:rPr>
            <w:fldChar w:fldCharType="begin"/>
          </w:r>
          <w:r>
            <w:instrText xml:space="preserve"> HYPERLINK \l _Toc9957 </w:instrText>
          </w:r>
          <w:r>
            <w:fldChar w:fldCharType="separate"/>
          </w:r>
          <w:r>
            <w:rPr>
              <w:rFonts w:hint="eastAsia"/>
            </w:rPr>
            <w:t>8.2环境监理</w:t>
          </w:r>
          <w:r>
            <w:tab/>
          </w:r>
          <w:r>
            <w:fldChar w:fldCharType="begin"/>
          </w:r>
          <w:r>
            <w:instrText xml:space="preserve"> PAGEREF _Toc9957 \h </w:instrText>
          </w:r>
          <w:r>
            <w:fldChar w:fldCharType="separate"/>
          </w:r>
          <w:r>
            <w:t>201</w:t>
          </w:r>
          <w:r>
            <w:fldChar w:fldCharType="end"/>
          </w:r>
          <w:r>
            <w:rPr>
              <w:color w:val="000000" w:themeColor="text1"/>
              <w14:textFill>
                <w14:solidFill>
                  <w14:schemeClr w14:val="tx1"/>
                </w14:solidFill>
              </w14:textFill>
            </w:rPr>
            <w:fldChar w:fldCharType="end"/>
          </w:r>
        </w:p>
        <w:p w14:paraId="61B1A9F9">
          <w:pPr>
            <w:pStyle w:val="18"/>
            <w:tabs>
              <w:tab w:val="right" w:leader="dot" w:pos="8306"/>
            </w:tabs>
          </w:pPr>
          <w:r>
            <w:rPr>
              <w:color w:val="000000" w:themeColor="text1"/>
              <w14:textFill>
                <w14:solidFill>
                  <w14:schemeClr w14:val="tx1"/>
                </w14:solidFill>
              </w14:textFill>
            </w:rPr>
            <w:fldChar w:fldCharType="begin"/>
          </w:r>
          <w:r>
            <w:instrText xml:space="preserve"> HYPERLINK \l _Toc22706 </w:instrText>
          </w:r>
          <w:r>
            <w:fldChar w:fldCharType="separate"/>
          </w:r>
          <w:r>
            <w:rPr>
              <w:rFonts w:hint="eastAsia"/>
            </w:rPr>
            <w:t>8.3环境监测</w:t>
          </w:r>
          <w:r>
            <w:tab/>
          </w:r>
          <w:r>
            <w:fldChar w:fldCharType="begin"/>
          </w:r>
          <w:r>
            <w:instrText xml:space="preserve"> PAGEREF _Toc22706 \h </w:instrText>
          </w:r>
          <w:r>
            <w:fldChar w:fldCharType="separate"/>
          </w:r>
          <w:r>
            <w:t>202</w:t>
          </w:r>
          <w:r>
            <w:fldChar w:fldCharType="end"/>
          </w:r>
          <w:r>
            <w:rPr>
              <w:color w:val="000000" w:themeColor="text1"/>
              <w14:textFill>
                <w14:solidFill>
                  <w14:schemeClr w14:val="tx1"/>
                </w14:solidFill>
              </w14:textFill>
            </w:rPr>
            <w:fldChar w:fldCharType="end"/>
          </w:r>
        </w:p>
        <w:p w14:paraId="64BEF99E">
          <w:pPr>
            <w:pStyle w:val="13"/>
            <w:tabs>
              <w:tab w:val="right" w:leader="dot" w:pos="8306"/>
            </w:tabs>
          </w:pPr>
          <w:r>
            <w:rPr>
              <w:color w:val="000000" w:themeColor="text1"/>
              <w14:textFill>
                <w14:solidFill>
                  <w14:schemeClr w14:val="tx1"/>
                </w14:solidFill>
              </w14:textFill>
            </w:rPr>
            <w:fldChar w:fldCharType="begin"/>
          </w:r>
          <w:r>
            <w:instrText xml:space="preserve"> HYPERLINK \l _Toc1374 </w:instrText>
          </w:r>
          <w:r>
            <w:fldChar w:fldCharType="separate"/>
          </w:r>
          <w:r>
            <w:rPr>
              <w:rFonts w:hint="eastAsia"/>
            </w:rPr>
            <w:t>8.3.1验收监测计划</w:t>
          </w:r>
          <w:r>
            <w:tab/>
          </w:r>
          <w:r>
            <w:fldChar w:fldCharType="begin"/>
          </w:r>
          <w:r>
            <w:instrText xml:space="preserve"> PAGEREF _Toc1374 \h </w:instrText>
          </w:r>
          <w:r>
            <w:fldChar w:fldCharType="separate"/>
          </w:r>
          <w:r>
            <w:t>202</w:t>
          </w:r>
          <w:r>
            <w:fldChar w:fldCharType="end"/>
          </w:r>
          <w:r>
            <w:rPr>
              <w:color w:val="000000" w:themeColor="text1"/>
              <w14:textFill>
                <w14:solidFill>
                  <w14:schemeClr w14:val="tx1"/>
                </w14:solidFill>
              </w14:textFill>
            </w:rPr>
            <w:fldChar w:fldCharType="end"/>
          </w:r>
        </w:p>
        <w:p w14:paraId="5216A6C8">
          <w:pPr>
            <w:pStyle w:val="13"/>
            <w:tabs>
              <w:tab w:val="right" w:leader="dot" w:pos="8306"/>
            </w:tabs>
          </w:pPr>
          <w:r>
            <w:rPr>
              <w:color w:val="000000" w:themeColor="text1"/>
              <w14:textFill>
                <w14:solidFill>
                  <w14:schemeClr w14:val="tx1"/>
                </w14:solidFill>
              </w14:textFill>
            </w:rPr>
            <w:fldChar w:fldCharType="begin"/>
          </w:r>
          <w:r>
            <w:instrText xml:space="preserve"> HYPERLINK \l _Toc278 </w:instrText>
          </w:r>
          <w:r>
            <w:fldChar w:fldCharType="separate"/>
          </w:r>
          <w:r>
            <w:rPr>
              <w:rFonts w:hint="eastAsia"/>
            </w:rPr>
            <w:t>8.3.2自行监测计划</w:t>
          </w:r>
          <w:r>
            <w:tab/>
          </w:r>
          <w:r>
            <w:fldChar w:fldCharType="begin"/>
          </w:r>
          <w:r>
            <w:instrText xml:space="preserve"> PAGEREF _Toc278 \h </w:instrText>
          </w:r>
          <w:r>
            <w:fldChar w:fldCharType="separate"/>
          </w:r>
          <w:r>
            <w:t>202</w:t>
          </w:r>
          <w:r>
            <w:fldChar w:fldCharType="end"/>
          </w:r>
          <w:r>
            <w:rPr>
              <w:color w:val="000000" w:themeColor="text1"/>
              <w14:textFill>
                <w14:solidFill>
                  <w14:schemeClr w14:val="tx1"/>
                </w14:solidFill>
              </w14:textFill>
            </w:rPr>
            <w:fldChar w:fldCharType="end"/>
          </w:r>
        </w:p>
        <w:p w14:paraId="38C6F601">
          <w:pPr>
            <w:pStyle w:val="18"/>
            <w:tabs>
              <w:tab w:val="right" w:leader="dot" w:pos="8306"/>
            </w:tabs>
          </w:pPr>
          <w:r>
            <w:rPr>
              <w:color w:val="000000" w:themeColor="text1"/>
              <w14:textFill>
                <w14:solidFill>
                  <w14:schemeClr w14:val="tx1"/>
                </w14:solidFill>
              </w14:textFill>
            </w:rPr>
            <w:fldChar w:fldCharType="begin"/>
          </w:r>
          <w:r>
            <w:instrText xml:space="preserve"> HYPERLINK \l _Toc28903 </w:instrText>
          </w:r>
          <w:r>
            <w:fldChar w:fldCharType="separate"/>
          </w:r>
          <w:r>
            <w:rPr>
              <w:rFonts w:hint="eastAsia"/>
            </w:rPr>
            <w:t>8.4总量控制</w:t>
          </w:r>
          <w:r>
            <w:tab/>
          </w:r>
          <w:r>
            <w:fldChar w:fldCharType="begin"/>
          </w:r>
          <w:r>
            <w:instrText xml:space="preserve"> PAGEREF _Toc28903 \h </w:instrText>
          </w:r>
          <w:r>
            <w:fldChar w:fldCharType="separate"/>
          </w:r>
          <w:r>
            <w:t>203</w:t>
          </w:r>
          <w:r>
            <w:fldChar w:fldCharType="end"/>
          </w:r>
          <w:r>
            <w:rPr>
              <w:color w:val="000000" w:themeColor="text1"/>
              <w14:textFill>
                <w14:solidFill>
                  <w14:schemeClr w14:val="tx1"/>
                </w14:solidFill>
              </w14:textFill>
            </w:rPr>
            <w:fldChar w:fldCharType="end"/>
          </w:r>
        </w:p>
        <w:p w14:paraId="1FB6854B">
          <w:pPr>
            <w:pStyle w:val="18"/>
            <w:tabs>
              <w:tab w:val="right" w:leader="dot" w:pos="8306"/>
            </w:tabs>
          </w:pPr>
          <w:r>
            <w:rPr>
              <w:color w:val="000000" w:themeColor="text1"/>
              <w14:textFill>
                <w14:solidFill>
                  <w14:schemeClr w14:val="tx1"/>
                </w14:solidFill>
              </w14:textFill>
            </w:rPr>
            <w:fldChar w:fldCharType="begin"/>
          </w:r>
          <w:r>
            <w:instrText xml:space="preserve"> HYPERLINK \l _Toc32756 </w:instrText>
          </w:r>
          <w:r>
            <w:fldChar w:fldCharType="separate"/>
          </w:r>
          <w:r>
            <w:rPr>
              <w:rFonts w:hint="eastAsia"/>
            </w:rPr>
            <w:t>8.5项目污染物排放清单</w:t>
          </w:r>
          <w:r>
            <w:tab/>
          </w:r>
          <w:r>
            <w:fldChar w:fldCharType="begin"/>
          </w:r>
          <w:r>
            <w:instrText xml:space="preserve"> PAGEREF _Toc32756 \h </w:instrText>
          </w:r>
          <w:r>
            <w:fldChar w:fldCharType="separate"/>
          </w:r>
          <w:r>
            <w:t>204</w:t>
          </w:r>
          <w:r>
            <w:fldChar w:fldCharType="end"/>
          </w:r>
          <w:r>
            <w:rPr>
              <w:color w:val="000000" w:themeColor="text1"/>
              <w14:textFill>
                <w14:solidFill>
                  <w14:schemeClr w14:val="tx1"/>
                </w14:solidFill>
              </w14:textFill>
            </w:rPr>
            <w:fldChar w:fldCharType="end"/>
          </w:r>
        </w:p>
        <w:p w14:paraId="0FBD81E9">
          <w:pPr>
            <w:pStyle w:val="18"/>
            <w:tabs>
              <w:tab w:val="right" w:leader="dot" w:pos="8306"/>
            </w:tabs>
          </w:pPr>
          <w:r>
            <w:rPr>
              <w:color w:val="000000" w:themeColor="text1"/>
              <w14:textFill>
                <w14:solidFill>
                  <w14:schemeClr w14:val="tx1"/>
                </w14:solidFill>
              </w14:textFill>
            </w:rPr>
            <w:fldChar w:fldCharType="begin"/>
          </w:r>
          <w:r>
            <w:instrText xml:space="preserve"> HYPERLINK \l _Toc24831 </w:instrText>
          </w:r>
          <w:r>
            <w:fldChar w:fldCharType="separate"/>
          </w:r>
          <w:r>
            <w:rPr>
              <w:rFonts w:hint="eastAsia"/>
            </w:rPr>
            <w:t>8.6排污许可证制度及要求</w:t>
          </w:r>
          <w:r>
            <w:tab/>
          </w:r>
          <w:r>
            <w:fldChar w:fldCharType="begin"/>
          </w:r>
          <w:r>
            <w:instrText xml:space="preserve"> PAGEREF _Toc24831 \h </w:instrText>
          </w:r>
          <w:r>
            <w:fldChar w:fldCharType="separate"/>
          </w:r>
          <w:r>
            <w:t>207</w:t>
          </w:r>
          <w:r>
            <w:fldChar w:fldCharType="end"/>
          </w:r>
          <w:r>
            <w:rPr>
              <w:color w:val="000000" w:themeColor="text1"/>
              <w14:textFill>
                <w14:solidFill>
                  <w14:schemeClr w14:val="tx1"/>
                </w14:solidFill>
              </w14:textFill>
            </w:rPr>
            <w:fldChar w:fldCharType="end"/>
          </w:r>
        </w:p>
        <w:p w14:paraId="72CBE8DF">
          <w:pPr>
            <w:pStyle w:val="13"/>
            <w:tabs>
              <w:tab w:val="right" w:leader="dot" w:pos="8306"/>
            </w:tabs>
          </w:pPr>
          <w:r>
            <w:rPr>
              <w:color w:val="000000" w:themeColor="text1"/>
              <w14:textFill>
                <w14:solidFill>
                  <w14:schemeClr w14:val="tx1"/>
                </w14:solidFill>
              </w14:textFill>
            </w:rPr>
            <w:fldChar w:fldCharType="begin"/>
          </w:r>
          <w:r>
            <w:instrText xml:space="preserve"> HYPERLINK \l _Toc22066 </w:instrText>
          </w:r>
          <w:r>
            <w:fldChar w:fldCharType="separate"/>
          </w:r>
          <w:r>
            <w:rPr>
              <w:rFonts w:hint="eastAsia"/>
            </w:rPr>
            <w:t>8.6.1排污许可证申请</w:t>
          </w:r>
          <w:r>
            <w:tab/>
          </w:r>
          <w:r>
            <w:fldChar w:fldCharType="begin"/>
          </w:r>
          <w:r>
            <w:instrText xml:space="preserve"> PAGEREF _Toc22066 \h </w:instrText>
          </w:r>
          <w:r>
            <w:fldChar w:fldCharType="separate"/>
          </w:r>
          <w:r>
            <w:t>207</w:t>
          </w:r>
          <w:r>
            <w:fldChar w:fldCharType="end"/>
          </w:r>
          <w:r>
            <w:rPr>
              <w:color w:val="000000" w:themeColor="text1"/>
              <w14:textFill>
                <w14:solidFill>
                  <w14:schemeClr w14:val="tx1"/>
                </w14:solidFill>
              </w14:textFill>
            </w:rPr>
            <w:fldChar w:fldCharType="end"/>
          </w:r>
        </w:p>
        <w:p w14:paraId="5B6E7E0C">
          <w:pPr>
            <w:pStyle w:val="13"/>
            <w:tabs>
              <w:tab w:val="right" w:leader="dot" w:pos="8306"/>
            </w:tabs>
          </w:pPr>
          <w:r>
            <w:rPr>
              <w:color w:val="000000" w:themeColor="text1"/>
              <w14:textFill>
                <w14:solidFill>
                  <w14:schemeClr w14:val="tx1"/>
                </w14:solidFill>
              </w14:textFill>
            </w:rPr>
            <w:fldChar w:fldCharType="begin"/>
          </w:r>
          <w:r>
            <w:instrText xml:space="preserve"> HYPERLINK \l _Toc9422 </w:instrText>
          </w:r>
          <w:r>
            <w:fldChar w:fldCharType="separate"/>
          </w:r>
          <w:r>
            <w:rPr>
              <w:rFonts w:hint="eastAsia"/>
            </w:rPr>
            <w:t>8.6.2排污许可证证后管理</w:t>
          </w:r>
          <w:r>
            <w:tab/>
          </w:r>
          <w:r>
            <w:fldChar w:fldCharType="begin"/>
          </w:r>
          <w:r>
            <w:instrText xml:space="preserve"> PAGEREF _Toc9422 \h </w:instrText>
          </w:r>
          <w:r>
            <w:fldChar w:fldCharType="separate"/>
          </w:r>
          <w:r>
            <w:t>207</w:t>
          </w:r>
          <w:r>
            <w:fldChar w:fldCharType="end"/>
          </w:r>
          <w:r>
            <w:rPr>
              <w:color w:val="000000" w:themeColor="text1"/>
              <w14:textFill>
                <w14:solidFill>
                  <w14:schemeClr w14:val="tx1"/>
                </w14:solidFill>
              </w14:textFill>
            </w:rPr>
            <w:fldChar w:fldCharType="end"/>
          </w:r>
        </w:p>
        <w:p w14:paraId="1BA4E9C4">
          <w:pPr>
            <w:pStyle w:val="18"/>
            <w:tabs>
              <w:tab w:val="right" w:leader="dot" w:pos="8306"/>
            </w:tabs>
          </w:pPr>
          <w:r>
            <w:rPr>
              <w:color w:val="000000" w:themeColor="text1"/>
              <w14:textFill>
                <w14:solidFill>
                  <w14:schemeClr w14:val="tx1"/>
                </w14:solidFill>
              </w14:textFill>
            </w:rPr>
            <w:fldChar w:fldCharType="begin"/>
          </w:r>
          <w:r>
            <w:instrText xml:space="preserve"> HYPERLINK \l _Toc2256 </w:instrText>
          </w:r>
          <w:r>
            <w:fldChar w:fldCharType="separate"/>
          </w:r>
          <w:r>
            <w:rPr>
              <w:rFonts w:hint="eastAsia"/>
            </w:rPr>
            <w:t>8.7排污口规范化管理</w:t>
          </w:r>
          <w:r>
            <w:tab/>
          </w:r>
          <w:r>
            <w:fldChar w:fldCharType="begin"/>
          </w:r>
          <w:r>
            <w:instrText xml:space="preserve"> PAGEREF _Toc2256 \h </w:instrText>
          </w:r>
          <w:r>
            <w:fldChar w:fldCharType="separate"/>
          </w:r>
          <w:r>
            <w:t>208</w:t>
          </w:r>
          <w:r>
            <w:fldChar w:fldCharType="end"/>
          </w:r>
          <w:r>
            <w:rPr>
              <w:color w:val="000000" w:themeColor="text1"/>
              <w14:textFill>
                <w14:solidFill>
                  <w14:schemeClr w14:val="tx1"/>
                </w14:solidFill>
              </w14:textFill>
            </w:rPr>
            <w:fldChar w:fldCharType="end"/>
          </w:r>
        </w:p>
        <w:p w14:paraId="27AA5FF4">
          <w:pPr>
            <w:pStyle w:val="18"/>
            <w:tabs>
              <w:tab w:val="right" w:leader="dot" w:pos="8306"/>
            </w:tabs>
          </w:pPr>
          <w:r>
            <w:rPr>
              <w:color w:val="000000" w:themeColor="text1"/>
              <w14:textFill>
                <w14:solidFill>
                  <w14:schemeClr w14:val="tx1"/>
                </w14:solidFill>
              </w14:textFill>
            </w:rPr>
            <w:fldChar w:fldCharType="begin"/>
          </w:r>
          <w:r>
            <w:instrText xml:space="preserve"> HYPERLINK \l _Toc7675 </w:instrText>
          </w:r>
          <w:r>
            <w:fldChar w:fldCharType="separate"/>
          </w:r>
          <w:r>
            <w:rPr>
              <w:rFonts w:hint="eastAsia"/>
            </w:rPr>
            <w:t>8.8环境信息公开</w:t>
          </w:r>
          <w:r>
            <w:tab/>
          </w:r>
          <w:r>
            <w:fldChar w:fldCharType="begin"/>
          </w:r>
          <w:r>
            <w:instrText xml:space="preserve"> PAGEREF _Toc7675 \h </w:instrText>
          </w:r>
          <w:r>
            <w:fldChar w:fldCharType="separate"/>
          </w:r>
          <w:r>
            <w:t>211</w:t>
          </w:r>
          <w:r>
            <w:fldChar w:fldCharType="end"/>
          </w:r>
          <w:r>
            <w:rPr>
              <w:color w:val="000000" w:themeColor="text1"/>
              <w14:textFill>
                <w14:solidFill>
                  <w14:schemeClr w14:val="tx1"/>
                </w14:solidFill>
              </w14:textFill>
            </w:rPr>
            <w:fldChar w:fldCharType="end"/>
          </w:r>
        </w:p>
        <w:p w14:paraId="506ACF73">
          <w:pPr>
            <w:pStyle w:val="13"/>
            <w:tabs>
              <w:tab w:val="right" w:leader="dot" w:pos="8306"/>
            </w:tabs>
          </w:pPr>
          <w:r>
            <w:rPr>
              <w:color w:val="000000" w:themeColor="text1"/>
              <w14:textFill>
                <w14:solidFill>
                  <w14:schemeClr w14:val="tx1"/>
                </w14:solidFill>
              </w14:textFill>
            </w:rPr>
            <w:fldChar w:fldCharType="begin"/>
          </w:r>
          <w:r>
            <w:instrText xml:space="preserve"> HYPERLINK \l _Toc18644 </w:instrText>
          </w:r>
          <w:r>
            <w:fldChar w:fldCharType="separate"/>
          </w:r>
          <w:r>
            <w:rPr>
              <w:rFonts w:hint="eastAsia"/>
            </w:rPr>
            <w:t>8.8.1公开内容</w:t>
          </w:r>
          <w:r>
            <w:tab/>
          </w:r>
          <w:r>
            <w:fldChar w:fldCharType="begin"/>
          </w:r>
          <w:r>
            <w:instrText xml:space="preserve"> PAGEREF _Toc18644 \h </w:instrText>
          </w:r>
          <w:r>
            <w:fldChar w:fldCharType="separate"/>
          </w:r>
          <w:r>
            <w:t>211</w:t>
          </w:r>
          <w:r>
            <w:fldChar w:fldCharType="end"/>
          </w:r>
          <w:r>
            <w:rPr>
              <w:color w:val="000000" w:themeColor="text1"/>
              <w14:textFill>
                <w14:solidFill>
                  <w14:schemeClr w14:val="tx1"/>
                </w14:solidFill>
              </w14:textFill>
            </w:rPr>
            <w:fldChar w:fldCharType="end"/>
          </w:r>
        </w:p>
        <w:p w14:paraId="1414E622">
          <w:pPr>
            <w:pStyle w:val="13"/>
            <w:tabs>
              <w:tab w:val="right" w:leader="dot" w:pos="8306"/>
            </w:tabs>
          </w:pPr>
          <w:r>
            <w:rPr>
              <w:color w:val="000000" w:themeColor="text1"/>
              <w14:textFill>
                <w14:solidFill>
                  <w14:schemeClr w14:val="tx1"/>
                </w14:solidFill>
              </w14:textFill>
            </w:rPr>
            <w:fldChar w:fldCharType="begin"/>
          </w:r>
          <w:r>
            <w:instrText xml:space="preserve"> HYPERLINK \l _Toc16241 </w:instrText>
          </w:r>
          <w:r>
            <w:fldChar w:fldCharType="separate"/>
          </w:r>
          <w:r>
            <w:rPr>
              <w:rFonts w:hint="eastAsia"/>
            </w:rPr>
            <w:t>8.8.2</w:t>
          </w:r>
          <w:r>
            <w:t xml:space="preserve"> 公开方式</w:t>
          </w:r>
          <w:r>
            <w:tab/>
          </w:r>
          <w:r>
            <w:fldChar w:fldCharType="begin"/>
          </w:r>
          <w:r>
            <w:instrText xml:space="preserve"> PAGEREF _Toc16241 \h </w:instrText>
          </w:r>
          <w:r>
            <w:fldChar w:fldCharType="separate"/>
          </w:r>
          <w:r>
            <w:t>213</w:t>
          </w:r>
          <w:r>
            <w:fldChar w:fldCharType="end"/>
          </w:r>
          <w:r>
            <w:rPr>
              <w:color w:val="000000" w:themeColor="text1"/>
              <w14:textFill>
                <w14:solidFill>
                  <w14:schemeClr w14:val="tx1"/>
                </w14:solidFill>
              </w14:textFill>
            </w:rPr>
            <w:fldChar w:fldCharType="end"/>
          </w:r>
        </w:p>
        <w:p w14:paraId="00BA8981">
          <w:pPr>
            <w:pStyle w:val="18"/>
            <w:tabs>
              <w:tab w:val="right" w:leader="dot" w:pos="8306"/>
            </w:tabs>
          </w:pPr>
          <w:r>
            <w:rPr>
              <w:color w:val="000000" w:themeColor="text1"/>
              <w14:textFill>
                <w14:solidFill>
                  <w14:schemeClr w14:val="tx1"/>
                </w14:solidFill>
              </w14:textFill>
            </w:rPr>
            <w:fldChar w:fldCharType="begin"/>
          </w:r>
          <w:r>
            <w:instrText xml:space="preserve"> HYPERLINK \l _Toc5007 </w:instrText>
          </w:r>
          <w:r>
            <w:fldChar w:fldCharType="separate"/>
          </w:r>
          <w:r>
            <w:rPr>
              <w:rFonts w:hint="eastAsia"/>
            </w:rPr>
            <w:t>8.9竣工环保验收</w:t>
          </w:r>
          <w:r>
            <w:tab/>
          </w:r>
          <w:r>
            <w:fldChar w:fldCharType="begin"/>
          </w:r>
          <w:r>
            <w:instrText xml:space="preserve"> PAGEREF _Toc5007 \h </w:instrText>
          </w:r>
          <w:r>
            <w:fldChar w:fldCharType="separate"/>
          </w:r>
          <w:r>
            <w:t>213</w:t>
          </w:r>
          <w:r>
            <w:fldChar w:fldCharType="end"/>
          </w:r>
          <w:r>
            <w:rPr>
              <w:color w:val="000000" w:themeColor="text1"/>
              <w14:textFill>
                <w14:solidFill>
                  <w14:schemeClr w14:val="tx1"/>
                </w14:solidFill>
              </w14:textFill>
            </w:rPr>
            <w:fldChar w:fldCharType="end"/>
          </w:r>
        </w:p>
        <w:p w14:paraId="113CF50F">
          <w:pPr>
            <w:pStyle w:val="17"/>
            <w:tabs>
              <w:tab w:val="right" w:leader="dot" w:pos="8306"/>
            </w:tabs>
          </w:pPr>
          <w:r>
            <w:rPr>
              <w:color w:val="000000" w:themeColor="text1"/>
              <w14:textFill>
                <w14:solidFill>
                  <w14:schemeClr w14:val="tx1"/>
                </w14:solidFill>
              </w14:textFill>
            </w:rPr>
            <w:fldChar w:fldCharType="begin"/>
          </w:r>
          <w:r>
            <w:instrText xml:space="preserve"> HYPERLINK \l _Toc22274 </w:instrText>
          </w:r>
          <w:r>
            <w:fldChar w:fldCharType="separate"/>
          </w:r>
          <w:r>
            <w:rPr>
              <w:rFonts w:hint="eastAsia"/>
            </w:rPr>
            <w:t>9</w:t>
          </w:r>
          <w:r>
            <w:t>、产业政策、规划、选址合理性分析</w:t>
          </w:r>
          <w:r>
            <w:tab/>
          </w:r>
          <w:r>
            <w:fldChar w:fldCharType="begin"/>
          </w:r>
          <w:r>
            <w:instrText xml:space="preserve"> PAGEREF _Toc22274 \h </w:instrText>
          </w:r>
          <w:r>
            <w:fldChar w:fldCharType="separate"/>
          </w:r>
          <w:r>
            <w:t>215</w:t>
          </w:r>
          <w:r>
            <w:fldChar w:fldCharType="end"/>
          </w:r>
          <w:r>
            <w:rPr>
              <w:color w:val="000000" w:themeColor="text1"/>
              <w14:textFill>
                <w14:solidFill>
                  <w14:schemeClr w14:val="tx1"/>
                </w14:solidFill>
              </w14:textFill>
            </w:rPr>
            <w:fldChar w:fldCharType="end"/>
          </w:r>
        </w:p>
        <w:p w14:paraId="3283E7D3">
          <w:pPr>
            <w:pStyle w:val="18"/>
            <w:tabs>
              <w:tab w:val="right" w:leader="dot" w:pos="8306"/>
            </w:tabs>
          </w:pPr>
          <w:r>
            <w:rPr>
              <w:color w:val="000000" w:themeColor="text1"/>
              <w14:textFill>
                <w14:solidFill>
                  <w14:schemeClr w14:val="tx1"/>
                </w14:solidFill>
              </w14:textFill>
            </w:rPr>
            <w:fldChar w:fldCharType="begin"/>
          </w:r>
          <w:r>
            <w:instrText xml:space="preserve"> HYPERLINK \l _Toc22065 </w:instrText>
          </w:r>
          <w:r>
            <w:fldChar w:fldCharType="separate"/>
          </w:r>
          <w:r>
            <w:rPr>
              <w:rFonts w:hint="eastAsia"/>
            </w:rPr>
            <w:t>9</w:t>
          </w:r>
          <w:r>
            <w:t>.1产业政策符合性分析</w:t>
          </w:r>
          <w:r>
            <w:tab/>
          </w:r>
          <w:r>
            <w:fldChar w:fldCharType="begin"/>
          </w:r>
          <w:r>
            <w:instrText xml:space="preserve"> PAGEREF _Toc22065 \h </w:instrText>
          </w:r>
          <w:r>
            <w:fldChar w:fldCharType="separate"/>
          </w:r>
          <w:r>
            <w:t>215</w:t>
          </w:r>
          <w:r>
            <w:fldChar w:fldCharType="end"/>
          </w:r>
          <w:r>
            <w:rPr>
              <w:color w:val="000000" w:themeColor="text1"/>
              <w14:textFill>
                <w14:solidFill>
                  <w14:schemeClr w14:val="tx1"/>
                </w14:solidFill>
              </w14:textFill>
            </w:rPr>
            <w:fldChar w:fldCharType="end"/>
          </w:r>
        </w:p>
        <w:p w14:paraId="7AC67402">
          <w:pPr>
            <w:pStyle w:val="18"/>
            <w:tabs>
              <w:tab w:val="right" w:leader="dot" w:pos="8306"/>
            </w:tabs>
          </w:pPr>
          <w:r>
            <w:rPr>
              <w:color w:val="000000" w:themeColor="text1"/>
              <w14:textFill>
                <w14:solidFill>
                  <w14:schemeClr w14:val="tx1"/>
                </w14:solidFill>
              </w14:textFill>
            </w:rPr>
            <w:fldChar w:fldCharType="begin"/>
          </w:r>
          <w:r>
            <w:instrText xml:space="preserve"> HYPERLINK \l _Toc8509 </w:instrText>
          </w:r>
          <w:r>
            <w:fldChar w:fldCharType="separate"/>
          </w:r>
          <w:r>
            <w:rPr>
              <w:rFonts w:hint="eastAsia"/>
            </w:rPr>
            <w:t>9</w:t>
          </w:r>
          <w:r>
            <w:t>.2与玉溪市</w:t>
          </w:r>
          <w:r>
            <w:rPr>
              <w:rFonts w:hint="eastAsia"/>
            </w:rPr>
            <w:t>生态环境</w:t>
          </w:r>
          <w:r>
            <w:t>分区管控动态更新调整方案符合性分析</w:t>
          </w:r>
          <w:r>
            <w:tab/>
          </w:r>
          <w:r>
            <w:fldChar w:fldCharType="begin"/>
          </w:r>
          <w:r>
            <w:instrText xml:space="preserve"> PAGEREF _Toc8509 \h </w:instrText>
          </w:r>
          <w:r>
            <w:fldChar w:fldCharType="separate"/>
          </w:r>
          <w:r>
            <w:t>215</w:t>
          </w:r>
          <w:r>
            <w:fldChar w:fldCharType="end"/>
          </w:r>
          <w:r>
            <w:rPr>
              <w:color w:val="000000" w:themeColor="text1"/>
              <w14:textFill>
                <w14:solidFill>
                  <w14:schemeClr w14:val="tx1"/>
                </w14:solidFill>
              </w14:textFill>
            </w:rPr>
            <w:fldChar w:fldCharType="end"/>
          </w:r>
        </w:p>
        <w:p w14:paraId="64228BD7">
          <w:pPr>
            <w:pStyle w:val="18"/>
            <w:tabs>
              <w:tab w:val="right" w:leader="dot" w:pos="8306"/>
            </w:tabs>
          </w:pPr>
          <w:r>
            <w:rPr>
              <w:color w:val="000000" w:themeColor="text1"/>
              <w14:textFill>
                <w14:solidFill>
                  <w14:schemeClr w14:val="tx1"/>
                </w14:solidFill>
              </w14:textFill>
            </w:rPr>
            <w:fldChar w:fldCharType="begin"/>
          </w:r>
          <w:r>
            <w:instrText xml:space="preserve"> HYPERLINK \l _Toc14014 </w:instrText>
          </w:r>
          <w:r>
            <w:fldChar w:fldCharType="separate"/>
          </w:r>
          <w:r>
            <w:rPr>
              <w:rFonts w:hint="eastAsia"/>
            </w:rPr>
            <w:t>9.3与《云南省长江经济带发展负面清单指南实施细则（试行）》符合性分析</w:t>
          </w:r>
          <w:r>
            <w:tab/>
          </w:r>
          <w:r>
            <w:fldChar w:fldCharType="begin"/>
          </w:r>
          <w:r>
            <w:instrText xml:space="preserve"> PAGEREF _Toc14014 \h </w:instrText>
          </w:r>
          <w:r>
            <w:fldChar w:fldCharType="separate"/>
          </w:r>
          <w:r>
            <w:t>218</w:t>
          </w:r>
          <w:r>
            <w:fldChar w:fldCharType="end"/>
          </w:r>
          <w:r>
            <w:rPr>
              <w:color w:val="000000" w:themeColor="text1"/>
              <w14:textFill>
                <w14:solidFill>
                  <w14:schemeClr w14:val="tx1"/>
                </w14:solidFill>
              </w14:textFill>
            </w:rPr>
            <w:fldChar w:fldCharType="end"/>
          </w:r>
        </w:p>
        <w:p w14:paraId="3141FD93">
          <w:pPr>
            <w:pStyle w:val="18"/>
            <w:tabs>
              <w:tab w:val="right" w:leader="dot" w:pos="8306"/>
            </w:tabs>
          </w:pPr>
          <w:r>
            <w:rPr>
              <w:color w:val="000000" w:themeColor="text1"/>
              <w14:textFill>
                <w14:solidFill>
                  <w14:schemeClr w14:val="tx1"/>
                </w14:solidFill>
              </w14:textFill>
            </w:rPr>
            <w:fldChar w:fldCharType="begin"/>
          </w:r>
          <w:r>
            <w:instrText xml:space="preserve"> HYPERLINK \l _Toc30175 </w:instrText>
          </w:r>
          <w:r>
            <w:fldChar w:fldCharType="separate"/>
          </w:r>
          <w:r>
            <w:rPr>
              <w:rFonts w:hint="eastAsia"/>
            </w:rPr>
            <w:t>9.4与《挥发性有机物（VOCs）污染防治技术政策》符合性分析</w:t>
          </w:r>
          <w:r>
            <w:tab/>
          </w:r>
          <w:r>
            <w:fldChar w:fldCharType="begin"/>
          </w:r>
          <w:r>
            <w:instrText xml:space="preserve"> PAGEREF _Toc30175 \h </w:instrText>
          </w:r>
          <w:r>
            <w:fldChar w:fldCharType="separate"/>
          </w:r>
          <w:r>
            <w:t>220</w:t>
          </w:r>
          <w:r>
            <w:fldChar w:fldCharType="end"/>
          </w:r>
          <w:r>
            <w:rPr>
              <w:color w:val="000000" w:themeColor="text1"/>
              <w14:textFill>
                <w14:solidFill>
                  <w14:schemeClr w14:val="tx1"/>
                </w14:solidFill>
              </w14:textFill>
            </w:rPr>
            <w:fldChar w:fldCharType="end"/>
          </w:r>
        </w:p>
        <w:p w14:paraId="214E7A93">
          <w:pPr>
            <w:pStyle w:val="18"/>
            <w:tabs>
              <w:tab w:val="right" w:leader="dot" w:pos="8306"/>
            </w:tabs>
          </w:pPr>
          <w:r>
            <w:rPr>
              <w:color w:val="000000" w:themeColor="text1"/>
              <w14:textFill>
                <w14:solidFill>
                  <w14:schemeClr w14:val="tx1"/>
                </w14:solidFill>
              </w14:textFill>
            </w:rPr>
            <w:fldChar w:fldCharType="begin"/>
          </w:r>
          <w:r>
            <w:instrText xml:space="preserve"> HYPERLINK \l _Toc16517 </w:instrText>
          </w:r>
          <w:r>
            <w:fldChar w:fldCharType="separate"/>
          </w:r>
          <w:r>
            <w:rPr>
              <w:rFonts w:hint="eastAsia"/>
            </w:rPr>
            <w:t>9.5</w:t>
          </w:r>
          <w:r>
            <w:t>与《</w:t>
          </w:r>
          <w:r>
            <w:rPr>
              <w:rFonts w:hint="eastAsia"/>
            </w:rPr>
            <w:t>关于加快解决当前挥发性有机物治理突出问题的通知</w:t>
          </w:r>
          <w:r>
            <w:t>》符合性分析</w:t>
          </w:r>
          <w:r>
            <w:tab/>
          </w:r>
          <w:r>
            <w:fldChar w:fldCharType="begin"/>
          </w:r>
          <w:r>
            <w:instrText xml:space="preserve"> PAGEREF _Toc16517 \h </w:instrText>
          </w:r>
          <w:r>
            <w:fldChar w:fldCharType="separate"/>
          </w:r>
          <w:r>
            <w:t>224</w:t>
          </w:r>
          <w:r>
            <w:fldChar w:fldCharType="end"/>
          </w:r>
          <w:r>
            <w:rPr>
              <w:color w:val="000000" w:themeColor="text1"/>
              <w14:textFill>
                <w14:solidFill>
                  <w14:schemeClr w14:val="tx1"/>
                </w14:solidFill>
              </w14:textFill>
            </w:rPr>
            <w:fldChar w:fldCharType="end"/>
          </w:r>
        </w:p>
        <w:p w14:paraId="4C0C5947">
          <w:pPr>
            <w:pStyle w:val="18"/>
            <w:tabs>
              <w:tab w:val="right" w:leader="dot" w:pos="8306"/>
            </w:tabs>
          </w:pPr>
          <w:r>
            <w:rPr>
              <w:color w:val="000000" w:themeColor="text1"/>
              <w14:textFill>
                <w14:solidFill>
                  <w14:schemeClr w14:val="tx1"/>
                </w14:solidFill>
              </w14:textFill>
            </w:rPr>
            <w:fldChar w:fldCharType="begin"/>
          </w:r>
          <w:r>
            <w:instrText xml:space="preserve"> HYPERLINK \l _Toc14385 </w:instrText>
          </w:r>
          <w:r>
            <w:fldChar w:fldCharType="separate"/>
          </w:r>
          <w:r>
            <w:rPr>
              <w:rFonts w:hint="eastAsia"/>
            </w:rPr>
            <w:t>9.6</w:t>
          </w:r>
          <w:r>
            <w:t>与《云南省生态环境厅关于加快解决当前挥发性有机物治理突出问题的通知》符合性分析</w:t>
          </w:r>
          <w:r>
            <w:tab/>
          </w:r>
          <w:r>
            <w:fldChar w:fldCharType="begin"/>
          </w:r>
          <w:r>
            <w:instrText xml:space="preserve"> PAGEREF _Toc14385 \h </w:instrText>
          </w:r>
          <w:r>
            <w:fldChar w:fldCharType="separate"/>
          </w:r>
          <w:r>
            <w:t>228</w:t>
          </w:r>
          <w:r>
            <w:fldChar w:fldCharType="end"/>
          </w:r>
          <w:r>
            <w:rPr>
              <w:color w:val="000000" w:themeColor="text1"/>
              <w14:textFill>
                <w14:solidFill>
                  <w14:schemeClr w14:val="tx1"/>
                </w14:solidFill>
              </w14:textFill>
            </w:rPr>
            <w:fldChar w:fldCharType="end"/>
          </w:r>
        </w:p>
        <w:p w14:paraId="1BE518F1">
          <w:pPr>
            <w:pStyle w:val="18"/>
            <w:tabs>
              <w:tab w:val="right" w:leader="dot" w:pos="8306"/>
            </w:tabs>
          </w:pPr>
          <w:r>
            <w:rPr>
              <w:color w:val="000000" w:themeColor="text1"/>
              <w14:textFill>
                <w14:solidFill>
                  <w14:schemeClr w14:val="tx1"/>
                </w14:solidFill>
              </w14:textFill>
            </w:rPr>
            <w:fldChar w:fldCharType="begin"/>
          </w:r>
          <w:r>
            <w:instrText xml:space="preserve"> HYPERLINK \l _Toc12293 </w:instrText>
          </w:r>
          <w:r>
            <w:fldChar w:fldCharType="separate"/>
          </w:r>
          <w:r>
            <w:rPr>
              <w:rFonts w:hint="eastAsia"/>
            </w:rPr>
            <w:t>9.7与《云南省人民政府关于深入打好污染防治攻坚战的实施意见》符合性分析</w:t>
          </w:r>
          <w:r>
            <w:tab/>
          </w:r>
          <w:r>
            <w:fldChar w:fldCharType="begin"/>
          </w:r>
          <w:r>
            <w:instrText xml:space="preserve"> PAGEREF _Toc12293 \h </w:instrText>
          </w:r>
          <w:r>
            <w:fldChar w:fldCharType="separate"/>
          </w:r>
          <w:r>
            <w:t>229</w:t>
          </w:r>
          <w:r>
            <w:fldChar w:fldCharType="end"/>
          </w:r>
          <w:r>
            <w:rPr>
              <w:color w:val="000000" w:themeColor="text1"/>
              <w14:textFill>
                <w14:solidFill>
                  <w14:schemeClr w14:val="tx1"/>
                </w14:solidFill>
              </w14:textFill>
            </w:rPr>
            <w:fldChar w:fldCharType="end"/>
          </w:r>
        </w:p>
        <w:p w14:paraId="5158C206">
          <w:pPr>
            <w:pStyle w:val="18"/>
            <w:tabs>
              <w:tab w:val="right" w:leader="dot" w:pos="8306"/>
            </w:tabs>
          </w:pPr>
          <w:r>
            <w:rPr>
              <w:color w:val="000000" w:themeColor="text1"/>
              <w14:textFill>
                <w14:solidFill>
                  <w14:schemeClr w14:val="tx1"/>
                </w14:solidFill>
              </w14:textFill>
            </w:rPr>
            <w:fldChar w:fldCharType="begin"/>
          </w:r>
          <w:r>
            <w:instrText xml:space="preserve"> HYPERLINK \l _Toc15090 </w:instrText>
          </w:r>
          <w:r>
            <w:fldChar w:fldCharType="separate"/>
          </w:r>
          <w:r>
            <w:rPr>
              <w:rFonts w:hint="eastAsia"/>
            </w:rPr>
            <w:t>9.8与《云南省空气质量持续改善行动实施方案》符合性分析</w:t>
          </w:r>
          <w:r>
            <w:tab/>
          </w:r>
          <w:r>
            <w:fldChar w:fldCharType="begin"/>
          </w:r>
          <w:r>
            <w:instrText xml:space="preserve"> PAGEREF _Toc15090 \h </w:instrText>
          </w:r>
          <w:r>
            <w:fldChar w:fldCharType="separate"/>
          </w:r>
          <w:r>
            <w:t>230</w:t>
          </w:r>
          <w:r>
            <w:fldChar w:fldCharType="end"/>
          </w:r>
          <w:r>
            <w:rPr>
              <w:color w:val="000000" w:themeColor="text1"/>
              <w14:textFill>
                <w14:solidFill>
                  <w14:schemeClr w14:val="tx1"/>
                </w14:solidFill>
              </w14:textFill>
            </w:rPr>
            <w:fldChar w:fldCharType="end"/>
          </w:r>
        </w:p>
        <w:p w14:paraId="48083DBF">
          <w:pPr>
            <w:pStyle w:val="18"/>
            <w:tabs>
              <w:tab w:val="right" w:leader="dot" w:pos="8306"/>
            </w:tabs>
          </w:pPr>
          <w:r>
            <w:rPr>
              <w:color w:val="000000" w:themeColor="text1"/>
              <w14:textFill>
                <w14:solidFill>
                  <w14:schemeClr w14:val="tx1"/>
                </w14:solidFill>
              </w14:textFill>
            </w:rPr>
            <w:fldChar w:fldCharType="begin"/>
          </w:r>
          <w:r>
            <w:instrText xml:space="preserve"> HYPERLINK \l _Toc22042 </w:instrText>
          </w:r>
          <w:r>
            <w:fldChar w:fldCharType="separate"/>
          </w:r>
          <w:r>
            <w:rPr>
              <w:rFonts w:hint="eastAsia"/>
            </w:rPr>
            <w:t>9.9与《云南省土壤、地下水污染防治“十四五”规划》符合性分析</w:t>
          </w:r>
          <w:r>
            <w:tab/>
          </w:r>
          <w:r>
            <w:fldChar w:fldCharType="begin"/>
          </w:r>
          <w:r>
            <w:instrText xml:space="preserve"> PAGEREF _Toc22042 \h </w:instrText>
          </w:r>
          <w:r>
            <w:fldChar w:fldCharType="separate"/>
          </w:r>
          <w:r>
            <w:t>232</w:t>
          </w:r>
          <w:r>
            <w:fldChar w:fldCharType="end"/>
          </w:r>
          <w:r>
            <w:rPr>
              <w:color w:val="000000" w:themeColor="text1"/>
              <w14:textFill>
                <w14:solidFill>
                  <w14:schemeClr w14:val="tx1"/>
                </w14:solidFill>
              </w14:textFill>
            </w:rPr>
            <w:fldChar w:fldCharType="end"/>
          </w:r>
        </w:p>
        <w:p w14:paraId="2C5D6A9C">
          <w:pPr>
            <w:pStyle w:val="18"/>
            <w:tabs>
              <w:tab w:val="right" w:leader="dot" w:pos="8306"/>
            </w:tabs>
          </w:pPr>
          <w:r>
            <w:rPr>
              <w:color w:val="000000" w:themeColor="text1"/>
              <w14:textFill>
                <w14:solidFill>
                  <w14:schemeClr w14:val="tx1"/>
                </w14:solidFill>
              </w14:textFill>
            </w:rPr>
            <w:fldChar w:fldCharType="begin"/>
          </w:r>
          <w:r>
            <w:instrText xml:space="preserve"> HYPERLINK \l _Toc22343 </w:instrText>
          </w:r>
          <w:r>
            <w:fldChar w:fldCharType="separate"/>
          </w:r>
          <w:r>
            <w:rPr>
              <w:rFonts w:hint="eastAsia"/>
            </w:rPr>
            <w:t>9.10与《云南省“十四五”生态环境保护规划》符合性分析</w:t>
          </w:r>
          <w:r>
            <w:tab/>
          </w:r>
          <w:r>
            <w:fldChar w:fldCharType="begin"/>
          </w:r>
          <w:r>
            <w:instrText xml:space="preserve"> PAGEREF _Toc22343 \h </w:instrText>
          </w:r>
          <w:r>
            <w:fldChar w:fldCharType="separate"/>
          </w:r>
          <w:r>
            <w:t>233</w:t>
          </w:r>
          <w:r>
            <w:fldChar w:fldCharType="end"/>
          </w:r>
          <w:r>
            <w:rPr>
              <w:color w:val="000000" w:themeColor="text1"/>
              <w14:textFill>
                <w14:solidFill>
                  <w14:schemeClr w14:val="tx1"/>
                </w14:solidFill>
              </w14:textFill>
            </w:rPr>
            <w:fldChar w:fldCharType="end"/>
          </w:r>
        </w:p>
        <w:p w14:paraId="79467F3B">
          <w:pPr>
            <w:pStyle w:val="18"/>
            <w:tabs>
              <w:tab w:val="right" w:leader="dot" w:pos="8306"/>
            </w:tabs>
          </w:pPr>
          <w:r>
            <w:rPr>
              <w:color w:val="000000" w:themeColor="text1"/>
              <w14:textFill>
                <w14:solidFill>
                  <w14:schemeClr w14:val="tx1"/>
                </w14:solidFill>
              </w14:textFill>
            </w:rPr>
            <w:fldChar w:fldCharType="begin"/>
          </w:r>
          <w:r>
            <w:instrText xml:space="preserve"> HYPERLINK \l _Toc2182 </w:instrText>
          </w:r>
          <w:r>
            <w:fldChar w:fldCharType="separate"/>
          </w:r>
          <w:r>
            <w:rPr>
              <w:rFonts w:hint="eastAsia"/>
              <w:lang w:val="en-US" w:eastAsia="zh-CN"/>
            </w:rPr>
            <w:t>9.11与《玉溪市红塔区国土空间总体规划》（2021-2035年）符合性分析</w:t>
          </w:r>
          <w:r>
            <w:tab/>
          </w:r>
          <w:r>
            <w:fldChar w:fldCharType="begin"/>
          </w:r>
          <w:r>
            <w:instrText xml:space="preserve"> PAGEREF _Toc2182 \h </w:instrText>
          </w:r>
          <w:r>
            <w:fldChar w:fldCharType="separate"/>
          </w:r>
          <w:r>
            <w:t>236</w:t>
          </w:r>
          <w:r>
            <w:fldChar w:fldCharType="end"/>
          </w:r>
          <w:r>
            <w:rPr>
              <w:color w:val="000000" w:themeColor="text1"/>
              <w14:textFill>
                <w14:solidFill>
                  <w14:schemeClr w14:val="tx1"/>
                </w14:solidFill>
              </w14:textFill>
            </w:rPr>
            <w:fldChar w:fldCharType="end"/>
          </w:r>
        </w:p>
        <w:p w14:paraId="73FEB8B9">
          <w:pPr>
            <w:pStyle w:val="18"/>
            <w:tabs>
              <w:tab w:val="right" w:leader="dot" w:pos="8306"/>
            </w:tabs>
          </w:pPr>
          <w:r>
            <w:rPr>
              <w:color w:val="000000" w:themeColor="text1"/>
              <w14:textFill>
                <w14:solidFill>
                  <w14:schemeClr w14:val="tx1"/>
                </w14:solidFill>
              </w14:textFill>
            </w:rPr>
            <w:fldChar w:fldCharType="begin"/>
          </w:r>
          <w:r>
            <w:instrText xml:space="preserve"> HYPERLINK \l _Toc4198 </w:instrText>
          </w:r>
          <w:r>
            <w:fldChar w:fldCharType="separate"/>
          </w:r>
          <w:r>
            <w:rPr>
              <w:rFonts w:hint="eastAsia"/>
            </w:rPr>
            <w:t>9.12与《锂离子电池行业规范条件（2024年本）》符合分析</w:t>
          </w:r>
          <w:r>
            <w:tab/>
          </w:r>
          <w:r>
            <w:fldChar w:fldCharType="begin"/>
          </w:r>
          <w:r>
            <w:instrText xml:space="preserve"> PAGEREF _Toc4198 \h </w:instrText>
          </w:r>
          <w:r>
            <w:fldChar w:fldCharType="separate"/>
          </w:r>
          <w:r>
            <w:t>237</w:t>
          </w:r>
          <w:r>
            <w:fldChar w:fldCharType="end"/>
          </w:r>
          <w:r>
            <w:rPr>
              <w:color w:val="000000" w:themeColor="text1"/>
              <w14:textFill>
                <w14:solidFill>
                  <w14:schemeClr w14:val="tx1"/>
                </w14:solidFill>
              </w14:textFill>
            </w:rPr>
            <w:fldChar w:fldCharType="end"/>
          </w:r>
        </w:p>
        <w:p w14:paraId="7E817250">
          <w:pPr>
            <w:pStyle w:val="18"/>
            <w:tabs>
              <w:tab w:val="right" w:leader="dot" w:pos="8306"/>
            </w:tabs>
          </w:pPr>
          <w:r>
            <w:rPr>
              <w:color w:val="000000" w:themeColor="text1"/>
              <w14:textFill>
                <w14:solidFill>
                  <w14:schemeClr w14:val="tx1"/>
                </w14:solidFill>
              </w14:textFill>
            </w:rPr>
            <w:fldChar w:fldCharType="begin"/>
          </w:r>
          <w:r>
            <w:instrText xml:space="preserve"> HYPERLINK \l _Toc14364 </w:instrText>
          </w:r>
          <w:r>
            <w:fldChar w:fldCharType="separate"/>
          </w:r>
          <w:r>
            <w:rPr>
              <w:rFonts w:hint="eastAsia"/>
            </w:rPr>
            <w:t>9.13与园区规划符合性分析</w:t>
          </w:r>
          <w:r>
            <w:tab/>
          </w:r>
          <w:r>
            <w:fldChar w:fldCharType="begin"/>
          </w:r>
          <w:r>
            <w:instrText xml:space="preserve"> PAGEREF _Toc14364 \h </w:instrText>
          </w:r>
          <w:r>
            <w:fldChar w:fldCharType="separate"/>
          </w:r>
          <w:r>
            <w:t>241</w:t>
          </w:r>
          <w:r>
            <w:fldChar w:fldCharType="end"/>
          </w:r>
          <w:r>
            <w:rPr>
              <w:color w:val="000000" w:themeColor="text1"/>
              <w14:textFill>
                <w14:solidFill>
                  <w14:schemeClr w14:val="tx1"/>
                </w14:solidFill>
              </w14:textFill>
            </w:rPr>
            <w:fldChar w:fldCharType="end"/>
          </w:r>
        </w:p>
        <w:p w14:paraId="4CAA5590">
          <w:pPr>
            <w:pStyle w:val="18"/>
            <w:tabs>
              <w:tab w:val="right" w:leader="dot" w:pos="8306"/>
            </w:tabs>
          </w:pPr>
          <w:r>
            <w:rPr>
              <w:color w:val="000000" w:themeColor="text1"/>
              <w14:textFill>
                <w14:solidFill>
                  <w14:schemeClr w14:val="tx1"/>
                </w14:solidFill>
              </w14:textFill>
            </w:rPr>
            <w:fldChar w:fldCharType="begin"/>
          </w:r>
          <w:r>
            <w:instrText xml:space="preserve"> HYPERLINK \l _Toc3182 </w:instrText>
          </w:r>
          <w:r>
            <w:fldChar w:fldCharType="separate"/>
          </w:r>
          <w:r>
            <w:rPr>
              <w:rFonts w:hint="eastAsia"/>
            </w:rPr>
            <w:t>9.14与《玉溪高新技术产业开发区总体规划修编（2021-2035年）环境影响报告书》及审查意见符合性分析</w:t>
          </w:r>
          <w:r>
            <w:tab/>
          </w:r>
          <w:r>
            <w:fldChar w:fldCharType="begin"/>
          </w:r>
          <w:r>
            <w:instrText xml:space="preserve"> PAGEREF _Toc3182 \h </w:instrText>
          </w:r>
          <w:r>
            <w:fldChar w:fldCharType="separate"/>
          </w:r>
          <w:r>
            <w:t>241</w:t>
          </w:r>
          <w:r>
            <w:fldChar w:fldCharType="end"/>
          </w:r>
          <w:r>
            <w:rPr>
              <w:color w:val="000000" w:themeColor="text1"/>
              <w14:textFill>
                <w14:solidFill>
                  <w14:schemeClr w14:val="tx1"/>
                </w14:solidFill>
              </w14:textFill>
            </w:rPr>
            <w:fldChar w:fldCharType="end"/>
          </w:r>
        </w:p>
        <w:p w14:paraId="30C4D55E">
          <w:pPr>
            <w:pStyle w:val="18"/>
            <w:tabs>
              <w:tab w:val="right" w:leader="dot" w:pos="8306"/>
            </w:tabs>
          </w:pPr>
          <w:r>
            <w:rPr>
              <w:color w:val="000000" w:themeColor="text1"/>
              <w14:textFill>
                <w14:solidFill>
                  <w14:schemeClr w14:val="tx1"/>
                </w14:solidFill>
              </w14:textFill>
            </w:rPr>
            <w:fldChar w:fldCharType="begin"/>
          </w:r>
          <w:r>
            <w:instrText xml:space="preserve"> HYPERLINK \l _Toc20679 </w:instrText>
          </w:r>
          <w:r>
            <w:fldChar w:fldCharType="separate"/>
          </w:r>
          <w:r>
            <w:rPr>
              <w:rFonts w:hint="eastAsia"/>
            </w:rPr>
            <w:t>9.15</w:t>
          </w:r>
          <w:r>
            <w:t>选址合理性分析</w:t>
          </w:r>
          <w:r>
            <w:tab/>
          </w:r>
          <w:r>
            <w:fldChar w:fldCharType="begin"/>
          </w:r>
          <w:r>
            <w:instrText xml:space="preserve"> PAGEREF _Toc20679 \h </w:instrText>
          </w:r>
          <w:r>
            <w:fldChar w:fldCharType="separate"/>
          </w:r>
          <w:r>
            <w:t>245</w:t>
          </w:r>
          <w:r>
            <w:fldChar w:fldCharType="end"/>
          </w:r>
          <w:r>
            <w:rPr>
              <w:color w:val="000000" w:themeColor="text1"/>
              <w14:textFill>
                <w14:solidFill>
                  <w14:schemeClr w14:val="tx1"/>
                </w14:solidFill>
              </w14:textFill>
            </w:rPr>
            <w:fldChar w:fldCharType="end"/>
          </w:r>
        </w:p>
        <w:p w14:paraId="161748A0">
          <w:pPr>
            <w:pStyle w:val="18"/>
            <w:tabs>
              <w:tab w:val="right" w:leader="dot" w:pos="8306"/>
            </w:tabs>
          </w:pPr>
          <w:r>
            <w:rPr>
              <w:color w:val="000000" w:themeColor="text1"/>
              <w14:textFill>
                <w14:solidFill>
                  <w14:schemeClr w14:val="tx1"/>
                </w14:solidFill>
              </w14:textFill>
            </w:rPr>
            <w:fldChar w:fldCharType="begin"/>
          </w:r>
          <w:r>
            <w:instrText xml:space="preserve"> HYPERLINK \l _Toc5309 </w:instrText>
          </w:r>
          <w:r>
            <w:fldChar w:fldCharType="separate"/>
          </w:r>
          <w:r>
            <w:rPr>
              <w:rFonts w:hint="eastAsia"/>
            </w:rPr>
            <w:t>9</w:t>
          </w:r>
          <w:r>
            <w:t>.</w:t>
          </w:r>
          <w:r>
            <w:rPr>
              <w:rFonts w:hint="eastAsia"/>
            </w:rPr>
            <w:t>16环境相容性分析</w:t>
          </w:r>
          <w:r>
            <w:tab/>
          </w:r>
          <w:r>
            <w:fldChar w:fldCharType="begin"/>
          </w:r>
          <w:r>
            <w:instrText xml:space="preserve"> PAGEREF _Toc5309 \h </w:instrText>
          </w:r>
          <w:r>
            <w:fldChar w:fldCharType="separate"/>
          </w:r>
          <w:r>
            <w:t>246</w:t>
          </w:r>
          <w:r>
            <w:fldChar w:fldCharType="end"/>
          </w:r>
          <w:r>
            <w:rPr>
              <w:color w:val="000000" w:themeColor="text1"/>
              <w14:textFill>
                <w14:solidFill>
                  <w14:schemeClr w14:val="tx1"/>
                </w14:solidFill>
              </w14:textFill>
            </w:rPr>
            <w:fldChar w:fldCharType="end"/>
          </w:r>
        </w:p>
        <w:p w14:paraId="4F0B66B2">
          <w:pPr>
            <w:pStyle w:val="18"/>
            <w:tabs>
              <w:tab w:val="right" w:leader="dot" w:pos="8306"/>
            </w:tabs>
          </w:pPr>
          <w:r>
            <w:rPr>
              <w:color w:val="000000" w:themeColor="text1"/>
              <w14:textFill>
                <w14:solidFill>
                  <w14:schemeClr w14:val="tx1"/>
                </w14:solidFill>
              </w14:textFill>
            </w:rPr>
            <w:fldChar w:fldCharType="begin"/>
          </w:r>
          <w:r>
            <w:instrText xml:space="preserve"> HYPERLINK \l _Toc22287 </w:instrText>
          </w:r>
          <w:r>
            <w:fldChar w:fldCharType="separate"/>
          </w:r>
          <w:r>
            <w:rPr>
              <w:rFonts w:hint="eastAsia"/>
            </w:rPr>
            <w:t>9.1</w:t>
          </w:r>
          <w:r>
            <w:rPr>
              <w:rFonts w:hint="eastAsia"/>
              <w:lang w:val="en-US" w:eastAsia="zh-CN"/>
            </w:rPr>
            <w:t>7</w:t>
          </w:r>
          <w:r>
            <w:t>平面布置合理性分析</w:t>
          </w:r>
          <w:r>
            <w:tab/>
          </w:r>
          <w:r>
            <w:fldChar w:fldCharType="begin"/>
          </w:r>
          <w:r>
            <w:instrText xml:space="preserve"> PAGEREF _Toc22287 \h </w:instrText>
          </w:r>
          <w:r>
            <w:fldChar w:fldCharType="separate"/>
          </w:r>
          <w:r>
            <w:t>248</w:t>
          </w:r>
          <w:r>
            <w:fldChar w:fldCharType="end"/>
          </w:r>
          <w:r>
            <w:rPr>
              <w:color w:val="000000" w:themeColor="text1"/>
              <w14:textFill>
                <w14:solidFill>
                  <w14:schemeClr w14:val="tx1"/>
                </w14:solidFill>
              </w14:textFill>
            </w:rPr>
            <w:fldChar w:fldCharType="end"/>
          </w:r>
        </w:p>
        <w:p w14:paraId="29991950">
          <w:pPr>
            <w:pStyle w:val="18"/>
            <w:tabs>
              <w:tab w:val="right" w:leader="dot" w:pos="8306"/>
            </w:tabs>
          </w:pPr>
          <w:r>
            <w:rPr>
              <w:color w:val="000000" w:themeColor="text1"/>
              <w14:textFill>
                <w14:solidFill>
                  <w14:schemeClr w14:val="tx1"/>
                </w14:solidFill>
              </w14:textFill>
            </w:rPr>
            <w:fldChar w:fldCharType="begin"/>
          </w:r>
          <w:r>
            <w:instrText xml:space="preserve"> HYPERLINK \l _Toc25066 </w:instrText>
          </w:r>
          <w:r>
            <w:fldChar w:fldCharType="separate"/>
          </w:r>
          <w:r>
            <w:rPr>
              <w:rFonts w:hint="eastAsia"/>
            </w:rPr>
            <w:t>9.1</w:t>
          </w:r>
          <w:r>
            <w:rPr>
              <w:rFonts w:hint="eastAsia"/>
              <w:lang w:val="en-US" w:eastAsia="zh-CN"/>
            </w:rPr>
            <w:t>8</w:t>
          </w:r>
          <w:r>
            <w:rPr>
              <w:rFonts w:hint="eastAsia"/>
            </w:rPr>
            <w:t>与《锂离子电池及相关电池材料制造建设项目环境影响评价文件审批原则》（2024年版）符合性分析</w:t>
          </w:r>
          <w:r>
            <w:tab/>
          </w:r>
          <w:r>
            <w:fldChar w:fldCharType="begin"/>
          </w:r>
          <w:r>
            <w:instrText xml:space="preserve"> PAGEREF _Toc25066 \h </w:instrText>
          </w:r>
          <w:r>
            <w:fldChar w:fldCharType="separate"/>
          </w:r>
          <w:r>
            <w:t>248</w:t>
          </w:r>
          <w:r>
            <w:fldChar w:fldCharType="end"/>
          </w:r>
          <w:r>
            <w:rPr>
              <w:color w:val="000000" w:themeColor="text1"/>
              <w14:textFill>
                <w14:solidFill>
                  <w14:schemeClr w14:val="tx1"/>
                </w14:solidFill>
              </w14:textFill>
            </w:rPr>
            <w:fldChar w:fldCharType="end"/>
          </w:r>
        </w:p>
        <w:p w14:paraId="3CEC0D7B">
          <w:pPr>
            <w:pStyle w:val="17"/>
            <w:tabs>
              <w:tab w:val="right" w:leader="dot" w:pos="8306"/>
            </w:tabs>
          </w:pPr>
          <w:r>
            <w:rPr>
              <w:color w:val="000000" w:themeColor="text1"/>
              <w14:textFill>
                <w14:solidFill>
                  <w14:schemeClr w14:val="tx1"/>
                </w14:solidFill>
              </w14:textFill>
            </w:rPr>
            <w:fldChar w:fldCharType="begin"/>
          </w:r>
          <w:r>
            <w:instrText xml:space="preserve"> HYPERLINK \l _Toc5776 </w:instrText>
          </w:r>
          <w:r>
            <w:fldChar w:fldCharType="separate"/>
          </w:r>
          <w:r>
            <w:t>1</w:t>
          </w:r>
          <w:r>
            <w:rPr>
              <w:rFonts w:hint="eastAsia"/>
            </w:rPr>
            <w:t>0</w:t>
          </w:r>
          <w:r>
            <w:t>、环境影响评价结论</w:t>
          </w:r>
          <w:r>
            <w:tab/>
          </w:r>
          <w:r>
            <w:fldChar w:fldCharType="begin"/>
          </w:r>
          <w:r>
            <w:instrText xml:space="preserve"> PAGEREF _Toc5776 \h </w:instrText>
          </w:r>
          <w:r>
            <w:fldChar w:fldCharType="separate"/>
          </w:r>
          <w:r>
            <w:t>252</w:t>
          </w:r>
          <w:r>
            <w:fldChar w:fldCharType="end"/>
          </w:r>
          <w:r>
            <w:rPr>
              <w:color w:val="000000" w:themeColor="text1"/>
              <w14:textFill>
                <w14:solidFill>
                  <w14:schemeClr w14:val="tx1"/>
                </w14:solidFill>
              </w14:textFill>
            </w:rPr>
            <w:fldChar w:fldCharType="end"/>
          </w:r>
        </w:p>
        <w:p w14:paraId="367A2F71">
          <w:pPr>
            <w:pStyle w:val="18"/>
            <w:tabs>
              <w:tab w:val="right" w:leader="dot" w:pos="8306"/>
            </w:tabs>
          </w:pPr>
          <w:r>
            <w:rPr>
              <w:color w:val="000000" w:themeColor="text1"/>
              <w14:textFill>
                <w14:solidFill>
                  <w14:schemeClr w14:val="tx1"/>
                </w14:solidFill>
              </w14:textFill>
            </w:rPr>
            <w:fldChar w:fldCharType="begin"/>
          </w:r>
          <w:r>
            <w:instrText xml:space="preserve"> HYPERLINK \l _Toc22760 </w:instrText>
          </w:r>
          <w:r>
            <w:fldChar w:fldCharType="separate"/>
          </w:r>
          <w:r>
            <w:t>1</w:t>
          </w:r>
          <w:r>
            <w:rPr>
              <w:rFonts w:hint="eastAsia"/>
            </w:rPr>
            <w:t>0</w:t>
          </w:r>
          <w:r>
            <w:t>.1项目概况</w:t>
          </w:r>
          <w:r>
            <w:tab/>
          </w:r>
          <w:r>
            <w:fldChar w:fldCharType="begin"/>
          </w:r>
          <w:r>
            <w:instrText xml:space="preserve"> PAGEREF _Toc22760 \h </w:instrText>
          </w:r>
          <w:r>
            <w:fldChar w:fldCharType="separate"/>
          </w:r>
          <w:r>
            <w:t>252</w:t>
          </w:r>
          <w:r>
            <w:fldChar w:fldCharType="end"/>
          </w:r>
          <w:r>
            <w:rPr>
              <w:color w:val="000000" w:themeColor="text1"/>
              <w14:textFill>
                <w14:solidFill>
                  <w14:schemeClr w14:val="tx1"/>
                </w14:solidFill>
              </w14:textFill>
            </w:rPr>
            <w:fldChar w:fldCharType="end"/>
          </w:r>
        </w:p>
        <w:p w14:paraId="02D33B12">
          <w:pPr>
            <w:pStyle w:val="18"/>
            <w:tabs>
              <w:tab w:val="right" w:leader="dot" w:pos="8306"/>
            </w:tabs>
          </w:pPr>
          <w:r>
            <w:rPr>
              <w:color w:val="000000" w:themeColor="text1"/>
              <w14:textFill>
                <w14:solidFill>
                  <w14:schemeClr w14:val="tx1"/>
                </w14:solidFill>
              </w14:textFill>
            </w:rPr>
            <w:fldChar w:fldCharType="begin"/>
          </w:r>
          <w:r>
            <w:instrText xml:space="preserve"> HYPERLINK \l _Toc4401 </w:instrText>
          </w:r>
          <w:r>
            <w:fldChar w:fldCharType="separate"/>
          </w:r>
          <w:r>
            <w:t>1</w:t>
          </w:r>
          <w:r>
            <w:rPr>
              <w:rFonts w:hint="eastAsia"/>
            </w:rPr>
            <w:t>0</w:t>
          </w:r>
          <w:r>
            <w:t>.2产业政策符合性结论</w:t>
          </w:r>
          <w:r>
            <w:tab/>
          </w:r>
          <w:r>
            <w:fldChar w:fldCharType="begin"/>
          </w:r>
          <w:r>
            <w:instrText xml:space="preserve"> PAGEREF _Toc4401 \h </w:instrText>
          </w:r>
          <w:r>
            <w:fldChar w:fldCharType="separate"/>
          </w:r>
          <w:r>
            <w:t>252</w:t>
          </w:r>
          <w:r>
            <w:fldChar w:fldCharType="end"/>
          </w:r>
          <w:r>
            <w:rPr>
              <w:color w:val="000000" w:themeColor="text1"/>
              <w14:textFill>
                <w14:solidFill>
                  <w14:schemeClr w14:val="tx1"/>
                </w14:solidFill>
              </w14:textFill>
            </w:rPr>
            <w:fldChar w:fldCharType="end"/>
          </w:r>
        </w:p>
        <w:p w14:paraId="56CC6B85">
          <w:pPr>
            <w:pStyle w:val="18"/>
            <w:tabs>
              <w:tab w:val="right" w:leader="dot" w:pos="8306"/>
            </w:tabs>
          </w:pPr>
          <w:r>
            <w:rPr>
              <w:color w:val="000000" w:themeColor="text1"/>
              <w14:textFill>
                <w14:solidFill>
                  <w14:schemeClr w14:val="tx1"/>
                </w14:solidFill>
              </w14:textFill>
            </w:rPr>
            <w:fldChar w:fldCharType="begin"/>
          </w:r>
          <w:r>
            <w:instrText xml:space="preserve"> HYPERLINK \l _Toc18899 </w:instrText>
          </w:r>
          <w:r>
            <w:fldChar w:fldCharType="separate"/>
          </w:r>
          <w:r>
            <w:t>1</w:t>
          </w:r>
          <w:r>
            <w:rPr>
              <w:rFonts w:hint="eastAsia"/>
            </w:rPr>
            <w:t>0</w:t>
          </w:r>
          <w:r>
            <w:t>.3</w:t>
          </w:r>
          <w:r>
            <w:rPr>
              <w:rFonts w:hint="eastAsia"/>
            </w:rPr>
            <w:t>玉溪市生态环境分区管控动态更新调整方案</w:t>
          </w:r>
          <w:r>
            <w:t>符合性结论</w:t>
          </w:r>
          <w:r>
            <w:tab/>
          </w:r>
          <w:r>
            <w:fldChar w:fldCharType="begin"/>
          </w:r>
          <w:r>
            <w:instrText xml:space="preserve"> PAGEREF _Toc18899 \h </w:instrText>
          </w:r>
          <w:r>
            <w:fldChar w:fldCharType="separate"/>
          </w:r>
          <w:r>
            <w:t>252</w:t>
          </w:r>
          <w:r>
            <w:fldChar w:fldCharType="end"/>
          </w:r>
          <w:r>
            <w:rPr>
              <w:color w:val="000000" w:themeColor="text1"/>
              <w14:textFill>
                <w14:solidFill>
                  <w14:schemeClr w14:val="tx1"/>
                </w14:solidFill>
              </w14:textFill>
            </w:rPr>
            <w:fldChar w:fldCharType="end"/>
          </w:r>
        </w:p>
        <w:p w14:paraId="1CA914D5">
          <w:pPr>
            <w:pStyle w:val="18"/>
            <w:tabs>
              <w:tab w:val="right" w:leader="dot" w:pos="8306"/>
            </w:tabs>
          </w:pPr>
          <w:r>
            <w:rPr>
              <w:color w:val="000000" w:themeColor="text1"/>
              <w14:textFill>
                <w14:solidFill>
                  <w14:schemeClr w14:val="tx1"/>
                </w14:solidFill>
              </w14:textFill>
            </w:rPr>
            <w:fldChar w:fldCharType="begin"/>
          </w:r>
          <w:r>
            <w:instrText xml:space="preserve"> HYPERLINK \l _Toc7464 </w:instrText>
          </w:r>
          <w:r>
            <w:fldChar w:fldCharType="separate"/>
          </w:r>
          <w:r>
            <w:t>1</w:t>
          </w:r>
          <w:r>
            <w:rPr>
              <w:rFonts w:hint="eastAsia"/>
            </w:rPr>
            <w:t>0</w:t>
          </w:r>
          <w:r>
            <w:t>.4 选址合理性结论</w:t>
          </w:r>
          <w:r>
            <w:tab/>
          </w:r>
          <w:r>
            <w:fldChar w:fldCharType="begin"/>
          </w:r>
          <w:r>
            <w:instrText xml:space="preserve"> PAGEREF _Toc7464 \h </w:instrText>
          </w:r>
          <w:r>
            <w:fldChar w:fldCharType="separate"/>
          </w:r>
          <w:r>
            <w:t>252</w:t>
          </w:r>
          <w:r>
            <w:fldChar w:fldCharType="end"/>
          </w:r>
          <w:r>
            <w:rPr>
              <w:color w:val="000000" w:themeColor="text1"/>
              <w14:textFill>
                <w14:solidFill>
                  <w14:schemeClr w14:val="tx1"/>
                </w14:solidFill>
              </w14:textFill>
            </w:rPr>
            <w:fldChar w:fldCharType="end"/>
          </w:r>
        </w:p>
        <w:p w14:paraId="53318A42">
          <w:pPr>
            <w:pStyle w:val="18"/>
            <w:tabs>
              <w:tab w:val="right" w:leader="dot" w:pos="8306"/>
            </w:tabs>
          </w:pPr>
          <w:r>
            <w:rPr>
              <w:color w:val="000000" w:themeColor="text1"/>
              <w14:textFill>
                <w14:solidFill>
                  <w14:schemeClr w14:val="tx1"/>
                </w14:solidFill>
              </w14:textFill>
            </w:rPr>
            <w:fldChar w:fldCharType="begin"/>
          </w:r>
          <w:r>
            <w:instrText xml:space="preserve"> HYPERLINK \l _Toc1643 </w:instrText>
          </w:r>
          <w:r>
            <w:fldChar w:fldCharType="separate"/>
          </w:r>
          <w:r>
            <w:t>1</w:t>
          </w:r>
          <w:r>
            <w:rPr>
              <w:rFonts w:hint="eastAsia"/>
            </w:rPr>
            <w:t>0</w:t>
          </w:r>
          <w:r>
            <w:t>.5 环境质量现状评价结论</w:t>
          </w:r>
          <w:r>
            <w:tab/>
          </w:r>
          <w:r>
            <w:fldChar w:fldCharType="begin"/>
          </w:r>
          <w:r>
            <w:instrText xml:space="preserve"> PAGEREF _Toc1643 \h </w:instrText>
          </w:r>
          <w:r>
            <w:fldChar w:fldCharType="separate"/>
          </w:r>
          <w:r>
            <w:t>253</w:t>
          </w:r>
          <w:r>
            <w:fldChar w:fldCharType="end"/>
          </w:r>
          <w:r>
            <w:rPr>
              <w:color w:val="000000" w:themeColor="text1"/>
              <w14:textFill>
                <w14:solidFill>
                  <w14:schemeClr w14:val="tx1"/>
                </w14:solidFill>
              </w14:textFill>
            </w:rPr>
            <w:fldChar w:fldCharType="end"/>
          </w:r>
        </w:p>
        <w:p w14:paraId="100D71EC">
          <w:pPr>
            <w:pStyle w:val="13"/>
            <w:tabs>
              <w:tab w:val="right" w:leader="dot" w:pos="8306"/>
            </w:tabs>
          </w:pPr>
          <w:r>
            <w:rPr>
              <w:color w:val="000000" w:themeColor="text1"/>
              <w14:textFill>
                <w14:solidFill>
                  <w14:schemeClr w14:val="tx1"/>
                </w14:solidFill>
              </w14:textFill>
            </w:rPr>
            <w:fldChar w:fldCharType="begin"/>
          </w:r>
          <w:r>
            <w:instrText xml:space="preserve"> HYPERLINK \l _Toc20491 </w:instrText>
          </w:r>
          <w:r>
            <w:fldChar w:fldCharType="separate"/>
          </w:r>
          <w:r>
            <w:rPr>
              <w:rFonts w:hint="eastAsia"/>
            </w:rPr>
            <w:t>10.5.1大气环境质量现状评价结论</w:t>
          </w:r>
          <w:r>
            <w:tab/>
          </w:r>
          <w:r>
            <w:fldChar w:fldCharType="begin"/>
          </w:r>
          <w:r>
            <w:instrText xml:space="preserve"> PAGEREF _Toc20491 \h </w:instrText>
          </w:r>
          <w:r>
            <w:fldChar w:fldCharType="separate"/>
          </w:r>
          <w:r>
            <w:t>253</w:t>
          </w:r>
          <w:r>
            <w:fldChar w:fldCharType="end"/>
          </w:r>
          <w:r>
            <w:rPr>
              <w:color w:val="000000" w:themeColor="text1"/>
              <w14:textFill>
                <w14:solidFill>
                  <w14:schemeClr w14:val="tx1"/>
                </w14:solidFill>
              </w14:textFill>
            </w:rPr>
            <w:fldChar w:fldCharType="end"/>
          </w:r>
        </w:p>
        <w:p w14:paraId="1039044E">
          <w:pPr>
            <w:pStyle w:val="13"/>
            <w:tabs>
              <w:tab w:val="right" w:leader="dot" w:pos="8306"/>
            </w:tabs>
          </w:pPr>
          <w:r>
            <w:rPr>
              <w:color w:val="000000" w:themeColor="text1"/>
              <w14:textFill>
                <w14:solidFill>
                  <w14:schemeClr w14:val="tx1"/>
                </w14:solidFill>
              </w14:textFill>
            </w:rPr>
            <w:fldChar w:fldCharType="begin"/>
          </w:r>
          <w:r>
            <w:instrText xml:space="preserve"> HYPERLINK \l _Toc5469 </w:instrText>
          </w:r>
          <w:r>
            <w:fldChar w:fldCharType="separate"/>
          </w:r>
          <w:r>
            <w:rPr>
              <w:rFonts w:hint="eastAsia"/>
            </w:rPr>
            <w:t>10.5.2地表水环境现状评价结论</w:t>
          </w:r>
          <w:r>
            <w:tab/>
          </w:r>
          <w:r>
            <w:fldChar w:fldCharType="begin"/>
          </w:r>
          <w:r>
            <w:instrText xml:space="preserve"> PAGEREF _Toc5469 \h </w:instrText>
          </w:r>
          <w:r>
            <w:fldChar w:fldCharType="separate"/>
          </w:r>
          <w:r>
            <w:t>253</w:t>
          </w:r>
          <w:r>
            <w:fldChar w:fldCharType="end"/>
          </w:r>
          <w:r>
            <w:rPr>
              <w:color w:val="000000" w:themeColor="text1"/>
              <w14:textFill>
                <w14:solidFill>
                  <w14:schemeClr w14:val="tx1"/>
                </w14:solidFill>
              </w14:textFill>
            </w:rPr>
            <w:fldChar w:fldCharType="end"/>
          </w:r>
        </w:p>
        <w:p w14:paraId="38BC0CC3">
          <w:pPr>
            <w:pStyle w:val="13"/>
            <w:tabs>
              <w:tab w:val="right" w:leader="dot" w:pos="8306"/>
            </w:tabs>
          </w:pPr>
          <w:r>
            <w:rPr>
              <w:color w:val="000000" w:themeColor="text1"/>
              <w14:textFill>
                <w14:solidFill>
                  <w14:schemeClr w14:val="tx1"/>
                </w14:solidFill>
              </w14:textFill>
            </w:rPr>
            <w:fldChar w:fldCharType="begin"/>
          </w:r>
          <w:r>
            <w:instrText xml:space="preserve"> HYPERLINK \l _Toc1921 </w:instrText>
          </w:r>
          <w:r>
            <w:fldChar w:fldCharType="separate"/>
          </w:r>
          <w:r>
            <w:rPr>
              <w:rFonts w:hint="eastAsia"/>
            </w:rPr>
            <w:t>10.5.3声环境现状评价结论</w:t>
          </w:r>
          <w:r>
            <w:tab/>
          </w:r>
          <w:r>
            <w:fldChar w:fldCharType="begin"/>
          </w:r>
          <w:r>
            <w:instrText xml:space="preserve"> PAGEREF _Toc1921 \h </w:instrText>
          </w:r>
          <w:r>
            <w:fldChar w:fldCharType="separate"/>
          </w:r>
          <w:r>
            <w:t>254</w:t>
          </w:r>
          <w:r>
            <w:fldChar w:fldCharType="end"/>
          </w:r>
          <w:r>
            <w:rPr>
              <w:color w:val="000000" w:themeColor="text1"/>
              <w14:textFill>
                <w14:solidFill>
                  <w14:schemeClr w14:val="tx1"/>
                </w14:solidFill>
              </w14:textFill>
            </w:rPr>
            <w:fldChar w:fldCharType="end"/>
          </w:r>
        </w:p>
        <w:p w14:paraId="357EF160">
          <w:pPr>
            <w:pStyle w:val="13"/>
            <w:tabs>
              <w:tab w:val="right" w:leader="dot" w:pos="8306"/>
            </w:tabs>
          </w:pPr>
          <w:r>
            <w:rPr>
              <w:color w:val="000000" w:themeColor="text1"/>
              <w14:textFill>
                <w14:solidFill>
                  <w14:schemeClr w14:val="tx1"/>
                </w14:solidFill>
              </w14:textFill>
            </w:rPr>
            <w:fldChar w:fldCharType="begin"/>
          </w:r>
          <w:r>
            <w:instrText xml:space="preserve"> HYPERLINK \l _Toc12477 </w:instrText>
          </w:r>
          <w:r>
            <w:fldChar w:fldCharType="separate"/>
          </w:r>
          <w:r>
            <w:rPr>
              <w:rFonts w:hint="eastAsia"/>
            </w:rPr>
            <w:t>10.5.4土壤环境现状评价结论</w:t>
          </w:r>
          <w:r>
            <w:tab/>
          </w:r>
          <w:r>
            <w:fldChar w:fldCharType="begin"/>
          </w:r>
          <w:r>
            <w:instrText xml:space="preserve"> PAGEREF _Toc12477 \h </w:instrText>
          </w:r>
          <w:r>
            <w:fldChar w:fldCharType="separate"/>
          </w:r>
          <w:r>
            <w:t>254</w:t>
          </w:r>
          <w:r>
            <w:fldChar w:fldCharType="end"/>
          </w:r>
          <w:r>
            <w:rPr>
              <w:color w:val="000000" w:themeColor="text1"/>
              <w14:textFill>
                <w14:solidFill>
                  <w14:schemeClr w14:val="tx1"/>
                </w14:solidFill>
              </w14:textFill>
            </w:rPr>
            <w:fldChar w:fldCharType="end"/>
          </w:r>
        </w:p>
        <w:p w14:paraId="2E82E297">
          <w:pPr>
            <w:pStyle w:val="13"/>
            <w:tabs>
              <w:tab w:val="right" w:leader="dot" w:pos="8306"/>
            </w:tabs>
          </w:pPr>
          <w:r>
            <w:rPr>
              <w:color w:val="000000" w:themeColor="text1"/>
              <w14:textFill>
                <w14:solidFill>
                  <w14:schemeClr w14:val="tx1"/>
                </w14:solidFill>
              </w14:textFill>
            </w:rPr>
            <w:fldChar w:fldCharType="begin"/>
          </w:r>
          <w:r>
            <w:instrText xml:space="preserve"> HYPERLINK \l _Toc9287 </w:instrText>
          </w:r>
          <w:r>
            <w:fldChar w:fldCharType="separate"/>
          </w:r>
          <w:r>
            <w:rPr>
              <w:rFonts w:hint="eastAsia"/>
            </w:rPr>
            <w:t>10.5.</w:t>
          </w:r>
          <w:r>
            <w:rPr>
              <w:rFonts w:hint="eastAsia"/>
              <w:lang w:val="en-US" w:eastAsia="zh-CN"/>
            </w:rPr>
            <w:t>5</w:t>
          </w:r>
          <w:r>
            <w:rPr>
              <w:rFonts w:hint="eastAsia"/>
            </w:rPr>
            <w:t>生态环境现状性价结论</w:t>
          </w:r>
          <w:r>
            <w:tab/>
          </w:r>
          <w:r>
            <w:fldChar w:fldCharType="begin"/>
          </w:r>
          <w:r>
            <w:instrText xml:space="preserve"> PAGEREF _Toc9287 \h </w:instrText>
          </w:r>
          <w:r>
            <w:fldChar w:fldCharType="separate"/>
          </w:r>
          <w:r>
            <w:t>254</w:t>
          </w:r>
          <w:r>
            <w:fldChar w:fldCharType="end"/>
          </w:r>
          <w:r>
            <w:rPr>
              <w:color w:val="000000" w:themeColor="text1"/>
              <w14:textFill>
                <w14:solidFill>
                  <w14:schemeClr w14:val="tx1"/>
                </w14:solidFill>
              </w14:textFill>
            </w:rPr>
            <w:fldChar w:fldCharType="end"/>
          </w:r>
        </w:p>
        <w:p w14:paraId="59185B87">
          <w:pPr>
            <w:pStyle w:val="18"/>
            <w:tabs>
              <w:tab w:val="right" w:leader="dot" w:pos="8306"/>
            </w:tabs>
          </w:pPr>
          <w:r>
            <w:rPr>
              <w:color w:val="000000" w:themeColor="text1"/>
              <w14:textFill>
                <w14:solidFill>
                  <w14:schemeClr w14:val="tx1"/>
                </w14:solidFill>
              </w14:textFill>
            </w:rPr>
            <w:fldChar w:fldCharType="begin"/>
          </w:r>
          <w:r>
            <w:instrText xml:space="preserve"> HYPERLINK \l _Toc29021 </w:instrText>
          </w:r>
          <w:r>
            <w:fldChar w:fldCharType="separate"/>
          </w:r>
          <w:r>
            <w:t>1</w:t>
          </w:r>
          <w:r>
            <w:rPr>
              <w:rFonts w:hint="eastAsia"/>
            </w:rPr>
            <w:t>0</w:t>
          </w:r>
          <w:r>
            <w:t>.6 运营期环境影响评价结论</w:t>
          </w:r>
          <w:r>
            <w:tab/>
          </w:r>
          <w:r>
            <w:fldChar w:fldCharType="begin"/>
          </w:r>
          <w:r>
            <w:instrText xml:space="preserve"> PAGEREF _Toc29021 \h </w:instrText>
          </w:r>
          <w:r>
            <w:fldChar w:fldCharType="separate"/>
          </w:r>
          <w:r>
            <w:t>254</w:t>
          </w:r>
          <w:r>
            <w:fldChar w:fldCharType="end"/>
          </w:r>
          <w:r>
            <w:rPr>
              <w:color w:val="000000" w:themeColor="text1"/>
              <w14:textFill>
                <w14:solidFill>
                  <w14:schemeClr w14:val="tx1"/>
                </w14:solidFill>
              </w14:textFill>
            </w:rPr>
            <w:fldChar w:fldCharType="end"/>
          </w:r>
        </w:p>
        <w:p w14:paraId="1B1A6F80">
          <w:pPr>
            <w:pStyle w:val="13"/>
            <w:tabs>
              <w:tab w:val="right" w:leader="dot" w:pos="8306"/>
            </w:tabs>
          </w:pPr>
          <w:r>
            <w:rPr>
              <w:color w:val="000000" w:themeColor="text1"/>
              <w14:textFill>
                <w14:solidFill>
                  <w14:schemeClr w14:val="tx1"/>
                </w14:solidFill>
              </w14:textFill>
            </w:rPr>
            <w:fldChar w:fldCharType="begin"/>
          </w:r>
          <w:r>
            <w:instrText xml:space="preserve"> HYPERLINK \l _Toc29359 </w:instrText>
          </w:r>
          <w:r>
            <w:fldChar w:fldCharType="separate"/>
          </w:r>
          <w:r>
            <w:rPr>
              <w:rFonts w:hint="eastAsia"/>
            </w:rPr>
            <w:t>10.6.1大气环境影响评价结论</w:t>
          </w:r>
          <w:r>
            <w:tab/>
          </w:r>
          <w:r>
            <w:fldChar w:fldCharType="begin"/>
          </w:r>
          <w:r>
            <w:instrText xml:space="preserve"> PAGEREF _Toc29359 \h </w:instrText>
          </w:r>
          <w:r>
            <w:fldChar w:fldCharType="separate"/>
          </w:r>
          <w:r>
            <w:t>254</w:t>
          </w:r>
          <w:r>
            <w:fldChar w:fldCharType="end"/>
          </w:r>
          <w:r>
            <w:rPr>
              <w:color w:val="000000" w:themeColor="text1"/>
              <w14:textFill>
                <w14:solidFill>
                  <w14:schemeClr w14:val="tx1"/>
                </w14:solidFill>
              </w14:textFill>
            </w:rPr>
            <w:fldChar w:fldCharType="end"/>
          </w:r>
        </w:p>
        <w:p w14:paraId="20876F40">
          <w:pPr>
            <w:pStyle w:val="13"/>
            <w:tabs>
              <w:tab w:val="right" w:leader="dot" w:pos="8306"/>
            </w:tabs>
          </w:pPr>
          <w:r>
            <w:rPr>
              <w:color w:val="000000" w:themeColor="text1"/>
              <w14:textFill>
                <w14:solidFill>
                  <w14:schemeClr w14:val="tx1"/>
                </w14:solidFill>
              </w14:textFill>
            </w:rPr>
            <w:fldChar w:fldCharType="begin"/>
          </w:r>
          <w:r>
            <w:instrText xml:space="preserve"> HYPERLINK \l _Toc21997 </w:instrText>
          </w:r>
          <w:r>
            <w:fldChar w:fldCharType="separate"/>
          </w:r>
          <w:r>
            <w:rPr>
              <w:rFonts w:hint="eastAsia"/>
            </w:rPr>
            <w:t>10.6.2 地表水环境影响评价结论</w:t>
          </w:r>
          <w:r>
            <w:tab/>
          </w:r>
          <w:r>
            <w:fldChar w:fldCharType="begin"/>
          </w:r>
          <w:r>
            <w:instrText xml:space="preserve"> PAGEREF _Toc21997 \h </w:instrText>
          </w:r>
          <w:r>
            <w:fldChar w:fldCharType="separate"/>
          </w:r>
          <w:r>
            <w:t>255</w:t>
          </w:r>
          <w:r>
            <w:fldChar w:fldCharType="end"/>
          </w:r>
          <w:r>
            <w:rPr>
              <w:color w:val="000000" w:themeColor="text1"/>
              <w14:textFill>
                <w14:solidFill>
                  <w14:schemeClr w14:val="tx1"/>
                </w14:solidFill>
              </w14:textFill>
            </w:rPr>
            <w:fldChar w:fldCharType="end"/>
          </w:r>
        </w:p>
        <w:p w14:paraId="1450E4F8">
          <w:pPr>
            <w:pStyle w:val="13"/>
            <w:tabs>
              <w:tab w:val="right" w:leader="dot" w:pos="8306"/>
            </w:tabs>
          </w:pPr>
          <w:r>
            <w:rPr>
              <w:color w:val="000000" w:themeColor="text1"/>
              <w14:textFill>
                <w14:solidFill>
                  <w14:schemeClr w14:val="tx1"/>
                </w14:solidFill>
              </w14:textFill>
            </w:rPr>
            <w:fldChar w:fldCharType="begin"/>
          </w:r>
          <w:r>
            <w:instrText xml:space="preserve"> HYPERLINK \l _Toc21441 </w:instrText>
          </w:r>
          <w:r>
            <w:fldChar w:fldCharType="separate"/>
          </w:r>
          <w:r>
            <w:rPr>
              <w:rFonts w:hint="eastAsia"/>
            </w:rPr>
            <w:t>10.6.3 声环境环境影响评价结论</w:t>
          </w:r>
          <w:r>
            <w:tab/>
          </w:r>
          <w:r>
            <w:fldChar w:fldCharType="begin"/>
          </w:r>
          <w:r>
            <w:instrText xml:space="preserve"> PAGEREF _Toc21441 \h </w:instrText>
          </w:r>
          <w:r>
            <w:fldChar w:fldCharType="separate"/>
          </w:r>
          <w:r>
            <w:t>255</w:t>
          </w:r>
          <w:r>
            <w:fldChar w:fldCharType="end"/>
          </w:r>
          <w:r>
            <w:rPr>
              <w:color w:val="000000" w:themeColor="text1"/>
              <w14:textFill>
                <w14:solidFill>
                  <w14:schemeClr w14:val="tx1"/>
                </w14:solidFill>
              </w14:textFill>
            </w:rPr>
            <w:fldChar w:fldCharType="end"/>
          </w:r>
        </w:p>
        <w:p w14:paraId="72EF20B0">
          <w:pPr>
            <w:pStyle w:val="13"/>
            <w:tabs>
              <w:tab w:val="right" w:leader="dot" w:pos="8306"/>
            </w:tabs>
          </w:pPr>
          <w:r>
            <w:rPr>
              <w:color w:val="000000" w:themeColor="text1"/>
              <w14:textFill>
                <w14:solidFill>
                  <w14:schemeClr w14:val="tx1"/>
                </w14:solidFill>
              </w14:textFill>
            </w:rPr>
            <w:fldChar w:fldCharType="begin"/>
          </w:r>
          <w:r>
            <w:instrText xml:space="preserve"> HYPERLINK \l _Toc3080 </w:instrText>
          </w:r>
          <w:r>
            <w:fldChar w:fldCharType="separate"/>
          </w:r>
          <w:r>
            <w:rPr>
              <w:rFonts w:hint="eastAsia"/>
            </w:rPr>
            <w:t>10.6.4 固体废物</w:t>
          </w:r>
          <w:r>
            <w:tab/>
          </w:r>
          <w:r>
            <w:fldChar w:fldCharType="begin"/>
          </w:r>
          <w:r>
            <w:instrText xml:space="preserve"> PAGEREF _Toc3080 \h </w:instrText>
          </w:r>
          <w:r>
            <w:fldChar w:fldCharType="separate"/>
          </w:r>
          <w:r>
            <w:t>256</w:t>
          </w:r>
          <w:r>
            <w:fldChar w:fldCharType="end"/>
          </w:r>
          <w:r>
            <w:rPr>
              <w:color w:val="000000" w:themeColor="text1"/>
              <w14:textFill>
                <w14:solidFill>
                  <w14:schemeClr w14:val="tx1"/>
                </w14:solidFill>
              </w14:textFill>
            </w:rPr>
            <w:fldChar w:fldCharType="end"/>
          </w:r>
        </w:p>
        <w:p w14:paraId="3F303DE1">
          <w:pPr>
            <w:pStyle w:val="13"/>
            <w:tabs>
              <w:tab w:val="right" w:leader="dot" w:pos="8306"/>
            </w:tabs>
          </w:pPr>
          <w:r>
            <w:rPr>
              <w:color w:val="000000" w:themeColor="text1"/>
              <w14:textFill>
                <w14:solidFill>
                  <w14:schemeClr w14:val="tx1"/>
                </w14:solidFill>
              </w14:textFill>
            </w:rPr>
            <w:fldChar w:fldCharType="begin"/>
          </w:r>
          <w:r>
            <w:instrText xml:space="preserve"> HYPERLINK \l _Toc5278 </w:instrText>
          </w:r>
          <w:r>
            <w:fldChar w:fldCharType="separate"/>
          </w:r>
          <w:r>
            <w:rPr>
              <w:rFonts w:hint="eastAsia"/>
            </w:rPr>
            <w:t>10.6.5 土壤、地下水环境影响评价结论</w:t>
          </w:r>
          <w:r>
            <w:tab/>
          </w:r>
          <w:r>
            <w:fldChar w:fldCharType="begin"/>
          </w:r>
          <w:r>
            <w:instrText xml:space="preserve"> PAGEREF _Toc5278 \h </w:instrText>
          </w:r>
          <w:r>
            <w:fldChar w:fldCharType="separate"/>
          </w:r>
          <w:r>
            <w:t>256</w:t>
          </w:r>
          <w:r>
            <w:fldChar w:fldCharType="end"/>
          </w:r>
          <w:r>
            <w:rPr>
              <w:color w:val="000000" w:themeColor="text1"/>
              <w14:textFill>
                <w14:solidFill>
                  <w14:schemeClr w14:val="tx1"/>
                </w14:solidFill>
              </w14:textFill>
            </w:rPr>
            <w:fldChar w:fldCharType="end"/>
          </w:r>
        </w:p>
        <w:p w14:paraId="5D9F9908">
          <w:pPr>
            <w:pStyle w:val="13"/>
            <w:tabs>
              <w:tab w:val="right" w:leader="dot" w:pos="8306"/>
            </w:tabs>
          </w:pPr>
          <w:r>
            <w:rPr>
              <w:color w:val="000000" w:themeColor="text1"/>
              <w14:textFill>
                <w14:solidFill>
                  <w14:schemeClr w14:val="tx1"/>
                </w14:solidFill>
              </w14:textFill>
            </w:rPr>
            <w:fldChar w:fldCharType="begin"/>
          </w:r>
          <w:r>
            <w:instrText xml:space="preserve"> HYPERLINK \l _Toc21131 </w:instrText>
          </w:r>
          <w:r>
            <w:fldChar w:fldCharType="separate"/>
          </w:r>
          <w:r>
            <w:rPr>
              <w:rFonts w:hint="eastAsia"/>
            </w:rPr>
            <w:t>10.6.6 环境风险评价结论</w:t>
          </w:r>
          <w:r>
            <w:tab/>
          </w:r>
          <w:r>
            <w:fldChar w:fldCharType="begin"/>
          </w:r>
          <w:r>
            <w:instrText xml:space="preserve"> PAGEREF _Toc21131 \h </w:instrText>
          </w:r>
          <w:r>
            <w:fldChar w:fldCharType="separate"/>
          </w:r>
          <w:r>
            <w:t>257</w:t>
          </w:r>
          <w:r>
            <w:fldChar w:fldCharType="end"/>
          </w:r>
          <w:r>
            <w:rPr>
              <w:color w:val="000000" w:themeColor="text1"/>
              <w14:textFill>
                <w14:solidFill>
                  <w14:schemeClr w14:val="tx1"/>
                </w14:solidFill>
              </w14:textFill>
            </w:rPr>
            <w:fldChar w:fldCharType="end"/>
          </w:r>
        </w:p>
        <w:p w14:paraId="2ABD5050">
          <w:pPr>
            <w:pStyle w:val="18"/>
            <w:tabs>
              <w:tab w:val="right" w:leader="dot" w:pos="8306"/>
            </w:tabs>
          </w:pPr>
          <w:r>
            <w:rPr>
              <w:color w:val="000000" w:themeColor="text1"/>
              <w14:textFill>
                <w14:solidFill>
                  <w14:schemeClr w14:val="tx1"/>
                </w14:solidFill>
              </w14:textFill>
            </w:rPr>
            <w:fldChar w:fldCharType="begin"/>
          </w:r>
          <w:r>
            <w:instrText xml:space="preserve"> HYPERLINK \l _Toc3553 </w:instrText>
          </w:r>
          <w:r>
            <w:fldChar w:fldCharType="separate"/>
          </w:r>
          <w:r>
            <w:t>1</w:t>
          </w:r>
          <w:r>
            <w:rPr>
              <w:rFonts w:hint="eastAsia"/>
            </w:rPr>
            <w:t>0</w:t>
          </w:r>
          <w:r>
            <w:t>.7 总量控制结论</w:t>
          </w:r>
          <w:r>
            <w:tab/>
          </w:r>
          <w:r>
            <w:fldChar w:fldCharType="begin"/>
          </w:r>
          <w:r>
            <w:instrText xml:space="preserve"> PAGEREF _Toc3553 \h </w:instrText>
          </w:r>
          <w:r>
            <w:fldChar w:fldCharType="separate"/>
          </w:r>
          <w:r>
            <w:t>257</w:t>
          </w:r>
          <w:r>
            <w:fldChar w:fldCharType="end"/>
          </w:r>
          <w:r>
            <w:rPr>
              <w:color w:val="000000" w:themeColor="text1"/>
              <w14:textFill>
                <w14:solidFill>
                  <w14:schemeClr w14:val="tx1"/>
                </w14:solidFill>
              </w14:textFill>
            </w:rPr>
            <w:fldChar w:fldCharType="end"/>
          </w:r>
        </w:p>
        <w:p w14:paraId="62D49BA3">
          <w:pPr>
            <w:pStyle w:val="18"/>
            <w:tabs>
              <w:tab w:val="right" w:leader="dot" w:pos="8306"/>
            </w:tabs>
          </w:pPr>
          <w:r>
            <w:rPr>
              <w:color w:val="000000" w:themeColor="text1"/>
              <w14:textFill>
                <w14:solidFill>
                  <w14:schemeClr w14:val="tx1"/>
                </w14:solidFill>
              </w14:textFill>
            </w:rPr>
            <w:fldChar w:fldCharType="begin"/>
          </w:r>
          <w:r>
            <w:instrText xml:space="preserve"> HYPERLINK \l _Toc18429 </w:instrText>
          </w:r>
          <w:r>
            <w:fldChar w:fldCharType="separate"/>
          </w:r>
          <w:r>
            <w:t>1</w:t>
          </w:r>
          <w:r>
            <w:rPr>
              <w:rFonts w:hint="eastAsia"/>
            </w:rPr>
            <w:t>0</w:t>
          </w:r>
          <w:r>
            <w:t>.8 公众参与结论</w:t>
          </w:r>
          <w:r>
            <w:tab/>
          </w:r>
          <w:r>
            <w:fldChar w:fldCharType="begin"/>
          </w:r>
          <w:r>
            <w:instrText xml:space="preserve"> PAGEREF _Toc18429 \h </w:instrText>
          </w:r>
          <w:r>
            <w:fldChar w:fldCharType="separate"/>
          </w:r>
          <w:r>
            <w:t>257</w:t>
          </w:r>
          <w:r>
            <w:fldChar w:fldCharType="end"/>
          </w:r>
          <w:r>
            <w:rPr>
              <w:color w:val="000000" w:themeColor="text1"/>
              <w14:textFill>
                <w14:solidFill>
                  <w14:schemeClr w14:val="tx1"/>
                </w14:solidFill>
              </w14:textFill>
            </w:rPr>
            <w:fldChar w:fldCharType="end"/>
          </w:r>
        </w:p>
        <w:p w14:paraId="5F785215">
          <w:pPr>
            <w:pStyle w:val="18"/>
            <w:tabs>
              <w:tab w:val="right" w:leader="dot" w:pos="8306"/>
            </w:tabs>
          </w:pPr>
          <w:r>
            <w:rPr>
              <w:color w:val="000000" w:themeColor="text1"/>
              <w14:textFill>
                <w14:solidFill>
                  <w14:schemeClr w14:val="tx1"/>
                </w14:solidFill>
              </w14:textFill>
            </w:rPr>
            <w:fldChar w:fldCharType="begin"/>
          </w:r>
          <w:r>
            <w:instrText xml:space="preserve"> HYPERLINK \l _Toc13061 </w:instrText>
          </w:r>
          <w:r>
            <w:fldChar w:fldCharType="separate"/>
          </w:r>
          <w:r>
            <w:t>1</w:t>
          </w:r>
          <w:r>
            <w:rPr>
              <w:rFonts w:hint="eastAsia"/>
            </w:rPr>
            <w:t>0</w:t>
          </w:r>
          <w:r>
            <w:t>.9 总结论</w:t>
          </w:r>
          <w:r>
            <w:tab/>
          </w:r>
          <w:r>
            <w:fldChar w:fldCharType="begin"/>
          </w:r>
          <w:r>
            <w:instrText xml:space="preserve"> PAGEREF _Toc13061 \h </w:instrText>
          </w:r>
          <w:r>
            <w:fldChar w:fldCharType="separate"/>
          </w:r>
          <w:r>
            <w:t>257</w:t>
          </w:r>
          <w:r>
            <w:fldChar w:fldCharType="end"/>
          </w:r>
          <w:r>
            <w:rPr>
              <w:color w:val="000000" w:themeColor="text1"/>
              <w14:textFill>
                <w14:solidFill>
                  <w14:schemeClr w14:val="tx1"/>
                </w14:solidFill>
              </w14:textFill>
            </w:rPr>
            <w:fldChar w:fldCharType="end"/>
          </w:r>
        </w:p>
        <w:p w14:paraId="764782FC">
          <w:pPr>
            <w:pStyle w:val="18"/>
            <w:tabs>
              <w:tab w:val="right" w:leader="dot" w:pos="8306"/>
            </w:tabs>
          </w:pPr>
          <w:r>
            <w:rPr>
              <w:color w:val="000000" w:themeColor="text1"/>
              <w14:textFill>
                <w14:solidFill>
                  <w14:schemeClr w14:val="tx1"/>
                </w14:solidFill>
              </w14:textFill>
            </w:rPr>
            <w:fldChar w:fldCharType="begin"/>
          </w:r>
          <w:r>
            <w:instrText xml:space="preserve"> HYPERLINK \l _Toc19654 </w:instrText>
          </w:r>
          <w:r>
            <w:fldChar w:fldCharType="separate"/>
          </w:r>
          <w:r>
            <w:t>1</w:t>
          </w:r>
          <w:r>
            <w:rPr>
              <w:rFonts w:hint="eastAsia"/>
            </w:rPr>
            <w:t>0</w:t>
          </w:r>
          <w:r>
            <w:t>.10 建议及要求</w:t>
          </w:r>
          <w:r>
            <w:tab/>
          </w:r>
          <w:r>
            <w:fldChar w:fldCharType="begin"/>
          </w:r>
          <w:r>
            <w:instrText xml:space="preserve"> PAGEREF _Toc19654 \h </w:instrText>
          </w:r>
          <w:r>
            <w:fldChar w:fldCharType="separate"/>
          </w:r>
          <w:r>
            <w:t>258</w:t>
          </w:r>
          <w:r>
            <w:fldChar w:fldCharType="end"/>
          </w:r>
          <w:r>
            <w:rPr>
              <w:color w:val="000000" w:themeColor="text1"/>
              <w14:textFill>
                <w14:solidFill>
                  <w14:schemeClr w14:val="tx1"/>
                </w14:solidFill>
              </w14:textFill>
            </w:rPr>
            <w:fldChar w:fldCharType="end"/>
          </w:r>
        </w:p>
        <w:p w14:paraId="75B411AC">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1816F424">
      <w:pPr>
        <w:ind w:firstLine="480"/>
        <w:rPr>
          <w:color w:val="000000" w:themeColor="text1"/>
          <w14:textFill>
            <w14:solidFill>
              <w14:schemeClr w14:val="tx1"/>
            </w14:solidFill>
          </w14:textFill>
        </w:rPr>
      </w:pPr>
    </w:p>
    <w:p w14:paraId="43A0B7E9">
      <w:pPr>
        <w:ind w:firstLine="480"/>
        <w:rPr>
          <w:color w:val="000000" w:themeColor="text1"/>
          <w14:textFill>
            <w14:solidFill>
              <w14:schemeClr w14:val="tx1"/>
            </w14:solidFill>
          </w14:textFill>
        </w:rPr>
      </w:pPr>
    </w:p>
    <w:p w14:paraId="07BC2D48">
      <w:pPr>
        <w:ind w:firstLine="480"/>
        <w:rPr>
          <w:color w:val="000000" w:themeColor="text1"/>
          <w14:textFill>
            <w14:solidFill>
              <w14:schemeClr w14:val="tx1"/>
            </w14:solidFill>
          </w14:textFill>
        </w:rPr>
      </w:pPr>
    </w:p>
    <w:p w14:paraId="5921C925">
      <w:pPr>
        <w:ind w:firstLine="480"/>
        <w:rPr>
          <w:color w:val="000000" w:themeColor="text1"/>
          <w14:textFill>
            <w14:solidFill>
              <w14:schemeClr w14:val="tx1"/>
            </w14:solidFill>
          </w14:textFill>
        </w:rPr>
      </w:pPr>
    </w:p>
    <w:p w14:paraId="002E6DCE">
      <w:pPr>
        <w:ind w:firstLine="480"/>
        <w:rPr>
          <w:color w:val="000000" w:themeColor="text1"/>
          <w14:textFill>
            <w14:solidFill>
              <w14:schemeClr w14:val="tx1"/>
            </w14:solidFill>
          </w14:textFill>
        </w:rPr>
      </w:pPr>
    </w:p>
    <w:p w14:paraId="103737C1">
      <w:pPr>
        <w:ind w:firstLine="480"/>
        <w:rPr>
          <w:color w:val="000000" w:themeColor="text1"/>
          <w14:textFill>
            <w14:solidFill>
              <w14:schemeClr w14:val="tx1"/>
            </w14:solidFill>
          </w14:textFill>
        </w:rPr>
      </w:pPr>
    </w:p>
    <w:p w14:paraId="31629845">
      <w:pPr>
        <w:ind w:firstLine="480"/>
        <w:rPr>
          <w:color w:val="000000" w:themeColor="text1"/>
          <w14:textFill>
            <w14:solidFill>
              <w14:schemeClr w14:val="tx1"/>
            </w14:solidFill>
          </w14:textFill>
        </w:rPr>
      </w:pPr>
    </w:p>
    <w:p w14:paraId="2E7856E8">
      <w:pPr>
        <w:ind w:firstLine="480"/>
        <w:rPr>
          <w:color w:val="000000" w:themeColor="text1"/>
          <w14:textFill>
            <w14:solidFill>
              <w14:schemeClr w14:val="tx1"/>
            </w14:solidFill>
          </w14:textFill>
        </w:rPr>
      </w:pPr>
    </w:p>
    <w:p w14:paraId="59AAC50B">
      <w:pPr>
        <w:ind w:firstLine="480"/>
        <w:rPr>
          <w:color w:val="000000" w:themeColor="text1"/>
          <w14:textFill>
            <w14:solidFill>
              <w14:schemeClr w14:val="tx1"/>
            </w14:solidFill>
          </w14:textFill>
        </w:rPr>
      </w:pPr>
    </w:p>
    <w:p w14:paraId="07560AC5">
      <w:pPr>
        <w:ind w:firstLine="480"/>
        <w:rPr>
          <w:color w:val="000000" w:themeColor="text1"/>
          <w14:textFill>
            <w14:solidFill>
              <w14:schemeClr w14:val="tx1"/>
            </w14:solidFill>
          </w14:textFill>
        </w:rPr>
      </w:pPr>
    </w:p>
    <w:p w14:paraId="4A6AA26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附表</w:t>
      </w:r>
    </w:p>
    <w:p w14:paraId="77E607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附表1建设项目环境影响报告书审批基础信息表</w:t>
      </w:r>
    </w:p>
    <w:p w14:paraId="4EB462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附表2 大气环境影响评价自查表</w:t>
      </w:r>
    </w:p>
    <w:p w14:paraId="794611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附表3 地表水环境影响评价自查表 </w:t>
      </w:r>
    </w:p>
    <w:p w14:paraId="1007E4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附表4 声环境影响评价自查表</w:t>
      </w:r>
    </w:p>
    <w:p w14:paraId="19E358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附表5 土壤环境影响评价自查表</w:t>
      </w:r>
    </w:p>
    <w:p w14:paraId="41D00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附表6 环境风险自查表</w:t>
      </w:r>
    </w:p>
    <w:p w14:paraId="0D419B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w:t>
      </w:r>
      <w:r>
        <w:rPr>
          <w:rFonts w:hint="eastAsia"/>
          <w:color w:val="000000" w:themeColor="text1"/>
          <w:lang w:val="en-US" w:eastAsia="zh-CN"/>
          <w14:textFill>
            <w14:solidFill>
              <w14:schemeClr w14:val="tx1"/>
            </w14:solidFill>
          </w14:textFill>
        </w:rPr>
        <w:t>表</w:t>
      </w:r>
      <w:r>
        <w:rPr>
          <w:rFonts w:hint="eastAsia"/>
          <w:color w:val="000000" w:themeColor="text1"/>
          <w14:textFill>
            <w14:solidFill>
              <w14:schemeClr w14:val="tx1"/>
            </w14:solidFill>
          </w14:textFill>
        </w:rPr>
        <w:t>7 生态自查表</w:t>
      </w:r>
    </w:p>
    <w:p w14:paraId="63AE7260">
      <w:pPr>
        <w:ind w:firstLine="480"/>
        <w:rPr>
          <w:color w:val="000000" w:themeColor="text1"/>
          <w14:textFill>
            <w14:solidFill>
              <w14:schemeClr w14:val="tx1"/>
            </w14:solidFill>
          </w14:textFill>
        </w:rPr>
      </w:pPr>
    </w:p>
    <w:p w14:paraId="3666BFF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附件</w:t>
      </w:r>
    </w:p>
    <w:p w14:paraId="1EDF40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 委托书</w:t>
      </w:r>
    </w:p>
    <w:p w14:paraId="75BCF2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附件2 备案证</w:t>
      </w:r>
    </w:p>
    <w:p w14:paraId="6CB809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附件3 租赁证明</w:t>
      </w:r>
    </w:p>
    <w:p w14:paraId="07B876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附件4 原辅料MSDS说明书</w:t>
      </w:r>
    </w:p>
    <w:p w14:paraId="6B518E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附件5现状检测报告 </w:t>
      </w:r>
    </w:p>
    <w:p w14:paraId="32D5A3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附件6 玉溪高新技术产业开发区规划环评审查意见</w:t>
      </w:r>
    </w:p>
    <w:p w14:paraId="48FB3E01">
      <w:pPr>
        <w:ind w:firstLine="480"/>
        <w:rPr>
          <w:color w:val="000000" w:themeColor="text1"/>
          <w14:textFill>
            <w14:solidFill>
              <w14:schemeClr w14:val="tx1"/>
            </w14:solidFill>
          </w14:textFill>
        </w:rPr>
      </w:pPr>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印刷业务改扩建项目环评批复</w:t>
      </w:r>
    </w:p>
    <w:p w14:paraId="69869077">
      <w:pPr>
        <w:ind w:firstLine="480"/>
        <w:rPr>
          <w:color w:val="000000" w:themeColor="text1"/>
          <w14:textFill>
            <w14:solidFill>
              <w14:schemeClr w14:val="tx1"/>
            </w14:solidFill>
          </w14:textFill>
        </w:rPr>
      </w:pPr>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特种纸生产线及电化铝生产线项目环评批复</w:t>
      </w:r>
    </w:p>
    <w:p w14:paraId="6A6118D8">
      <w:pPr>
        <w:ind w:firstLine="480"/>
        <w:rPr>
          <w:color w:val="000000" w:themeColor="text1"/>
          <w14:textFill>
            <w14:solidFill>
              <w14:schemeClr w14:val="tx1"/>
            </w14:solidFill>
          </w14:textFill>
        </w:rPr>
      </w:pPr>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9 租用厂房</w:t>
      </w:r>
      <w:r>
        <w:rPr>
          <w:color w:val="000000" w:themeColor="text1"/>
          <w14:textFill>
            <w14:solidFill>
              <w14:schemeClr w14:val="tx1"/>
            </w14:solidFill>
          </w14:textFill>
        </w:rPr>
        <w:t>变更建设单位的规划意见</w:t>
      </w:r>
    </w:p>
    <w:p w14:paraId="2A02FA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附件10 环评手续沿用意见</w:t>
      </w:r>
    </w:p>
    <w:p w14:paraId="4F5966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附件11 飞井海水库保护区与园区规划范围情况说明</w:t>
      </w:r>
    </w:p>
    <w:p w14:paraId="33BA0C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附件12 现状补充监测报告</w:t>
      </w:r>
    </w:p>
    <w:p w14:paraId="038631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附件13企业排水许可证</w:t>
      </w:r>
    </w:p>
    <w:p w14:paraId="079A82C4">
      <w:pPr>
        <w:ind w:firstLine="480"/>
        <w:rPr>
          <w:rStyle w:val="26"/>
          <w:color w:val="000000" w:themeColor="text1"/>
          <w14:textFill>
            <w14:solidFill>
              <w14:schemeClr w14:val="tx1"/>
            </w14:solidFill>
          </w14:textFill>
        </w:rPr>
      </w:pPr>
      <w:r>
        <w:rPr>
          <w:rFonts w:hint="eastAsia"/>
          <w:color w:val="000000" w:themeColor="text1"/>
          <w14:textFill>
            <w14:solidFill>
              <w14:schemeClr w14:val="tx1"/>
            </w14:solidFill>
          </w14:textFill>
        </w:rPr>
        <w:t>附件14 标准确认函</w:t>
      </w:r>
    </w:p>
    <w:p w14:paraId="2F4C07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附件15 环评合同</w:t>
      </w:r>
    </w:p>
    <w:p w14:paraId="704B6D7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附件16 项目进度表</w:t>
      </w:r>
    </w:p>
    <w:p w14:paraId="6C82E0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附件17 项目三级审核单</w:t>
      </w:r>
    </w:p>
    <w:p w14:paraId="6EF72D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附件18 项目评审意见</w:t>
      </w:r>
    </w:p>
    <w:p w14:paraId="4212A8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附件19 修改清单</w:t>
      </w:r>
    </w:p>
    <w:p w14:paraId="4E1F387C">
      <w:pPr>
        <w:ind w:firstLine="480"/>
        <w:rPr>
          <w:color w:val="000000" w:themeColor="text1"/>
          <w14:textFill>
            <w14:solidFill>
              <w14:schemeClr w14:val="tx1"/>
            </w14:solidFill>
          </w14:textFill>
        </w:rPr>
      </w:pPr>
    </w:p>
    <w:p w14:paraId="1EC6C62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附图</w:t>
      </w:r>
    </w:p>
    <w:p w14:paraId="4AAC05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附图1.7-1 评价范围及保护目标分布图</w:t>
      </w:r>
    </w:p>
    <w:p w14:paraId="445929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附图2.1-1 项目地理位置图</w:t>
      </w:r>
    </w:p>
    <w:p w14:paraId="2B8E54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附图2.1-2 外环境关系图</w:t>
      </w:r>
    </w:p>
    <w:p w14:paraId="0E3999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附图2.1-3本项目平面布置示意图</w:t>
      </w:r>
    </w:p>
    <w:p w14:paraId="52BC2C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附图2.1-4 本项目生产车间设备布置示意图</w:t>
      </w:r>
    </w:p>
    <w:p w14:paraId="17F462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附图2.1-5 本项目与依托设施的位置关系示意图</w:t>
      </w:r>
    </w:p>
    <w:p w14:paraId="1581C9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附图4.1-1 项目区水系图 </w:t>
      </w:r>
    </w:p>
    <w:p w14:paraId="2F2767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附图4.1-2 </w:t>
      </w:r>
      <w:r>
        <w:rPr>
          <w:rFonts w:hint="eastAsia"/>
          <w:color w:val="000000" w:themeColor="text1"/>
          <w:lang w:val="en-US" w:eastAsia="zh-CN"/>
          <w14:textFill>
            <w14:solidFill>
              <w14:schemeClr w14:val="tx1"/>
            </w14:solidFill>
          </w14:textFill>
        </w:rPr>
        <w:t>本项目与飞井海水库饮用水水源保护区位置关系图</w:t>
      </w:r>
    </w:p>
    <w:p w14:paraId="3A5714A7">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附图4.1-3 本项目与九龙池公园风景名胜区的位置关系图</w:t>
      </w:r>
    </w:p>
    <w:p w14:paraId="7EBADC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w:t>
      </w:r>
      <w:r>
        <w:rPr>
          <w:rFonts w:hint="eastAsia"/>
          <w:color w:val="000000" w:themeColor="text1"/>
          <w:lang w:val="en-US" w:eastAsia="zh-CN"/>
          <w14:textFill>
            <w14:solidFill>
              <w14:schemeClr w14:val="tx1"/>
            </w14:solidFill>
          </w14:textFill>
        </w:rPr>
        <w:t xml:space="preserve">5.2-1 </w:t>
      </w:r>
      <w:r>
        <w:rPr>
          <w:rFonts w:hint="eastAsia"/>
          <w:color w:val="000000" w:themeColor="text1"/>
          <w14:textFill>
            <w14:solidFill>
              <w14:schemeClr w14:val="tx1"/>
            </w14:solidFill>
          </w14:textFill>
        </w:rPr>
        <w:t>区域水文地质图</w:t>
      </w:r>
    </w:p>
    <w:p w14:paraId="61B88D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附图9.2-1 本项目与玉溪市生态环境管控单元叠图</w:t>
      </w:r>
    </w:p>
    <w:p w14:paraId="002BEC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附图9.1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1 玉溪高新技术产业开发区产业布局规划图</w:t>
      </w:r>
    </w:p>
    <w:p w14:paraId="3013BFE0">
      <w:pPr>
        <w:ind w:firstLine="480"/>
        <w:rPr>
          <w:color w:val="000000" w:themeColor="text1"/>
          <w14:textFill>
            <w14:solidFill>
              <w14:schemeClr w14:val="tx1"/>
            </w14:solidFill>
          </w14:textFill>
        </w:rPr>
      </w:pPr>
    </w:p>
    <w:p w14:paraId="37AF5AA8">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907" w:footer="992" w:gutter="0"/>
          <w:pgNumType w:fmt="upperRoman"/>
          <w:cols w:space="425" w:num="1"/>
          <w:docGrid w:type="lines" w:linePitch="312" w:charSpace="0"/>
        </w:sectPr>
      </w:pPr>
    </w:p>
    <w:p w14:paraId="312A4D21">
      <w:pPr>
        <w:pStyle w:val="2"/>
        <w:rPr>
          <w:color w:val="000000" w:themeColor="text1"/>
          <w14:textFill>
            <w14:solidFill>
              <w14:schemeClr w14:val="tx1"/>
            </w14:solidFill>
          </w14:textFill>
        </w:rPr>
      </w:pPr>
      <w:bookmarkStart w:id="0" w:name="_Toc5684"/>
      <w:r>
        <w:rPr>
          <w:rFonts w:hint="eastAsia"/>
          <w:color w:val="000000" w:themeColor="text1"/>
          <w14:textFill>
            <w14:solidFill>
              <w14:schemeClr w14:val="tx1"/>
            </w14:solidFill>
          </w14:textFill>
        </w:rPr>
        <w:t>概述</w:t>
      </w:r>
      <w:bookmarkEnd w:id="0"/>
    </w:p>
    <w:p w14:paraId="3EDDB97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1、项目由来</w:t>
      </w:r>
    </w:p>
    <w:p w14:paraId="5B1FE9D8">
      <w:pPr>
        <w:ind w:firstLine="480"/>
        <w:rPr>
          <w:color w:val="000000" w:themeColor="text1"/>
          <w14:textFill>
            <w14:solidFill>
              <w14:schemeClr w14:val="tx1"/>
            </w14:solidFill>
          </w14:textFill>
        </w:rPr>
      </w:pPr>
      <w:r>
        <w:rPr>
          <w:color w:val="000000" w:themeColor="text1"/>
          <w14:textFill>
            <w14:solidFill>
              <w14:schemeClr w14:val="tx1"/>
            </w14:solidFill>
          </w14:textFill>
        </w:rPr>
        <w:t>传统的锂离子电池</w:t>
      </w:r>
      <w:r>
        <w:rPr>
          <w:rFonts w:hint="eastAsia"/>
          <w:color w:val="000000" w:themeColor="text1"/>
          <w14:textFill>
            <w14:solidFill>
              <w14:schemeClr w14:val="tx1"/>
            </w14:solidFill>
          </w14:textFill>
        </w:rPr>
        <w:t>采用电解液，</w:t>
      </w:r>
      <w:r>
        <w:rPr>
          <w:color w:val="000000" w:themeColor="text1"/>
          <w14:textFill>
            <w14:solidFill>
              <w14:schemeClr w14:val="tx1"/>
            </w14:solidFill>
          </w14:textFill>
        </w:rPr>
        <w:t>漏液问题存在安全隐患，</w:t>
      </w:r>
      <w:r>
        <w:rPr>
          <w:rFonts w:hint="eastAsia"/>
          <w:color w:val="000000" w:themeColor="text1"/>
          <w14:textFill>
            <w14:solidFill>
              <w14:schemeClr w14:val="tx1"/>
            </w14:solidFill>
          </w14:textFill>
        </w:rPr>
        <w:t>尤其</w:t>
      </w:r>
      <w:r>
        <w:rPr>
          <w:color w:val="000000" w:themeColor="text1"/>
          <w14:textFill>
            <w14:solidFill>
              <w14:schemeClr w14:val="tx1"/>
            </w14:solidFill>
          </w14:textFill>
        </w:rPr>
        <w:t>在高功率、高能量密度的锂离子电池中</w:t>
      </w:r>
      <w:r>
        <w:rPr>
          <w:rFonts w:hint="eastAsia"/>
          <w:color w:val="000000" w:themeColor="text1"/>
          <w14:textFill>
            <w14:solidFill>
              <w14:schemeClr w14:val="tx1"/>
            </w14:solidFill>
          </w14:textFill>
        </w:rPr>
        <w:t>较</w:t>
      </w:r>
      <w:r>
        <w:rPr>
          <w:color w:val="000000" w:themeColor="text1"/>
          <w14:textFill>
            <w14:solidFill>
              <w14:schemeClr w14:val="tx1"/>
            </w14:solidFill>
          </w14:textFill>
        </w:rPr>
        <w:t>为突出，为了彻底解决这个问题，</w:t>
      </w:r>
      <w:r>
        <w:rPr>
          <w:rFonts w:hint="eastAsia"/>
          <w:color w:val="000000" w:themeColor="text1"/>
          <w14:textFill>
            <w14:solidFill>
              <w14:schemeClr w14:val="tx1"/>
            </w14:solidFill>
          </w14:textFill>
        </w:rPr>
        <w:t>提升电池安全性，</w:t>
      </w:r>
      <w:r>
        <w:rPr>
          <w:color w:val="000000" w:themeColor="text1"/>
          <w14:textFill>
            <w14:solidFill>
              <w14:schemeClr w14:val="tx1"/>
            </w14:solidFill>
          </w14:textFill>
        </w:rPr>
        <w:t>唯一的途径是采用固体电解质代替传统电解液。全固态锂离子电池具有便携性、无毒性、安全性等优点，可应用到电动汽车、混合动力汽车和高储能材料等领域，无机固态电解质特别是硫化物电解质已成为固态电解质的一个研究热点。</w:t>
      </w:r>
    </w:p>
    <w:p w14:paraId="725AF80E">
      <w:pPr>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玉溪恩捷前沿新材料科技有限公司专注于硫化物固态电解质及相关材料的产品研发、制造和销售，为满足国内外客户对公司硫化物固态电解质产品供应稳定性和及时性的需求，加快公司硫化物固态电解质业务市场开拓，实现全球化布局，进一步提升公司国际影响力，拟租用云南捷辰包装材料有限公司已建成的生产厂房投资建设10吨级硫化物固态电解质材料生产线，项目已于2025年7月11日取得玉溪市高新技术产业开发区管理委员会签发的投资项目备案证（玉高开委发备案〔2025〕30号）（详见附件2）。本项目主要是采用五硫化二磷、硫化锂、氯化锂进行硫化物固态电解质材料生产，生产工艺主要</w:t>
      </w:r>
      <w:r>
        <w:rPr>
          <w:rFonts w:hint="eastAsia"/>
          <w:color w:val="000000" w:themeColor="text1"/>
          <w14:textFill>
            <w14:solidFill>
              <w14:schemeClr w14:val="tx1"/>
            </w14:solidFill>
          </w14:textFill>
        </w:rPr>
        <w:t>为混合、烧结、破碎、砂磨、离心、干燥、二次破碎、产品测试、打包</w:t>
      </w:r>
      <w:r>
        <w:rPr>
          <w:color w:val="000000" w:themeColor="text1"/>
          <w14:textFill>
            <w14:solidFill>
              <w14:schemeClr w14:val="tx1"/>
            </w14:solidFill>
          </w14:textFill>
        </w:rPr>
        <w:t>。</w:t>
      </w:r>
    </w:p>
    <w:p w14:paraId="26EB2334">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《中华人民共和国环境影响评价法》</w:t>
      </w:r>
      <w:r>
        <w:rPr>
          <w:color w:val="000000" w:themeColor="text1"/>
          <w14:textFill>
            <w14:solidFill>
              <w14:schemeClr w14:val="tx1"/>
            </w14:solidFill>
          </w14:textFill>
        </w:rPr>
        <w:t>、《建设项目环境保护管理条例》（国务院令第682号令），建设项目应履行环境影响评价制度。依据《建设项目环境影响评价分类管理名录（2021版）》（中华人民共和国生态环境部部令第16号）：</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93"/>
        <w:gridCol w:w="1807"/>
        <w:gridCol w:w="3491"/>
        <w:gridCol w:w="905"/>
      </w:tblGrid>
      <w:tr w14:paraId="0972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360" w:type="pct"/>
            <w:gridSpan w:val="2"/>
          </w:tcPr>
          <w:p w14:paraId="25B24DF2">
            <w:pPr>
              <w:pStyle w:val="2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-66040</wp:posOffset>
                      </wp:positionH>
                      <wp:positionV relativeFrom="paragraph">
                        <wp:posOffset>5715</wp:posOffset>
                      </wp:positionV>
                      <wp:extent cx="1477010" cy="391795"/>
                      <wp:effectExtent l="1270" t="4445" r="7620" b="22860"/>
                      <wp:wrapNone/>
                      <wp:docPr id="4" name="直接连接符 4"/>
                      <wp:cNvGraphicFramePr/>
                      <a:graphic xmlns:a="http://schemas.openxmlformats.org/drawingml/2006/main">
                        <a:graphicData uri="http://schemas.microsoft.com/office/word/2010/wordprocessingShape">
                          <wps:wsp>
                            <wps:cNvCnPr/>
                            <wps:spPr>
                              <a:xfrm>
                                <a:off x="0" y="0"/>
                                <a:ext cx="1477010" cy="3917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2pt;margin-top:0.45pt;height:30.85pt;width:116.3pt;z-index:251664384;mso-width-relative:page;mso-height-relative:page;" filled="f" stroked="t" coordsize="21600,21600" o:gfxdata="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PNBE1AAAAAcBAAAPAAAAAAAAAAEAIAAAACIAAABkcnMvZG93bnJldi54bWxQSwECFAAUAAAACACH&#10;TuJA4L4duO8BAADdAwAADgAAAAAAAAABACAAAAAjAQAAZHJzL2Uyb0RvYy54bWxQSwUGAAAAAAYA&#10;BgBZAQAAhAUAAAAA&#10;">
                      <v:fill on="f" focussize="0,0"/>
                      <v:stroke color="#000000" joinstyle="round"/>
                      <v:imagedata o:title=""/>
                      <o:lock v:ext="edit" aspectratio="f"/>
                    </v:line>
                  </w:pict>
                </mc:Fallback>
              </mc:AlternateConten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环评类别</w:t>
            </w:r>
          </w:p>
          <w:p w14:paraId="4464FE67">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项目类别</w:t>
            </w:r>
          </w:p>
        </w:tc>
        <w:tc>
          <w:tcPr>
            <w:tcW w:w="1061" w:type="pct"/>
            <w:vAlign w:val="center"/>
          </w:tcPr>
          <w:p w14:paraId="718085D0">
            <w:pPr>
              <w:pStyle w:val="28"/>
              <w:rPr>
                <w:color w:val="000000" w:themeColor="text1"/>
                <w14:textFill>
                  <w14:solidFill>
                    <w14:schemeClr w14:val="tx1"/>
                  </w14:solidFill>
                </w14:textFill>
              </w:rPr>
            </w:pPr>
            <w:r>
              <w:rPr>
                <w:color w:val="000000" w:themeColor="text1"/>
                <w14:textFill>
                  <w14:solidFill>
                    <w14:schemeClr w14:val="tx1"/>
                  </w14:solidFill>
                </w14:textFill>
              </w:rPr>
              <w:t>报告书</w:t>
            </w:r>
          </w:p>
        </w:tc>
        <w:tc>
          <w:tcPr>
            <w:tcW w:w="2048" w:type="pct"/>
            <w:vAlign w:val="center"/>
          </w:tcPr>
          <w:p w14:paraId="6A9A78F1">
            <w:pPr>
              <w:pStyle w:val="28"/>
              <w:rPr>
                <w:color w:val="000000" w:themeColor="text1"/>
                <w14:textFill>
                  <w14:solidFill>
                    <w14:schemeClr w14:val="tx1"/>
                  </w14:solidFill>
                </w14:textFill>
              </w:rPr>
            </w:pPr>
            <w:r>
              <w:rPr>
                <w:color w:val="000000" w:themeColor="text1"/>
                <w14:textFill>
                  <w14:solidFill>
                    <w14:schemeClr w14:val="tx1"/>
                  </w14:solidFill>
                </w14:textFill>
              </w:rPr>
              <w:t>报告表</w:t>
            </w:r>
          </w:p>
        </w:tc>
        <w:tc>
          <w:tcPr>
            <w:tcW w:w="529" w:type="pct"/>
            <w:vAlign w:val="center"/>
          </w:tcPr>
          <w:p w14:paraId="431EA379">
            <w:pPr>
              <w:pStyle w:val="28"/>
              <w:rPr>
                <w:color w:val="000000" w:themeColor="text1"/>
                <w14:textFill>
                  <w14:solidFill>
                    <w14:schemeClr w14:val="tx1"/>
                  </w14:solidFill>
                </w14:textFill>
              </w:rPr>
            </w:pPr>
            <w:r>
              <w:rPr>
                <w:color w:val="000000" w:themeColor="text1"/>
                <w14:textFill>
                  <w14:solidFill>
                    <w14:schemeClr w14:val="tx1"/>
                  </w14:solidFill>
                </w14:textFill>
              </w:rPr>
              <w:t>登记表</w:t>
            </w:r>
          </w:p>
        </w:tc>
      </w:tr>
      <w:tr w14:paraId="591C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7A02D115">
            <w:pPr>
              <w:pStyle w:val="28"/>
              <w:rPr>
                <w:color w:val="000000" w:themeColor="text1"/>
                <w14:textFill>
                  <w14:solidFill>
                    <w14:schemeClr w14:val="tx1"/>
                  </w14:solidFill>
                </w14:textFill>
              </w:rPr>
            </w:pPr>
            <w:r>
              <w:rPr>
                <w:color w:val="000000" w:themeColor="text1"/>
                <w14:textFill>
                  <w14:solidFill>
                    <w14:schemeClr w14:val="tx1"/>
                  </w14:solidFill>
                </w14:textFill>
              </w:rPr>
              <w:t>三十六、计算机、通信和其他电子设备制造业 39</w:t>
            </w:r>
          </w:p>
        </w:tc>
      </w:tr>
      <w:tr w14:paraId="0F69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Align w:val="center"/>
          </w:tcPr>
          <w:p w14:paraId="26DA12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81</w:t>
            </w:r>
          </w:p>
        </w:tc>
        <w:tc>
          <w:tcPr>
            <w:tcW w:w="1110" w:type="pct"/>
            <w:vAlign w:val="center"/>
          </w:tcPr>
          <w:p w14:paraId="16FA2F83">
            <w:pPr>
              <w:pStyle w:val="28"/>
              <w:rPr>
                <w:color w:val="000000" w:themeColor="text1"/>
                <w14:textFill>
                  <w14:solidFill>
                    <w14:schemeClr w14:val="tx1"/>
                  </w14:solidFill>
                </w14:textFill>
              </w:rPr>
            </w:pPr>
            <w:r>
              <w:rPr>
                <w:color w:val="000000" w:themeColor="text1"/>
                <w14:textFill>
                  <w14:solidFill>
                    <w14:schemeClr w14:val="tx1"/>
                  </w14:solidFill>
                </w14:textFill>
              </w:rPr>
              <w:t>电子元件及电子专用材料制造中半导体材料制造</w:t>
            </w:r>
          </w:p>
        </w:tc>
        <w:tc>
          <w:tcPr>
            <w:tcW w:w="1061" w:type="pct"/>
            <w:vAlign w:val="center"/>
          </w:tcPr>
          <w:p w14:paraId="16FD7269">
            <w:pPr>
              <w:pStyle w:val="28"/>
              <w:rPr>
                <w:color w:val="000000" w:themeColor="text1"/>
                <w14:textFill>
                  <w14:solidFill>
                    <w14:schemeClr w14:val="tx1"/>
                  </w14:solidFill>
                </w14:textFill>
              </w:rPr>
            </w:pPr>
            <w:r>
              <w:rPr>
                <w:color w:val="000000" w:themeColor="text1"/>
                <w14:textFill>
                  <w14:solidFill>
                    <w14:schemeClr w14:val="tx1"/>
                  </w14:solidFill>
                </w14:textFill>
              </w:rPr>
              <w:t>半导体材料制造；电子化工材料制造</w:t>
            </w:r>
          </w:p>
        </w:tc>
        <w:tc>
          <w:tcPr>
            <w:tcW w:w="2048" w:type="pct"/>
            <w:vAlign w:val="center"/>
          </w:tcPr>
          <w:p w14:paraId="141AD401">
            <w:pPr>
              <w:pStyle w:val="28"/>
              <w:rPr>
                <w:color w:val="000000" w:themeColor="text1"/>
                <w14:textFill>
                  <w14:solidFill>
                    <w14:schemeClr w14:val="tx1"/>
                  </w14:solidFill>
                </w14:textFill>
              </w:rPr>
            </w:pPr>
            <w:r>
              <w:rPr>
                <w:color w:val="000000" w:themeColor="text1"/>
                <w14:textFill>
                  <w14:solidFill>
                    <w14:schemeClr w14:val="tx1"/>
                  </w14:solidFill>
                </w14:textFill>
              </w:rPr>
              <w:t>印刷电路板制造；电子专用材料制造（电子化工材料制造除外）；使用有机溶剂的；有酸洗的</w:t>
            </w:r>
          </w:p>
          <w:p w14:paraId="6443E422">
            <w:pPr>
              <w:pStyle w:val="28"/>
              <w:rPr>
                <w:color w:val="000000" w:themeColor="text1"/>
                <w14:textFill>
                  <w14:solidFill>
                    <w14:schemeClr w14:val="tx1"/>
                  </w14:solidFill>
                </w14:textFill>
              </w:rPr>
            </w:pPr>
            <w:r>
              <w:rPr>
                <w:color w:val="000000" w:themeColor="text1"/>
                <w14:textFill>
                  <w14:solidFill>
                    <w14:schemeClr w14:val="tx1"/>
                  </w14:solidFill>
                </w14:textFill>
              </w:rPr>
              <w:t>以上均不含分割、焊接、组装的</w:t>
            </w:r>
          </w:p>
        </w:tc>
        <w:tc>
          <w:tcPr>
            <w:tcW w:w="529" w:type="pct"/>
            <w:vAlign w:val="center"/>
          </w:tcPr>
          <w:p w14:paraId="1B93C7E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520FD9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本项目生产的</w:t>
      </w:r>
      <w:r>
        <w:rPr>
          <w:color w:val="000000" w:themeColor="text1"/>
          <w14:textFill>
            <w14:solidFill>
              <w14:schemeClr w14:val="tx1"/>
            </w14:solidFill>
          </w14:textFill>
        </w:rPr>
        <w:t>硫化物固态电解质</w:t>
      </w:r>
      <w:r>
        <w:rPr>
          <w:rFonts w:hint="eastAsia"/>
          <w:color w:val="000000" w:themeColor="text1"/>
          <w14:textFill>
            <w14:solidFill>
              <w14:schemeClr w14:val="tx1"/>
            </w14:solidFill>
          </w14:textFill>
        </w:rPr>
        <w:t>属于电子专用材料中的锂电子电池材料，生产工艺核心机理是先经反应形成基础硫化物体系，再引入氯元素优化晶体结构与离子传输性能，最终获得硫银锗矿型Li</w:t>
      </w:r>
      <w:r>
        <w:rPr>
          <w:rFonts w:hint="eastAsia"/>
          <w:color w:val="000000" w:themeColor="text1"/>
          <w:vertAlign w:val="subscript"/>
          <w14:textFill>
            <w14:solidFill>
              <w14:schemeClr w14:val="tx1"/>
            </w14:solidFill>
          </w14:textFill>
        </w:rPr>
        <w:t>6</w:t>
      </w:r>
      <w:r>
        <w:rPr>
          <w:rFonts w:hint="eastAsia"/>
          <w:color w:val="000000" w:themeColor="text1"/>
          <w14:textFill>
            <w14:solidFill>
              <w14:schemeClr w14:val="tx1"/>
            </w14:solidFill>
          </w14:textFill>
        </w:rPr>
        <w:t>PS</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Cl（LPSCl）硫化物固态电解质，涉及化学反应，因此属于电子化工材料制造，</w:t>
      </w:r>
      <w:r>
        <w:rPr>
          <w:color w:val="000000" w:themeColor="text1"/>
          <w14:textFill>
            <w14:solidFill>
              <w14:schemeClr w14:val="tx1"/>
            </w14:solidFill>
          </w14:textFill>
        </w:rPr>
        <w:t>对照上表，项目应编制报告书。</w:t>
      </w:r>
    </w:p>
    <w:p w14:paraId="45249739">
      <w:pPr>
        <w:ind w:firstLine="480"/>
        <w:rPr>
          <w:color w:val="000000" w:themeColor="text1"/>
          <w14:textFill>
            <w14:solidFill>
              <w14:schemeClr w14:val="tx1"/>
            </w14:solidFill>
          </w14:textFill>
        </w:rPr>
      </w:pPr>
      <w:r>
        <w:rPr>
          <w:color w:val="000000" w:themeColor="text1"/>
          <w14:textFill>
            <w14:solidFill>
              <w14:schemeClr w14:val="tx1"/>
            </w14:solidFill>
          </w14:textFill>
        </w:rPr>
        <w:t>受玉溪恩捷前沿新材料科技有限公司的委托，由</w:t>
      </w:r>
      <w:r>
        <w:rPr>
          <w:rFonts w:hint="eastAsia"/>
          <w:color w:val="000000" w:themeColor="text1"/>
          <w14:textFill>
            <w14:solidFill>
              <w14:schemeClr w14:val="tx1"/>
            </w14:solidFill>
          </w14:textFill>
        </w:rPr>
        <w:t>云南寄傲环境科技有限公司</w:t>
      </w:r>
      <w:r>
        <w:rPr>
          <w:color w:val="000000" w:themeColor="text1"/>
          <w14:textFill>
            <w14:solidFill>
              <w14:schemeClr w14:val="tx1"/>
            </w14:solidFill>
          </w14:textFill>
        </w:rPr>
        <w:t>承担本项目环境影响报告</w:t>
      </w:r>
      <w:r>
        <w:rPr>
          <w:rFonts w:hint="eastAsia"/>
          <w:color w:val="000000" w:themeColor="text1"/>
          <w14:textFill>
            <w14:solidFill>
              <w14:schemeClr w14:val="tx1"/>
            </w14:solidFill>
          </w14:textFill>
        </w:rPr>
        <w:t>书</w:t>
      </w:r>
      <w:r>
        <w:rPr>
          <w:color w:val="000000" w:themeColor="text1"/>
          <w14:textFill>
            <w14:solidFill>
              <w14:schemeClr w14:val="tx1"/>
            </w14:solidFill>
          </w14:textFill>
        </w:rPr>
        <w:t>的编制工作（详见附件1）。我公司接受委托后，进行了现场踏勘、环境状况调查、资料收集，在认真分析工程内容的基础上，编制完成了本项目环境影响报告</w:t>
      </w:r>
      <w:r>
        <w:rPr>
          <w:rFonts w:hint="eastAsia"/>
          <w:color w:val="000000" w:themeColor="text1"/>
          <w14:textFill>
            <w14:solidFill>
              <w14:schemeClr w14:val="tx1"/>
            </w14:solidFill>
          </w14:textFill>
        </w:rPr>
        <w:t>书</w:t>
      </w:r>
      <w:r>
        <w:rPr>
          <w:color w:val="000000" w:themeColor="text1"/>
          <w14:textFill>
            <w14:solidFill>
              <w14:schemeClr w14:val="tx1"/>
            </w14:solidFill>
          </w14:textFill>
        </w:rPr>
        <w:t>，供建设单位上报生态环境行政管理部门审批后作为项目环境管理的依据。</w:t>
      </w:r>
    </w:p>
    <w:p w14:paraId="27CA2D3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2、项目特点</w:t>
      </w:r>
    </w:p>
    <w:p w14:paraId="12346F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（1）本项目租用云南捷辰包装材料有限公司已建成的生产厂房进行生产，不存在新征土地问题。项目供水、供电、排水设施均依托已建的。</w:t>
      </w:r>
    </w:p>
    <w:p w14:paraId="009B76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（2）本项目属于厂中厂，占地面积为2250m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本项目北面厂界为租用厂房北面建筑边界，南面厂界为云南捷辰包装材料有限公司项目区南面厂界围栏外，西面厂界为云南捷辰包装材料有限公司项目区西面厂界围栏，东面厂界为云南捷辰包装材料有限公司项目区东面围墙。本项目厂界范围示意图见下图1。</w:t>
      </w:r>
    </w:p>
    <w:p w14:paraId="6EFCE6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（3）固态电解质生产核心是固体原料的混合、烧结、粉碎等，而非依赖有机溶剂溶解或调配，本项目生产过程使用有机溶剂，仅作为研磨介质，不参与反应。</w:t>
      </w:r>
    </w:p>
    <w:p w14:paraId="7B9566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本环评原辅材料一览表中统计的有机溶剂单组分单独使用的最大量。实际生产过程中，研磨不是项目生产的核心工段，通常是根据客户需要选择是否进行研磨。结合项目规模和发展规划，当前本项目产能小，单独购置蒸馏回收、吸附回收等设备，不符合实际生产情况，因此本项目未设置有机溶剂回收装置。</w:t>
      </w:r>
    </w:p>
    <w:p w14:paraId="4EFCF34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（5）本项目废气处理系统采用车间整体负压收集，生产车间为全封闭无尘车间，</w:t>
      </w:r>
      <w:r>
        <w:rPr>
          <w:rFonts w:ascii="Segoe UI" w:hAnsi="Segoe UI" w:eastAsia="Segoe UI" w:cs="Segoe UI"/>
          <w:color w:val="000000" w:themeColor="text1"/>
          <w:shd w:val="clear" w:color="auto" w:fill="FFFFFF"/>
          <w14:textFill>
            <w14:solidFill>
              <w14:schemeClr w14:val="tx1"/>
            </w14:solidFill>
          </w14:textFill>
        </w:rPr>
        <w:t>车间整体负压形成均匀的气流，使新鲜空气从清洁区流向污染区，污染物统一</w:t>
      </w:r>
      <w:r>
        <w:rPr>
          <w:rFonts w:hint="eastAsia" w:ascii="Segoe UI" w:hAnsi="Segoe UI" w:cs="Segoe UI"/>
          <w:color w:val="000000" w:themeColor="text1"/>
          <w:shd w:val="clear" w:color="auto" w:fill="FFFFFF"/>
          <w14:textFill>
            <w14:solidFill>
              <w14:schemeClr w14:val="tx1"/>
            </w14:solidFill>
          </w14:textFill>
        </w:rPr>
        <w:t>经</w:t>
      </w:r>
      <w:r>
        <w:rPr>
          <w:rFonts w:ascii="Segoe UI" w:hAnsi="Segoe UI" w:eastAsia="Segoe UI" w:cs="Segoe UI"/>
          <w:color w:val="000000" w:themeColor="text1"/>
          <w:shd w:val="clear" w:color="auto" w:fill="FFFFFF"/>
          <w14:textFill>
            <w14:solidFill>
              <w14:schemeClr w14:val="tx1"/>
            </w14:solidFill>
          </w14:textFill>
        </w:rPr>
        <w:t>车间排风系统</w:t>
      </w:r>
      <w:r>
        <w:rPr>
          <w:rFonts w:hint="eastAsia" w:ascii="Segoe UI" w:hAnsi="Segoe UI" w:cs="Segoe UI"/>
          <w:color w:val="000000" w:themeColor="text1"/>
          <w:shd w:val="clear" w:color="auto" w:fill="FFFFFF"/>
          <w14:textFill>
            <w14:solidFill>
              <w14:schemeClr w14:val="tx1"/>
            </w14:solidFill>
          </w14:textFill>
        </w:rPr>
        <w:t>管道收集进入废气处理系统处理</w:t>
      </w:r>
      <w:r>
        <w:rPr>
          <w:rFonts w:ascii="Segoe UI" w:hAnsi="Segoe UI" w:eastAsia="Segoe UI" w:cs="Segoe UI"/>
          <w:color w:val="000000" w:themeColor="text1"/>
          <w:shd w:val="clear" w:color="auto" w:fill="FFFFFF"/>
          <w14:textFill>
            <w14:solidFill>
              <w14:schemeClr w14:val="tx1"/>
            </w14:solidFill>
          </w14:textFill>
        </w:rPr>
        <w:t>，实现全空间无死角控制</w:t>
      </w:r>
      <w:r>
        <w:rPr>
          <w:rFonts w:hint="eastAsia"/>
          <w:color w:val="000000" w:themeColor="text1"/>
          <w14:textFill>
            <w14:solidFill>
              <w14:schemeClr w14:val="tx1"/>
            </w14:solidFill>
          </w14:textFill>
        </w:rPr>
        <w:t>通过。</w:t>
      </w:r>
    </w:p>
    <w:p w14:paraId="363557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本项目生活污水依托云南捷辰包装材料有限公司已建成的化粪池处理后通过“印刷业务改扩建项目”已批复的排放口（DW001）进行排放。本项目生产废水排放口设置于废水处理车间外，生产废水通过车间排放口（DW002）排入云南捷辰包装材料有限公司已建成的污水管网，与经化粪池处理的生活污水，一起通过已批复的排放口（DW001）接入九纬路市政污水管网，最终进入玉溪市污水处理厂。</w:t>
      </w:r>
    </w:p>
    <w:p w14:paraId="3C23083E">
      <w:pPr>
        <w:ind w:firstLine="480"/>
        <w:rPr>
          <w:color w:val="000000" w:themeColor="text1"/>
          <w14:textFill>
            <w14:solidFill>
              <w14:schemeClr w14:val="tx1"/>
            </w14:solidFill>
          </w14:textFill>
        </w:rPr>
      </w:pPr>
    </w:p>
    <w:p w14:paraId="2CCCE371">
      <w:pPr>
        <w:pStyle w:val="27"/>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3589655</wp:posOffset>
                </wp:positionH>
                <wp:positionV relativeFrom="paragraph">
                  <wp:posOffset>708025</wp:posOffset>
                </wp:positionV>
                <wp:extent cx="1541145" cy="62166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541145" cy="621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1F948">
                            <w:pPr>
                              <w:spacing w:line="240" w:lineRule="auto"/>
                              <w:ind w:firstLine="0" w:firstLineChars="0"/>
                              <w:rPr>
                                <w:color w:val="FFFF00"/>
                                <w:sz w:val="15"/>
                                <w:szCs w:val="15"/>
                              </w:rPr>
                            </w:pPr>
                            <w:r>
                              <w:rPr>
                                <w:rFonts w:hint="eastAsia"/>
                                <w:color w:val="FFFF00"/>
                                <w:sz w:val="15"/>
                                <w:szCs w:val="15"/>
                              </w:rPr>
                              <w:t>云南捷辰包装材料有限公司</w:t>
                            </w:r>
                          </w:p>
                          <w:p w14:paraId="708B77DC">
                            <w:pPr>
                              <w:spacing w:line="240" w:lineRule="auto"/>
                              <w:ind w:firstLine="0" w:firstLineChars="0"/>
                              <w:rPr>
                                <w:color w:val="FFFF00"/>
                                <w:sz w:val="15"/>
                                <w:szCs w:val="15"/>
                              </w:rPr>
                            </w:pPr>
                            <w:r>
                              <w:rPr>
                                <w:rFonts w:hint="eastAsia"/>
                                <w:color w:val="FFFF00"/>
                                <w:sz w:val="15"/>
                                <w:szCs w:val="15"/>
                              </w:rPr>
                              <w:t>生活废水排放口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5pt;margin-top:55.75pt;height:48.95pt;width:121.35pt;z-index:251680768;mso-width-relative:page;mso-height-relative:page;" filled="f" stroked="f" coordsize="21600,21600" o:gfxdata="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hH4I2wAAAAsBAAAPAAAAAAAAAAEAIAAAACIAAABk&#10;cnMvZG93bnJldi54bWxQSwECFAAUAAAACACHTuJAc1Ie4jwCAABoBAAADgAAAAAAAAABACAAAAAq&#10;AQAAZHJzL2Uyb0RvYy54bWxQSwUGAAAAAAYABgBZAQAA2AUAAAAA&#10;">
                <v:fill on="f" focussize="0,0"/>
                <v:stroke on="f" weight="0.5pt"/>
                <v:imagedata o:title=""/>
                <o:lock v:ext="edit" aspectratio="f"/>
                <v:textbox>
                  <w:txbxContent>
                    <w:p w14:paraId="6251F948">
                      <w:pPr>
                        <w:spacing w:line="240" w:lineRule="auto"/>
                        <w:ind w:firstLine="0" w:firstLineChars="0"/>
                        <w:rPr>
                          <w:color w:val="FFFF00"/>
                          <w:sz w:val="15"/>
                          <w:szCs w:val="15"/>
                        </w:rPr>
                      </w:pPr>
                      <w:r>
                        <w:rPr>
                          <w:rFonts w:hint="eastAsia"/>
                          <w:color w:val="FFFF00"/>
                          <w:sz w:val="15"/>
                          <w:szCs w:val="15"/>
                        </w:rPr>
                        <w:t>云南捷辰包装材料有限公司</w:t>
                      </w:r>
                    </w:p>
                    <w:p w14:paraId="708B77DC">
                      <w:pPr>
                        <w:spacing w:line="240" w:lineRule="auto"/>
                        <w:ind w:firstLine="0" w:firstLineChars="0"/>
                        <w:rPr>
                          <w:color w:val="FFFF00"/>
                          <w:sz w:val="15"/>
                          <w:szCs w:val="15"/>
                        </w:rPr>
                      </w:pPr>
                      <w:r>
                        <w:rPr>
                          <w:rFonts w:hint="eastAsia"/>
                          <w:color w:val="FFFF00"/>
                          <w:sz w:val="15"/>
                          <w:szCs w:val="15"/>
                        </w:rPr>
                        <w:t>生活废水排放口</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1941830</wp:posOffset>
                </wp:positionH>
                <wp:positionV relativeFrom="paragraph">
                  <wp:posOffset>429895</wp:posOffset>
                </wp:positionV>
                <wp:extent cx="1541145" cy="33147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54114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70B6A">
                            <w:pPr>
                              <w:ind w:firstLine="0" w:firstLineChars="0"/>
                              <w:rPr>
                                <w:color w:val="FFFF00"/>
                                <w:sz w:val="15"/>
                                <w:szCs w:val="15"/>
                              </w:rPr>
                            </w:pPr>
                            <w:r>
                              <w:rPr>
                                <w:rFonts w:hint="eastAsia"/>
                                <w:color w:val="FFFF00"/>
                                <w:sz w:val="15"/>
                                <w:szCs w:val="15"/>
                              </w:rPr>
                              <w:t>生产废水排放口DW002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9pt;margin-top:33.85pt;height:26.1pt;width:121.35pt;z-index:251672576;mso-width-relative:page;mso-height-relative:page;" filled="f" stroked="f" coordsize="21600,21600" o:gfxdata="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&#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b101/cAAAACgEAAA8AAAAAAAAAAQAgAAAAIgAA&#10;AGRycy9kb3ducmV2LnhtbFBLAQIUABQAAAAIAIdO4kC9hi87PQIAAGgEAAAOAAAAAAAAAAEAIAAA&#10;ACsBAABkcnMvZTJvRG9jLnhtbFBLBQYAAAAABgAGAFkBAADaBQAAAAA=&#10;">
                <v:fill on="f" focussize="0,0"/>
                <v:stroke on="f" weight="0.5pt"/>
                <v:imagedata o:title=""/>
                <o:lock v:ext="edit" aspectratio="f"/>
                <v:textbox>
                  <w:txbxContent>
                    <w:p w14:paraId="68F70B6A">
                      <w:pPr>
                        <w:ind w:firstLine="0" w:firstLineChars="0"/>
                        <w:rPr>
                          <w:color w:val="FFFF00"/>
                          <w:sz w:val="15"/>
                          <w:szCs w:val="15"/>
                        </w:rPr>
                      </w:pPr>
                      <w:r>
                        <w:rPr>
                          <w:rFonts w:hint="eastAsia"/>
                          <w:color w:val="FFFF00"/>
                          <w:sz w:val="15"/>
                          <w:szCs w:val="15"/>
                        </w:rPr>
                        <w:t>生产废水排放口DW002</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3860165</wp:posOffset>
                </wp:positionH>
                <wp:positionV relativeFrom="paragraph">
                  <wp:posOffset>711835</wp:posOffset>
                </wp:positionV>
                <wp:extent cx="75565" cy="75565"/>
                <wp:effectExtent l="6350" t="6350" r="13335" b="13335"/>
                <wp:wrapNone/>
                <wp:docPr id="58" name="椭圆 58"/>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3.95pt;margin-top:56.05pt;height:5.95pt;width:5.95pt;z-index:251679744;v-text-anchor:middle;mso-width-relative:page;mso-height-relative:page;" fillcolor="#FFFF00" filled="t" stroked="t" coordsize="21600,21600" o:gfxdata="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JjJwtoAAAALAQAADwAAAAAAAAABACAAAAAiAAAAZHJzL2Rvd25yZXYu&#10;eG1sUEsBAhQAFAAAAAgAh07iQKByVCtrAgAA9gQAAA4AAAAAAAAAAQAgAAAAKQEAAGRycy9lMm9E&#10;b2MueG1sUEsFBgAAAAAGAAYAWQEAAAYGAAAAAA==&#10;">
                <v:fill on="t" focussize="0,0"/>
                <v:stroke weight="1pt" color="#FFFF00 [2404]"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3858260</wp:posOffset>
                </wp:positionH>
                <wp:positionV relativeFrom="paragraph">
                  <wp:posOffset>483235</wp:posOffset>
                </wp:positionV>
                <wp:extent cx="1541145" cy="331470"/>
                <wp:effectExtent l="0" t="0" r="0" b="0"/>
                <wp:wrapNone/>
                <wp:docPr id="57" name="文本框 57"/>
                <wp:cNvGraphicFramePr/>
                <a:graphic xmlns:a="http://schemas.openxmlformats.org/drawingml/2006/main">
                  <a:graphicData uri="http://schemas.microsoft.com/office/word/2010/wordprocessingShape">
                    <wps:wsp>
                      <wps:cNvSpPr txBox="1"/>
                      <wps:spPr>
                        <a:xfrm rot="180000">
                          <a:off x="0" y="0"/>
                          <a:ext cx="154114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32793">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8pt;margin-top:38.05pt;height:26.1pt;width:121.35pt;rotation:196608f;z-index:251676672;mso-width-relative:page;mso-height-relative:page;" filled="f" stroked="f" coordsize="21600,21600" o:gfxdata="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5YvVtkAAAAKAQAADwAAAAAAAAABACAA&#10;AAAiAAAAZHJzL2Rvd25yZXYueG1sUEsBAhQAFAAAAAgAh07iQKmPa/tFAgAAdQQAAA4AAAAAAAAA&#10;AQAgAAAAKAEAAGRycy9lMm9Eb2MueG1sUEsFBgAAAAAGAAYAWQEAAN8FAAAAAA==&#10;">
                <v:fill on="f" focussize="0,0"/>
                <v:stroke on="f" weight="0.5pt"/>
                <v:imagedata o:title=""/>
                <o:lock v:ext="edit" aspectratio="f"/>
                <v:textbox>
                  <w:txbxContent>
                    <w:p w14:paraId="11D32793">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纬</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4486910</wp:posOffset>
                </wp:positionH>
                <wp:positionV relativeFrom="paragraph">
                  <wp:posOffset>940435</wp:posOffset>
                </wp:positionV>
                <wp:extent cx="1541145" cy="331470"/>
                <wp:effectExtent l="0" t="0" r="0" b="0"/>
                <wp:wrapNone/>
                <wp:docPr id="55" name="文本框 55"/>
                <wp:cNvGraphicFramePr/>
                <a:graphic xmlns:a="http://schemas.openxmlformats.org/drawingml/2006/main">
                  <a:graphicData uri="http://schemas.microsoft.com/office/word/2010/wordprocessingShape">
                    <wps:wsp>
                      <wps:cNvSpPr txBox="1"/>
                      <wps:spPr>
                        <a:xfrm rot="900000">
                          <a:off x="0" y="0"/>
                          <a:ext cx="154114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435C2">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3pt;margin-top:74.05pt;height:26.1pt;width:121.35pt;rotation:983040f;z-index:251674624;mso-width-relative:page;mso-height-relative:page;" filled="f" stroked="f" coordsize="21600,21600" o:gfxdata="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NkC/NsAAAALAQAADwAAAAAAAAABACAA&#10;AAAiAAAAZHJzL2Rvd25yZXYueG1sUEsBAhQAFAAAAAgAh07iQOxOIzxDAgAAdQQAAA4AAAAAAAAA&#10;AQAgAAAAKgEAAGRycy9lMm9Eb2MueG1sUEsFBgAAAAAGAAYAWQEAAN8FAAAAAA==&#10;">
                <v:fill on="f" focussize="0,0"/>
                <v:stroke on="f" weight="0.5pt"/>
                <v:imagedata o:title=""/>
                <o:lock v:ext="edit" aspectratio="f"/>
                <v:textbox>
                  <w:txbxContent>
                    <w:p w14:paraId="1A6435C2">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路</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3315335</wp:posOffset>
                </wp:positionH>
                <wp:positionV relativeFrom="paragraph">
                  <wp:posOffset>197485</wp:posOffset>
                </wp:positionV>
                <wp:extent cx="1541145" cy="33147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54114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28809">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05pt;margin-top:15.55pt;height:26.1pt;width:121.35pt;z-index:251675648;mso-width-relative:page;mso-height-relative:page;" filled="f" stroked="f" coordsize="21600,21600" o:gfxdata="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YRc32wAAAAkBAAAPAAAAAAAAAAEAIAAAACIAAABk&#10;cnMvZG93bnJldi54bWxQSwECFAAUAAAACACHTuJAvxmz8DwCAABoBAAADgAAAAAAAAABACAAAAAq&#10;AQAAZHJzL2Uyb0RvYy54bWxQSwUGAAAAAAYABgBZAQAA2AUAAAAA&#10;">
                <v:fill on="f" focussize="0,0"/>
                <v:stroke on="f" weight="0.5pt"/>
                <v:imagedata o:title=""/>
                <o:lock v:ext="edit" aspectratio="f"/>
                <v:textbox>
                  <w:txbxContent>
                    <w:p w14:paraId="6C228809">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九</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2487930</wp:posOffset>
                </wp:positionH>
                <wp:positionV relativeFrom="paragraph">
                  <wp:posOffset>740410</wp:posOffset>
                </wp:positionV>
                <wp:extent cx="75565" cy="75565"/>
                <wp:effectExtent l="6350" t="6350" r="13335" b="13335"/>
                <wp:wrapNone/>
                <wp:docPr id="54" name="椭圆 54"/>
                <wp:cNvGraphicFramePr/>
                <a:graphic xmlns:a="http://schemas.openxmlformats.org/drawingml/2006/main">
                  <a:graphicData uri="http://schemas.microsoft.com/office/word/2010/wordprocessingShape">
                    <wps:wsp>
                      <wps:cNvSpPr/>
                      <wps:spPr>
                        <a:xfrm>
                          <a:off x="3716020" y="1670050"/>
                          <a:ext cx="75565" cy="75565"/>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5.9pt;margin-top:58.3pt;height:5.95pt;width:5.95pt;z-index:251673600;v-text-anchor:middle;mso-width-relative:page;mso-height-relative:page;" fillcolor="#FFFF00" filled="t" stroked="t" coordsize="21600,21600" o:gfxdata="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1FnB9sAAAALAQAADwAAAAAAAAABACAAAAAiAAAA&#10;ZHJzL2Rvd25yZXYueG1sUEsBAhQAFAAAAAgAh07iQAkvByx2AgAAAgUAAA4AAAAAAAAAAQAgAAAA&#10;KgEAAGRycy9lMm9Eb2MueG1sUEsFBgAAAAAGAAYAWQEAABIGAAAAAA==&#10;">
                <v:fill on="t" focussize="0,0"/>
                <v:stroke weight="1pt" color="#FFFF00 [24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270500" cy="4822190"/>
            <wp:effectExtent l="19050" t="19050" r="25400" b="3556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16"/>
                    <a:stretch>
                      <a:fillRect/>
                    </a:stretch>
                  </pic:blipFill>
                  <pic:spPr>
                    <a:xfrm>
                      <a:off x="0" y="0"/>
                      <a:ext cx="5270500" cy="4822190"/>
                    </a:xfrm>
                    <a:prstGeom prst="rect">
                      <a:avLst/>
                    </a:prstGeom>
                    <a:noFill/>
                    <a:ln w="19050">
                      <a:solidFill>
                        <a:schemeClr val="tx1"/>
                      </a:solidFill>
                    </a:ln>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1156335</wp:posOffset>
                </wp:positionH>
                <wp:positionV relativeFrom="paragraph">
                  <wp:posOffset>2996565</wp:posOffset>
                </wp:positionV>
                <wp:extent cx="809625" cy="33147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80962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FB8CC">
                            <w:pPr>
                              <w:ind w:firstLine="0" w:firstLineChars="0"/>
                            </w:pPr>
                            <w:r>
                              <w:rPr>
                                <w:rFonts w:hint="eastAsia"/>
                                <w:sz w:val="15"/>
                                <w:szCs w:val="15"/>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05pt;margin-top:235.95pt;height:26.1pt;width:63.75pt;z-index:251671552;mso-width-relative:page;mso-height-relative:page;" filled="f" stroked="f" coordsize="21600,21600" o:gfxdata="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jBHY9wAAAALAQAADwAAAAAAAAABACAAAAAi&#10;AAAAZHJzL2Rvd25yZXYueG1sUEsBAhQAFAAAAAgAh07iQAmkEIk/AgAAZwQAAA4AAAAAAAAAAQAg&#10;AAAAKwEAAGRycy9lMm9Eb2MueG1sUEsFBgAAAAAGAAYAWQEAANwFAAAAAA==&#10;">
                <v:fill on="f" focussize="0,0"/>
                <v:stroke on="f" weight="0.5pt"/>
                <v:imagedata o:title=""/>
                <o:lock v:ext="edit" aspectratio="f"/>
                <v:textbox>
                  <w:txbxContent>
                    <w:p w14:paraId="3FEFB8CC">
                      <w:pPr>
                        <w:ind w:firstLine="0" w:firstLineChars="0"/>
                      </w:pPr>
                      <w:r>
                        <w:rPr>
                          <w:rFonts w:hint="eastAsia"/>
                          <w:sz w:val="15"/>
                          <w:szCs w:val="15"/>
                        </w:rPr>
                        <w:t>危废暂存间</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2322195</wp:posOffset>
                </wp:positionH>
                <wp:positionV relativeFrom="paragraph">
                  <wp:posOffset>919480</wp:posOffset>
                </wp:positionV>
                <wp:extent cx="809625" cy="331470"/>
                <wp:effectExtent l="0" t="0" r="0" b="0"/>
                <wp:wrapNone/>
                <wp:docPr id="51" name="文本框 51"/>
                <wp:cNvGraphicFramePr/>
                <a:graphic xmlns:a="http://schemas.openxmlformats.org/drawingml/2006/main">
                  <a:graphicData uri="http://schemas.microsoft.com/office/word/2010/wordprocessingShape">
                    <wps:wsp>
                      <wps:cNvSpPr txBox="1"/>
                      <wps:spPr>
                        <a:xfrm>
                          <a:off x="3681095" y="1885315"/>
                          <a:ext cx="80962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D1DDE">
                            <w:pPr>
                              <w:ind w:firstLine="0" w:firstLineChars="0"/>
                            </w:pPr>
                            <w:r>
                              <w:rPr>
                                <w:rFonts w:hint="eastAsia"/>
                                <w:sz w:val="15"/>
                                <w:szCs w:val="15"/>
                              </w:rPr>
                              <w:t>生产厂房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85pt;margin-top:72.4pt;height:26.1pt;width:63.75pt;z-index:251670528;mso-width-relative:page;mso-height-relative:page;" filled="f" stroked="f" coordsize="21600,21600" o:gfxdata="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AzwdwAAAALAQAADwAAAAAA&#10;AAABACAAAAAiAAAAZHJzL2Rvd25yZXYueG1sUEsBAhQAFAAAAAgAh07iQIYeZWtIAgAAcwQAAA4A&#10;AAAAAAAAAQAgAAAAKwEAAGRycy9lMm9Eb2MueG1sUEsFBgAAAAAGAAYAWQEAAOUFAAAAAA==&#10;">
                <v:fill on="f" focussize="0,0"/>
                <v:stroke on="f" weight="0.5pt"/>
                <v:imagedata o:title=""/>
                <o:lock v:ext="edit" aspectratio="f"/>
                <v:textbox>
                  <w:txbxContent>
                    <w:p w14:paraId="63BD1DDE">
                      <w:pPr>
                        <w:ind w:firstLine="0" w:firstLineChars="0"/>
                      </w:pPr>
                      <w:r>
                        <w:rPr>
                          <w:rFonts w:hint="eastAsia"/>
                          <w:sz w:val="15"/>
                          <w:szCs w:val="15"/>
                        </w:rPr>
                        <w:t>生产厂房</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103505</wp:posOffset>
                </wp:positionH>
                <wp:positionV relativeFrom="paragraph">
                  <wp:posOffset>881380</wp:posOffset>
                </wp:positionV>
                <wp:extent cx="190500" cy="92075"/>
                <wp:effectExtent l="6350" t="6350" r="12700" b="15875"/>
                <wp:wrapNone/>
                <wp:docPr id="50" name="矩形 50"/>
                <wp:cNvGraphicFramePr/>
                <a:graphic xmlns:a="http://schemas.openxmlformats.org/drawingml/2006/main">
                  <a:graphicData uri="http://schemas.microsoft.com/office/word/2010/wordprocessingShape">
                    <wps:wsp>
                      <wps:cNvSpPr/>
                      <wps:spPr>
                        <a:xfrm>
                          <a:off x="0" y="0"/>
                          <a:ext cx="190500" cy="92075"/>
                        </a:xfrm>
                        <a:prstGeom prst="rec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5pt;margin-top:69.4pt;height:7.25pt;width:15pt;z-index:251669504;v-text-anchor:middle;mso-width-relative:page;mso-height-relative:page;" fillcolor="#FF0000" filled="t" stroked="t" coordsize="21600,21600" o:gfxdata="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tzT7W1AAAAAkBAAAPAAAAAAAAAAEAIAAAACIAAABkcnMvZG93bnJldi54bWxQSwEC&#10;FAAUAAAACACHTuJADqPwNGoCAAD0BAAADgAAAAAAAAABACAAAAAjAQAAZHJzL2Uyb0RvYy54bWxQ&#10;SwUGAAAAAAYABgBZAQAA/wUAAAAA&#10;">
                <v:fill on="t" focussize="0,0"/>
                <v:stroke weight="1pt" color="#FF0000 [24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685165</wp:posOffset>
                </wp:positionV>
                <wp:extent cx="190500" cy="92075"/>
                <wp:effectExtent l="6350" t="6350" r="12700" b="15875"/>
                <wp:wrapNone/>
                <wp:docPr id="49" name="矩形 49"/>
                <wp:cNvGraphicFramePr/>
                <a:graphic xmlns:a="http://schemas.openxmlformats.org/drawingml/2006/main">
                  <a:graphicData uri="http://schemas.microsoft.com/office/word/2010/wordprocessingShape">
                    <wps:wsp>
                      <wps:cNvSpPr/>
                      <wps:spPr>
                        <a:xfrm>
                          <a:off x="0" y="0"/>
                          <a:ext cx="190500" cy="92075"/>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5pt;margin-top:53.95pt;height:7.25pt;width:15pt;z-index:251668480;v-text-anchor:middle;mso-width-relative:page;mso-height-relative:page;" fillcolor="#FFFFFF [3212]" filled="t" stroked="t" coordsize="21600,21600" o:gfxdata="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38F821gAAAAkBAAAPAAAAAAAAAAEAIAAAACIAAABkcnMvZG93bnJldi54&#10;bWxQSwECFAAUAAAACACHTuJA25jVLm4CAAD0BAAADgAAAAAAAAABACAAAAAlAQAAZHJzL2Uyb0Rv&#10;Yy54bWxQSwUGAAAAAAYABgBZAQAABQYAAAAA&#10;">
                <v:fill on="t" focussize="0,0"/>
                <v:stroke weight="1pt" color="#FF0000 [24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97155</wp:posOffset>
                </wp:positionH>
                <wp:positionV relativeFrom="paragraph">
                  <wp:posOffset>495935</wp:posOffset>
                </wp:positionV>
                <wp:extent cx="190500" cy="92075"/>
                <wp:effectExtent l="6350" t="6350" r="12700" b="15875"/>
                <wp:wrapNone/>
                <wp:docPr id="48" name="矩形 48"/>
                <wp:cNvGraphicFramePr/>
                <a:graphic xmlns:a="http://schemas.openxmlformats.org/drawingml/2006/main">
                  <a:graphicData uri="http://schemas.microsoft.com/office/word/2010/wordprocessingShape">
                    <wps:wsp>
                      <wps:cNvSpPr/>
                      <wps:spPr>
                        <a:xfrm>
                          <a:off x="1229995" y="1490345"/>
                          <a:ext cx="190500" cy="92075"/>
                        </a:xfrm>
                        <a:prstGeom prst="rect">
                          <a:avLst/>
                        </a:prstGeom>
                        <a:solidFill>
                          <a:schemeClr val="bg1"/>
                        </a:solidFill>
                        <a:ln>
                          <a:solidFill>
                            <a:srgbClr val="2328E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39.05pt;height:7.25pt;width:15pt;z-index:251667456;v-text-anchor:middle;mso-width-relative:page;mso-height-relative:page;" fillcolor="#FFFFFF [3212]" filled="t" stroked="t" coordsize="21600,21600" o:gfxdata="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es3u0gAAAAcBAAAPAAAAAAAAAAEAIAAAACIAAABk&#10;cnMvZG93bnJldi54bWxQSwECFAAUAAAACACHTuJAXlhBe34CAAAABQAADgAAAAAAAAABACAAAAAh&#10;AQAAZHJzL2Uyb0RvYy54bWxQSwUGAAAAAAYABgBZAQAAEQYAAAAA&#10;">
                <v:fill on="t" focussize="0,0"/>
                <v:stroke weight="1pt" color="#2328EF [24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4537075</wp:posOffset>
                </wp:positionH>
                <wp:positionV relativeFrom="paragraph">
                  <wp:posOffset>-10160</wp:posOffset>
                </wp:positionV>
                <wp:extent cx="878205" cy="846455"/>
                <wp:effectExtent l="0" t="0" r="0" b="0"/>
                <wp:wrapNone/>
                <wp:docPr id="42" name="文本框 42"/>
                <wp:cNvGraphicFramePr/>
                <a:graphic xmlns:a="http://schemas.openxmlformats.org/drawingml/2006/main">
                  <a:graphicData uri="http://schemas.microsoft.com/office/word/2010/wordprocessingShape">
                    <wps:wsp>
                      <wps:cNvSpPr txBox="1"/>
                      <wps:spPr>
                        <a:xfrm>
                          <a:off x="5420995" y="1323975"/>
                          <a:ext cx="878205" cy="846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97865">
                            <w:pPr>
                              <w:pStyle w:val="27"/>
                            </w:pPr>
                            <w:r>
                              <w:rPr>
                                <w:rFonts w:hint="eastAsia"/>
                              </w:rPr>
                              <w:drawing>
                                <wp:inline distT="0" distB="0" distL="114300" distR="114300">
                                  <wp:extent cx="494030" cy="485140"/>
                                  <wp:effectExtent l="0" t="0" r="1270" b="10160"/>
                                  <wp:docPr id="43" name="图片 43" descr="玉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玉溪风玫瑰图"/>
                                          <pic:cNvPicPr>
                                            <a:picLocks noChangeAspect="1"/>
                                          </pic:cNvPicPr>
                                        </pic:nvPicPr>
                                        <pic:blipFill>
                                          <a:blip r:embed="rId17"/>
                                          <a:stretch>
                                            <a:fillRect/>
                                          </a:stretch>
                                        </pic:blipFill>
                                        <pic:spPr>
                                          <a:xfrm>
                                            <a:off x="0" y="0"/>
                                            <a:ext cx="494030" cy="485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25pt;margin-top:-0.8pt;height:66.65pt;width:69.15pt;z-index:251665408;mso-width-relative:page;mso-height-relative:page;" filled="f" stroked="f" coordsize="21600,21600" o:gfxdata="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hOkvDbAAAACgEAAA8AAAAA&#10;AAAAAQAgAAAAIgAAAGRycy9kb3ducmV2LnhtbFBLAQIUABQAAAAIAIdO4kBPf0TzSgIAAHMEAAAO&#10;AAAAAAAAAAEAIAAAACoBAABkcnMvZTJvRG9jLnhtbFBLBQYAAAAABgAGAFkBAADmBQAAAAA=&#10;">
                <v:fill on="f" focussize="0,0"/>
                <v:stroke on="f" weight="0.5pt"/>
                <v:imagedata o:title=""/>
                <o:lock v:ext="edit" aspectratio="f"/>
                <v:textbox>
                  <w:txbxContent>
                    <w:p w14:paraId="66F97865">
                      <w:pPr>
                        <w:pStyle w:val="27"/>
                      </w:pPr>
                      <w:r>
                        <w:rPr>
                          <w:rFonts w:hint="eastAsia"/>
                        </w:rPr>
                        <w:drawing>
                          <wp:inline distT="0" distB="0" distL="114300" distR="114300">
                            <wp:extent cx="494030" cy="485140"/>
                            <wp:effectExtent l="0" t="0" r="1270" b="10160"/>
                            <wp:docPr id="43" name="图片 43" descr="玉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玉溪风玫瑰图"/>
                                    <pic:cNvPicPr>
                                      <a:picLocks noChangeAspect="1"/>
                                    </pic:cNvPicPr>
                                  </pic:nvPicPr>
                                  <pic:blipFill>
                                    <a:blip r:embed="rId17"/>
                                    <a:stretch>
                                      <a:fillRect/>
                                    </a:stretch>
                                  </pic:blipFill>
                                  <pic:spPr>
                                    <a:xfrm>
                                      <a:off x="0" y="0"/>
                                      <a:ext cx="494030" cy="485140"/>
                                    </a:xfrm>
                                    <a:prstGeom prst="rect">
                                      <a:avLst/>
                                    </a:prstGeom>
                                  </pic:spPr>
                                </pic:pic>
                              </a:graphicData>
                            </a:graphic>
                          </wp:inline>
                        </w:drawing>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24130</wp:posOffset>
                </wp:positionH>
                <wp:positionV relativeFrom="paragraph">
                  <wp:posOffset>88900</wp:posOffset>
                </wp:positionV>
                <wp:extent cx="1820545" cy="1017905"/>
                <wp:effectExtent l="6350" t="6350" r="20955" b="23495"/>
                <wp:wrapNone/>
                <wp:docPr id="46" name="矩形 46"/>
                <wp:cNvGraphicFramePr/>
                <a:graphic xmlns:a="http://schemas.openxmlformats.org/drawingml/2006/main">
                  <a:graphicData uri="http://schemas.microsoft.com/office/word/2010/wordprocessingShape">
                    <wps:wsp>
                      <wps:cNvSpPr/>
                      <wps:spPr>
                        <a:xfrm>
                          <a:off x="5400040" y="5088890"/>
                          <a:ext cx="1820545" cy="1017905"/>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2F04EAB8">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图例</w:t>
                            </w:r>
                          </w:p>
                          <w:p w14:paraId="6AAD7426">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云南捷辰包装材料有限公司</w:t>
                            </w:r>
                          </w:p>
                          <w:p w14:paraId="1B4DD7CF">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本项目厂界</w:t>
                            </w:r>
                          </w:p>
                          <w:p w14:paraId="145CD94C">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本项目租用构筑物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7pt;height:80.15pt;width:143.35pt;z-index:251666432;v-text-anchor:middle;mso-width-relative:page;mso-height-relative:page;" fillcolor="#FFFFFF [3212]" filled="t" stroked="t" coordsize="21600,21600" o:gfxdata="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r&#10;Y2V61gAAAAgBAAAPAAAAAAAAAAEAIAAAACIAAABkcnMvZG93bnJldi54bWxQSwECFAAUAAAACACH&#10;TuJAcxLPrZgCAAAwBQAADgAAAAAAAAABACAAAAAlAQAAZHJzL2Uyb0RvYy54bWxQSwUGAAAAAAYA&#10;BgBZAQAALwYAAAAA&#10;">
                <v:fill on="t" focussize="0,0"/>
                <v:stroke weight="1pt" color="#2E54A1 [2404]" miterlimit="8" joinstyle="miter"/>
                <v:imagedata o:title=""/>
                <o:lock v:ext="edit" aspectratio="f"/>
                <v:textbox>
                  <w:txbxContent>
                    <w:p w14:paraId="2F04EAB8">
                      <w:pPr>
                        <w:ind w:firstLine="0" w:firstLineChars="0"/>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图例</w:t>
                      </w:r>
                    </w:p>
                    <w:p w14:paraId="6AAD7426">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云南捷辰包装材料有限公司</w:t>
                      </w:r>
                    </w:p>
                    <w:p w14:paraId="1B4DD7CF">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本项目厂界</w:t>
                      </w:r>
                    </w:p>
                    <w:p w14:paraId="145CD94C">
                      <w:pPr>
                        <w:spacing w:line="240" w:lineRule="auto"/>
                        <w:ind w:firstLine="36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本项目租用构筑物</w:t>
                      </w:r>
                    </w:p>
                  </w:txbxContent>
                </v:textbox>
              </v:rect>
            </w:pict>
          </mc:Fallback>
        </mc:AlternateContent>
      </w:r>
    </w:p>
    <w:p w14:paraId="4B3E22BE">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图1 本项目厂界范围示意图</w:t>
      </w:r>
    </w:p>
    <w:p w14:paraId="29C7B1C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3、评价工作过程</w:t>
      </w:r>
    </w:p>
    <w:p w14:paraId="6CFD236B">
      <w:pPr>
        <w:ind w:firstLine="480"/>
        <w:rPr>
          <w:color w:val="000000" w:themeColor="text1"/>
          <w14:textFill>
            <w14:solidFill>
              <w14:schemeClr w14:val="tx1"/>
            </w14:solidFill>
          </w14:textFill>
        </w:rPr>
      </w:pPr>
      <w:r>
        <w:rPr>
          <w:color w:val="000000" w:themeColor="text1"/>
          <w14:textFill>
            <w14:solidFill>
              <w14:schemeClr w14:val="tx1"/>
            </w14:solidFill>
          </w14:textFill>
        </w:rPr>
        <w:t>我公司环评技术人员在研读完相关资料和文件后，了解清楚项目的基本建设情况后，于2</w:t>
      </w:r>
      <w:r>
        <w:rPr>
          <w:rFonts w:hint="eastAsia"/>
          <w:color w:val="000000" w:themeColor="text1"/>
          <w14:textFill>
            <w14:solidFill>
              <w14:schemeClr w14:val="tx1"/>
            </w14:solidFill>
          </w14:textFill>
        </w:rPr>
        <w:t>025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日到场地进行现状调查、实地踏勘和调研工作。按《环境影响评价公众参与办法》，在接受环评委托后，建设单位于2</w:t>
      </w:r>
      <w:r>
        <w:rPr>
          <w:rFonts w:hint="eastAsia"/>
          <w:color w:val="000000" w:themeColor="text1"/>
          <w14:textFill>
            <w14:solidFill>
              <w14:schemeClr w14:val="tx1"/>
            </w14:solidFill>
          </w14:textFill>
        </w:rPr>
        <w:t>025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日在玉溪“高古楼”网站上进行了第一次网络公示。</w:t>
      </w:r>
    </w:p>
    <w:p w14:paraId="4644BC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月建设单位委托云南亚明环境监测科技有限公司于20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日~1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日对项目区环境空气、噪声进行了环境质量现状监测，并于10月</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日出具了《硫化物固态电解质材料生产项目（一期）现状监测报告》。</w:t>
      </w:r>
      <w:r>
        <w:rPr>
          <w:rFonts w:hint="eastAsia"/>
          <w:color w:val="000000" w:themeColor="text1"/>
          <w14:textFill>
            <w14:solidFill>
              <w14:schemeClr w14:val="tx1"/>
            </w14:solidFill>
          </w14:textFill>
        </w:rPr>
        <w:t>2026年1月</w:t>
      </w:r>
      <w:r>
        <w:rPr>
          <w:color w:val="000000" w:themeColor="text1"/>
          <w14:textFill>
            <w14:solidFill>
              <w14:schemeClr w14:val="tx1"/>
            </w14:solidFill>
          </w14:textFill>
        </w:rPr>
        <w:t>建设单位委托云南亚明环境监测科技有限公司于20</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日对项目区环境</w:t>
      </w: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进行现状</w:t>
      </w:r>
      <w:r>
        <w:rPr>
          <w:rFonts w:hint="eastAsia"/>
          <w:color w:val="000000" w:themeColor="text1"/>
          <w14:textFill>
            <w14:solidFill>
              <w14:schemeClr w14:val="tx1"/>
            </w14:solidFill>
          </w14:textFill>
        </w:rPr>
        <w:t>补充</w:t>
      </w:r>
      <w:r>
        <w:rPr>
          <w:color w:val="000000" w:themeColor="text1"/>
          <w14:textFill>
            <w14:solidFill>
              <w14:schemeClr w14:val="tx1"/>
            </w14:solidFill>
          </w14:textFill>
        </w:rPr>
        <w:t>监测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并于</w:t>
      </w:r>
      <w:r>
        <w:rPr>
          <w:rFonts w:hint="eastAsia"/>
          <w:color w:val="000000" w:themeColor="text1"/>
          <w:lang w:val="en-US" w:eastAsia="zh-CN"/>
          <w14:textFill>
            <w14:solidFill>
              <w14:schemeClr w14:val="tx1"/>
            </w14:solidFill>
          </w14:textFill>
        </w:rPr>
        <w:t>2026年1</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color w:val="000000" w:themeColor="text1"/>
          <w14:textFill>
            <w14:solidFill>
              <w14:schemeClr w14:val="tx1"/>
            </w14:solidFill>
          </w14:textFill>
        </w:rPr>
        <w:t>日出具了《硫化物固态电解质材料生产项目（一期）现状</w:t>
      </w:r>
      <w:r>
        <w:rPr>
          <w:rFonts w:hint="eastAsia"/>
          <w:color w:val="000000" w:themeColor="text1"/>
          <w:lang w:val="en-US" w:eastAsia="zh-CN"/>
          <w14:textFill>
            <w14:solidFill>
              <w14:schemeClr w14:val="tx1"/>
            </w14:solidFill>
          </w14:textFill>
        </w:rPr>
        <w:t>补充</w:t>
      </w:r>
      <w:r>
        <w:rPr>
          <w:color w:val="000000" w:themeColor="text1"/>
          <w14:textFill>
            <w14:solidFill>
              <w14:schemeClr w14:val="tx1"/>
            </w14:solidFill>
          </w14:textFill>
        </w:rPr>
        <w:t>监测报告》</w:t>
      </w:r>
      <w:r>
        <w:rPr>
          <w:rFonts w:hint="eastAsia"/>
          <w:color w:val="000000" w:themeColor="text1"/>
          <w14:textFill>
            <w14:solidFill>
              <w14:schemeClr w14:val="tx1"/>
            </w14:solidFill>
          </w14:textFill>
        </w:rPr>
        <w:t>。</w:t>
      </w:r>
    </w:p>
    <w:p w14:paraId="55F3F15F">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根据建设单位提供的资料，结合项目工程特点和项目周边的环境现状，我公司依据环评相关的法律、法规、部门规章、技术导则等，在现场调查、收集和分析有关资料的基础上，于202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日编制完成《硫化物固态电解质材料生产项目（一期）环境影响报告书（征求意见稿）》提交给建设单位。</w:t>
      </w:r>
    </w:p>
    <w:p w14:paraId="0A7FC05A">
      <w:pPr>
        <w:ind w:firstLine="48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建设单位于20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日在“高古楼”网站上对《硫化物固态电解质材料生产项目（一期）环境影响报告书（征求意见稿）》进行了全文公示。202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27</w:t>
      </w:r>
      <w:r>
        <w:rPr>
          <w:color w:val="000000" w:themeColor="text1"/>
          <w14:textFill>
            <w14:solidFill>
              <w14:schemeClr w14:val="tx1"/>
            </w14:solidFill>
          </w14:textFill>
        </w:rPr>
        <w:t>日、20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日在“玉溪日报”上进行了两次报纸公示。20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日在项目区附近</w:t>
      </w:r>
      <w:r>
        <w:rPr>
          <w:rFonts w:hint="eastAsia"/>
          <w:color w:val="000000" w:themeColor="text1"/>
          <w14:textFill>
            <w14:solidFill>
              <w14:schemeClr w14:val="tx1"/>
            </w14:solidFill>
          </w14:textFill>
        </w:rPr>
        <w:t>莲池村、莲池小学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高家屯</w:t>
      </w:r>
      <w:r>
        <w:rPr>
          <w:color w:val="000000" w:themeColor="text1"/>
          <w14:textFill>
            <w14:solidFill>
              <w14:schemeClr w14:val="tx1"/>
            </w14:solidFill>
          </w14:textFill>
        </w:rPr>
        <w:t>进行了现场公示</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2026年4月14日</w:t>
      </w:r>
      <w:r>
        <w:rPr>
          <w:color w:val="000000" w:themeColor="text1"/>
          <w14:textFill>
            <w14:solidFill>
              <w14:schemeClr w14:val="tx1"/>
            </w14:solidFill>
          </w14:textFill>
        </w:rPr>
        <w:t>在“高古楼”网站上对《硫化物固态电解质材料生产项目（一期）环境影响报告书（</w:t>
      </w:r>
      <w:r>
        <w:rPr>
          <w:rFonts w:hint="eastAsia"/>
          <w:color w:val="000000" w:themeColor="text1"/>
          <w:lang w:val="en-US" w:eastAsia="zh-CN"/>
          <w14:textFill>
            <w14:solidFill>
              <w14:schemeClr w14:val="tx1"/>
            </w14:solidFill>
          </w14:textFill>
        </w:rPr>
        <w:t>报批</w:t>
      </w:r>
      <w:r>
        <w:rPr>
          <w:color w:val="000000" w:themeColor="text1"/>
          <w14:textFill>
            <w14:solidFill>
              <w14:schemeClr w14:val="tx1"/>
            </w14:solidFill>
          </w14:textFill>
        </w:rPr>
        <w:t>稿）》进行了全文公示。</w:t>
      </w:r>
    </w:p>
    <w:p w14:paraId="6202F351">
      <w:pPr>
        <w:ind w:firstLine="480"/>
        <w:rPr>
          <w:color w:val="000000" w:themeColor="text1"/>
          <w14:textFill>
            <w14:solidFill>
              <w14:schemeClr w14:val="tx1"/>
            </w14:solidFill>
          </w14:textFill>
        </w:rPr>
      </w:pPr>
      <w:r>
        <w:rPr>
          <w:color w:val="000000" w:themeColor="text1"/>
          <w14:textFill>
            <w14:solidFill>
              <w14:schemeClr w14:val="tx1"/>
            </w14:solidFill>
          </w14:textFill>
        </w:rPr>
        <w:t>公示期间，建设单位及我公司均未收集到任何形式的反馈意见。</w:t>
      </w:r>
    </w:p>
    <w:p w14:paraId="263D543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4、分析判定情况</w:t>
      </w:r>
    </w:p>
    <w:p w14:paraId="19D4FAD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产业政策符合性</w:t>
      </w:r>
      <w:r>
        <w:rPr>
          <w:rFonts w:hint="eastAsia"/>
          <w:b/>
          <w:bCs/>
          <w:color w:val="000000" w:themeColor="text1"/>
          <w14:textFill>
            <w14:solidFill>
              <w14:schemeClr w14:val="tx1"/>
            </w14:solidFill>
          </w14:textFill>
        </w:rPr>
        <w:t>判定</w:t>
      </w:r>
    </w:p>
    <w:p w14:paraId="1AA774FA">
      <w:pPr>
        <w:ind w:firstLine="480"/>
        <w:rPr>
          <w:b/>
          <w:bCs/>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根据《产业结构调整指导目录（2024年本）》中鼓励类第十九项轻工第11款“新型锂原电池（锂二硫化铁、锂亚硫酰氯等），锂离子电池、半固态和全固态锂电池、燃料电池、钠离子电池、液流电池、新型结构（双极性、铅布水平、卷绕式、管式等）密封铅蓄电池、铅碳电池等新型电池和超级电容器，锂离子电池用三元和多元、磷酸铁锂等正极材料、中间相炭微球和硅碳等负极材料、单层与三层复合锂离子电池隔膜、氟代碳酸乙烯酯（FEC）等电解质与添加剂，碳纳米管、碳纳米管导电液等关键材料，废旧电池资源化和绿色循环生产工艺及其装备制造，锂离子电池、铅蓄电池、碱性锌锰电池（600只/分钟以上）等电池产品自动化、智能化生产成套制造装备”，本项目产品为硫化物固态电解质，硫化物固态电解质作为全固态锂电池的核心关键材料，为全固态锂电池产业提供基础支撑，与条目鼓励新型电池及配套关键材料发展的初衷高度一致，是全固态锂电池实现性能突破的核心环节，完全契合指导目录中对全固态锂电池相关关键材料的鼓励导向，因此本项目属于鼓励类</w:t>
      </w:r>
      <w:r>
        <w:rPr>
          <w:rFonts w:hint="eastAsia" w:cs="Times New Roman"/>
          <w:color w:val="000000" w:themeColor="text1"/>
          <w14:textFill>
            <w14:solidFill>
              <w14:schemeClr w14:val="tx1"/>
            </w14:solidFill>
          </w14:textFill>
        </w:rPr>
        <w:t>。项目已于2025年7月11日经玉溪市高新技术产业开发区管理委员会备案，</w:t>
      </w:r>
      <w:r>
        <w:rPr>
          <w:rFonts w:cs="Times New Roman"/>
          <w:color w:val="000000" w:themeColor="text1"/>
          <w14:textFill>
            <w14:solidFill>
              <w14:schemeClr w14:val="tx1"/>
            </w14:solidFill>
          </w14:textFill>
        </w:rPr>
        <w:t>符合国家相关产业政策。</w:t>
      </w:r>
    </w:p>
    <w:p w14:paraId="253F6C1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（2）与玉溪市生态环境分区管控动态更新调整方案符合性分析判定</w:t>
      </w:r>
    </w:p>
    <w:p w14:paraId="2983C3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玉溪市生态环境局关于印发玉溪市生态环境分区管控动态更新调整方案（2023年）》，本项目选址属于红塔区产业园区重点管控单元，本项目位于九龙片区，该片区主导产业是数字经济和绿色食品，承载技术研发、创业孵化、技术转移转化等功能。本项目主要进行固态电解质生产，项目已于2025年7月11日经玉溪市高新技术产业开发区管理委员会备案，同意项目建设，项目与园区产业发展规划及定位不冲突。本项目原辅材料不涉及芳香烃、含卤素有机化合物。本项目采用密闭式生产装置，废气经收集处理后呈有组织排放，本项目废气采用碱喷淋+除雾+活性炭吸附处理，处理措施可行，治理效果显著。本项目纯水制备废水通过市政污水管网排入玉溪市污水处理厂。测试器具清洗废水经收集经自建一体化污水处理站采用“PH调节+混凝沉淀”工艺处理后通过市政污水管网排入玉溪市污水处理厂。生活污水经化粪池处理后排入玉溪市污水处理厂。本项目不位于居民分布密集区，周边500m范围内有大气环境保护目标，距离项目最近的村庄为东北面约180m处的大莲池村，南莲幼儿园位于本项目东南面约440m。本项目原辅材料贮存量较少，危险化学品贮存小于临界量，不构成重大危险源，本项目废水达标排放，固废合理处置，环境风险可控，项目运营对区域地下及土壤影响较小。本项目满足该单元空间布局约束要求。综上分析，本项目符合《玉溪市生态环境分区管控动态更新调整方案（2023年）》的要求。</w:t>
      </w:r>
    </w:p>
    <w:p w14:paraId="3EDDD3C9">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（3）挥发性有机物治理方案符合性分析判定</w:t>
      </w:r>
    </w:p>
    <w:p w14:paraId="5F12A39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本项目使用的有机溶剂主要为环戊基甲醚、碳酸二甲酯、正庚烷、三乙胺、环己烷、碳酸甲乙酯、异丁酸异丁酯、无水乙醇，有机溶剂采用桶储存，置于原料暂存间内，非取用状态时加盖、封口，保持密闭。</w:t>
      </w:r>
      <w:r>
        <w:rPr>
          <w:rFonts w:hint="eastAsia"/>
          <w:color w:val="000000" w:themeColor="text1"/>
          <w14:textFill>
            <w14:solidFill>
              <w14:schemeClr w14:val="tx1"/>
            </w14:solidFill>
          </w14:textFill>
        </w:rPr>
        <w:t>本项目采用密闭式生产装置，生产过程中挥发出的有机废气通过管道收集进入废气处理系统处理后通过15m高的排气筒排放。生产前启动有机废气处理系统，生产结束后延后关闭。项目无</w:t>
      </w:r>
      <w:r>
        <w:rPr>
          <w:color w:val="000000" w:themeColor="text1"/>
          <w14:textFill>
            <w14:solidFill>
              <w14:schemeClr w14:val="tx1"/>
            </w14:solidFill>
          </w14:textFill>
        </w:rPr>
        <w:t>废气排放系统旁路</w:t>
      </w:r>
      <w:r>
        <w:rPr>
          <w:rFonts w:hint="eastAsia"/>
          <w:color w:val="000000" w:themeColor="text1"/>
          <w14:textFill>
            <w14:solidFill>
              <w14:schemeClr w14:val="tx1"/>
            </w14:solidFill>
          </w14:textFill>
        </w:rPr>
        <w:t>。项目废气处理系统发生故障或检修时，生产工艺设备停止运行，待检修完毕后投入使用。本项目采用活性炭吸附工艺治理废气，本环评要求活性炭吸附系统设计应满足《吸附法工业有机废气治理工程技术规范》等相关技术规范要求。有机废气处理过程中产生的废活性炭用带盖收集桶收集暂存于危废暂存间，废有机溶剂采用桶加盖收集后暂存于危废暂存间置于托盘内，委托有资质的单位进行清运处置。项目将严格制定具体操作规程，落实到具体责任人，健全内部考核制度，加强人员能力培训和技术交流。</w:t>
      </w:r>
      <w:r>
        <w:rPr>
          <w:color w:val="000000" w:themeColor="text1"/>
          <w14:textFill>
            <w14:solidFill>
              <w14:schemeClr w14:val="tx1"/>
            </w14:solidFill>
          </w14:textFill>
        </w:rPr>
        <w:t>企业投产后将建立原辅材料台账，如实记录VOCs原辅材料名称、成分、VOCs含量、采购量、使用量、库存量、回收方式、回收量等信息。</w:t>
      </w:r>
    </w:p>
    <w:p w14:paraId="691B46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《云南省重点行业挥发性有机物综合治理实施方案》、</w:t>
      </w:r>
      <w:r>
        <w:rPr>
          <w:color w:val="000000" w:themeColor="text1"/>
          <w14:textFill>
            <w14:solidFill>
              <w14:schemeClr w14:val="tx1"/>
            </w14:solidFill>
          </w14:textFill>
        </w:rPr>
        <w:t>《云南省生态环境厅关于加快解决当前挥发性有机物治理突出问题的通知》中的相关要求。</w:t>
      </w:r>
    </w:p>
    <w:p w14:paraId="565E2B24">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（4）园区规划及规划环评符合性分析判定</w:t>
      </w:r>
    </w:p>
    <w:p w14:paraId="75A9E50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玉溪高新区核心区九龙地块，该片区以高质量产城融合为发展导向，以大健康为特色，重点发展生物医药大健康和数字服务，坚持创新要素集聚，打造产城融合示范区。九龙片区承载技术研发、创业孵化、技术转移转化等功能。本项目主要进行固态电解质的</w:t>
      </w: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，项目已取得玉溪市高新技术产业开发区管理委员会签发的备案证，同意项目建设，本项目符合玉溪高新技术产业开发区总体规划。</w:t>
      </w:r>
    </w:p>
    <w:p w14:paraId="11C465C3">
      <w:pPr>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属于固态电解质生产项目</w:t>
      </w:r>
      <w:r>
        <w:rPr>
          <w:color w:val="000000" w:themeColor="text1"/>
          <w14:textFill>
            <w14:solidFill>
              <w14:schemeClr w14:val="tx1"/>
            </w14:solidFill>
          </w14:textFill>
        </w:rPr>
        <w:t>，不属于《环境保护综合名录（2021 年版）》中高风险、高污染行业以及《云南省城镇人口密集区危险化学品生产企业搬迁改造实施方案》中相关的企业。本项目</w:t>
      </w:r>
      <w:r>
        <w:rPr>
          <w:rFonts w:hint="eastAsia"/>
          <w:color w:val="000000" w:themeColor="text1"/>
          <w14:textFill>
            <w14:solidFill>
              <w14:schemeClr w14:val="tx1"/>
            </w14:solidFill>
          </w14:textFill>
        </w:rPr>
        <w:t>占地范围及评价范围</w:t>
      </w:r>
      <w:r>
        <w:rPr>
          <w:color w:val="000000" w:themeColor="text1"/>
          <w14:textFill>
            <w14:solidFill>
              <w14:schemeClr w14:val="tx1"/>
            </w14:solidFill>
          </w14:textFill>
        </w:rPr>
        <w:t>不涉及红塔</w:t>
      </w:r>
      <w:r>
        <w:rPr>
          <w:rFonts w:hint="eastAsia"/>
          <w:color w:val="000000" w:themeColor="text1"/>
          <w14:textFill>
            <w14:solidFill>
              <w14:schemeClr w14:val="tx1"/>
            </w14:solidFill>
          </w14:textFill>
        </w:rPr>
        <w:t>山</w:t>
      </w:r>
      <w:r>
        <w:rPr>
          <w:color w:val="000000" w:themeColor="text1"/>
          <w14:textFill>
            <w14:solidFill>
              <w14:schemeClr w14:val="tx1"/>
            </w14:solidFill>
          </w14:textFill>
        </w:rPr>
        <w:t>自然保护区</w:t>
      </w:r>
      <w:r>
        <w:rPr>
          <w:rFonts w:hint="eastAsia"/>
          <w:color w:val="000000" w:themeColor="text1"/>
          <w14:textFill>
            <w14:solidFill>
              <w14:schemeClr w14:val="tx1"/>
            </w14:solidFill>
          </w14:textFill>
        </w:rPr>
        <w:t>，不涉及公益林、天然林</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属于《产业结构调整指导目录（2024年本）》中的鼓励类项目</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涉及</w:t>
      </w:r>
      <w:r>
        <w:rPr>
          <w:color w:val="000000" w:themeColor="text1"/>
          <w14:textFill>
            <w14:solidFill>
              <w14:schemeClr w14:val="tx1"/>
            </w14:solidFill>
          </w14:textFill>
        </w:rPr>
        <w:t>《淘汰落后生产能力、工艺和产品的名录（第一、二、三批）》中的淘汰类。</w:t>
      </w:r>
    </w:p>
    <w:p w14:paraId="368095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工程分析可知，本项目用水环节较少，用水量小，废水排放量较小，废水主要污染物是 SS、COD、TP、硫化物，不含难降解的有机污染物、“三致”污染物。本项目废水经处理后排入玉溪市污水处理厂进行处理，不涉及废水直排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距离本项目最近的村庄为项目区下风向东北面约180m处的大莲池村，但本项目排放的废气污染物为颗粒物、硫化氢、挥发性有机物（以非甲烷总烃计），不涉及《有毒有害大气污染物名录》中的污染物，</w:t>
      </w:r>
      <w:r>
        <w:rPr>
          <w:rFonts w:hint="eastAsia"/>
          <w:color w:val="000000" w:themeColor="text1"/>
          <w14:textFill>
            <w14:solidFill>
              <w14:schemeClr w14:val="tx1"/>
            </w14:solidFill>
          </w14:textFill>
        </w:rPr>
        <w:t>大气污染物的排放</w:t>
      </w:r>
      <w:r>
        <w:rPr>
          <w:color w:val="000000" w:themeColor="text1"/>
          <w14:textFill>
            <w14:solidFill>
              <w14:schemeClr w14:val="tx1"/>
            </w14:solidFill>
          </w14:textFill>
        </w:rPr>
        <w:t>可控制在国家标准允许的范围内</w:t>
      </w:r>
      <w:r>
        <w:rPr>
          <w:rFonts w:hint="eastAsia"/>
          <w:color w:val="000000" w:themeColor="text1"/>
          <w14:textFill>
            <w14:solidFill>
              <w14:schemeClr w14:val="tx1"/>
            </w14:solidFill>
          </w14:textFill>
        </w:rPr>
        <w:t>，对周围大气关心点影响较小</w:t>
      </w:r>
      <w:r>
        <w:rPr>
          <w:color w:val="000000" w:themeColor="text1"/>
          <w14:textFill>
            <w14:solidFill>
              <w14:schemeClr w14:val="tx1"/>
            </w14:solidFill>
          </w14:textFill>
        </w:rPr>
        <w:t>。本项目不属于“两高”行业，所用生产工艺、设备均不落后，本项目租用云南捷辰包装材料有限公司已建厂房进行</w:t>
      </w: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，租用厂区已设置雨污分流系统，厂房四周均布置有雨水收集沟，雨水经现有雨水收集沟收集后排至园区雨水管网。经工程分析，废气、废水、噪声均能达标排放，固废</w:t>
      </w:r>
      <w:r>
        <w:rPr>
          <w:rFonts w:hint="eastAsia"/>
          <w:color w:val="000000" w:themeColor="text1"/>
          <w14:textFill>
            <w14:solidFill>
              <w14:schemeClr w14:val="tx1"/>
            </w14:solidFill>
          </w14:textFill>
        </w:rPr>
        <w:t>全部</w:t>
      </w:r>
      <w:r>
        <w:rPr>
          <w:color w:val="000000" w:themeColor="text1"/>
          <w14:textFill>
            <w14:solidFill>
              <w14:schemeClr w14:val="tx1"/>
            </w14:solidFill>
          </w14:textFill>
        </w:rPr>
        <w:t>合理处置。企业环境风险小，项目环境风险是可控的。</w:t>
      </w:r>
    </w:p>
    <w:p w14:paraId="7DE3CC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综上分析，本项目建设符合《玉溪高新技术产业开发区总体规划修编（2021-2035年）环境影响报告书》及审查意见对入驻企业的环保要求。</w:t>
      </w:r>
    </w:p>
    <w:p w14:paraId="27225E8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（5）选址合理性分析判定</w:t>
      </w:r>
    </w:p>
    <w:p w14:paraId="6C901FF3">
      <w:pPr>
        <w:ind w:firstLine="480"/>
        <w:rPr>
          <w:color w:val="000000" w:themeColor="text1"/>
          <w14:textFill>
            <w14:solidFill>
              <w14:schemeClr w14:val="tx1"/>
            </w14:solidFill>
          </w14:textFill>
        </w:rPr>
      </w:pPr>
      <w:r>
        <w:rPr>
          <w:color w:val="000000" w:themeColor="text1"/>
          <w14:textFill>
            <w14:solidFill>
              <w14:schemeClr w14:val="tx1"/>
            </w14:solidFill>
          </w14:textFill>
        </w:rPr>
        <w:t>项目位于玉溪高新区九龙片区，用地属于工业用地，不涉及生态红线范围和一般生态空间。本项目租用现有厂房进行生产，不涉及新增用地，对照</w:t>
      </w:r>
      <w:r>
        <w:rPr>
          <w:rFonts w:hint="eastAsia"/>
          <w:color w:val="000000" w:themeColor="text1"/>
          <w14:textFill>
            <w14:solidFill>
              <w14:schemeClr w14:val="tx1"/>
            </w14:solidFill>
          </w14:textFill>
        </w:rPr>
        <w:t>《玉溪市生态环境局关于印发玉溪市生态环境分区管控动态更新调整方案（2023年）》，</w:t>
      </w:r>
      <w:r>
        <w:rPr>
          <w:color w:val="000000" w:themeColor="text1"/>
          <w14:textFill>
            <w14:solidFill>
              <w14:schemeClr w14:val="tx1"/>
            </w14:solidFill>
          </w14:textFill>
        </w:rPr>
        <w:t>本项目位于红塔区工业集中区重点管控单元，满足该单元空间布局约束要求。项目用地合理。</w:t>
      </w:r>
    </w:p>
    <w:p w14:paraId="7026AA1B">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项目所在区域不涉及自然保护区、森林公园，饮用水水源保护区等环境敏感区。根据现场踏勘，项目厂界500m范围内存在居民区、</w:t>
      </w:r>
      <w:r>
        <w:rPr>
          <w:rFonts w:hint="eastAsia"/>
          <w:color w:val="000000" w:themeColor="text1"/>
          <w14:textFill>
            <w14:solidFill>
              <w14:schemeClr w14:val="tx1"/>
            </w14:solidFill>
          </w14:textFill>
        </w:rPr>
        <w:t>学校</w:t>
      </w:r>
      <w:r>
        <w:rPr>
          <w:color w:val="000000" w:themeColor="text1"/>
          <w14:textFill>
            <w14:solidFill>
              <w14:schemeClr w14:val="tx1"/>
            </w14:solidFill>
          </w14:textFill>
        </w:rPr>
        <w:t>，距离本项目最近的村庄为东北面约180m处的大莲池村，项目最近的学校为项目东南面440m处的南莲幼儿园，项目区域环境敏感。</w:t>
      </w:r>
    </w:p>
    <w:p w14:paraId="1658BF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根据现场勘查，距离项目最近的村庄为项目东北面180m的大莲池村，项目区常年主导风向为西南风，该村庄位于项目下风向，村庄与项目区有道路、绿化相隔，项目运营期废气对其影响较小。</w:t>
      </w:r>
      <w:r>
        <w:rPr>
          <w:color w:val="000000" w:themeColor="text1"/>
          <w14:textFill>
            <w14:solidFill>
              <w14:schemeClr w14:val="tx1"/>
            </w14:solidFill>
          </w14:textFill>
        </w:rPr>
        <w:t>本项目废水经预处理后通过市政污水管网排入玉溪市污水处理厂，对区域水环境影响不大。本项目最近的企业主要是云南捷辰包装材料有限公司、恒达空间钢结构有限公司和云南红塔塑胶有限公司，均为工业企业，互相之间在落实各自污染防治措施处理，</w:t>
      </w:r>
      <w:r>
        <w:rPr>
          <w:rFonts w:hint="eastAsia"/>
          <w:color w:val="000000" w:themeColor="text1"/>
          <w14:textFill>
            <w14:solidFill>
              <w14:schemeClr w14:val="tx1"/>
            </w14:solidFill>
          </w14:textFill>
        </w:rPr>
        <w:t>相互</w:t>
      </w:r>
      <w:r>
        <w:rPr>
          <w:color w:val="000000" w:themeColor="text1"/>
          <w14:textFill>
            <w14:solidFill>
              <w14:schemeClr w14:val="tx1"/>
            </w14:solidFill>
          </w14:textFill>
        </w:rPr>
        <w:t>影响较小，</w:t>
      </w:r>
      <w:r>
        <w:rPr>
          <w:rFonts w:hint="eastAsia"/>
          <w:color w:val="000000" w:themeColor="text1"/>
          <w14:textFill>
            <w14:solidFill>
              <w14:schemeClr w14:val="tx1"/>
            </w14:solidFill>
          </w14:textFill>
        </w:rPr>
        <w:t>环境相容，</w:t>
      </w:r>
      <w:r>
        <w:rPr>
          <w:color w:val="000000" w:themeColor="text1"/>
          <w14:textFill>
            <w14:solidFill>
              <w14:schemeClr w14:val="tx1"/>
            </w14:solidFill>
          </w14:textFill>
        </w:rPr>
        <w:t>从环境影响角度分析本项目选址合理。</w:t>
      </w:r>
    </w:p>
    <w:p w14:paraId="65B0B42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5、评价关注的主要环境问题</w:t>
      </w:r>
    </w:p>
    <w:p w14:paraId="46FD5188">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根据项目的性质、区域内环境特征及项目建设内容，确定本环评关注的主要环境问题如下：</w:t>
      </w:r>
    </w:p>
    <w:p w14:paraId="7F2D9B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（1）本项目使用有机溶剂优化研磨效果，砂磨、干燥过程中产生挥发性有机物，测试残渣、废水处理过程中会产生的硫化氢。本项目重点关注废气收集治理措施的可行性及废气排放对区域环境造成的影响。</w:t>
      </w:r>
    </w:p>
    <w:p w14:paraId="13BF20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（2）项目生产废水的处理方式、排放去向及废水进入市政污水处理厂的可行性及可靠性。</w:t>
      </w:r>
    </w:p>
    <w:p w14:paraId="263C7F7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（3）本项目固废种类多，重点关注各固废属性，收集、暂存及处置方式的合理性。</w:t>
      </w:r>
    </w:p>
    <w:p w14:paraId="689F87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（4）本项目属于厂中厂，公辅工程及部分环保工程依托已建工程，重点关注依托工程的合规性，依托设施的匹配性及相关环保责任的划分情况。</w:t>
      </w:r>
    </w:p>
    <w:p w14:paraId="79F3BB2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6、报告书的主要结论</w:t>
      </w:r>
    </w:p>
    <w:p w14:paraId="16605B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技术产业开发区，项目符合国家产业政策要求，符合玉溪市生态环境分区管控动态更新调整方案要求，符合产业园区规划及规划环评要求；该项目采取的措施均为技术规范推荐的可行技术，采取相应措施后，颗粒物、硫化氢、挥发性有机物均能达标排放，废水。噪声达标排放，固废全部合理处置，环境风险可控，项目建设不会改变和降低周边环境质量和功能。建设单位已按照有关规范进行环境影响公众参与调查，公示期间，建设单位及我公司均未收集到任何形式的反馈意见。本环评认为，在切实落实环评报告提出的各项污染防治措施，并做好“三同时”制度的基础上，该项目对环境影响可接受，项目建设可行。</w:t>
      </w:r>
    </w:p>
    <w:p w14:paraId="09B198F0">
      <w:pPr>
        <w:pStyle w:val="2"/>
        <w:rPr>
          <w:color w:val="000000" w:themeColor="text1"/>
          <w14:textFill>
            <w14:solidFill>
              <w14:schemeClr w14:val="tx1"/>
            </w14:solidFill>
          </w14:textFill>
        </w:rPr>
      </w:pPr>
      <w:bookmarkStart w:id="1" w:name="_Toc7789"/>
      <w:r>
        <w:rPr>
          <w:rFonts w:hint="eastAsia"/>
          <w:color w:val="000000" w:themeColor="text1"/>
          <w14:textFill>
            <w14:solidFill>
              <w14:schemeClr w14:val="tx1"/>
            </w14:solidFill>
          </w14:textFill>
        </w:rPr>
        <w:t>1、总则</w:t>
      </w:r>
      <w:bookmarkEnd w:id="1"/>
    </w:p>
    <w:p w14:paraId="7D44ECA0">
      <w:pPr>
        <w:pStyle w:val="3"/>
        <w:rPr>
          <w:color w:val="000000" w:themeColor="text1"/>
          <w14:textFill>
            <w14:solidFill>
              <w14:schemeClr w14:val="tx1"/>
            </w14:solidFill>
          </w14:textFill>
        </w:rPr>
      </w:pPr>
      <w:bookmarkStart w:id="2" w:name="_Toc27200"/>
      <w:r>
        <w:rPr>
          <w:rFonts w:hint="eastAsia"/>
          <w:color w:val="000000" w:themeColor="text1"/>
          <w14:textFill>
            <w14:solidFill>
              <w14:schemeClr w14:val="tx1"/>
            </w14:solidFill>
          </w14:textFill>
        </w:rPr>
        <w:t>1.1 评价目的</w:t>
      </w:r>
      <w:bookmarkEnd w:id="2"/>
    </w:p>
    <w:p w14:paraId="5836B4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开展环境影响评价的目的是查清环境背景，明确环境保护目标，对可能产生的环境问题进行剖析，提出污染防治对策，以减小环境影响程度，促使项目建成运行后能取得最佳的社会、环境和经济效益。</w:t>
      </w:r>
    </w:p>
    <w:p w14:paraId="45AD09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通过对项目所在地区自然及社会环境现状的调查，收集资料和现状监测相结合，对环境质量现状进行评价，掌握其环境特征，了解评价区内的环境质量现状，并结合该项目特点，确定主要保护对象和保护目标；</w:t>
      </w:r>
    </w:p>
    <w:p w14:paraId="1A6103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（2）依据本项目可行性研究报告和工程建设情况，进行工程分析，掌握项目污染源排放情况及其特征，为环境影响预测评价提供基础数据；</w:t>
      </w:r>
    </w:p>
    <w:p w14:paraId="16DA0F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（3）在掌握本项目工程特征和建设地环境特征的基础上，进行环境影响识别，确定各环境要素的评价工作等级、评价范围、评价因子、评价重点；</w:t>
      </w:r>
    </w:p>
    <w:p w14:paraId="468FB7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分析施工期和运行期的主要环境影响因素对环境保护目标的影响，对工程建设可能产生的环境影响进行预测和评价，并针对不利影响提出可行的污染控制对策和减缓措施，在达标排放的前提下，制定污染物排放的总量控制指标，制定环境监测、监督管理计划；</w:t>
      </w:r>
    </w:p>
    <w:p w14:paraId="1271F6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（5）从环境保护角度论证工程建设的可行性，根据国家产业政策、评价区域环境敏感程度、以及本项目所需环境条件，分析本项目选址的环境合理性，总图布局的合理性，提出优化建议；</w:t>
      </w:r>
    </w:p>
    <w:p w14:paraId="391455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（6）为环境管理和项目建设提供决策依据，为各级政府部门环境管理提供决策依据，促进当地经济与环境保护协调发展；</w:t>
      </w:r>
    </w:p>
    <w:p w14:paraId="5C0EE4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（7）审查报批后的环境影响报告书，作为工程竣工环境保护验收的主要依据之一，促使项目建设单位明确和履行自己的环保职责。</w:t>
      </w:r>
    </w:p>
    <w:p w14:paraId="4264D9D6">
      <w:pPr>
        <w:pStyle w:val="3"/>
        <w:rPr>
          <w:color w:val="000000" w:themeColor="text1"/>
          <w14:textFill>
            <w14:solidFill>
              <w14:schemeClr w14:val="tx1"/>
            </w14:solidFill>
          </w14:textFill>
        </w:rPr>
      </w:pPr>
      <w:bookmarkStart w:id="3" w:name="_Toc7424"/>
      <w:r>
        <w:rPr>
          <w:rFonts w:hint="eastAsia"/>
          <w:color w:val="000000" w:themeColor="text1"/>
          <w14:textFill>
            <w14:solidFill>
              <w14:schemeClr w14:val="tx1"/>
            </w14:solidFill>
          </w14:textFill>
        </w:rPr>
        <w:t>1.2 指导思想</w:t>
      </w:r>
      <w:bookmarkEnd w:id="3"/>
    </w:p>
    <w:p w14:paraId="3205C42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遵照国家和地方有关环保法规的要求，充分利用现有资料及成果，根据项目实际情况，并结合当地的自然环境特征，本着客观、公正的态度，做到评价结论科学，污染防治措施具体可行，评价结果为优化建设项目的环保设计及环境管理提供依据和指导。</w:t>
      </w:r>
    </w:p>
    <w:p w14:paraId="2243DF98">
      <w:pPr>
        <w:pStyle w:val="3"/>
        <w:rPr>
          <w:color w:val="000000" w:themeColor="text1"/>
          <w14:textFill>
            <w14:solidFill>
              <w14:schemeClr w14:val="tx1"/>
            </w14:solidFill>
          </w14:textFill>
        </w:rPr>
      </w:pPr>
      <w:bookmarkStart w:id="4" w:name="_Toc14087"/>
      <w:r>
        <w:rPr>
          <w:rFonts w:hint="eastAsia"/>
          <w:color w:val="000000" w:themeColor="text1"/>
          <w14:textFill>
            <w14:solidFill>
              <w14:schemeClr w14:val="tx1"/>
            </w14:solidFill>
          </w14:textFill>
        </w:rPr>
        <w:t>1.3 评价原则</w:t>
      </w:r>
      <w:bookmarkEnd w:id="4"/>
    </w:p>
    <w:p w14:paraId="20E59D9E">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根据项目的建设内容和生产工艺特点，结合项目所在地的环境状况及环境保护执行情况，本项目环评采用以下原则：</w:t>
      </w:r>
    </w:p>
    <w:p w14:paraId="23DC703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（1）依法评价原则</w:t>
      </w:r>
    </w:p>
    <w:p w14:paraId="5ACADD0E">
      <w:pPr>
        <w:ind w:firstLine="480"/>
        <w:rPr>
          <w:color w:val="000000" w:themeColor="text1"/>
          <w14:textFill>
            <w14:solidFill>
              <w14:schemeClr w14:val="tx1"/>
            </w14:solidFill>
          </w14:textFill>
        </w:rPr>
      </w:pPr>
      <w:r>
        <w:rPr>
          <w:color w:val="000000" w:themeColor="text1"/>
          <w14:textFill>
            <w14:solidFill>
              <w14:schemeClr w14:val="tx1"/>
            </w14:solidFill>
          </w14:textFill>
        </w:rPr>
        <w:t>贯彻执行我国环境保护相关法律法规、标准、政策和规划等，优化项目建设，服务环境管理。</w:t>
      </w:r>
    </w:p>
    <w:p w14:paraId="338F367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（2）科学评价原则</w:t>
      </w:r>
    </w:p>
    <w:p w14:paraId="1828EE37">
      <w:pPr>
        <w:ind w:firstLine="480"/>
        <w:rPr>
          <w:color w:val="000000" w:themeColor="text1"/>
          <w14:textFill>
            <w14:solidFill>
              <w14:schemeClr w14:val="tx1"/>
            </w14:solidFill>
          </w14:textFill>
        </w:rPr>
      </w:pPr>
      <w:r>
        <w:rPr>
          <w:color w:val="000000" w:themeColor="text1"/>
          <w14:textFill>
            <w14:solidFill>
              <w14:schemeClr w14:val="tx1"/>
            </w14:solidFill>
          </w14:textFill>
        </w:rPr>
        <w:t>规范环境影响评价方法，科学分析项目建设对环境质量的影响。</w:t>
      </w:r>
    </w:p>
    <w:p w14:paraId="754760E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（3）突出重点原则</w:t>
      </w:r>
    </w:p>
    <w:p w14:paraId="4E5EB06D">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根据建设项目的工程内容及其特点，明确与环境要素间的作用效益关系，充分利用符合时效的数据资料及成果，对建设项目主要环境影响予以重点分析和评价。</w:t>
      </w:r>
    </w:p>
    <w:p w14:paraId="21A32C54">
      <w:pPr>
        <w:pStyle w:val="3"/>
        <w:rPr>
          <w:color w:val="000000" w:themeColor="text1"/>
          <w14:textFill>
            <w14:solidFill>
              <w14:schemeClr w14:val="tx1"/>
            </w14:solidFill>
          </w14:textFill>
        </w:rPr>
      </w:pPr>
      <w:bookmarkStart w:id="5" w:name="_Toc13135"/>
      <w:r>
        <w:rPr>
          <w:rFonts w:hint="eastAsia"/>
          <w:color w:val="000000" w:themeColor="text1"/>
          <w14:textFill>
            <w14:solidFill>
              <w14:schemeClr w14:val="tx1"/>
            </w14:solidFill>
          </w14:textFill>
        </w:rPr>
        <w:t>1.4 编制依据</w:t>
      </w:r>
      <w:bookmarkEnd w:id="5"/>
    </w:p>
    <w:p w14:paraId="0BE8471E">
      <w:pPr>
        <w:pStyle w:val="4"/>
        <w:rPr>
          <w:color w:val="000000" w:themeColor="text1"/>
          <w14:textFill>
            <w14:solidFill>
              <w14:schemeClr w14:val="tx1"/>
            </w14:solidFill>
          </w14:textFill>
        </w:rPr>
      </w:pPr>
      <w:bookmarkStart w:id="6" w:name="_Toc31698"/>
      <w:r>
        <w:rPr>
          <w:rFonts w:hint="eastAsia"/>
          <w:color w:val="000000" w:themeColor="text1"/>
          <w14:textFill>
            <w14:solidFill>
              <w14:schemeClr w14:val="tx1"/>
            </w14:solidFill>
          </w14:textFill>
        </w:rPr>
        <w:t>1.4.1相关法律法规和部门规章及政策</w:t>
      </w:r>
      <w:bookmarkEnd w:id="6"/>
    </w:p>
    <w:p w14:paraId="51FB9A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（1）《中华人民共和国环境保护法》（2015年1月1日施行）；</w:t>
      </w:r>
    </w:p>
    <w:p w14:paraId="25FE71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（2）《中华人民共和国环境影响评价法》（2018年12月29日起施行）；</w:t>
      </w:r>
    </w:p>
    <w:p w14:paraId="633CD4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（3）《中华人民共和国环境保护税法》（2018年1月1日起施行）；</w:t>
      </w:r>
    </w:p>
    <w:p w14:paraId="15FEBD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（4）《中华人民共和国水污染防治法》（2018年1月1日起施行）；</w:t>
      </w:r>
    </w:p>
    <w:p w14:paraId="1689F5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（5）《中华人民共和国大气污染防治法》（2018年10月16日实施）；</w:t>
      </w:r>
    </w:p>
    <w:p w14:paraId="31336F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（6）《中华人民共和国环境噪声污染防治法》（2022年6月5日起施行）；</w:t>
      </w:r>
    </w:p>
    <w:p w14:paraId="53B0CB8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（7）《中华人民共和国固体废物污染环境防治法》（2020年9月1日起施行）；</w:t>
      </w:r>
    </w:p>
    <w:p w14:paraId="37AAC5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（8）《中华人民共和国土壤污染防治法》（2019年1月1日起实施）；</w:t>
      </w:r>
    </w:p>
    <w:p w14:paraId="1738FE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（9）《中华人民共和国水土保持法》（2011年3月1日起施行）；</w:t>
      </w:r>
    </w:p>
    <w:p w14:paraId="006D8D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（10）《中华人民共和国土地管理法》（2019年8月26日修订）；</w:t>
      </w:r>
    </w:p>
    <w:p w14:paraId="1F84D5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（11）《中华人民共和国节约能源法》（2018年10月26日起施行）；</w:t>
      </w:r>
    </w:p>
    <w:p w14:paraId="00636F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（12）《建设项目环境保护管理条例》（2017年10月1日起施行）；</w:t>
      </w:r>
    </w:p>
    <w:p w14:paraId="29A4546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（13）《排污许可管理条例》（2021年3月1日）；</w:t>
      </w:r>
    </w:p>
    <w:p w14:paraId="7AA989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（14）《地下水管理条例》（2021年12月1日）；</w:t>
      </w:r>
    </w:p>
    <w:p w14:paraId="597208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（15）《危险化学品安全管理条例》（2013年12月7日起施行）；</w:t>
      </w:r>
    </w:p>
    <w:p w14:paraId="7F45DD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（16）《建设项目环境影响评价分类管理名录（2021版）》(中华人民共和国生态环境部部令第16号)；</w:t>
      </w:r>
    </w:p>
    <w:p w14:paraId="3C9A39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（17）《环境影响评价公众参与办法》（生态环境部令第4号，2019年1月1日起施行）；</w:t>
      </w:r>
    </w:p>
    <w:p w14:paraId="00A4BA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（18）《建设项目环境影响评价信息公开机制方案》（环发[2015]162号）；</w:t>
      </w:r>
    </w:p>
    <w:p w14:paraId="0BA893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（19）《危险化学品名录》（2022年调整版）；</w:t>
      </w:r>
    </w:p>
    <w:p w14:paraId="35E04D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（20）《危险化学品安全管理条例》（2011年12月1日）；</w:t>
      </w:r>
    </w:p>
    <w:p w14:paraId="2EAEAA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（21）《国家危险废物名录（2025年版）》（2025年1月1日起施行）；</w:t>
      </w:r>
    </w:p>
    <w:p w14:paraId="129A65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（22）《危险废物转移管理办法》（生态环境部 公安部 交通运输部 部令 第23号，2022年1月1日起施行）；</w:t>
      </w:r>
    </w:p>
    <w:p w14:paraId="76B34A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（23）国务院办公厅《关于印发&lt;强化危险废物监管和利用处置能力改革实施方案&gt;的通知》（国办函【2021】47号），2021年5月11日发布；</w:t>
      </w:r>
    </w:p>
    <w:p w14:paraId="26D02F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（24）《关于进一步加强环境影响评价管理防范环境风险的通知》（环境保护部环发[2012]77 号）；</w:t>
      </w:r>
    </w:p>
    <w:p w14:paraId="7E534E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（25）《突发环境事件应急管理办法》（环境保护部令第 34 号，2015年4月16日）；</w:t>
      </w:r>
    </w:p>
    <w:p w14:paraId="7D89E9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（26）《关于印发 &lt;企业事业单位突发环境事件应急预案备案管理办法（试行）&gt; 的通知》（环境保护部办公厅2015年1月9日印发）；</w:t>
      </w:r>
    </w:p>
    <w:p w14:paraId="676A5D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（27）《关于开展工业固体废物排污许可管理工作的通知》（环办环评〔2021〕26号）；</w:t>
      </w:r>
    </w:p>
    <w:p w14:paraId="08F24E1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（28）《固体废物分类与代码目录》（生态环境部公告 2024年第4号）；</w:t>
      </w:r>
    </w:p>
    <w:p w14:paraId="2664EF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（29）《土壤污染源头防控行动计划》（环土壤〔2024〕80号）；</w:t>
      </w:r>
    </w:p>
    <w:p w14:paraId="58FDA3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（30）《排污许可管理办法》（2024年7月1日起施行）；</w:t>
      </w:r>
    </w:p>
    <w:p w14:paraId="3709A33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（31）《关于印发“十四五”环境影响评价与排污许可工作实施方案的通知》（环环评〔2022〕26号）；</w:t>
      </w:r>
    </w:p>
    <w:p w14:paraId="424B93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（32）《全面实行排污许可制实施方案》（环环评〔2024〕79号）；</w:t>
      </w:r>
    </w:p>
    <w:p w14:paraId="660C19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（33）《长江经济带发展负面清单指南（试行 2022年版）》；</w:t>
      </w:r>
    </w:p>
    <w:p w14:paraId="49B08D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（34）《国家污染防治技术指导目录》（2025年）；</w:t>
      </w:r>
    </w:p>
    <w:p w14:paraId="09E0ED8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（35）《关于印发空气质量持续改善行动计划的通知》（国发〔2023〕24号）；</w:t>
      </w:r>
    </w:p>
    <w:p w14:paraId="4D293E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（36）《关于加强高耗能、高排放建设项目生态环境源头防控的指导意见》（环环评〔2021〕45号）；</w:t>
      </w:r>
    </w:p>
    <w:p w14:paraId="5604F2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（37）《中共中央、国务院关于完整准确全面贯彻新发展理念做好碳达峰碳中和工作的意见》（2021年9月22日）；</w:t>
      </w:r>
    </w:p>
    <w:p w14:paraId="52475C0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（38）《国家发展改革委等部门关于印发 &lt;“十四五” 全国清洁生产推行方案 &gt; 的通知》（发改环资〔2021〕1524号）；</w:t>
      </w:r>
    </w:p>
    <w:p w14:paraId="2C5FF2B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（39）《国务院关于印发“十四五”节能减排综合工作方案的通知》（2021年12月28日）。</w:t>
      </w:r>
    </w:p>
    <w:p w14:paraId="77F046D3">
      <w:pPr>
        <w:pStyle w:val="4"/>
        <w:rPr>
          <w:color w:val="000000" w:themeColor="text1"/>
          <w14:textFill>
            <w14:solidFill>
              <w14:schemeClr w14:val="tx1"/>
            </w14:solidFill>
          </w14:textFill>
        </w:rPr>
      </w:pPr>
      <w:bookmarkStart w:id="7" w:name="_Toc21735"/>
      <w:r>
        <w:rPr>
          <w:rFonts w:hint="eastAsia"/>
          <w:color w:val="000000" w:themeColor="text1"/>
          <w14:textFill>
            <w14:solidFill>
              <w14:schemeClr w14:val="tx1"/>
            </w14:solidFill>
          </w14:textFill>
        </w:rPr>
        <w:t>1.4.2 技术导则与规范</w:t>
      </w:r>
      <w:bookmarkEnd w:id="7"/>
    </w:p>
    <w:p w14:paraId="57DA0AC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（1）《建设项目环境影响评价技术导则 总纲》（HJT2.1-2016）；</w:t>
      </w:r>
    </w:p>
    <w:p w14:paraId="62DB82E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（2）《环境影响评价技术导则 地表水环境》（HJ/T2.3-2018）；</w:t>
      </w:r>
    </w:p>
    <w:p w14:paraId="1A3A9EC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（3）《环境影响评价技术导则 地下水环境》（HJ610-2016）；</w:t>
      </w:r>
    </w:p>
    <w:p w14:paraId="55E938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（4）《环境影响评价技术导则 大气环境》（HJ2.2-2018）；</w:t>
      </w:r>
    </w:p>
    <w:p w14:paraId="6F19AC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（5）《环境影响评价技术导则 声环境》（HJ2.4-2021）；</w:t>
      </w:r>
    </w:p>
    <w:p w14:paraId="46F635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（6）《环境影响评价技术导则 生态影响》（HJ19-2022）；</w:t>
      </w:r>
    </w:p>
    <w:p w14:paraId="6E7878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（7）《环境影响评价技术导则 土壤环境（试行）》（HJ964-2018）；</w:t>
      </w:r>
    </w:p>
    <w:p w14:paraId="1EAB86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（8）《建设项目环境风险评价技术导则》（HJ/T169-2018）；</w:t>
      </w:r>
    </w:p>
    <w:p w14:paraId="355596C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（9）《危险化学品重大危险源辨识》（GB18218-2018）；</w:t>
      </w:r>
    </w:p>
    <w:p w14:paraId="2F863C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（10）《建设项目危险废物环境影响评价指南》（公告2017年第43号）；</w:t>
      </w:r>
    </w:p>
    <w:p w14:paraId="4BBA2D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（11）《危险废物收集贮存运输技术规范》（HJ2025-2012）；</w:t>
      </w:r>
    </w:p>
    <w:p w14:paraId="406197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（12）《污染源源强核算技术指南准则》（HJ884-2018）；</w:t>
      </w:r>
    </w:p>
    <w:p w14:paraId="7AFB7E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（13）《排放源统计调查产排污核算方法和系数手册》（生态环境部公告2021年第24号，2021年6月9日《排污许可证申请与核发技术规范 总则》（HJ942-2018）；</w:t>
      </w:r>
    </w:p>
    <w:p w14:paraId="1D3973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（14）《排污许可证申请与核发技术规范 电子工业》（HJ1031-2019）；</w:t>
      </w:r>
    </w:p>
    <w:p w14:paraId="401665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（15）《排污单位自行监测技术指南 总则》（HJ819-2017）；</w:t>
      </w:r>
    </w:p>
    <w:p w14:paraId="3637EA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（16）《电子工业水污染防治可行技术指南》（HJ 1298-2023）；</w:t>
      </w:r>
    </w:p>
    <w:p w14:paraId="1A2164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（17）《吸附法工业有机废气治理工程技术规范》（HJ2026-2013）；</w:t>
      </w:r>
    </w:p>
    <w:p w14:paraId="0E1D1D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（18）《挥发性有机物治理实用手册（第二版）》；</w:t>
      </w:r>
    </w:p>
    <w:p w14:paraId="0E10AB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（19）《锂离子电池行业规范条件》</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2024年本</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09577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（20）《锂离子电池及相关电池材料制造建设项目环境影响评价文件审批原则》</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2024年版</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71057B66">
      <w:pPr>
        <w:pStyle w:val="4"/>
        <w:rPr>
          <w:color w:val="000000" w:themeColor="text1"/>
          <w14:textFill>
            <w14:solidFill>
              <w14:schemeClr w14:val="tx1"/>
            </w14:solidFill>
          </w14:textFill>
        </w:rPr>
      </w:pPr>
      <w:bookmarkStart w:id="8" w:name="_Toc12729"/>
      <w:r>
        <w:rPr>
          <w:rFonts w:hint="eastAsia"/>
          <w:color w:val="000000" w:themeColor="text1"/>
          <w14:textFill>
            <w14:solidFill>
              <w14:schemeClr w14:val="tx1"/>
            </w14:solidFill>
          </w14:textFill>
        </w:rPr>
        <w:t>1.4.3 地方性法规及规范性文件</w:t>
      </w:r>
      <w:bookmarkEnd w:id="8"/>
    </w:p>
    <w:p w14:paraId="7A5BE9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（1）《云南省大气污染防治条例》（2019年1月1日）；</w:t>
      </w:r>
    </w:p>
    <w:p w14:paraId="330847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（2）《云南省土壤污染防治条例》（2022年5月1日）；</w:t>
      </w:r>
    </w:p>
    <w:p w14:paraId="5FBB3A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（3）《云南省固体废物污染环境防治条例》（2023年3月1日起施行）；</w:t>
      </w:r>
    </w:p>
    <w:p w14:paraId="2CD1EB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（4）《云南省生物多样性保护条例》（2019年1月1日）；</w:t>
      </w:r>
    </w:p>
    <w:p w14:paraId="0C482C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（5）《云南省生态环境保护条例》（2024年11月1日起施行）；</w:t>
      </w:r>
    </w:p>
    <w:p w14:paraId="47E284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（6）《云南省水环境功能区划》（2014年版）；</w:t>
      </w:r>
    </w:p>
    <w:p w14:paraId="57FA5E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（7）《云南省生态功能区划》，（云南省环境保护厅，2009年9月7日）；</w:t>
      </w:r>
    </w:p>
    <w:p w14:paraId="3B100C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（8）《云南省主体功能区规划》，（2014年1月）；</w:t>
      </w:r>
    </w:p>
    <w:p w14:paraId="71B61D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（9）云南省人民政府办公厅《印发云南省突发环境事件应急预案的通知》（云政办发〔2017〕62号）；</w:t>
      </w:r>
    </w:p>
    <w:p w14:paraId="728845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（10）《云南省贯彻《排污许可管理条例》实施细则》（云环规〔2021〕1号，2022年1月15日）；</w:t>
      </w:r>
    </w:p>
    <w:p w14:paraId="70D815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（11）《云南省“十四五”生态环境保护规划》（云环发〔2022〕13号）；</w:t>
      </w:r>
    </w:p>
    <w:p w14:paraId="2CBC0C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（12）《云南省地下水管理办法》（2024年2月1日起施行）；</w:t>
      </w:r>
    </w:p>
    <w:p w14:paraId="452689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（13）《云南省突发环境事件应急预案管理办法》（2024年12月27日起施行）；</w:t>
      </w:r>
    </w:p>
    <w:p w14:paraId="727E00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（14）《云南省空气质量持续改善行动实施方案》（2024年4月23日）；</w:t>
      </w:r>
    </w:p>
    <w:p w14:paraId="66D8CD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（15）《云南省噪声污染防治三年行动实施方案》（2023年10月30日）；</w:t>
      </w:r>
    </w:p>
    <w:p w14:paraId="265958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（16）《云南省地方标准 用水定额》（DB53/T168-2019）；</w:t>
      </w:r>
    </w:p>
    <w:p w14:paraId="4CA9B5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（17）《云南省长江经济带发展负面清单指南实施细则》（试行，2022 年版）；</w:t>
      </w:r>
    </w:p>
    <w:p w14:paraId="25B29A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（18）《云南省土壤、地下水污染防治“十四五”规划》（2022年5月5日）；</w:t>
      </w:r>
    </w:p>
    <w:p w14:paraId="4FE007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（19）《中共云南省委办公厅 云南省人民政府办公厅关于加强生态环境分区管控的实施意见》（2024年7月24日）；</w:t>
      </w:r>
    </w:p>
    <w:p w14:paraId="607BC3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（20）《云南省水污染防治工作方案》（2016年1月10日）；</w:t>
      </w:r>
    </w:p>
    <w:p w14:paraId="070C06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（21）《云南省地下水污染防治实施方案》（2020年3月25日）；</w:t>
      </w:r>
    </w:p>
    <w:p w14:paraId="3F443D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（22）云南省人民政府关于印发云南省“十四五”节能减排综合工作实施方案的通知（云政发〔2022〕34号）；</w:t>
      </w:r>
    </w:p>
    <w:p w14:paraId="43C671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（23）云南省生态环境厅关于《转发加强高耗能、高排放建设项目生态环境源头防控指导意见的通知》（云环通〔2021〕114号）；</w:t>
      </w:r>
    </w:p>
    <w:p w14:paraId="381D38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（24）《云南省工业固体废物和重金属污染防治“十四五”规划》（2022年8月31日）；</w:t>
      </w:r>
    </w:p>
    <w:p w14:paraId="4B2D24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（25）《玉溪市国土空间总体规划（2021-2035 年）》；</w:t>
      </w:r>
    </w:p>
    <w:p w14:paraId="736213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（26）《玉溪市“十四五”生态建设和环境保护规划（2021-2025年）》（2022年4月）</w:t>
      </w:r>
    </w:p>
    <w:p w14:paraId="148A35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（27）《玉溪市生态环境局关于印发玉溪市生态环境分区管控动态更新调整方案（2023年）的通知》（玉市环[2024]40号）；</w:t>
      </w:r>
    </w:p>
    <w:p w14:paraId="153EDD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（28）《玉溪高新技术产业开发区总体规划修编（2021-2035年）》；</w:t>
      </w:r>
    </w:p>
    <w:p w14:paraId="27C464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（29）《玉溪市人民政府关于玉溪高新技术产业开发区总体规划修编(2021-2035年)的批复》（玉政复〔2023〕5号）；</w:t>
      </w:r>
    </w:p>
    <w:p w14:paraId="3442C7D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（30）《玉溪高新技术产业开发区总体规划修编（2021-2035年）环境影响报告书》；</w:t>
      </w:r>
    </w:p>
    <w:p w14:paraId="00F877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（31）云南省生态环境厅关于《云南高新技术产业开发区总体规划修编（2021-2035年）环境影响报告书》审查意见的函（云环函〔2022〕400号）；</w:t>
      </w:r>
    </w:p>
    <w:p w14:paraId="57166D31">
      <w:pPr>
        <w:pStyle w:val="4"/>
        <w:rPr>
          <w:color w:val="000000" w:themeColor="text1"/>
          <w14:textFill>
            <w14:solidFill>
              <w14:schemeClr w14:val="tx1"/>
            </w14:solidFill>
          </w14:textFill>
        </w:rPr>
      </w:pPr>
      <w:bookmarkStart w:id="9" w:name="_Toc9020"/>
      <w:r>
        <w:rPr>
          <w:rFonts w:hint="eastAsia"/>
          <w:color w:val="000000" w:themeColor="text1"/>
          <w14:textFill>
            <w14:solidFill>
              <w14:schemeClr w14:val="tx1"/>
            </w14:solidFill>
          </w14:textFill>
        </w:rPr>
        <w:t>1.4.4 其他相关资料与文件</w:t>
      </w:r>
      <w:bookmarkEnd w:id="9"/>
    </w:p>
    <w:p w14:paraId="1267E1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（1）环评委托书，2025年8月；</w:t>
      </w:r>
    </w:p>
    <w:p w14:paraId="363CCB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（2）投资项目备案证（玉高开委发备案〔2025〕30号）；</w:t>
      </w:r>
    </w:p>
    <w:p w14:paraId="5558DC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（3）《十吨级硫化物固态电解质材料实验线项目可行性研究报告》（2025年2月）；</w:t>
      </w:r>
    </w:p>
    <w:p w14:paraId="4D18878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（4）租赁证明；</w:t>
      </w:r>
    </w:p>
    <w:p w14:paraId="08D9B9C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（5）《硫化物固态电解质材料生产项目（一期）现状监测报告》（2025年10月9日）；</w:t>
      </w:r>
    </w:p>
    <w:p w14:paraId="6D206B39">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（6）原料化学品安全技术说明书</w:t>
      </w:r>
      <w:r>
        <w:rPr>
          <w:rFonts w:hint="eastAsia"/>
          <w:color w:val="000000" w:themeColor="text1"/>
          <w:lang w:eastAsia="zh-CN"/>
          <w14:textFill>
            <w14:solidFill>
              <w14:schemeClr w14:val="tx1"/>
            </w14:solidFill>
          </w14:textFill>
        </w:rPr>
        <w:t>；</w:t>
      </w:r>
    </w:p>
    <w:p w14:paraId="411392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（7）《特种纸生产线及电化铝生产线项目环境影响报告表》及批复（玉环高新发〔2024〕6号）；</w:t>
      </w:r>
    </w:p>
    <w:p w14:paraId="765504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（8）《印刷业务改扩建项目环境影响报告表》及批复（玉环高新发〔2024〕7号）；</w:t>
      </w:r>
    </w:p>
    <w:p w14:paraId="23266F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（9）云南捷辰包装材料有限公司建筑施工图纸；</w:t>
      </w:r>
    </w:p>
    <w:p w14:paraId="3BE346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（10）玉溪高新区规划建设局《关于印刷业务改扩建项目、特种纸生产线及电化铝生产线项目建设用地规划许可证，建设工程规划许可证变更建设单位的规划意见》（便笺[2025]20号）；</w:t>
      </w:r>
    </w:p>
    <w:p w14:paraId="1DB1F4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（11）玉溪市生态环境局高新技术产业开发区分局《关于同意云南捷辰包装材料有限公司沿用云南恩捷新材料股份有限公司及云南德新纸业有限公司环评手续的函》（2025年6月11日）；</w:t>
      </w:r>
    </w:p>
    <w:p w14:paraId="4A42B7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（12）玉溪市生态环境局红塔分局《关于飞井海水库饮用水水源地保护区</w:t>
      </w:r>
    </w:p>
    <w:p w14:paraId="00C46B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与玉溪高新区位置关系情况说明》（2022年8月3日）；</w:t>
      </w:r>
    </w:p>
    <w:p w14:paraId="4183124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（13）玉溪恩捷前沿新材料科技有限公司城镇污水排人排水管网许可证；</w:t>
      </w:r>
    </w:p>
    <w:p w14:paraId="0FA2D6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（14）玉溪市生态环境局高新技术产业开发区分局《关于玉溪恩捷前沿新材料科技有限公司硫化物固态电解质材料生产项目（一期）环境影响评价执行标准确认函》。</w:t>
      </w:r>
    </w:p>
    <w:p w14:paraId="60F0EC31">
      <w:pPr>
        <w:pStyle w:val="3"/>
        <w:rPr>
          <w:color w:val="000000" w:themeColor="text1"/>
          <w14:textFill>
            <w14:solidFill>
              <w14:schemeClr w14:val="tx1"/>
            </w14:solidFill>
          </w14:textFill>
        </w:rPr>
      </w:pPr>
      <w:bookmarkStart w:id="10" w:name="_Toc13880"/>
      <w:r>
        <w:rPr>
          <w:rFonts w:hint="eastAsia"/>
          <w:color w:val="000000" w:themeColor="text1"/>
          <w14:textFill>
            <w14:solidFill>
              <w14:schemeClr w14:val="tx1"/>
            </w14:solidFill>
          </w14:textFill>
        </w:rPr>
        <w:t>1.5 环境影响因素识别及评价因子选择</w:t>
      </w:r>
      <w:bookmarkEnd w:id="10"/>
    </w:p>
    <w:p w14:paraId="15A1EB8B">
      <w:pPr>
        <w:pStyle w:val="4"/>
        <w:rPr>
          <w:color w:val="000000" w:themeColor="text1"/>
          <w14:textFill>
            <w14:solidFill>
              <w14:schemeClr w14:val="tx1"/>
            </w14:solidFill>
          </w14:textFill>
        </w:rPr>
      </w:pPr>
      <w:bookmarkStart w:id="11" w:name="_Toc2150"/>
      <w:r>
        <w:rPr>
          <w:rFonts w:hint="eastAsia"/>
          <w:color w:val="000000" w:themeColor="text1"/>
          <w14:textFill>
            <w14:solidFill>
              <w14:schemeClr w14:val="tx1"/>
            </w14:solidFill>
          </w14:textFill>
        </w:rPr>
        <w:t>1.5.1 环境影响因素识别</w:t>
      </w:r>
      <w:bookmarkEnd w:id="11"/>
    </w:p>
    <w:p w14:paraId="7FD601DE">
      <w:pPr>
        <w:ind w:firstLine="480"/>
        <w:rPr>
          <w:rFonts w:eastAsia="仿宋"/>
          <w:color w:val="000000" w:themeColor="text1"/>
          <w:sz w:val="28"/>
          <w:szCs w:val="28"/>
          <w14:textFill>
            <w14:solidFill>
              <w14:schemeClr w14:val="tx1"/>
            </w14:solidFill>
          </w14:textFill>
        </w:rPr>
      </w:pPr>
      <w:r>
        <w:rPr>
          <w:color w:val="000000" w:themeColor="text1"/>
          <w14:textFill>
            <w14:solidFill>
              <w14:schemeClr w14:val="tx1"/>
            </w14:solidFill>
          </w14:textFill>
        </w:rPr>
        <w:t>本项目环境影响因素识别见表</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1。</w:t>
      </w:r>
    </w:p>
    <w:p w14:paraId="4033DBEF">
      <w:pPr>
        <w:pStyle w:val="27"/>
        <w:rPr>
          <w:color w:val="000000" w:themeColor="text1"/>
          <w14:textFill>
            <w14:solidFill>
              <w14:schemeClr w14:val="tx1"/>
            </w14:solidFill>
          </w14:textFill>
        </w:rPr>
      </w:pPr>
      <w:bookmarkStart w:id="12" w:name="_Ref482124327"/>
      <w:r>
        <w:rPr>
          <w:color w:val="000000" w:themeColor="text1"/>
          <w14:textFill>
            <w14:solidFill>
              <w14:schemeClr w14:val="tx1"/>
            </w14:solidFill>
          </w14:textFill>
        </w:rPr>
        <w:t>表</w:t>
      </w:r>
      <w:bookmarkEnd w:id="12"/>
      <w:r>
        <w:rPr>
          <w:rFonts w:hint="eastAsia"/>
          <w:color w:val="000000" w:themeColor="text1"/>
          <w14:textFill>
            <w14:solidFill>
              <w14:schemeClr w14:val="tx1"/>
            </w14:solidFill>
          </w14:textFill>
        </w:rPr>
        <w:t>1.5</w:t>
      </w:r>
      <w:r>
        <w:rPr>
          <w:color w:val="000000" w:themeColor="text1"/>
          <w14:textFill>
            <w14:solidFill>
              <w14:schemeClr w14:val="tx1"/>
            </w14:solidFill>
          </w14:textFill>
        </w:rPr>
        <w:t>-1  环境影响因素识别一览表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9"/>
        <w:gridCol w:w="1003"/>
        <w:gridCol w:w="835"/>
        <w:gridCol w:w="837"/>
        <w:gridCol w:w="835"/>
        <w:gridCol w:w="837"/>
        <w:gridCol w:w="835"/>
        <w:gridCol w:w="837"/>
        <w:gridCol w:w="837"/>
        <w:gridCol w:w="837"/>
      </w:tblGrid>
      <w:tr w14:paraId="096D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99" w:type="pct"/>
            <w:gridSpan w:val="2"/>
            <w:vMerge w:val="restart"/>
            <w:vAlign w:val="center"/>
          </w:tcPr>
          <w:p w14:paraId="20892B47">
            <w:pPr>
              <w:pStyle w:val="2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-10795</wp:posOffset>
                      </wp:positionV>
                      <wp:extent cx="757555" cy="802005"/>
                      <wp:effectExtent l="3175" t="3175" r="20320" b="13970"/>
                      <wp:wrapNone/>
                      <wp:docPr id="18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757555" cy="802005"/>
                              </a:xfrm>
                              <a:prstGeom prst="line">
                                <a:avLst/>
                              </a:prstGeom>
                              <a:noFill/>
                              <a:ln w="9525" cmpd="sng">
                                <a:solidFill>
                                  <a:srgbClr val="000000"/>
                                </a:solidFill>
                                <a:round/>
                              </a:ln>
                              <a:effectLst/>
                            </wps:spPr>
                            <wps:bodyPr/>
                          </wps:wsp>
                        </a:graphicData>
                      </a:graphic>
                    </wp:anchor>
                  </w:drawing>
                </mc:Choice>
                <mc:Fallback>
                  <w:pict>
                    <v:line id="直接连接符 1" o:spid="_x0000_s1026" o:spt="20" style="position:absolute;left:0pt;margin-left:0.55pt;margin-top:-0.85pt;height:63.15pt;width:59.65pt;z-index:251660288;mso-width-relative:page;mso-height-relative:page;" filled="f" stroked="t" coordsize="21600,21600" o:gfxdata="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4lsh1gAAAAgBAAAPAAAAAAAAAAEAIAAAACIAAABkcnMvZG93bnJldi54bWxQSwECFAAU&#10;AAAACACHTuJALhgbH/MBAADJAwAADgAAAAAAAAABACAAAAAlAQAAZHJzL2Uyb0RvYy54bWxQSwUG&#10;AAAAAAYABgBZAQAAigUAAAAA&#10;">
                      <v:fill on="f" focussize="0,0"/>
                      <v:stroke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-3175</wp:posOffset>
                      </wp:positionV>
                      <wp:extent cx="987425" cy="397510"/>
                      <wp:effectExtent l="1905" t="4445" r="20320" b="17145"/>
                      <wp:wrapNone/>
                      <wp:docPr id="184"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987425" cy="397510"/>
                              </a:xfrm>
                              <a:prstGeom prst="line">
                                <a:avLst/>
                              </a:prstGeom>
                              <a:noFill/>
                              <a:ln w="9525" cmpd="sng">
                                <a:solidFill>
                                  <a:srgbClr val="000000"/>
                                </a:solidFill>
                                <a:round/>
                              </a:ln>
                              <a:effectLst/>
                            </wps:spPr>
                            <wps:bodyPr/>
                          </wps:wsp>
                        </a:graphicData>
                      </a:graphic>
                    </wp:anchor>
                  </w:drawing>
                </mc:Choice>
                <mc:Fallback>
                  <w:pict>
                    <v:line id="直接连接符 2" o:spid="_x0000_s1026" o:spt="20" style="position:absolute;left:0pt;margin-left:-0.05pt;margin-top:-0.25pt;height:31.3pt;width:77.75pt;z-index:251659264;mso-width-relative:page;mso-height-relative:page;" filled="f" stroked="t" coordsize="21600,21600" o:gfxdata="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tvRkrVAAAABgEAAA8AAAAAAAAAAQAgAAAAIgAAAGRycy9kb3ducmV2LnhtbFBLAQIU&#10;ABQAAAAIAIdO4kDbmfw/9gEAAMkDAAAOAAAAAAAAAAEAIAAAACQBAABkcnMvZTJvRG9jLnhtbFBL&#10;BQYAAAAABgAGAFkBAACMBQAAAAA=&#10;">
                      <v:fill on="f" focussize="0,0"/>
                      <v:stroke color="#000000" joinstyle="round"/>
                      <v:imagedata o:title=""/>
                      <o:lock v:ext="edit" aspectratio="f"/>
                    </v:line>
                  </w:pict>
                </mc:Fallback>
              </mc:AlternateContent>
            </w:r>
            <w:r>
              <w:rPr>
                <w:rFonts w:hint="eastAsia"/>
                <w:color w:val="000000" w:themeColor="text1"/>
                <w14:textFill>
                  <w14:solidFill>
                    <w14:schemeClr w14:val="tx1"/>
                  </w14:solidFill>
                </w14:textFill>
              </w:rPr>
              <w:t xml:space="preserve">         因子</w:t>
            </w:r>
          </w:p>
          <w:p w14:paraId="494E19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14:paraId="542BEA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时段</w:t>
            </w:r>
          </w:p>
          <w:p w14:paraId="33CA04FE">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环境因素</w:t>
            </w:r>
          </w:p>
        </w:tc>
        <w:tc>
          <w:tcPr>
            <w:tcW w:w="999" w:type="pct"/>
            <w:gridSpan w:val="2"/>
            <w:vAlign w:val="center"/>
          </w:tcPr>
          <w:p w14:paraId="682E41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废气排放</w:t>
            </w:r>
          </w:p>
        </w:tc>
        <w:tc>
          <w:tcPr>
            <w:tcW w:w="999" w:type="pct"/>
            <w:gridSpan w:val="2"/>
            <w:vAlign w:val="center"/>
          </w:tcPr>
          <w:p w14:paraId="519901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w:t>
            </w:r>
          </w:p>
        </w:tc>
        <w:tc>
          <w:tcPr>
            <w:tcW w:w="999" w:type="pct"/>
            <w:gridSpan w:val="2"/>
            <w:vAlign w:val="center"/>
          </w:tcPr>
          <w:p w14:paraId="75D5AC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固废处理</w:t>
            </w:r>
          </w:p>
        </w:tc>
        <w:tc>
          <w:tcPr>
            <w:tcW w:w="1000" w:type="pct"/>
            <w:gridSpan w:val="2"/>
            <w:vAlign w:val="center"/>
          </w:tcPr>
          <w:p w14:paraId="213BAD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r>
      <w:tr w14:paraId="66C9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91" w:hRule="atLeast"/>
          <w:jc w:val="center"/>
        </w:trPr>
        <w:tc>
          <w:tcPr>
            <w:tcW w:w="999" w:type="pct"/>
            <w:gridSpan w:val="2"/>
            <w:vMerge w:val="continue"/>
            <w:vAlign w:val="center"/>
          </w:tcPr>
          <w:p w14:paraId="3A511168">
            <w:pPr>
              <w:pStyle w:val="28"/>
              <w:rPr>
                <w:color w:val="000000" w:themeColor="text1"/>
                <w14:textFill>
                  <w14:solidFill>
                    <w14:schemeClr w14:val="tx1"/>
                  </w14:solidFill>
                </w14:textFill>
              </w:rPr>
            </w:pPr>
          </w:p>
        </w:tc>
        <w:tc>
          <w:tcPr>
            <w:tcW w:w="499" w:type="pct"/>
            <w:vAlign w:val="center"/>
          </w:tcPr>
          <w:p w14:paraId="53158E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w:t>
            </w:r>
          </w:p>
          <w:p w14:paraId="7D042A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500" w:type="pct"/>
            <w:vAlign w:val="center"/>
          </w:tcPr>
          <w:p w14:paraId="23CC51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w:t>
            </w:r>
          </w:p>
          <w:p w14:paraId="705EFC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499" w:type="pct"/>
            <w:shd w:val="clear" w:color="auto" w:fill="auto"/>
            <w:vAlign w:val="center"/>
          </w:tcPr>
          <w:p w14:paraId="07002D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w:t>
            </w:r>
          </w:p>
          <w:p w14:paraId="2CD57A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500" w:type="pct"/>
            <w:shd w:val="clear" w:color="auto" w:fill="auto"/>
            <w:vAlign w:val="center"/>
          </w:tcPr>
          <w:p w14:paraId="14B6F6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w:t>
            </w:r>
          </w:p>
          <w:p w14:paraId="4A166B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499" w:type="pct"/>
            <w:shd w:val="clear" w:color="auto" w:fill="auto"/>
            <w:vAlign w:val="center"/>
          </w:tcPr>
          <w:p w14:paraId="591BC2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w:t>
            </w:r>
          </w:p>
          <w:p w14:paraId="18F3E2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500" w:type="pct"/>
            <w:shd w:val="clear" w:color="auto" w:fill="auto"/>
            <w:vAlign w:val="center"/>
          </w:tcPr>
          <w:p w14:paraId="5F5398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w:t>
            </w:r>
          </w:p>
          <w:p w14:paraId="2512DF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500" w:type="pct"/>
            <w:shd w:val="clear" w:color="auto" w:fill="auto"/>
            <w:vAlign w:val="center"/>
          </w:tcPr>
          <w:p w14:paraId="6007E1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w:t>
            </w:r>
          </w:p>
          <w:p w14:paraId="296BF2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c>
          <w:tcPr>
            <w:tcW w:w="500" w:type="pct"/>
            <w:shd w:val="clear" w:color="auto" w:fill="auto"/>
            <w:vAlign w:val="center"/>
          </w:tcPr>
          <w:p w14:paraId="2D3716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w:t>
            </w:r>
          </w:p>
          <w:p w14:paraId="355A5D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期间</w:t>
            </w:r>
          </w:p>
        </w:tc>
      </w:tr>
      <w:tr w14:paraId="5FE9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restart"/>
            <w:vAlign w:val="center"/>
          </w:tcPr>
          <w:p w14:paraId="4D4207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w:t>
            </w:r>
          </w:p>
        </w:tc>
        <w:tc>
          <w:tcPr>
            <w:tcW w:w="599" w:type="pct"/>
            <w:vAlign w:val="center"/>
          </w:tcPr>
          <w:p w14:paraId="791371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空气质量</w:t>
            </w:r>
          </w:p>
        </w:tc>
        <w:tc>
          <w:tcPr>
            <w:tcW w:w="499" w:type="pct"/>
            <w:vAlign w:val="center"/>
          </w:tcPr>
          <w:p w14:paraId="79FBE7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0" w:type="pct"/>
            <w:vAlign w:val="center"/>
          </w:tcPr>
          <w:p w14:paraId="4FF330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3F879E6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0D5491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21619F2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923133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1A5682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19A1A2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4D13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11B0C2CB">
            <w:pPr>
              <w:pStyle w:val="28"/>
              <w:rPr>
                <w:color w:val="000000" w:themeColor="text1"/>
                <w14:textFill>
                  <w14:solidFill>
                    <w14:schemeClr w14:val="tx1"/>
                  </w14:solidFill>
                </w14:textFill>
              </w:rPr>
            </w:pPr>
          </w:p>
        </w:tc>
        <w:tc>
          <w:tcPr>
            <w:tcW w:w="599" w:type="pct"/>
            <w:vAlign w:val="center"/>
          </w:tcPr>
          <w:p w14:paraId="452DAE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地表水文</w:t>
            </w:r>
          </w:p>
        </w:tc>
        <w:tc>
          <w:tcPr>
            <w:tcW w:w="499" w:type="pct"/>
            <w:vAlign w:val="center"/>
          </w:tcPr>
          <w:p w14:paraId="049D8BE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B0BE3E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2339C8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1084E3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6AE75A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DE4129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1AAB21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C7E872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2F43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06F3C22C">
            <w:pPr>
              <w:pStyle w:val="28"/>
              <w:rPr>
                <w:color w:val="000000" w:themeColor="text1"/>
                <w14:textFill>
                  <w14:solidFill>
                    <w14:schemeClr w14:val="tx1"/>
                  </w14:solidFill>
                </w14:textFill>
              </w:rPr>
            </w:pPr>
          </w:p>
        </w:tc>
        <w:tc>
          <w:tcPr>
            <w:tcW w:w="599" w:type="pct"/>
            <w:vAlign w:val="center"/>
          </w:tcPr>
          <w:p w14:paraId="506CCE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地表水质</w:t>
            </w:r>
          </w:p>
        </w:tc>
        <w:tc>
          <w:tcPr>
            <w:tcW w:w="499" w:type="pct"/>
            <w:vAlign w:val="center"/>
          </w:tcPr>
          <w:p w14:paraId="792AA2A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3AF45F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261B4E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0" w:type="pct"/>
            <w:vAlign w:val="center"/>
          </w:tcPr>
          <w:p w14:paraId="0094BD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6538595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DC8EC6D">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022D3E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32861F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433A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4080F51F">
            <w:pPr>
              <w:pStyle w:val="28"/>
              <w:rPr>
                <w:color w:val="000000" w:themeColor="text1"/>
                <w14:textFill>
                  <w14:solidFill>
                    <w14:schemeClr w14:val="tx1"/>
                  </w14:solidFill>
                </w14:textFill>
              </w:rPr>
            </w:pPr>
          </w:p>
        </w:tc>
        <w:tc>
          <w:tcPr>
            <w:tcW w:w="599" w:type="pct"/>
            <w:vAlign w:val="center"/>
          </w:tcPr>
          <w:p w14:paraId="2E486B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地下水文</w:t>
            </w:r>
          </w:p>
        </w:tc>
        <w:tc>
          <w:tcPr>
            <w:tcW w:w="499" w:type="pct"/>
            <w:vAlign w:val="center"/>
          </w:tcPr>
          <w:p w14:paraId="2B481B1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84355B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1A3AF3B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2A5795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12CFD1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5F5FFD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964ECE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FE1C47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2300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25BB2524">
            <w:pPr>
              <w:pStyle w:val="28"/>
              <w:rPr>
                <w:color w:val="000000" w:themeColor="text1"/>
                <w14:textFill>
                  <w14:solidFill>
                    <w14:schemeClr w14:val="tx1"/>
                  </w14:solidFill>
                </w14:textFill>
              </w:rPr>
            </w:pPr>
          </w:p>
        </w:tc>
        <w:tc>
          <w:tcPr>
            <w:tcW w:w="599" w:type="pct"/>
            <w:vAlign w:val="center"/>
          </w:tcPr>
          <w:p w14:paraId="178CA5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w:t>
            </w:r>
          </w:p>
        </w:tc>
        <w:tc>
          <w:tcPr>
            <w:tcW w:w="499" w:type="pct"/>
            <w:vAlign w:val="center"/>
          </w:tcPr>
          <w:p w14:paraId="09C18D8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15E542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7ACEF7D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105E7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0A981D3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8A4D16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602CFF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4EFEA6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274B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5B686AC3">
            <w:pPr>
              <w:pStyle w:val="28"/>
              <w:rPr>
                <w:color w:val="000000" w:themeColor="text1"/>
                <w14:textFill>
                  <w14:solidFill>
                    <w14:schemeClr w14:val="tx1"/>
                  </w14:solidFill>
                </w14:textFill>
              </w:rPr>
            </w:pPr>
          </w:p>
        </w:tc>
        <w:tc>
          <w:tcPr>
            <w:tcW w:w="599" w:type="pct"/>
            <w:vAlign w:val="center"/>
          </w:tcPr>
          <w:p w14:paraId="4FD4A2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植被</w:t>
            </w:r>
          </w:p>
        </w:tc>
        <w:tc>
          <w:tcPr>
            <w:tcW w:w="499" w:type="pct"/>
            <w:vAlign w:val="center"/>
          </w:tcPr>
          <w:p w14:paraId="2B66B13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DA9717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873681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E6DA74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5FB735F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29E498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D76AE9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D155AD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0E36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12FA1055">
            <w:pPr>
              <w:pStyle w:val="28"/>
              <w:rPr>
                <w:color w:val="000000" w:themeColor="text1"/>
                <w14:textFill>
                  <w14:solidFill>
                    <w14:schemeClr w14:val="tx1"/>
                  </w14:solidFill>
                </w14:textFill>
              </w:rPr>
            </w:pPr>
          </w:p>
        </w:tc>
        <w:tc>
          <w:tcPr>
            <w:tcW w:w="599" w:type="pct"/>
            <w:vAlign w:val="center"/>
          </w:tcPr>
          <w:p w14:paraId="1E513B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w:t>
            </w:r>
          </w:p>
        </w:tc>
        <w:tc>
          <w:tcPr>
            <w:tcW w:w="499" w:type="pct"/>
            <w:vAlign w:val="center"/>
          </w:tcPr>
          <w:p w14:paraId="2D66BD0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96DCA5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63F7886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A389E6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5920A3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0" w:type="pct"/>
            <w:vAlign w:val="center"/>
          </w:tcPr>
          <w:p w14:paraId="542337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0" w:type="pct"/>
            <w:vAlign w:val="center"/>
          </w:tcPr>
          <w:p w14:paraId="660B4EC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ADA929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41A6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623ED0C4">
            <w:pPr>
              <w:pStyle w:val="28"/>
              <w:rPr>
                <w:color w:val="000000" w:themeColor="text1"/>
                <w14:textFill>
                  <w14:solidFill>
                    <w14:schemeClr w14:val="tx1"/>
                  </w14:solidFill>
                </w14:textFill>
              </w:rPr>
            </w:pPr>
          </w:p>
        </w:tc>
        <w:tc>
          <w:tcPr>
            <w:tcW w:w="599" w:type="pct"/>
            <w:vAlign w:val="center"/>
          </w:tcPr>
          <w:p w14:paraId="1EDBDD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499" w:type="pct"/>
            <w:vAlign w:val="center"/>
          </w:tcPr>
          <w:p w14:paraId="73C1B9E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A04CA1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54CA078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58EEBAD">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36F449C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4C0244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A3C73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0" w:type="pct"/>
            <w:vAlign w:val="center"/>
          </w:tcPr>
          <w:p w14:paraId="2C2279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F24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restart"/>
            <w:vAlign w:val="center"/>
          </w:tcPr>
          <w:p w14:paraId="273A11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自然资源</w:t>
            </w:r>
          </w:p>
        </w:tc>
        <w:tc>
          <w:tcPr>
            <w:tcW w:w="599" w:type="pct"/>
            <w:vAlign w:val="center"/>
          </w:tcPr>
          <w:p w14:paraId="79CB80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水资源</w:t>
            </w:r>
          </w:p>
        </w:tc>
        <w:tc>
          <w:tcPr>
            <w:tcW w:w="499" w:type="pct"/>
            <w:vAlign w:val="center"/>
          </w:tcPr>
          <w:p w14:paraId="0F1C29C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67BA2D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1021F88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24738C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159911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421048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1B80E6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D0D37D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3B70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00" w:type="pct"/>
            <w:vMerge w:val="continue"/>
            <w:vAlign w:val="center"/>
          </w:tcPr>
          <w:p w14:paraId="1C387F35">
            <w:pPr>
              <w:pStyle w:val="28"/>
              <w:rPr>
                <w:color w:val="000000" w:themeColor="text1"/>
                <w14:textFill>
                  <w14:solidFill>
                    <w14:schemeClr w14:val="tx1"/>
                  </w14:solidFill>
                </w14:textFill>
              </w:rPr>
            </w:pPr>
          </w:p>
        </w:tc>
        <w:tc>
          <w:tcPr>
            <w:tcW w:w="599" w:type="pct"/>
            <w:vAlign w:val="center"/>
          </w:tcPr>
          <w:p w14:paraId="3E74DD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森林资源</w:t>
            </w:r>
          </w:p>
        </w:tc>
        <w:tc>
          <w:tcPr>
            <w:tcW w:w="499" w:type="pct"/>
            <w:vAlign w:val="center"/>
          </w:tcPr>
          <w:p w14:paraId="24581D7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370245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602E247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5390E4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58E5334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BECE5D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A3A21A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32AC91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42D0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400" w:type="pct"/>
            <w:vMerge w:val="continue"/>
            <w:vAlign w:val="center"/>
          </w:tcPr>
          <w:p w14:paraId="7901CA0E">
            <w:pPr>
              <w:pStyle w:val="28"/>
              <w:rPr>
                <w:color w:val="000000" w:themeColor="text1"/>
                <w14:textFill>
                  <w14:solidFill>
                    <w14:schemeClr w14:val="tx1"/>
                  </w14:solidFill>
                </w14:textFill>
              </w:rPr>
            </w:pPr>
          </w:p>
        </w:tc>
        <w:tc>
          <w:tcPr>
            <w:tcW w:w="599" w:type="pct"/>
            <w:vAlign w:val="center"/>
          </w:tcPr>
          <w:p w14:paraId="54B186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土地资源</w:t>
            </w:r>
          </w:p>
        </w:tc>
        <w:tc>
          <w:tcPr>
            <w:tcW w:w="499" w:type="pct"/>
            <w:vAlign w:val="center"/>
          </w:tcPr>
          <w:p w14:paraId="3982C43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8AEE77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18F1DC5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119F3DA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250D7BD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1550C8D">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6CF331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5E8108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5B91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exact"/>
          <w:jc w:val="center"/>
        </w:trPr>
        <w:tc>
          <w:tcPr>
            <w:tcW w:w="400" w:type="pct"/>
            <w:vMerge w:val="restart"/>
            <w:vAlign w:val="center"/>
          </w:tcPr>
          <w:p w14:paraId="47580D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社会经济</w:t>
            </w:r>
          </w:p>
        </w:tc>
        <w:tc>
          <w:tcPr>
            <w:tcW w:w="599" w:type="pct"/>
            <w:vAlign w:val="center"/>
          </w:tcPr>
          <w:p w14:paraId="180E01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区域经济</w:t>
            </w:r>
          </w:p>
        </w:tc>
        <w:tc>
          <w:tcPr>
            <w:tcW w:w="499" w:type="pct"/>
            <w:vAlign w:val="center"/>
          </w:tcPr>
          <w:p w14:paraId="6C61DBB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01373EA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3F6C06B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2E4A066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68E468A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1D8F69D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1DD410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014085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747F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exact"/>
          <w:jc w:val="center"/>
        </w:trPr>
        <w:tc>
          <w:tcPr>
            <w:tcW w:w="400" w:type="pct"/>
            <w:vMerge w:val="continue"/>
            <w:vAlign w:val="center"/>
          </w:tcPr>
          <w:p w14:paraId="6B69DE59">
            <w:pPr>
              <w:pStyle w:val="28"/>
              <w:rPr>
                <w:color w:val="000000" w:themeColor="text1"/>
                <w14:textFill>
                  <w14:solidFill>
                    <w14:schemeClr w14:val="tx1"/>
                  </w14:solidFill>
                </w14:textFill>
              </w:rPr>
            </w:pPr>
          </w:p>
        </w:tc>
        <w:tc>
          <w:tcPr>
            <w:tcW w:w="599" w:type="pct"/>
            <w:vAlign w:val="center"/>
          </w:tcPr>
          <w:p w14:paraId="5783EF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农业经济</w:t>
            </w:r>
          </w:p>
        </w:tc>
        <w:tc>
          <w:tcPr>
            <w:tcW w:w="499" w:type="pct"/>
            <w:vAlign w:val="center"/>
          </w:tcPr>
          <w:p w14:paraId="7B8A9BF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0F8E2A1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5BF1D32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673D6ED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3AD2A78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3E724D1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2057EF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7E5C33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5E83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9" w:hRule="atLeast"/>
          <w:jc w:val="center"/>
        </w:trPr>
        <w:tc>
          <w:tcPr>
            <w:tcW w:w="400" w:type="pct"/>
            <w:vMerge w:val="continue"/>
            <w:vAlign w:val="center"/>
          </w:tcPr>
          <w:p w14:paraId="4AF7B6C3">
            <w:pPr>
              <w:pStyle w:val="28"/>
              <w:rPr>
                <w:color w:val="000000" w:themeColor="text1"/>
                <w14:textFill>
                  <w14:solidFill>
                    <w14:schemeClr w14:val="tx1"/>
                  </w14:solidFill>
                </w14:textFill>
              </w:rPr>
            </w:pPr>
          </w:p>
        </w:tc>
        <w:tc>
          <w:tcPr>
            <w:tcW w:w="599" w:type="pct"/>
            <w:vAlign w:val="center"/>
          </w:tcPr>
          <w:p w14:paraId="1C2B37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交通运输</w:t>
            </w:r>
          </w:p>
        </w:tc>
        <w:tc>
          <w:tcPr>
            <w:tcW w:w="499" w:type="pct"/>
            <w:vAlign w:val="center"/>
          </w:tcPr>
          <w:p w14:paraId="410B487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68E7F0F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2515327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393DD22D">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13B4E51D">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1DC6381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861B64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379B5E7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103D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9" w:hRule="atLeast"/>
          <w:jc w:val="center"/>
        </w:trPr>
        <w:tc>
          <w:tcPr>
            <w:tcW w:w="400" w:type="pct"/>
            <w:vMerge w:val="continue"/>
            <w:vAlign w:val="center"/>
          </w:tcPr>
          <w:p w14:paraId="6620CCCB">
            <w:pPr>
              <w:pStyle w:val="28"/>
              <w:rPr>
                <w:color w:val="000000" w:themeColor="text1"/>
                <w14:textFill>
                  <w14:solidFill>
                    <w14:schemeClr w14:val="tx1"/>
                  </w14:solidFill>
                </w14:textFill>
              </w:rPr>
            </w:pPr>
          </w:p>
        </w:tc>
        <w:tc>
          <w:tcPr>
            <w:tcW w:w="599" w:type="pct"/>
            <w:vAlign w:val="center"/>
          </w:tcPr>
          <w:p w14:paraId="135D64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人群健康</w:t>
            </w:r>
          </w:p>
        </w:tc>
        <w:tc>
          <w:tcPr>
            <w:tcW w:w="499" w:type="pct"/>
            <w:vAlign w:val="center"/>
          </w:tcPr>
          <w:p w14:paraId="00F6E35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1A7C86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36496CA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tcPr>
          <w:p w14:paraId="39DA3B4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042073C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C064520">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796C06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D6113B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5E96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400" w:type="pct"/>
            <w:vMerge w:val="continue"/>
            <w:vAlign w:val="center"/>
          </w:tcPr>
          <w:p w14:paraId="29666F0B">
            <w:pPr>
              <w:pStyle w:val="28"/>
              <w:rPr>
                <w:color w:val="000000" w:themeColor="text1"/>
                <w14:textFill>
                  <w14:solidFill>
                    <w14:schemeClr w14:val="tx1"/>
                  </w14:solidFill>
                </w14:textFill>
              </w:rPr>
            </w:pPr>
          </w:p>
        </w:tc>
        <w:tc>
          <w:tcPr>
            <w:tcW w:w="599" w:type="pct"/>
            <w:vAlign w:val="center"/>
          </w:tcPr>
          <w:p w14:paraId="59BECA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499" w:type="pct"/>
            <w:vAlign w:val="center"/>
          </w:tcPr>
          <w:p w14:paraId="0771DB8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5FEFE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128263A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F36D6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9" w:type="pct"/>
            <w:vAlign w:val="center"/>
          </w:tcPr>
          <w:p w14:paraId="65C3D05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41BAE4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4FAE25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7CA150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463C00F1">
      <w:pPr>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注：表中“☆</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★”表示“有利</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不利”较大影响；“○</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●”表示“有利</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不利”中等影响；“△</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▲”表示“有利</w:t>
      </w:r>
      <w:r>
        <w:rPr>
          <w:i/>
          <w:iCs/>
          <w:color w:val="000000" w:themeColor="text1"/>
          <w:sz w:val="21"/>
          <w:szCs w:val="21"/>
          <w14:textFill>
            <w14:solidFill>
              <w14:schemeClr w14:val="tx1"/>
            </w14:solidFill>
          </w14:textFill>
        </w:rPr>
        <w:t>/</w:t>
      </w:r>
      <w:r>
        <w:rPr>
          <w:rFonts w:hint="eastAsia"/>
          <w:i/>
          <w:iCs/>
          <w:color w:val="000000" w:themeColor="text1"/>
          <w:sz w:val="21"/>
          <w:szCs w:val="21"/>
          <w14:textFill>
            <w14:solidFill>
              <w14:schemeClr w14:val="tx1"/>
            </w14:solidFill>
          </w14:textFill>
        </w:rPr>
        <w:t>不利”轻微影响；“—”表示“影响很少或无影响”。</w:t>
      </w:r>
    </w:p>
    <w:p w14:paraId="06FCEEB4">
      <w:pPr>
        <w:pStyle w:val="4"/>
        <w:rPr>
          <w:color w:val="000000" w:themeColor="text1"/>
          <w14:textFill>
            <w14:solidFill>
              <w14:schemeClr w14:val="tx1"/>
            </w14:solidFill>
          </w14:textFill>
        </w:rPr>
      </w:pPr>
      <w:bookmarkStart w:id="13" w:name="_Toc27495"/>
      <w:r>
        <w:rPr>
          <w:rFonts w:hint="eastAsia"/>
          <w:color w:val="000000" w:themeColor="text1"/>
          <w14:textFill>
            <w14:solidFill>
              <w14:schemeClr w14:val="tx1"/>
            </w14:solidFill>
          </w14:textFill>
        </w:rPr>
        <w:t>1.5.2 评价因子识别与筛选</w:t>
      </w:r>
      <w:bookmarkEnd w:id="13"/>
    </w:p>
    <w:p w14:paraId="305E180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根据拟建项目在施工期和运营期污染物排放特征、污染因子的影响程度和环境现状功能要求，经分析筛选确定的评价因子见表1.5-2。</w:t>
      </w:r>
    </w:p>
    <w:p w14:paraId="24CBA31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表1.5-2  评价因子一览表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348"/>
        <w:gridCol w:w="1168"/>
        <w:gridCol w:w="2731"/>
      </w:tblGrid>
      <w:tr w14:paraId="5515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48" w:type="pct"/>
            <w:vMerge w:val="restart"/>
            <w:vAlign w:val="center"/>
          </w:tcPr>
          <w:p w14:paraId="333BD9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环境要素</w:t>
            </w:r>
          </w:p>
        </w:tc>
        <w:tc>
          <w:tcPr>
            <w:tcW w:w="1964" w:type="pct"/>
            <w:vMerge w:val="restart"/>
            <w:vAlign w:val="center"/>
          </w:tcPr>
          <w:p w14:paraId="1A01EC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现状评价因子</w:t>
            </w:r>
          </w:p>
        </w:tc>
        <w:tc>
          <w:tcPr>
            <w:tcW w:w="2287" w:type="pct"/>
            <w:gridSpan w:val="2"/>
            <w:vAlign w:val="center"/>
          </w:tcPr>
          <w:p w14:paraId="56DC1B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预测评价因子</w:t>
            </w:r>
          </w:p>
        </w:tc>
      </w:tr>
      <w:tr w14:paraId="4012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48" w:type="pct"/>
            <w:vMerge w:val="continue"/>
            <w:vAlign w:val="center"/>
          </w:tcPr>
          <w:p w14:paraId="2FEDF988">
            <w:pPr>
              <w:pStyle w:val="28"/>
              <w:rPr>
                <w:color w:val="000000" w:themeColor="text1"/>
                <w14:textFill>
                  <w14:solidFill>
                    <w14:schemeClr w14:val="tx1"/>
                  </w14:solidFill>
                </w14:textFill>
              </w:rPr>
            </w:pPr>
          </w:p>
        </w:tc>
        <w:tc>
          <w:tcPr>
            <w:tcW w:w="1964" w:type="pct"/>
            <w:vMerge w:val="continue"/>
            <w:vAlign w:val="center"/>
          </w:tcPr>
          <w:p w14:paraId="578A99C4">
            <w:pPr>
              <w:pStyle w:val="28"/>
              <w:rPr>
                <w:color w:val="000000" w:themeColor="text1"/>
                <w14:textFill>
                  <w14:solidFill>
                    <w14:schemeClr w14:val="tx1"/>
                  </w14:solidFill>
                </w14:textFill>
              </w:rPr>
            </w:pPr>
          </w:p>
        </w:tc>
        <w:tc>
          <w:tcPr>
            <w:tcW w:w="685" w:type="pct"/>
            <w:vAlign w:val="center"/>
          </w:tcPr>
          <w:p w14:paraId="7B39D9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tc>
        <w:tc>
          <w:tcPr>
            <w:tcW w:w="1602" w:type="pct"/>
            <w:vAlign w:val="center"/>
          </w:tcPr>
          <w:p w14:paraId="75545A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r>
      <w:tr w14:paraId="2A09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305E08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1964" w:type="pct"/>
            <w:vAlign w:val="center"/>
          </w:tcPr>
          <w:p w14:paraId="22744529">
            <w:pPr>
              <w:pStyle w:val="28"/>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685" w:type="pct"/>
            <w:vAlign w:val="center"/>
          </w:tcPr>
          <w:p w14:paraId="618DFA27">
            <w:pPr>
              <w:pStyle w:val="28"/>
              <w:rPr>
                <w:color w:val="000000" w:themeColor="text1"/>
                <w14:textFill>
                  <w14:solidFill>
                    <w14:schemeClr w14:val="tx1"/>
                  </w14:solidFill>
                </w14:textFill>
              </w:rPr>
            </w:pPr>
            <w:r>
              <w:rPr>
                <w:color w:val="000000" w:themeColor="text1"/>
                <w14:textFill>
                  <w14:solidFill>
                    <w14:schemeClr w14:val="tx1"/>
                  </w14:solidFill>
                </w14:textFill>
              </w:rPr>
              <w:t>TSP</w:t>
            </w:r>
          </w:p>
        </w:tc>
        <w:tc>
          <w:tcPr>
            <w:tcW w:w="1602" w:type="pct"/>
            <w:vAlign w:val="center"/>
          </w:tcPr>
          <w:p w14:paraId="1EC29638">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S、臭气浓度</w:t>
            </w:r>
          </w:p>
        </w:tc>
      </w:tr>
      <w:tr w14:paraId="39D5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C582F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1964" w:type="pct"/>
            <w:vAlign w:val="center"/>
          </w:tcPr>
          <w:p w14:paraId="6E3180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、氨氮、总氮、总磷</w:t>
            </w:r>
          </w:p>
        </w:tc>
        <w:tc>
          <w:tcPr>
            <w:tcW w:w="685" w:type="pct"/>
            <w:vAlign w:val="center"/>
          </w:tcPr>
          <w:p w14:paraId="7C2B50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02" w:type="pct"/>
            <w:vAlign w:val="center"/>
          </w:tcPr>
          <w:p w14:paraId="24CF25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-N、TP、硫化物</w:t>
            </w:r>
          </w:p>
        </w:tc>
      </w:tr>
      <w:tr w14:paraId="3368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61277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1964" w:type="pct"/>
            <w:vAlign w:val="center"/>
          </w:tcPr>
          <w:p w14:paraId="1D80A4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等效声级</w:t>
            </w:r>
            <w:r>
              <w:rPr>
                <w:color w:val="000000" w:themeColor="text1"/>
                <w14:textFill>
                  <w14:solidFill>
                    <w14:schemeClr w14:val="tx1"/>
                  </w14:solidFill>
                </w14:textFill>
              </w:rPr>
              <w:t>Leq[dB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685" w:type="pct"/>
            <w:vAlign w:val="center"/>
          </w:tcPr>
          <w:p w14:paraId="6B4110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等效声级</w:t>
            </w:r>
            <w:r>
              <w:rPr>
                <w:color w:val="000000" w:themeColor="text1"/>
                <w14:textFill>
                  <w14:solidFill>
                    <w14:schemeClr w14:val="tx1"/>
                  </w14:solidFill>
                </w14:textFill>
              </w:rPr>
              <w:t>Leq[dB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1602" w:type="pct"/>
            <w:vAlign w:val="center"/>
          </w:tcPr>
          <w:p w14:paraId="3A142F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等效声级</w:t>
            </w:r>
            <w:r>
              <w:rPr>
                <w:color w:val="000000" w:themeColor="text1"/>
                <w14:textFill>
                  <w14:solidFill>
                    <w14:schemeClr w14:val="tx1"/>
                  </w14:solidFill>
                </w14:textFill>
              </w:rPr>
              <w:t>Leq[dB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r>
      <w:tr w14:paraId="169D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FF658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1964" w:type="pct"/>
            <w:vAlign w:val="center"/>
          </w:tcPr>
          <w:p w14:paraId="38AEAB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85" w:type="pct"/>
            <w:vAlign w:val="center"/>
          </w:tcPr>
          <w:p w14:paraId="1FE3F4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02" w:type="pct"/>
            <w:vAlign w:val="center"/>
          </w:tcPr>
          <w:p w14:paraId="072E4F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5A6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22209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w:t>
            </w:r>
          </w:p>
        </w:tc>
        <w:tc>
          <w:tcPr>
            <w:tcW w:w="1964" w:type="pct"/>
            <w:vAlign w:val="center"/>
          </w:tcPr>
          <w:p w14:paraId="2ECB866C">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、砷、镉、铬（六价）、铜、铅、汞、镍、锌、四氯化碳、氯仿、氯甲烷、</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二氯乙烷、</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二氯乙烷、</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二氯乙烯、顺</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二氯乙烯、反</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二氯乙烯、二氯甲烷、</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二氯丙烷、</w:t>
            </w:r>
            <w:r>
              <w:rPr>
                <w:color w:val="000000" w:themeColor="text1"/>
                <w14:textFill>
                  <w14:solidFill>
                    <w14:schemeClr w14:val="tx1"/>
                  </w14:solidFill>
                </w14:textFill>
              </w:rPr>
              <w:t>1,1,1,2-</w:t>
            </w:r>
            <w:r>
              <w:rPr>
                <w:rFonts w:hint="eastAsia"/>
                <w:color w:val="000000" w:themeColor="text1"/>
                <w14:textFill>
                  <w14:solidFill>
                    <w14:schemeClr w14:val="tx1"/>
                  </w14:solidFill>
                </w14:textFill>
              </w:rPr>
              <w:t>四氯乙烷、</w:t>
            </w:r>
            <w:r>
              <w:rPr>
                <w:color w:val="000000" w:themeColor="text1"/>
                <w14:textFill>
                  <w14:solidFill>
                    <w14:schemeClr w14:val="tx1"/>
                  </w14:solidFill>
                </w14:textFill>
              </w:rPr>
              <w:t>1,1,2,2-</w:t>
            </w:r>
            <w:r>
              <w:rPr>
                <w:rFonts w:hint="eastAsia"/>
                <w:color w:val="000000" w:themeColor="text1"/>
                <w14:textFill>
                  <w14:solidFill>
                    <w14:schemeClr w14:val="tx1"/>
                  </w14:solidFill>
                </w14:textFill>
              </w:rPr>
              <w:t>四氯乙烷、四氯乙烯、</w:t>
            </w:r>
            <w:r>
              <w:rPr>
                <w:color w:val="000000" w:themeColor="text1"/>
                <w14:textFill>
                  <w14:solidFill>
                    <w14:schemeClr w14:val="tx1"/>
                  </w14:solidFill>
                </w14:textFill>
              </w:rPr>
              <w:t>1,1,1-</w:t>
            </w:r>
            <w:r>
              <w:rPr>
                <w:rFonts w:hint="eastAsia"/>
                <w:color w:val="000000" w:themeColor="text1"/>
                <w14:textFill>
                  <w14:solidFill>
                    <w14:schemeClr w14:val="tx1"/>
                  </w14:solidFill>
                </w14:textFill>
              </w:rPr>
              <w:t>三氯乙烷、</w:t>
            </w:r>
            <w:r>
              <w:rPr>
                <w:color w:val="000000" w:themeColor="text1"/>
                <w14:textFill>
                  <w14:solidFill>
                    <w14:schemeClr w14:val="tx1"/>
                  </w14:solidFill>
                </w14:textFill>
              </w:rPr>
              <w:t>1,1,2-</w:t>
            </w:r>
            <w:r>
              <w:rPr>
                <w:rFonts w:hint="eastAsia"/>
                <w:color w:val="000000" w:themeColor="text1"/>
                <w14:textFill>
                  <w14:solidFill>
                    <w14:schemeClr w14:val="tx1"/>
                  </w14:solidFill>
                </w14:textFill>
              </w:rPr>
              <w:t>三氯乙烷、三氯乙烯、</w:t>
            </w:r>
            <w:r>
              <w:rPr>
                <w:color w:val="000000" w:themeColor="text1"/>
                <w14:textFill>
                  <w14:solidFill>
                    <w14:schemeClr w14:val="tx1"/>
                  </w14:solidFill>
                </w14:textFill>
              </w:rPr>
              <w:t>1,2,3-</w:t>
            </w:r>
            <w:r>
              <w:rPr>
                <w:rFonts w:hint="eastAsia"/>
                <w:color w:val="000000" w:themeColor="text1"/>
                <w14:textFill>
                  <w14:solidFill>
                    <w14:schemeClr w14:val="tx1"/>
                  </w14:solidFill>
                </w14:textFill>
              </w:rPr>
              <w:t>三氯丙烷、氯乙烯、苯、氯苯、</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二氯苯、</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二氯苯、乙苯、苯乙烯、甲苯、间二甲苯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对二甲苯、邻二甲苯、硝基苯、苯胺、</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氯酚、苯并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蒽、苯并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芘、苯并</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荧蒽、苯并</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荧蒽、䓛、二苯并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蒽、茚并</w:t>
            </w:r>
            <w:r>
              <w:rPr>
                <w:color w:val="000000" w:themeColor="text1"/>
                <w14:textFill>
                  <w14:solidFill>
                    <w14:schemeClr w14:val="tx1"/>
                  </w14:solidFill>
                </w14:textFill>
              </w:rPr>
              <w:t>[1,2,3-cd]</w:t>
            </w:r>
            <w:r>
              <w:rPr>
                <w:rFonts w:hint="eastAsia"/>
                <w:color w:val="000000" w:themeColor="text1"/>
                <w14:textFill>
                  <w14:solidFill>
                    <w14:schemeClr w14:val="tx1"/>
                  </w14:solidFill>
                </w14:textFill>
              </w:rPr>
              <w:t>、萘</w:t>
            </w:r>
          </w:p>
        </w:tc>
        <w:tc>
          <w:tcPr>
            <w:tcW w:w="685" w:type="pct"/>
            <w:vAlign w:val="center"/>
          </w:tcPr>
          <w:p w14:paraId="50F0A0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02" w:type="pct"/>
            <w:vAlign w:val="center"/>
          </w:tcPr>
          <w:p w14:paraId="3A4DCC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r>
      <w:tr w14:paraId="6455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522AA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964" w:type="pct"/>
            <w:vAlign w:val="center"/>
          </w:tcPr>
          <w:p w14:paraId="7DE607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85" w:type="pct"/>
            <w:vAlign w:val="center"/>
          </w:tcPr>
          <w:p w14:paraId="7CBAFD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建筑垃圾</w:t>
            </w:r>
          </w:p>
        </w:tc>
        <w:tc>
          <w:tcPr>
            <w:tcW w:w="1602" w:type="pct"/>
            <w:vAlign w:val="center"/>
          </w:tcPr>
          <w:p w14:paraId="2CA22A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生活垃圾、废包装材料、废有机溶剂、污水处理污泥、废活性炭、废导热油、测试残渣、废抹布、废手套、喷淋循环系统定期排污废液</w:t>
            </w:r>
          </w:p>
        </w:tc>
      </w:tr>
      <w:tr w14:paraId="38EE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0DFFAB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1964" w:type="pct"/>
            <w:vAlign w:val="center"/>
          </w:tcPr>
          <w:p w14:paraId="6A3C9D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85" w:type="pct"/>
            <w:vAlign w:val="center"/>
          </w:tcPr>
          <w:p w14:paraId="5D2A56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02" w:type="pct"/>
            <w:vAlign w:val="center"/>
          </w:tcPr>
          <w:p w14:paraId="24D205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泄漏、火灾爆炸、次生污染</w:t>
            </w:r>
          </w:p>
        </w:tc>
      </w:tr>
      <w:tr w14:paraId="3223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A53FC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1964" w:type="pct"/>
            <w:vAlign w:val="center"/>
          </w:tcPr>
          <w:p w14:paraId="74D322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动植物类型、占地类型</w:t>
            </w:r>
          </w:p>
        </w:tc>
        <w:tc>
          <w:tcPr>
            <w:tcW w:w="685" w:type="pct"/>
            <w:vAlign w:val="center"/>
          </w:tcPr>
          <w:p w14:paraId="08253C48">
            <w:pPr>
              <w:pStyle w:val="28"/>
              <w:rPr>
                <w:color w:val="000000" w:themeColor="text1"/>
                <w14:textFill>
                  <w14:solidFill>
                    <w14:schemeClr w14:val="tx1"/>
                  </w14:solidFill>
                </w14:textFill>
              </w:rPr>
            </w:pPr>
          </w:p>
        </w:tc>
        <w:tc>
          <w:tcPr>
            <w:tcW w:w="1602" w:type="pct"/>
            <w:vAlign w:val="center"/>
          </w:tcPr>
          <w:p w14:paraId="07963B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动植物类型、占地类型</w:t>
            </w:r>
          </w:p>
        </w:tc>
      </w:tr>
    </w:tbl>
    <w:p w14:paraId="323357AE">
      <w:pPr>
        <w:pStyle w:val="3"/>
        <w:rPr>
          <w:color w:val="000000" w:themeColor="text1"/>
          <w14:textFill>
            <w14:solidFill>
              <w14:schemeClr w14:val="tx1"/>
            </w14:solidFill>
          </w14:textFill>
        </w:rPr>
      </w:pPr>
      <w:bookmarkStart w:id="14" w:name="_Toc1271"/>
      <w:r>
        <w:rPr>
          <w:rFonts w:hint="eastAsia"/>
          <w:color w:val="000000" w:themeColor="text1"/>
          <w14:textFill>
            <w14:solidFill>
              <w14:schemeClr w14:val="tx1"/>
            </w14:solidFill>
          </w14:textFill>
        </w:rPr>
        <w:t>1.6评价标准</w:t>
      </w:r>
      <w:bookmarkEnd w:id="14"/>
    </w:p>
    <w:p w14:paraId="76B76CA0">
      <w:pPr>
        <w:pStyle w:val="4"/>
        <w:rPr>
          <w:color w:val="000000" w:themeColor="text1"/>
          <w14:textFill>
            <w14:solidFill>
              <w14:schemeClr w14:val="tx1"/>
            </w14:solidFill>
          </w14:textFill>
        </w:rPr>
      </w:pPr>
      <w:bookmarkStart w:id="15" w:name="_Toc17152"/>
      <w:r>
        <w:rPr>
          <w:rFonts w:hint="eastAsia"/>
          <w:color w:val="000000" w:themeColor="text1"/>
          <w14:textFill>
            <w14:solidFill>
              <w14:schemeClr w14:val="tx1"/>
            </w14:solidFill>
          </w14:textFill>
        </w:rPr>
        <w:t>1.6.1环境质量标准</w:t>
      </w:r>
      <w:bookmarkEnd w:id="15"/>
    </w:p>
    <w:p w14:paraId="75CF1BB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1.6.1.1环境空气</w:t>
      </w:r>
    </w:p>
    <w:p w14:paraId="2567941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玉溪高新区核心区九龙地块，项目环境空气功能区属二类区，环境空气质量六项基本因子执行《环境空气质量标准》（GB3095-2026）过渡阶段二级浓度限值，硫化氢、挥发性有机物执行《环境影响评价技术导则-大气环境》（HJ 2.2-2018）附录D。</w:t>
      </w:r>
      <w:r>
        <w:rPr>
          <w:rFonts w:hint="eastAsia"/>
          <w:color w:val="000000" w:themeColor="text1"/>
          <w:kern w:val="0"/>
          <w:szCs w:val="20"/>
          <w14:textFill>
            <w14:solidFill>
              <w14:schemeClr w14:val="tx1"/>
            </w14:solidFill>
          </w14:textFill>
        </w:rPr>
        <w:t>大气评价范围内涉及的九龙池风景名胜区执行《环境空气质量标准》（GB3095-2026）过渡阶段一级标准。</w:t>
      </w:r>
      <w:r>
        <w:rPr>
          <w:rFonts w:hint="eastAsia"/>
          <w:color w:val="000000" w:themeColor="text1"/>
          <w14:textFill>
            <w14:solidFill>
              <w14:schemeClr w14:val="tx1"/>
            </w14:solidFill>
          </w14:textFill>
        </w:rPr>
        <w:t>具体标准值见下表。</w:t>
      </w:r>
    </w:p>
    <w:p w14:paraId="11A961B8">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表1.6-1 《环境空气质量标准》（GB3095-2026）二级标准限值</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386"/>
        <w:gridCol w:w="1294"/>
        <w:gridCol w:w="1452"/>
        <w:gridCol w:w="3155"/>
      </w:tblGrid>
      <w:tr w14:paraId="605B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5" w:type="pct"/>
            <w:vMerge w:val="restart"/>
            <w:vAlign w:val="center"/>
          </w:tcPr>
          <w:p w14:paraId="52381014">
            <w:pPr>
              <w:pStyle w:val="28"/>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813" w:type="pct"/>
            <w:vMerge w:val="restart"/>
            <w:vAlign w:val="center"/>
          </w:tcPr>
          <w:p w14:paraId="5997DA4E">
            <w:pPr>
              <w:pStyle w:val="28"/>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1611" w:type="pct"/>
            <w:gridSpan w:val="2"/>
            <w:vMerge w:val="restart"/>
            <w:vAlign w:val="center"/>
          </w:tcPr>
          <w:p w14:paraId="23301F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过渡阶段</w:t>
            </w:r>
            <w:r>
              <w:rPr>
                <w:color w:val="000000" w:themeColor="text1"/>
                <w14:textFill>
                  <w14:solidFill>
                    <w14:schemeClr w14:val="tx1"/>
                  </w14:solidFill>
                </w14:textFill>
              </w:rPr>
              <w:t>浓度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限值</w:t>
            </w:r>
          </w:p>
        </w:tc>
        <w:tc>
          <w:tcPr>
            <w:tcW w:w="1849" w:type="pct"/>
            <w:vMerge w:val="restart"/>
            <w:vAlign w:val="center"/>
          </w:tcPr>
          <w:p w14:paraId="535EDEEF">
            <w:pPr>
              <w:pStyle w:val="28"/>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14:paraId="455D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5" w:type="pct"/>
            <w:vMerge w:val="continue"/>
            <w:vAlign w:val="center"/>
          </w:tcPr>
          <w:p w14:paraId="2A169322">
            <w:pPr>
              <w:pStyle w:val="28"/>
              <w:rPr>
                <w:color w:val="000000" w:themeColor="text1"/>
                <w14:textFill>
                  <w14:solidFill>
                    <w14:schemeClr w14:val="tx1"/>
                  </w14:solidFill>
                </w14:textFill>
              </w:rPr>
            </w:pPr>
          </w:p>
        </w:tc>
        <w:tc>
          <w:tcPr>
            <w:tcW w:w="813" w:type="pct"/>
            <w:vMerge w:val="continue"/>
            <w:vAlign w:val="center"/>
          </w:tcPr>
          <w:p w14:paraId="3F17372C">
            <w:pPr>
              <w:pStyle w:val="28"/>
              <w:rPr>
                <w:color w:val="000000" w:themeColor="text1"/>
                <w14:textFill>
                  <w14:solidFill>
                    <w14:schemeClr w14:val="tx1"/>
                  </w14:solidFill>
                </w14:textFill>
              </w:rPr>
            </w:pPr>
          </w:p>
        </w:tc>
        <w:tc>
          <w:tcPr>
            <w:tcW w:w="1611" w:type="pct"/>
            <w:gridSpan w:val="2"/>
            <w:vMerge w:val="continue"/>
            <w:vAlign w:val="center"/>
          </w:tcPr>
          <w:p w14:paraId="6FD575EF">
            <w:pPr>
              <w:pStyle w:val="28"/>
              <w:rPr>
                <w:color w:val="000000" w:themeColor="text1"/>
                <w14:textFill>
                  <w14:solidFill>
                    <w14:schemeClr w14:val="tx1"/>
                  </w14:solidFill>
                </w14:textFill>
              </w:rPr>
            </w:pPr>
          </w:p>
        </w:tc>
        <w:tc>
          <w:tcPr>
            <w:tcW w:w="1849" w:type="pct"/>
            <w:vMerge w:val="continue"/>
            <w:vAlign w:val="center"/>
          </w:tcPr>
          <w:p w14:paraId="0BB1F6FD">
            <w:pPr>
              <w:pStyle w:val="28"/>
              <w:rPr>
                <w:color w:val="000000" w:themeColor="text1"/>
                <w14:textFill>
                  <w14:solidFill>
                    <w14:schemeClr w14:val="tx1"/>
                  </w14:solidFill>
                </w14:textFill>
              </w:rPr>
            </w:pPr>
          </w:p>
        </w:tc>
      </w:tr>
      <w:tr w14:paraId="5F9F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25" w:type="pct"/>
            <w:vMerge w:val="continue"/>
            <w:vAlign w:val="center"/>
          </w:tcPr>
          <w:p w14:paraId="1CABC50D">
            <w:pPr>
              <w:pStyle w:val="28"/>
              <w:rPr>
                <w:color w:val="000000" w:themeColor="text1"/>
                <w14:textFill>
                  <w14:solidFill>
                    <w14:schemeClr w14:val="tx1"/>
                  </w14:solidFill>
                </w14:textFill>
              </w:rPr>
            </w:pPr>
          </w:p>
        </w:tc>
        <w:tc>
          <w:tcPr>
            <w:tcW w:w="813" w:type="pct"/>
            <w:vMerge w:val="continue"/>
            <w:vAlign w:val="center"/>
          </w:tcPr>
          <w:p w14:paraId="04B345BD">
            <w:pPr>
              <w:pStyle w:val="28"/>
              <w:rPr>
                <w:color w:val="000000" w:themeColor="text1"/>
                <w14:textFill>
                  <w14:solidFill>
                    <w14:schemeClr w14:val="tx1"/>
                  </w14:solidFill>
                </w14:textFill>
              </w:rPr>
            </w:pPr>
          </w:p>
        </w:tc>
        <w:tc>
          <w:tcPr>
            <w:tcW w:w="759" w:type="pct"/>
            <w:shd w:val="clear" w:color="auto" w:fill="auto"/>
            <w:vAlign w:val="center"/>
          </w:tcPr>
          <w:p w14:paraId="13D932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一级标准</w:t>
            </w:r>
          </w:p>
        </w:tc>
        <w:tc>
          <w:tcPr>
            <w:tcW w:w="851" w:type="pct"/>
            <w:shd w:val="clear" w:color="auto" w:fill="auto"/>
            <w:vAlign w:val="center"/>
          </w:tcPr>
          <w:p w14:paraId="73E107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二级标准</w:t>
            </w:r>
          </w:p>
        </w:tc>
        <w:tc>
          <w:tcPr>
            <w:tcW w:w="1849" w:type="pct"/>
            <w:vMerge w:val="continue"/>
            <w:vAlign w:val="center"/>
          </w:tcPr>
          <w:p w14:paraId="3EDB93BD">
            <w:pPr>
              <w:pStyle w:val="28"/>
              <w:rPr>
                <w:color w:val="000000" w:themeColor="text1"/>
                <w14:textFill>
                  <w14:solidFill>
                    <w14:schemeClr w14:val="tx1"/>
                  </w14:solidFill>
                </w14:textFill>
              </w:rPr>
            </w:pPr>
          </w:p>
        </w:tc>
      </w:tr>
      <w:tr w14:paraId="22CB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173EA0F6">
            <w:pPr>
              <w:pStyle w:val="28"/>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813" w:type="pct"/>
            <w:vAlign w:val="center"/>
          </w:tcPr>
          <w:p w14:paraId="58B1CA64">
            <w:pPr>
              <w:pStyle w:val="28"/>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759" w:type="pct"/>
            <w:shd w:val="clear" w:color="auto" w:fill="auto"/>
            <w:vAlign w:val="center"/>
          </w:tcPr>
          <w:p w14:paraId="310C69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851" w:type="pct"/>
            <w:shd w:val="clear" w:color="auto" w:fill="auto"/>
            <w:vAlign w:val="center"/>
          </w:tcPr>
          <w:p w14:paraId="1E74255E">
            <w:pPr>
              <w:pStyle w:val="2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849" w:type="pct"/>
            <w:vMerge w:val="restart"/>
            <w:vAlign w:val="center"/>
          </w:tcPr>
          <w:p w14:paraId="2A7D44F7">
            <w:pPr>
              <w:pStyle w:val="28"/>
              <w:rPr>
                <w:color w:val="000000" w:themeColor="text1"/>
                <w14:textFill>
                  <w14:solidFill>
                    <w14:schemeClr w14:val="tx1"/>
                  </w14:solidFill>
                </w14:textFill>
              </w:rPr>
            </w:pPr>
            <w:r>
              <w:rPr>
                <w:color w:val="000000" w:themeColor="text1"/>
                <w14:textFill>
                  <w14:solidFill>
                    <w14:schemeClr w14:val="tx1"/>
                  </w14:solidFill>
                </w14:textFill>
              </w:rPr>
              <w:t>《环境空气质量标准》（GB3095-20</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w:t>
            </w:r>
          </w:p>
        </w:tc>
      </w:tr>
      <w:tr w14:paraId="0EA5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72C26C11">
            <w:pPr>
              <w:pStyle w:val="28"/>
              <w:rPr>
                <w:color w:val="000000" w:themeColor="text1"/>
                <w14:textFill>
                  <w14:solidFill>
                    <w14:schemeClr w14:val="tx1"/>
                  </w14:solidFill>
                </w14:textFill>
              </w:rPr>
            </w:pPr>
          </w:p>
        </w:tc>
        <w:tc>
          <w:tcPr>
            <w:tcW w:w="813" w:type="pct"/>
            <w:vAlign w:val="center"/>
          </w:tcPr>
          <w:p w14:paraId="27B8C203">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59E93C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851" w:type="pct"/>
            <w:shd w:val="clear" w:color="auto" w:fill="auto"/>
            <w:vAlign w:val="center"/>
          </w:tcPr>
          <w:p w14:paraId="7706D545">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849" w:type="pct"/>
            <w:vMerge w:val="continue"/>
            <w:vAlign w:val="center"/>
          </w:tcPr>
          <w:p w14:paraId="3C95D67A">
            <w:pPr>
              <w:pStyle w:val="28"/>
              <w:rPr>
                <w:color w:val="000000" w:themeColor="text1"/>
                <w14:textFill>
                  <w14:solidFill>
                    <w14:schemeClr w14:val="tx1"/>
                  </w14:solidFill>
                </w14:textFill>
              </w:rPr>
            </w:pPr>
          </w:p>
        </w:tc>
      </w:tr>
      <w:tr w14:paraId="48D0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095CFE6E">
            <w:pPr>
              <w:pStyle w:val="28"/>
              <w:rPr>
                <w:color w:val="000000" w:themeColor="text1"/>
                <w14:textFill>
                  <w14:solidFill>
                    <w14:schemeClr w14:val="tx1"/>
                  </w14:solidFill>
                </w14:textFill>
              </w:rPr>
            </w:pPr>
          </w:p>
        </w:tc>
        <w:tc>
          <w:tcPr>
            <w:tcW w:w="813" w:type="pct"/>
            <w:vAlign w:val="center"/>
          </w:tcPr>
          <w:p w14:paraId="4F99828C">
            <w:pPr>
              <w:pStyle w:val="28"/>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759" w:type="pct"/>
            <w:shd w:val="clear" w:color="auto" w:fill="auto"/>
            <w:vAlign w:val="center"/>
          </w:tcPr>
          <w:p w14:paraId="25D035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851" w:type="pct"/>
            <w:shd w:val="clear" w:color="auto" w:fill="auto"/>
            <w:vAlign w:val="center"/>
          </w:tcPr>
          <w:p w14:paraId="4F060C25">
            <w:pPr>
              <w:pStyle w:val="28"/>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849" w:type="pct"/>
            <w:vMerge w:val="continue"/>
            <w:vAlign w:val="center"/>
          </w:tcPr>
          <w:p w14:paraId="738241F4">
            <w:pPr>
              <w:pStyle w:val="28"/>
              <w:rPr>
                <w:color w:val="000000" w:themeColor="text1"/>
                <w14:textFill>
                  <w14:solidFill>
                    <w14:schemeClr w14:val="tx1"/>
                  </w14:solidFill>
                </w14:textFill>
              </w:rPr>
            </w:pPr>
          </w:p>
        </w:tc>
      </w:tr>
      <w:tr w14:paraId="62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00B3AA53">
            <w:pPr>
              <w:pStyle w:val="28"/>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813" w:type="pct"/>
            <w:vAlign w:val="center"/>
          </w:tcPr>
          <w:p w14:paraId="0799DB38">
            <w:pPr>
              <w:pStyle w:val="28"/>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759" w:type="pct"/>
            <w:shd w:val="clear" w:color="auto" w:fill="auto"/>
            <w:vAlign w:val="center"/>
          </w:tcPr>
          <w:p w14:paraId="2BC925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851" w:type="pct"/>
            <w:shd w:val="clear" w:color="auto" w:fill="auto"/>
            <w:vAlign w:val="center"/>
          </w:tcPr>
          <w:p w14:paraId="456AE499">
            <w:pPr>
              <w:pStyle w:val="2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849" w:type="pct"/>
            <w:vMerge w:val="continue"/>
            <w:vAlign w:val="center"/>
          </w:tcPr>
          <w:p w14:paraId="5443E803">
            <w:pPr>
              <w:pStyle w:val="28"/>
              <w:rPr>
                <w:color w:val="000000" w:themeColor="text1"/>
                <w14:textFill>
                  <w14:solidFill>
                    <w14:schemeClr w14:val="tx1"/>
                  </w14:solidFill>
                </w14:textFill>
              </w:rPr>
            </w:pPr>
          </w:p>
        </w:tc>
      </w:tr>
      <w:tr w14:paraId="2CF1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4AA18A26">
            <w:pPr>
              <w:pStyle w:val="28"/>
              <w:rPr>
                <w:color w:val="000000" w:themeColor="text1"/>
                <w14:textFill>
                  <w14:solidFill>
                    <w14:schemeClr w14:val="tx1"/>
                  </w14:solidFill>
                </w14:textFill>
              </w:rPr>
            </w:pPr>
          </w:p>
        </w:tc>
        <w:tc>
          <w:tcPr>
            <w:tcW w:w="813" w:type="pct"/>
            <w:vAlign w:val="center"/>
          </w:tcPr>
          <w:p w14:paraId="323DA2B5">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481247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851" w:type="pct"/>
            <w:shd w:val="clear" w:color="auto" w:fill="auto"/>
            <w:vAlign w:val="center"/>
          </w:tcPr>
          <w:p w14:paraId="3F5A47FC">
            <w:pPr>
              <w:pStyle w:val="2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849" w:type="pct"/>
            <w:vMerge w:val="continue"/>
            <w:vAlign w:val="center"/>
          </w:tcPr>
          <w:p w14:paraId="7E024D95">
            <w:pPr>
              <w:pStyle w:val="28"/>
              <w:rPr>
                <w:color w:val="000000" w:themeColor="text1"/>
                <w14:textFill>
                  <w14:solidFill>
                    <w14:schemeClr w14:val="tx1"/>
                  </w14:solidFill>
                </w14:textFill>
              </w:rPr>
            </w:pPr>
          </w:p>
        </w:tc>
      </w:tr>
      <w:tr w14:paraId="6EFC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4E87F6AE">
            <w:pPr>
              <w:pStyle w:val="28"/>
              <w:rPr>
                <w:color w:val="000000" w:themeColor="text1"/>
                <w14:textFill>
                  <w14:solidFill>
                    <w14:schemeClr w14:val="tx1"/>
                  </w14:solidFill>
                </w14:textFill>
              </w:rPr>
            </w:pPr>
          </w:p>
        </w:tc>
        <w:tc>
          <w:tcPr>
            <w:tcW w:w="813" w:type="pct"/>
            <w:vAlign w:val="center"/>
          </w:tcPr>
          <w:p w14:paraId="510F44D5">
            <w:pPr>
              <w:pStyle w:val="28"/>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759" w:type="pct"/>
            <w:shd w:val="clear" w:color="auto" w:fill="auto"/>
            <w:vAlign w:val="center"/>
          </w:tcPr>
          <w:p w14:paraId="3535D1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851" w:type="pct"/>
            <w:shd w:val="clear" w:color="auto" w:fill="auto"/>
            <w:vAlign w:val="center"/>
          </w:tcPr>
          <w:p w14:paraId="4C605953">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49" w:type="pct"/>
            <w:vMerge w:val="continue"/>
            <w:vAlign w:val="center"/>
          </w:tcPr>
          <w:p w14:paraId="3FFFED40">
            <w:pPr>
              <w:pStyle w:val="28"/>
              <w:rPr>
                <w:color w:val="000000" w:themeColor="text1"/>
                <w14:textFill>
                  <w14:solidFill>
                    <w14:schemeClr w14:val="tx1"/>
                  </w14:solidFill>
                </w14:textFill>
              </w:rPr>
            </w:pPr>
          </w:p>
        </w:tc>
      </w:tr>
      <w:tr w14:paraId="3D6E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7A504ACD">
            <w:pPr>
              <w:pStyle w:val="28"/>
              <w:rPr>
                <w:color w:val="000000" w:themeColor="text1"/>
                <w14:textFill>
                  <w14:solidFill>
                    <w14:schemeClr w14:val="tx1"/>
                  </w14:solidFill>
                </w14:textFill>
              </w:rPr>
            </w:pPr>
            <w:r>
              <w:rPr>
                <w:color w:val="000000" w:themeColor="text1"/>
                <w14:textFill>
                  <w14:solidFill>
                    <w14:schemeClr w14:val="tx1"/>
                  </w14:solidFill>
                </w14:textFill>
              </w:rPr>
              <w:t>CO</w:t>
            </w:r>
          </w:p>
        </w:tc>
        <w:tc>
          <w:tcPr>
            <w:tcW w:w="813" w:type="pct"/>
            <w:vAlign w:val="center"/>
          </w:tcPr>
          <w:p w14:paraId="75529FC4">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50961A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p>
        </w:tc>
        <w:tc>
          <w:tcPr>
            <w:tcW w:w="851" w:type="pct"/>
            <w:shd w:val="clear" w:color="auto" w:fill="auto"/>
            <w:vAlign w:val="center"/>
          </w:tcPr>
          <w:p w14:paraId="3ADB21FB">
            <w:pPr>
              <w:pStyle w:val="28"/>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000</w:t>
            </w:r>
          </w:p>
        </w:tc>
        <w:tc>
          <w:tcPr>
            <w:tcW w:w="1849" w:type="pct"/>
            <w:vMerge w:val="continue"/>
            <w:vAlign w:val="center"/>
          </w:tcPr>
          <w:p w14:paraId="2DE52A6F">
            <w:pPr>
              <w:pStyle w:val="28"/>
              <w:rPr>
                <w:color w:val="000000" w:themeColor="text1"/>
                <w14:textFill>
                  <w14:solidFill>
                    <w14:schemeClr w14:val="tx1"/>
                  </w14:solidFill>
                </w14:textFill>
              </w:rPr>
            </w:pPr>
          </w:p>
        </w:tc>
      </w:tr>
      <w:tr w14:paraId="062C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665FA144">
            <w:pPr>
              <w:pStyle w:val="28"/>
              <w:rPr>
                <w:color w:val="000000" w:themeColor="text1"/>
                <w14:textFill>
                  <w14:solidFill>
                    <w14:schemeClr w14:val="tx1"/>
                  </w14:solidFill>
                </w14:textFill>
              </w:rPr>
            </w:pPr>
          </w:p>
        </w:tc>
        <w:tc>
          <w:tcPr>
            <w:tcW w:w="813" w:type="pct"/>
            <w:vAlign w:val="center"/>
          </w:tcPr>
          <w:p w14:paraId="7DBAA06A">
            <w:pPr>
              <w:pStyle w:val="28"/>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759" w:type="pct"/>
            <w:shd w:val="clear" w:color="auto" w:fill="auto"/>
            <w:vAlign w:val="center"/>
          </w:tcPr>
          <w:p w14:paraId="326D20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851" w:type="pct"/>
            <w:shd w:val="clear" w:color="auto" w:fill="auto"/>
            <w:vAlign w:val="center"/>
          </w:tcPr>
          <w:p w14:paraId="40C1F8A3">
            <w:pPr>
              <w:pStyle w:val="28"/>
              <w:rPr>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000</w:t>
            </w:r>
          </w:p>
        </w:tc>
        <w:tc>
          <w:tcPr>
            <w:tcW w:w="1849" w:type="pct"/>
            <w:vMerge w:val="continue"/>
            <w:vAlign w:val="center"/>
          </w:tcPr>
          <w:p w14:paraId="566F9C6B">
            <w:pPr>
              <w:pStyle w:val="28"/>
              <w:rPr>
                <w:color w:val="000000" w:themeColor="text1"/>
                <w14:textFill>
                  <w14:solidFill>
                    <w14:schemeClr w14:val="tx1"/>
                  </w14:solidFill>
                </w14:textFill>
              </w:rPr>
            </w:pPr>
          </w:p>
        </w:tc>
      </w:tr>
      <w:tr w14:paraId="26B6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pct"/>
            <w:vMerge w:val="restart"/>
            <w:vAlign w:val="center"/>
          </w:tcPr>
          <w:p w14:paraId="038D53ED">
            <w:pPr>
              <w:pStyle w:val="28"/>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813" w:type="pct"/>
            <w:vAlign w:val="center"/>
          </w:tcPr>
          <w:p w14:paraId="5FD9670A">
            <w:pPr>
              <w:pStyle w:val="28"/>
              <w:rPr>
                <w:color w:val="000000" w:themeColor="text1"/>
                <w14:textFill>
                  <w14:solidFill>
                    <w14:schemeClr w14:val="tx1"/>
                  </w14:solidFill>
                </w14:textFill>
              </w:rPr>
            </w:pPr>
            <w:r>
              <w:rPr>
                <w:color w:val="000000" w:themeColor="text1"/>
                <w14:textFill>
                  <w14:solidFill>
                    <w14:schemeClr w14:val="tx1"/>
                  </w14:solidFill>
                </w14:textFill>
              </w:rPr>
              <w:t>日最大8小时平均</w:t>
            </w:r>
          </w:p>
        </w:tc>
        <w:tc>
          <w:tcPr>
            <w:tcW w:w="759" w:type="pct"/>
            <w:shd w:val="clear" w:color="auto" w:fill="auto"/>
            <w:vAlign w:val="center"/>
          </w:tcPr>
          <w:p w14:paraId="68D96A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51" w:type="pct"/>
            <w:shd w:val="clear" w:color="auto" w:fill="auto"/>
            <w:vAlign w:val="center"/>
          </w:tcPr>
          <w:p w14:paraId="4448746E">
            <w:pPr>
              <w:pStyle w:val="28"/>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849" w:type="pct"/>
            <w:vMerge w:val="continue"/>
            <w:vAlign w:val="center"/>
          </w:tcPr>
          <w:p w14:paraId="6908785A">
            <w:pPr>
              <w:pStyle w:val="28"/>
              <w:rPr>
                <w:color w:val="000000" w:themeColor="text1"/>
                <w14:textFill>
                  <w14:solidFill>
                    <w14:schemeClr w14:val="tx1"/>
                  </w14:solidFill>
                </w14:textFill>
              </w:rPr>
            </w:pPr>
          </w:p>
        </w:tc>
      </w:tr>
      <w:tr w14:paraId="0B82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4B19FF86">
            <w:pPr>
              <w:pStyle w:val="28"/>
              <w:rPr>
                <w:color w:val="000000" w:themeColor="text1"/>
                <w14:textFill>
                  <w14:solidFill>
                    <w14:schemeClr w14:val="tx1"/>
                  </w14:solidFill>
                </w14:textFill>
              </w:rPr>
            </w:pPr>
          </w:p>
        </w:tc>
        <w:tc>
          <w:tcPr>
            <w:tcW w:w="813" w:type="pct"/>
            <w:vAlign w:val="center"/>
          </w:tcPr>
          <w:p w14:paraId="3F6C860E">
            <w:pPr>
              <w:pStyle w:val="28"/>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759" w:type="pct"/>
            <w:shd w:val="clear" w:color="auto" w:fill="auto"/>
            <w:vAlign w:val="center"/>
          </w:tcPr>
          <w:p w14:paraId="395BD3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851" w:type="pct"/>
            <w:shd w:val="clear" w:color="auto" w:fill="auto"/>
            <w:vAlign w:val="center"/>
          </w:tcPr>
          <w:p w14:paraId="4E8163ED">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49" w:type="pct"/>
            <w:vMerge w:val="continue"/>
            <w:vAlign w:val="center"/>
          </w:tcPr>
          <w:p w14:paraId="65D5154C">
            <w:pPr>
              <w:pStyle w:val="28"/>
              <w:rPr>
                <w:color w:val="000000" w:themeColor="text1"/>
                <w14:textFill>
                  <w14:solidFill>
                    <w14:schemeClr w14:val="tx1"/>
                  </w14:solidFill>
                </w14:textFill>
              </w:rPr>
            </w:pPr>
          </w:p>
        </w:tc>
      </w:tr>
      <w:tr w14:paraId="7A94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38045C73">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813" w:type="pct"/>
            <w:vAlign w:val="center"/>
          </w:tcPr>
          <w:p w14:paraId="1A5B769B">
            <w:pPr>
              <w:pStyle w:val="28"/>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759" w:type="pct"/>
            <w:shd w:val="clear" w:color="auto" w:fill="auto"/>
            <w:vAlign w:val="center"/>
          </w:tcPr>
          <w:p w14:paraId="56AC40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851" w:type="pct"/>
            <w:shd w:val="clear" w:color="auto" w:fill="auto"/>
            <w:vAlign w:val="center"/>
          </w:tcPr>
          <w:p w14:paraId="38B914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849" w:type="pct"/>
            <w:vMerge w:val="continue"/>
            <w:vAlign w:val="center"/>
          </w:tcPr>
          <w:p w14:paraId="0803C670">
            <w:pPr>
              <w:pStyle w:val="28"/>
              <w:rPr>
                <w:color w:val="000000" w:themeColor="text1"/>
                <w14:textFill>
                  <w14:solidFill>
                    <w14:schemeClr w14:val="tx1"/>
                  </w14:solidFill>
                </w14:textFill>
              </w:rPr>
            </w:pPr>
          </w:p>
        </w:tc>
      </w:tr>
      <w:tr w14:paraId="7429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1BEE9109">
            <w:pPr>
              <w:pStyle w:val="28"/>
              <w:rPr>
                <w:color w:val="000000" w:themeColor="text1"/>
                <w14:textFill>
                  <w14:solidFill>
                    <w14:schemeClr w14:val="tx1"/>
                  </w14:solidFill>
                </w14:textFill>
              </w:rPr>
            </w:pPr>
          </w:p>
        </w:tc>
        <w:tc>
          <w:tcPr>
            <w:tcW w:w="813" w:type="pct"/>
            <w:vAlign w:val="center"/>
          </w:tcPr>
          <w:p w14:paraId="2A3EBA0C">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56AEAD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851" w:type="pct"/>
            <w:shd w:val="clear" w:color="auto" w:fill="auto"/>
            <w:vAlign w:val="center"/>
          </w:tcPr>
          <w:p w14:paraId="24A51E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849" w:type="pct"/>
            <w:vMerge w:val="continue"/>
            <w:vAlign w:val="center"/>
          </w:tcPr>
          <w:p w14:paraId="03CA2B2E">
            <w:pPr>
              <w:pStyle w:val="28"/>
              <w:rPr>
                <w:color w:val="000000" w:themeColor="text1"/>
                <w14:textFill>
                  <w14:solidFill>
                    <w14:schemeClr w14:val="tx1"/>
                  </w14:solidFill>
                </w14:textFill>
              </w:rPr>
            </w:pPr>
          </w:p>
        </w:tc>
      </w:tr>
      <w:tr w14:paraId="3724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6A413A74">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813" w:type="pct"/>
            <w:vAlign w:val="center"/>
          </w:tcPr>
          <w:p w14:paraId="636C5CAA">
            <w:pPr>
              <w:pStyle w:val="28"/>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759" w:type="pct"/>
            <w:shd w:val="clear" w:color="auto" w:fill="auto"/>
            <w:vAlign w:val="center"/>
          </w:tcPr>
          <w:p w14:paraId="0E89D5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51" w:type="pct"/>
            <w:shd w:val="clear" w:color="auto" w:fill="auto"/>
            <w:vAlign w:val="center"/>
          </w:tcPr>
          <w:p w14:paraId="6B9C2B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849" w:type="pct"/>
            <w:vMerge w:val="continue"/>
            <w:vAlign w:val="center"/>
          </w:tcPr>
          <w:p w14:paraId="28F84ADD">
            <w:pPr>
              <w:pStyle w:val="28"/>
              <w:rPr>
                <w:color w:val="000000" w:themeColor="text1"/>
                <w14:textFill>
                  <w14:solidFill>
                    <w14:schemeClr w14:val="tx1"/>
                  </w14:solidFill>
                </w14:textFill>
              </w:rPr>
            </w:pPr>
          </w:p>
        </w:tc>
      </w:tr>
      <w:tr w14:paraId="77D2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1BC9B41E">
            <w:pPr>
              <w:pStyle w:val="28"/>
              <w:rPr>
                <w:color w:val="000000" w:themeColor="text1"/>
                <w14:textFill>
                  <w14:solidFill>
                    <w14:schemeClr w14:val="tx1"/>
                  </w14:solidFill>
                </w14:textFill>
              </w:rPr>
            </w:pPr>
          </w:p>
        </w:tc>
        <w:tc>
          <w:tcPr>
            <w:tcW w:w="813" w:type="pct"/>
            <w:vAlign w:val="center"/>
          </w:tcPr>
          <w:p w14:paraId="240F93E7">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36DB5D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851" w:type="pct"/>
            <w:shd w:val="clear" w:color="auto" w:fill="auto"/>
            <w:vAlign w:val="center"/>
          </w:tcPr>
          <w:p w14:paraId="664979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849" w:type="pct"/>
            <w:vMerge w:val="continue"/>
            <w:vAlign w:val="center"/>
          </w:tcPr>
          <w:p w14:paraId="752B9DA9">
            <w:pPr>
              <w:pStyle w:val="28"/>
              <w:rPr>
                <w:color w:val="000000" w:themeColor="text1"/>
                <w14:textFill>
                  <w14:solidFill>
                    <w14:schemeClr w14:val="tx1"/>
                  </w14:solidFill>
                </w14:textFill>
              </w:rPr>
            </w:pPr>
          </w:p>
        </w:tc>
      </w:tr>
      <w:tr w14:paraId="2415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vAlign w:val="center"/>
          </w:tcPr>
          <w:p w14:paraId="724A22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TSP</w:t>
            </w:r>
          </w:p>
        </w:tc>
        <w:tc>
          <w:tcPr>
            <w:tcW w:w="813" w:type="pct"/>
            <w:shd w:val="clear" w:color="auto" w:fill="auto"/>
            <w:vAlign w:val="center"/>
          </w:tcPr>
          <w:p w14:paraId="212C6AD3">
            <w:pPr>
              <w:pStyle w:val="28"/>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759" w:type="pct"/>
            <w:shd w:val="clear" w:color="auto" w:fill="auto"/>
            <w:vAlign w:val="center"/>
          </w:tcPr>
          <w:p w14:paraId="6907D3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51" w:type="pct"/>
            <w:shd w:val="clear" w:color="auto" w:fill="auto"/>
            <w:vAlign w:val="center"/>
          </w:tcPr>
          <w:p w14:paraId="0CAF97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49" w:type="pct"/>
            <w:vMerge w:val="continue"/>
            <w:vAlign w:val="center"/>
          </w:tcPr>
          <w:p w14:paraId="6A8031F3">
            <w:pPr>
              <w:pStyle w:val="28"/>
              <w:rPr>
                <w:color w:val="000000" w:themeColor="text1"/>
                <w14:textFill>
                  <w14:solidFill>
                    <w14:schemeClr w14:val="tx1"/>
                  </w14:solidFill>
                </w14:textFill>
              </w:rPr>
            </w:pPr>
          </w:p>
        </w:tc>
      </w:tr>
      <w:tr w14:paraId="71BE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vAlign w:val="center"/>
          </w:tcPr>
          <w:p w14:paraId="5B351A7D">
            <w:pPr>
              <w:pStyle w:val="28"/>
              <w:rPr>
                <w:color w:val="000000" w:themeColor="text1"/>
                <w14:textFill>
                  <w14:solidFill>
                    <w14:schemeClr w14:val="tx1"/>
                  </w14:solidFill>
                </w14:textFill>
              </w:rPr>
            </w:pPr>
          </w:p>
        </w:tc>
        <w:tc>
          <w:tcPr>
            <w:tcW w:w="813" w:type="pct"/>
            <w:shd w:val="clear" w:color="auto" w:fill="auto"/>
            <w:vAlign w:val="center"/>
          </w:tcPr>
          <w:p w14:paraId="1F460BD2">
            <w:pPr>
              <w:pStyle w:val="28"/>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759" w:type="pct"/>
            <w:shd w:val="clear" w:color="auto" w:fill="auto"/>
            <w:vAlign w:val="center"/>
          </w:tcPr>
          <w:p w14:paraId="279A96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51" w:type="pct"/>
            <w:shd w:val="clear" w:color="auto" w:fill="auto"/>
            <w:vAlign w:val="center"/>
          </w:tcPr>
          <w:p w14:paraId="4E2438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49" w:type="pct"/>
            <w:vMerge w:val="continue"/>
            <w:vAlign w:val="center"/>
          </w:tcPr>
          <w:p w14:paraId="0212962A">
            <w:pPr>
              <w:pStyle w:val="28"/>
              <w:rPr>
                <w:color w:val="000000" w:themeColor="text1"/>
                <w14:textFill>
                  <w14:solidFill>
                    <w14:schemeClr w14:val="tx1"/>
                  </w14:solidFill>
                </w14:textFill>
              </w:rPr>
            </w:pPr>
          </w:p>
        </w:tc>
      </w:tr>
      <w:tr w14:paraId="1609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shd w:val="clear" w:color="auto" w:fill="auto"/>
            <w:vAlign w:val="center"/>
          </w:tcPr>
          <w:p w14:paraId="2C619C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813" w:type="pct"/>
            <w:shd w:val="clear" w:color="auto" w:fill="auto"/>
            <w:vAlign w:val="center"/>
          </w:tcPr>
          <w:p w14:paraId="37BF86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1小时平均</w:t>
            </w:r>
          </w:p>
        </w:tc>
        <w:tc>
          <w:tcPr>
            <w:tcW w:w="1611" w:type="pct"/>
            <w:gridSpan w:val="2"/>
            <w:shd w:val="clear" w:color="auto" w:fill="auto"/>
            <w:vAlign w:val="center"/>
          </w:tcPr>
          <w:p w14:paraId="5B720A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849" w:type="pct"/>
            <w:vMerge w:val="restart"/>
            <w:vAlign w:val="center"/>
          </w:tcPr>
          <w:p w14:paraId="30DC7F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《环境影响评价技术导则-大气环境》（HJ 2.2-2018）附录D</w:t>
            </w:r>
          </w:p>
        </w:tc>
      </w:tr>
      <w:tr w14:paraId="7BC8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shd w:val="clear" w:color="auto" w:fill="auto"/>
            <w:vAlign w:val="center"/>
          </w:tcPr>
          <w:p w14:paraId="151B10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w:t>
            </w:r>
          </w:p>
        </w:tc>
        <w:tc>
          <w:tcPr>
            <w:tcW w:w="813" w:type="pct"/>
            <w:shd w:val="clear" w:color="auto" w:fill="auto"/>
            <w:vAlign w:val="center"/>
          </w:tcPr>
          <w:p w14:paraId="4A6182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8h平均</w:t>
            </w:r>
          </w:p>
        </w:tc>
        <w:tc>
          <w:tcPr>
            <w:tcW w:w="1611" w:type="pct"/>
            <w:gridSpan w:val="2"/>
            <w:shd w:val="clear" w:color="auto" w:fill="auto"/>
            <w:vAlign w:val="center"/>
          </w:tcPr>
          <w:p w14:paraId="7C2F4D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1849" w:type="pct"/>
            <w:vMerge w:val="continue"/>
            <w:vAlign w:val="center"/>
          </w:tcPr>
          <w:p w14:paraId="2155A034">
            <w:pPr>
              <w:pStyle w:val="28"/>
              <w:rPr>
                <w:color w:val="000000" w:themeColor="text1"/>
                <w14:textFill>
                  <w14:solidFill>
                    <w14:schemeClr w14:val="tx1"/>
                  </w14:solidFill>
                </w14:textFill>
              </w:rPr>
            </w:pPr>
          </w:p>
        </w:tc>
      </w:tr>
      <w:tr w14:paraId="3AB2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2CE60092">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备注：①自标准实施起（2026年3月1日实施）至2030年12月31日止，实施过度阶段浓度限值。</w:t>
            </w:r>
          </w:p>
          <w:p w14:paraId="61F7C8A9">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②2031年1月1日起实施基本项目浓度限值。</w:t>
            </w:r>
          </w:p>
          <w:p w14:paraId="1F6E4615">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③本项目目前实施过渡阶段浓度限值。</w:t>
            </w:r>
          </w:p>
        </w:tc>
      </w:tr>
    </w:tbl>
    <w:p w14:paraId="481A8C0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1.6.1.2地表水</w:t>
      </w:r>
    </w:p>
    <w:p w14:paraId="3D7A31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本项目地表径流受纳水体为老西河（位于项目东面655m处），最终汇入玉溪大河。根据《云南省水功能区划》（</w:t>
      </w:r>
      <w:r>
        <w:rPr>
          <w:rFonts w:hint="eastAsia"/>
          <w:color w:val="000000" w:themeColor="text1"/>
          <w:lang w:eastAsia="zh-CN"/>
          <w14:textFill>
            <w14:solidFill>
              <w14:schemeClr w14:val="tx1"/>
            </w14:solidFill>
          </w14:textFill>
        </w:rPr>
        <w:t>2014年修订</w:t>
      </w:r>
      <w:r>
        <w:rPr>
          <w:rFonts w:hint="eastAsia"/>
          <w:color w:val="000000" w:themeColor="text1"/>
          <w14:textFill>
            <w14:solidFill>
              <w14:schemeClr w14:val="tx1"/>
            </w14:solidFill>
          </w14:textFill>
        </w:rPr>
        <w:t>），水环境功能为景观、农业用水，2030年玉溪大河水质目标</w:t>
      </w:r>
      <w:r>
        <w:rPr>
          <w:rFonts w:cs="Times New Roman"/>
          <w:color w:val="000000" w:themeColor="text1"/>
          <w14:textFill>
            <w14:solidFill>
              <w14:schemeClr w14:val="tx1"/>
            </w14:solidFill>
          </w14:textFill>
        </w:rPr>
        <w:t>为Ⅲ</w:t>
      </w:r>
      <w:r>
        <w:rPr>
          <w:rFonts w:hint="eastAsia"/>
          <w:color w:val="000000" w:themeColor="text1"/>
          <w14:textFill>
            <w14:solidFill>
              <w14:schemeClr w14:val="tx1"/>
            </w14:solidFill>
          </w14:textFill>
        </w:rPr>
        <w:t>类，执行《地表水环境质量标准》（GB3838-2002）中Ⅲ类标准。根据《玉溪高新技术产业开发区总体规划修编（2021-2035年）环境影响报告书》西河、老西河水质执行《地表水环境质量标准》（GB3838-2002）</w:t>
      </w:r>
      <w:r>
        <w:rPr>
          <w:color w:val="000000" w:themeColor="text1"/>
          <w14:textFill>
            <w14:solidFill>
              <w14:schemeClr w14:val="tx1"/>
            </w14:solidFill>
          </w14:textFill>
        </w:rPr>
        <w:t>Ⅴ</w:t>
      </w:r>
      <w:r>
        <w:rPr>
          <w:rFonts w:hint="eastAsia"/>
          <w:color w:val="000000" w:themeColor="text1"/>
          <w14:textFill>
            <w14:solidFill>
              <w14:schemeClr w14:val="tx1"/>
            </w14:solidFill>
          </w14:textFill>
        </w:rPr>
        <w:t>类标准。具体标准限值</w:t>
      </w:r>
      <w:r>
        <w:rPr>
          <w:color w:val="000000" w:themeColor="text1"/>
          <w14:textFill>
            <w14:solidFill>
              <w14:schemeClr w14:val="tx1"/>
            </w14:solidFill>
          </w14:textFill>
        </w:rPr>
        <w:t>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13D9F49E">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1.6-2</w:t>
      </w:r>
      <w:r>
        <w:rPr>
          <w:color w:val="000000" w:themeColor="text1"/>
          <w14:textFill>
            <w14:solidFill>
              <w14:schemeClr w14:val="tx1"/>
            </w14:solidFill>
          </w14:textFill>
        </w:rPr>
        <w:t xml:space="preserve">  地表水环境质量标准限值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单位：mg/L（pH无量纲）</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187"/>
        <w:gridCol w:w="1227"/>
        <w:gridCol w:w="2148"/>
        <w:gridCol w:w="1227"/>
        <w:gridCol w:w="1129"/>
      </w:tblGrid>
      <w:tr w14:paraId="7F3D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41" w:type="pct"/>
            <w:vAlign w:val="center"/>
          </w:tcPr>
          <w:p w14:paraId="2B8A089F">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6" w:type="pct"/>
            <w:vAlign w:val="center"/>
          </w:tcPr>
          <w:p w14:paraId="69799094">
            <w:pPr>
              <w:pStyle w:val="28"/>
              <w:rPr>
                <w:color w:val="000000" w:themeColor="text1"/>
                <w14:textFill>
                  <w14:solidFill>
                    <w14:schemeClr w14:val="tx1"/>
                  </w14:solidFill>
                </w14:textFill>
              </w:rPr>
            </w:pPr>
            <w:r>
              <w:rPr>
                <w:color w:val="000000" w:themeColor="text1"/>
                <w14:textFill>
                  <w14:solidFill>
                    <w14:schemeClr w14:val="tx1"/>
                  </w14:solidFill>
                </w14:textFill>
              </w:rPr>
              <w:t>pH</w:t>
            </w:r>
          </w:p>
        </w:tc>
        <w:tc>
          <w:tcPr>
            <w:tcW w:w="720" w:type="pct"/>
            <w:vAlign w:val="center"/>
          </w:tcPr>
          <w:p w14:paraId="77AC6F47">
            <w:pPr>
              <w:pStyle w:val="28"/>
              <w:rPr>
                <w:color w:val="000000" w:themeColor="text1"/>
                <w14:textFill>
                  <w14:solidFill>
                    <w14:schemeClr w14:val="tx1"/>
                  </w14:solidFill>
                </w14:textFill>
              </w:rPr>
            </w:pPr>
            <w:r>
              <w:rPr>
                <w:color w:val="000000" w:themeColor="text1"/>
                <w14:textFill>
                  <w14:solidFill>
                    <w14:schemeClr w14:val="tx1"/>
                  </w14:solidFill>
                </w14:textFill>
              </w:rPr>
              <w:t>溶解氧</w:t>
            </w:r>
          </w:p>
        </w:tc>
        <w:tc>
          <w:tcPr>
            <w:tcW w:w="1260" w:type="pct"/>
            <w:vAlign w:val="center"/>
          </w:tcPr>
          <w:p w14:paraId="2D35FE1D">
            <w:pPr>
              <w:pStyle w:val="28"/>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720" w:type="pct"/>
            <w:vAlign w:val="center"/>
          </w:tcPr>
          <w:p w14:paraId="0B627A2D">
            <w:pPr>
              <w:pStyle w:val="28"/>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662" w:type="pct"/>
            <w:vAlign w:val="center"/>
          </w:tcPr>
          <w:p w14:paraId="5BF5C971">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r>
      <w:tr w14:paraId="6567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036C1A58">
            <w:pPr>
              <w:pStyle w:val="28"/>
              <w:rPr>
                <w:color w:val="000000" w:themeColor="text1"/>
                <w14:textFill>
                  <w14:solidFill>
                    <w14:schemeClr w14:val="tx1"/>
                  </w14:solidFill>
                </w14:textFill>
              </w:rPr>
            </w:pPr>
            <w:r>
              <w:rPr>
                <w:color w:val="000000" w:themeColor="text1"/>
                <w14:textFill>
                  <w14:solidFill>
                    <w14:schemeClr w14:val="tx1"/>
                  </w14:solidFill>
                </w14:textFill>
              </w:rPr>
              <w:t>Ⅲ类水质标准</w:t>
            </w:r>
          </w:p>
        </w:tc>
        <w:tc>
          <w:tcPr>
            <w:tcW w:w="696" w:type="pct"/>
            <w:vAlign w:val="center"/>
          </w:tcPr>
          <w:p w14:paraId="653B65ED">
            <w:pPr>
              <w:pStyle w:val="28"/>
              <w:rPr>
                <w:color w:val="000000" w:themeColor="text1"/>
                <w14:textFill>
                  <w14:solidFill>
                    <w14:schemeClr w14:val="tx1"/>
                  </w14:solidFill>
                </w14:textFill>
              </w:rPr>
            </w:pPr>
            <w:r>
              <w:rPr>
                <w:color w:val="000000" w:themeColor="text1"/>
                <w14:textFill>
                  <w14:solidFill>
                    <w14:schemeClr w14:val="tx1"/>
                  </w14:solidFill>
                </w14:textFill>
              </w:rPr>
              <w:t>6~9</w:t>
            </w:r>
          </w:p>
        </w:tc>
        <w:tc>
          <w:tcPr>
            <w:tcW w:w="720" w:type="pct"/>
            <w:vAlign w:val="center"/>
          </w:tcPr>
          <w:p w14:paraId="32C22BA3">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60" w:type="pct"/>
            <w:vAlign w:val="center"/>
          </w:tcPr>
          <w:p w14:paraId="5E10CD53">
            <w:pPr>
              <w:pStyle w:val="28"/>
              <w:rPr>
                <w:color w:val="000000" w:themeColor="text1"/>
                <w14:textFill>
                  <w14:solidFill>
                    <w14:schemeClr w14:val="tx1"/>
                  </w14:solidFill>
                </w14:textFill>
              </w:rPr>
            </w:pPr>
            <w:r>
              <w:rPr>
                <w:color w:val="000000" w:themeColor="text1"/>
                <w14:textFill>
                  <w14:solidFill>
                    <w14:schemeClr w14:val="tx1"/>
                  </w14:solidFill>
                </w14:textFill>
              </w:rPr>
              <w:t>≤6</w:t>
            </w:r>
          </w:p>
        </w:tc>
        <w:tc>
          <w:tcPr>
            <w:tcW w:w="720" w:type="pct"/>
            <w:vAlign w:val="center"/>
          </w:tcPr>
          <w:p w14:paraId="45A1E36F">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62" w:type="pct"/>
            <w:vAlign w:val="center"/>
          </w:tcPr>
          <w:p w14:paraId="6E9F03F2">
            <w:pPr>
              <w:pStyle w:val="28"/>
              <w:rPr>
                <w:color w:val="000000" w:themeColor="text1"/>
                <w14:textFill>
                  <w14:solidFill>
                    <w14:schemeClr w14:val="tx1"/>
                  </w14:solidFill>
                </w14:textFill>
              </w:rPr>
            </w:pPr>
            <w:r>
              <w:rPr>
                <w:color w:val="000000" w:themeColor="text1"/>
                <w14:textFill>
                  <w14:solidFill>
                    <w14:schemeClr w14:val="tx1"/>
                  </w14:solidFill>
                </w14:textFill>
              </w:rPr>
              <w:t>≤4</w:t>
            </w:r>
          </w:p>
        </w:tc>
      </w:tr>
      <w:tr w14:paraId="75CC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461A2282">
            <w:pPr>
              <w:pStyle w:val="28"/>
              <w:rPr>
                <w:color w:val="000000" w:themeColor="text1"/>
                <w14:textFill>
                  <w14:solidFill>
                    <w14:schemeClr w14:val="tx1"/>
                  </w14:solidFill>
                </w14:textFill>
              </w:rPr>
            </w:pPr>
            <w:r>
              <w:rPr>
                <w:color w:val="000000" w:themeColor="text1"/>
                <w14:textFill>
                  <w14:solidFill>
                    <w14:schemeClr w14:val="tx1"/>
                  </w14:solidFill>
                </w14:textFill>
              </w:rPr>
              <w:t>Ⅴ类水质标准</w:t>
            </w:r>
          </w:p>
        </w:tc>
        <w:tc>
          <w:tcPr>
            <w:tcW w:w="1187" w:type="dxa"/>
            <w:vAlign w:val="center"/>
          </w:tcPr>
          <w:p w14:paraId="73AAB894">
            <w:pPr>
              <w:pStyle w:val="28"/>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228" w:type="dxa"/>
            <w:vAlign w:val="center"/>
          </w:tcPr>
          <w:p w14:paraId="7778006C">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50" w:type="dxa"/>
            <w:vAlign w:val="center"/>
          </w:tcPr>
          <w:p w14:paraId="51B51669">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28" w:type="dxa"/>
            <w:vAlign w:val="center"/>
          </w:tcPr>
          <w:p w14:paraId="2B2998A1">
            <w:pPr>
              <w:pStyle w:val="2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130" w:type="dxa"/>
            <w:vAlign w:val="center"/>
          </w:tcPr>
          <w:p w14:paraId="75D13433">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58D3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3EC96C2B">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6" w:type="pct"/>
            <w:vAlign w:val="center"/>
          </w:tcPr>
          <w:p w14:paraId="50478C41">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720" w:type="pct"/>
            <w:vAlign w:val="center"/>
          </w:tcPr>
          <w:p w14:paraId="63DC8343">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1260" w:type="pct"/>
            <w:vAlign w:val="center"/>
          </w:tcPr>
          <w:p w14:paraId="1DA47F87">
            <w:pPr>
              <w:pStyle w:val="28"/>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720" w:type="pct"/>
            <w:vAlign w:val="center"/>
          </w:tcPr>
          <w:p w14:paraId="4ABD1DE2">
            <w:pPr>
              <w:pStyle w:val="28"/>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662" w:type="pct"/>
            <w:vAlign w:val="center"/>
          </w:tcPr>
          <w:p w14:paraId="543037A6">
            <w:pPr>
              <w:pStyle w:val="28"/>
              <w:rPr>
                <w:color w:val="000000" w:themeColor="text1"/>
                <w14:textFill>
                  <w14:solidFill>
                    <w14:schemeClr w14:val="tx1"/>
                  </w14:solidFill>
                </w14:textFill>
              </w:rPr>
            </w:pPr>
            <w:r>
              <w:rPr>
                <w:color w:val="000000" w:themeColor="text1"/>
                <w14:textFill>
                  <w14:solidFill>
                    <w14:schemeClr w14:val="tx1"/>
                  </w14:solidFill>
                </w14:textFill>
              </w:rPr>
              <w:t>锌</w:t>
            </w:r>
          </w:p>
        </w:tc>
      </w:tr>
      <w:tr w14:paraId="0CF8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4E5D2CA7">
            <w:pPr>
              <w:pStyle w:val="28"/>
              <w:rPr>
                <w:color w:val="000000" w:themeColor="text1"/>
                <w14:textFill>
                  <w14:solidFill>
                    <w14:schemeClr w14:val="tx1"/>
                  </w14:solidFill>
                </w14:textFill>
              </w:rPr>
            </w:pPr>
            <w:r>
              <w:rPr>
                <w:color w:val="000000" w:themeColor="text1"/>
                <w14:textFill>
                  <w14:solidFill>
                    <w14:schemeClr w14:val="tx1"/>
                  </w14:solidFill>
                </w14:textFill>
              </w:rPr>
              <w:t>Ⅲ类水质标准</w:t>
            </w:r>
          </w:p>
        </w:tc>
        <w:tc>
          <w:tcPr>
            <w:tcW w:w="696" w:type="pct"/>
            <w:vAlign w:val="center"/>
          </w:tcPr>
          <w:p w14:paraId="6786EF29">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20" w:type="pct"/>
            <w:vAlign w:val="center"/>
          </w:tcPr>
          <w:p w14:paraId="3E91F8B2">
            <w:pPr>
              <w:pStyle w:val="28"/>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260" w:type="pct"/>
            <w:vAlign w:val="center"/>
          </w:tcPr>
          <w:p w14:paraId="00FEA7B9">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20" w:type="pct"/>
            <w:vAlign w:val="center"/>
          </w:tcPr>
          <w:p w14:paraId="44751CA1">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62" w:type="pct"/>
            <w:vAlign w:val="center"/>
          </w:tcPr>
          <w:p w14:paraId="5BD81DB6">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7E7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3B98E39D">
            <w:pPr>
              <w:pStyle w:val="28"/>
              <w:rPr>
                <w:color w:val="000000" w:themeColor="text1"/>
                <w14:textFill>
                  <w14:solidFill>
                    <w14:schemeClr w14:val="tx1"/>
                  </w14:solidFill>
                </w14:textFill>
              </w:rPr>
            </w:pPr>
            <w:r>
              <w:rPr>
                <w:color w:val="000000" w:themeColor="text1"/>
                <w14:textFill>
                  <w14:solidFill>
                    <w14:schemeClr w14:val="tx1"/>
                  </w14:solidFill>
                </w14:textFill>
              </w:rPr>
              <w:t>Ⅴ类水质标准</w:t>
            </w:r>
          </w:p>
        </w:tc>
        <w:tc>
          <w:tcPr>
            <w:tcW w:w="1187" w:type="dxa"/>
            <w:vAlign w:val="center"/>
          </w:tcPr>
          <w:p w14:paraId="7360DD31">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8" w:type="dxa"/>
            <w:vAlign w:val="center"/>
          </w:tcPr>
          <w:p w14:paraId="661294DD">
            <w:pPr>
              <w:pStyle w:val="28"/>
              <w:rPr>
                <w:color w:val="000000" w:themeColor="text1"/>
                <w14:textFill>
                  <w14:solidFill>
                    <w14:schemeClr w14:val="tx1"/>
                  </w14:solidFill>
                </w14:textFill>
              </w:rPr>
            </w:pPr>
            <w:r>
              <w:rPr>
                <w:color w:val="000000" w:themeColor="text1"/>
                <w14:textFill>
                  <w14:solidFill>
                    <w14:schemeClr w14:val="tx1"/>
                  </w14:solidFill>
                </w14:textFill>
              </w:rPr>
              <w:t>≤0.4</w:t>
            </w:r>
          </w:p>
        </w:tc>
        <w:tc>
          <w:tcPr>
            <w:tcW w:w="2150" w:type="dxa"/>
            <w:vAlign w:val="center"/>
          </w:tcPr>
          <w:p w14:paraId="71E5CA0F">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8" w:type="dxa"/>
            <w:vAlign w:val="center"/>
          </w:tcPr>
          <w:p w14:paraId="1785913F">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30" w:type="dxa"/>
            <w:vAlign w:val="center"/>
          </w:tcPr>
          <w:p w14:paraId="7A21D1A9">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r>
      <w:tr w14:paraId="557B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70703F9A">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6" w:type="pct"/>
            <w:vAlign w:val="center"/>
          </w:tcPr>
          <w:p w14:paraId="1D44FB0C">
            <w:pPr>
              <w:pStyle w:val="2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720" w:type="pct"/>
            <w:vAlign w:val="center"/>
          </w:tcPr>
          <w:p w14:paraId="7A5FB7D3">
            <w:pPr>
              <w:pStyle w:val="28"/>
              <w:rPr>
                <w:color w:val="000000" w:themeColor="text1"/>
                <w14:textFill>
                  <w14:solidFill>
                    <w14:schemeClr w14:val="tx1"/>
                  </w14:solidFill>
                </w14:textFill>
              </w:rPr>
            </w:pPr>
            <w:r>
              <w:rPr>
                <w:color w:val="000000" w:themeColor="text1"/>
                <w14:textFill>
                  <w14:solidFill>
                    <w14:schemeClr w14:val="tx1"/>
                  </w14:solidFill>
                </w14:textFill>
              </w:rPr>
              <w:t>硒</w:t>
            </w:r>
          </w:p>
        </w:tc>
        <w:tc>
          <w:tcPr>
            <w:tcW w:w="1260" w:type="pct"/>
            <w:vAlign w:val="center"/>
          </w:tcPr>
          <w:p w14:paraId="451C09E5">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720" w:type="pct"/>
            <w:vAlign w:val="center"/>
          </w:tcPr>
          <w:p w14:paraId="5FB473ED">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662" w:type="pct"/>
            <w:vAlign w:val="center"/>
          </w:tcPr>
          <w:p w14:paraId="28D02DDB">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r>
      <w:tr w14:paraId="7953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0E51F64E">
            <w:pPr>
              <w:pStyle w:val="28"/>
              <w:rPr>
                <w:color w:val="000000" w:themeColor="text1"/>
                <w14:textFill>
                  <w14:solidFill>
                    <w14:schemeClr w14:val="tx1"/>
                  </w14:solidFill>
                </w14:textFill>
              </w:rPr>
            </w:pPr>
            <w:r>
              <w:rPr>
                <w:color w:val="000000" w:themeColor="text1"/>
                <w14:textFill>
                  <w14:solidFill>
                    <w14:schemeClr w14:val="tx1"/>
                  </w14:solidFill>
                </w14:textFill>
              </w:rPr>
              <w:t>Ⅲ类水质标准</w:t>
            </w:r>
          </w:p>
        </w:tc>
        <w:tc>
          <w:tcPr>
            <w:tcW w:w="696" w:type="pct"/>
            <w:vAlign w:val="center"/>
          </w:tcPr>
          <w:p w14:paraId="7962BC6A">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20" w:type="pct"/>
            <w:vAlign w:val="center"/>
          </w:tcPr>
          <w:p w14:paraId="5BE3238B">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60" w:type="pct"/>
            <w:vAlign w:val="center"/>
          </w:tcPr>
          <w:p w14:paraId="33D78136">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720" w:type="pct"/>
            <w:vAlign w:val="center"/>
          </w:tcPr>
          <w:p w14:paraId="6D84B5CD">
            <w:pPr>
              <w:pStyle w:val="2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662" w:type="pct"/>
            <w:vAlign w:val="center"/>
          </w:tcPr>
          <w:p w14:paraId="173F7ABA">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r>
      <w:tr w14:paraId="7BE9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246F790C">
            <w:pPr>
              <w:pStyle w:val="28"/>
              <w:rPr>
                <w:color w:val="000000" w:themeColor="text1"/>
                <w14:textFill>
                  <w14:solidFill>
                    <w14:schemeClr w14:val="tx1"/>
                  </w14:solidFill>
                </w14:textFill>
              </w:rPr>
            </w:pPr>
            <w:r>
              <w:rPr>
                <w:color w:val="000000" w:themeColor="text1"/>
                <w14:textFill>
                  <w14:solidFill>
                    <w14:schemeClr w14:val="tx1"/>
                  </w14:solidFill>
                </w14:textFill>
              </w:rPr>
              <w:t>Ⅴ类水质标准</w:t>
            </w:r>
          </w:p>
        </w:tc>
        <w:tc>
          <w:tcPr>
            <w:tcW w:w="1187" w:type="dxa"/>
            <w:vAlign w:val="center"/>
          </w:tcPr>
          <w:p w14:paraId="638390B5">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28" w:type="dxa"/>
            <w:vAlign w:val="center"/>
          </w:tcPr>
          <w:p w14:paraId="4953574E">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2150" w:type="dxa"/>
            <w:vAlign w:val="center"/>
          </w:tcPr>
          <w:p w14:paraId="1D49263A">
            <w:pPr>
              <w:pStyle w:val="28"/>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28" w:type="dxa"/>
            <w:vAlign w:val="center"/>
          </w:tcPr>
          <w:p w14:paraId="1A4C3F36">
            <w:pPr>
              <w:pStyle w:val="28"/>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130" w:type="dxa"/>
            <w:vAlign w:val="center"/>
          </w:tcPr>
          <w:p w14:paraId="7A21C0AC">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6F03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47EC8AC0">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6" w:type="pct"/>
            <w:vAlign w:val="center"/>
          </w:tcPr>
          <w:p w14:paraId="5893D42C">
            <w:pPr>
              <w:pStyle w:val="2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720" w:type="pct"/>
            <w:vAlign w:val="center"/>
          </w:tcPr>
          <w:p w14:paraId="3A3F6F75">
            <w:pPr>
              <w:pStyle w:val="28"/>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260" w:type="pct"/>
            <w:vAlign w:val="center"/>
          </w:tcPr>
          <w:p w14:paraId="2EA39C51">
            <w:pPr>
              <w:pStyle w:val="2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720" w:type="pct"/>
            <w:vAlign w:val="center"/>
          </w:tcPr>
          <w:p w14:paraId="55B0ADD6">
            <w:pPr>
              <w:pStyle w:val="2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662" w:type="pct"/>
            <w:vAlign w:val="center"/>
          </w:tcPr>
          <w:p w14:paraId="7609BF7C">
            <w:pPr>
              <w:pStyle w:val="28"/>
              <w:rPr>
                <w:color w:val="000000" w:themeColor="text1"/>
                <w14:textFill>
                  <w14:solidFill>
                    <w14:schemeClr w14:val="tx1"/>
                  </w14:solidFill>
                </w14:textFill>
              </w:rPr>
            </w:pPr>
            <w:r>
              <w:rPr>
                <w:color w:val="000000" w:themeColor="text1"/>
                <w14:textFill>
                  <w14:solidFill>
                    <w14:schemeClr w14:val="tx1"/>
                  </w14:solidFill>
                </w14:textFill>
              </w:rPr>
              <w:t>石油类</w:t>
            </w:r>
          </w:p>
        </w:tc>
      </w:tr>
      <w:tr w14:paraId="0543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0318C673">
            <w:pPr>
              <w:pStyle w:val="28"/>
              <w:rPr>
                <w:color w:val="000000" w:themeColor="text1"/>
                <w14:textFill>
                  <w14:solidFill>
                    <w14:schemeClr w14:val="tx1"/>
                  </w14:solidFill>
                </w14:textFill>
              </w:rPr>
            </w:pPr>
            <w:r>
              <w:rPr>
                <w:color w:val="000000" w:themeColor="text1"/>
                <w14:textFill>
                  <w14:solidFill>
                    <w14:schemeClr w14:val="tx1"/>
                  </w14:solidFill>
                </w14:textFill>
              </w:rPr>
              <w:t>Ⅲ类水质标准</w:t>
            </w:r>
          </w:p>
        </w:tc>
        <w:tc>
          <w:tcPr>
            <w:tcW w:w="696" w:type="pct"/>
            <w:vAlign w:val="center"/>
          </w:tcPr>
          <w:p w14:paraId="6881EC89">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720" w:type="pct"/>
            <w:vAlign w:val="center"/>
          </w:tcPr>
          <w:p w14:paraId="5B5C3DE7">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60" w:type="pct"/>
            <w:vAlign w:val="center"/>
          </w:tcPr>
          <w:p w14:paraId="7CBFBA9B">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720" w:type="pct"/>
            <w:vAlign w:val="center"/>
          </w:tcPr>
          <w:p w14:paraId="6266B787">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662" w:type="pct"/>
            <w:vAlign w:val="center"/>
          </w:tcPr>
          <w:p w14:paraId="199BB38D">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7A94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18BD4347">
            <w:pPr>
              <w:pStyle w:val="28"/>
              <w:rPr>
                <w:color w:val="000000" w:themeColor="text1"/>
                <w14:textFill>
                  <w14:solidFill>
                    <w14:schemeClr w14:val="tx1"/>
                  </w14:solidFill>
                </w14:textFill>
              </w:rPr>
            </w:pPr>
            <w:r>
              <w:rPr>
                <w:color w:val="000000" w:themeColor="text1"/>
                <w14:textFill>
                  <w14:solidFill>
                    <w14:schemeClr w14:val="tx1"/>
                  </w14:solidFill>
                </w14:textFill>
              </w:rPr>
              <w:t>Ⅴ类水质标准</w:t>
            </w:r>
          </w:p>
        </w:tc>
        <w:tc>
          <w:tcPr>
            <w:tcW w:w="1187" w:type="dxa"/>
            <w:vAlign w:val="center"/>
          </w:tcPr>
          <w:p w14:paraId="2FCABB88">
            <w:pPr>
              <w:pStyle w:val="28"/>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28" w:type="dxa"/>
            <w:vAlign w:val="center"/>
          </w:tcPr>
          <w:p w14:paraId="0F8927DA">
            <w:pPr>
              <w:pStyle w:val="28"/>
              <w:rPr>
                <w:color w:val="000000" w:themeColor="text1"/>
                <w14:textFill>
                  <w14:solidFill>
                    <w14:schemeClr w14:val="tx1"/>
                  </w14:solidFill>
                </w14:textFill>
              </w:rPr>
            </w:pPr>
            <w:r>
              <w:rPr>
                <w:color w:val="000000" w:themeColor="text1"/>
                <w14:textFill>
                  <w14:solidFill>
                    <w14:schemeClr w14:val="tx1"/>
                  </w14:solidFill>
                </w14:textFill>
              </w:rPr>
              <w:t>≤0.1</w:t>
            </w:r>
          </w:p>
        </w:tc>
        <w:tc>
          <w:tcPr>
            <w:tcW w:w="2150" w:type="dxa"/>
            <w:vAlign w:val="center"/>
          </w:tcPr>
          <w:p w14:paraId="1BCA88B3">
            <w:pPr>
              <w:pStyle w:val="28"/>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228" w:type="dxa"/>
            <w:vAlign w:val="center"/>
          </w:tcPr>
          <w:p w14:paraId="43EAFED6">
            <w:pPr>
              <w:pStyle w:val="28"/>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130" w:type="dxa"/>
            <w:vAlign w:val="center"/>
          </w:tcPr>
          <w:p w14:paraId="293F4058">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48B5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2367F853">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6" w:type="pct"/>
            <w:vAlign w:val="center"/>
          </w:tcPr>
          <w:p w14:paraId="66AE539A">
            <w:pPr>
              <w:pStyle w:val="28"/>
              <w:rPr>
                <w:color w:val="000000" w:themeColor="text1"/>
                <w14:textFill>
                  <w14:solidFill>
                    <w14:schemeClr w14:val="tx1"/>
                  </w14:solidFill>
                </w14:textFill>
              </w:rPr>
            </w:pPr>
            <w:r>
              <w:rPr>
                <w:color w:val="000000" w:themeColor="text1"/>
                <w14:textFill>
                  <w14:solidFill>
                    <w14:schemeClr w14:val="tx1"/>
                  </w14:solidFill>
                </w14:textFill>
              </w:rPr>
              <w:t>阴离子表面活性剂</w:t>
            </w:r>
          </w:p>
        </w:tc>
        <w:tc>
          <w:tcPr>
            <w:tcW w:w="720" w:type="pct"/>
            <w:vAlign w:val="center"/>
          </w:tcPr>
          <w:p w14:paraId="48CA37C7">
            <w:pPr>
              <w:pStyle w:val="28"/>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1260" w:type="pct"/>
            <w:vAlign w:val="center"/>
          </w:tcPr>
          <w:p w14:paraId="10CA984D">
            <w:pPr>
              <w:pStyle w:val="28"/>
              <w:rPr>
                <w:color w:val="000000" w:themeColor="text1"/>
                <w14:textFill>
                  <w14:solidFill>
                    <w14:schemeClr w14:val="tx1"/>
                  </w14:solidFill>
                </w14:textFill>
              </w:rPr>
            </w:pPr>
            <w:r>
              <w:rPr>
                <w:color w:val="000000" w:themeColor="text1"/>
                <w14:textFill>
                  <w14:solidFill>
                    <w14:schemeClr w14:val="tx1"/>
                  </w14:solidFill>
                </w14:textFill>
              </w:rPr>
              <w:t>粪大肠菌群（个/L）</w:t>
            </w:r>
          </w:p>
        </w:tc>
        <w:tc>
          <w:tcPr>
            <w:tcW w:w="720" w:type="pct"/>
            <w:vAlign w:val="center"/>
          </w:tcPr>
          <w:p w14:paraId="47416EA1">
            <w:pPr>
              <w:pStyle w:val="28"/>
              <w:rPr>
                <w:color w:val="000000" w:themeColor="text1"/>
                <w14:textFill>
                  <w14:solidFill>
                    <w14:schemeClr w14:val="tx1"/>
                  </w14:solidFill>
                </w14:textFill>
              </w:rPr>
            </w:pPr>
          </w:p>
        </w:tc>
        <w:tc>
          <w:tcPr>
            <w:tcW w:w="662" w:type="pct"/>
            <w:vAlign w:val="center"/>
          </w:tcPr>
          <w:p w14:paraId="343DFA38">
            <w:pPr>
              <w:pStyle w:val="28"/>
              <w:rPr>
                <w:color w:val="000000" w:themeColor="text1"/>
                <w14:textFill>
                  <w14:solidFill>
                    <w14:schemeClr w14:val="tx1"/>
                  </w14:solidFill>
                </w14:textFill>
              </w:rPr>
            </w:pPr>
          </w:p>
        </w:tc>
      </w:tr>
      <w:tr w14:paraId="582C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63DEDC65">
            <w:pPr>
              <w:pStyle w:val="28"/>
              <w:rPr>
                <w:color w:val="000000" w:themeColor="text1"/>
                <w14:textFill>
                  <w14:solidFill>
                    <w14:schemeClr w14:val="tx1"/>
                  </w14:solidFill>
                </w14:textFill>
              </w:rPr>
            </w:pPr>
            <w:r>
              <w:rPr>
                <w:color w:val="000000" w:themeColor="text1"/>
                <w14:textFill>
                  <w14:solidFill>
                    <w14:schemeClr w14:val="tx1"/>
                  </w14:solidFill>
                </w14:textFill>
              </w:rPr>
              <w:t>Ⅲ类水质标准</w:t>
            </w:r>
          </w:p>
        </w:tc>
        <w:tc>
          <w:tcPr>
            <w:tcW w:w="696" w:type="pct"/>
            <w:vAlign w:val="center"/>
          </w:tcPr>
          <w:p w14:paraId="77B9E801">
            <w:pPr>
              <w:pStyle w:val="28"/>
              <w:rPr>
                <w:color w:val="000000" w:themeColor="text1"/>
                <w14:textFill>
                  <w14:solidFill>
                    <w14:schemeClr w14:val="tx1"/>
                  </w14:solidFill>
                </w14:textFill>
              </w:rPr>
            </w:pPr>
            <w:r>
              <w:rPr>
                <w:color w:val="000000" w:themeColor="text1"/>
                <w14:textFill>
                  <w14:solidFill>
                    <w14:schemeClr w14:val="tx1"/>
                  </w14:solidFill>
                </w14:textFill>
              </w:rPr>
              <w:t>≤0.2</w:t>
            </w:r>
          </w:p>
        </w:tc>
        <w:tc>
          <w:tcPr>
            <w:tcW w:w="720" w:type="pct"/>
            <w:vAlign w:val="center"/>
          </w:tcPr>
          <w:p w14:paraId="32065BFC">
            <w:pPr>
              <w:pStyle w:val="28"/>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260" w:type="pct"/>
            <w:vAlign w:val="center"/>
          </w:tcPr>
          <w:p w14:paraId="3903A27F">
            <w:pPr>
              <w:pStyle w:val="28"/>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720" w:type="pct"/>
            <w:vAlign w:val="center"/>
          </w:tcPr>
          <w:p w14:paraId="5B7DB4B5">
            <w:pPr>
              <w:pStyle w:val="28"/>
              <w:rPr>
                <w:color w:val="000000" w:themeColor="text1"/>
                <w14:textFill>
                  <w14:solidFill>
                    <w14:schemeClr w14:val="tx1"/>
                  </w14:solidFill>
                </w14:textFill>
              </w:rPr>
            </w:pPr>
          </w:p>
        </w:tc>
        <w:tc>
          <w:tcPr>
            <w:tcW w:w="662" w:type="pct"/>
            <w:vAlign w:val="center"/>
          </w:tcPr>
          <w:p w14:paraId="008A640A">
            <w:pPr>
              <w:pStyle w:val="28"/>
              <w:rPr>
                <w:color w:val="000000" w:themeColor="text1"/>
                <w14:textFill>
                  <w14:solidFill>
                    <w14:schemeClr w14:val="tx1"/>
                  </w14:solidFill>
                </w14:textFill>
              </w:rPr>
            </w:pPr>
          </w:p>
        </w:tc>
      </w:tr>
      <w:tr w14:paraId="6A33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1" w:type="pct"/>
            <w:vAlign w:val="center"/>
          </w:tcPr>
          <w:p w14:paraId="41A0D3D1">
            <w:pPr>
              <w:pStyle w:val="28"/>
              <w:rPr>
                <w:color w:val="000000" w:themeColor="text1"/>
                <w14:textFill>
                  <w14:solidFill>
                    <w14:schemeClr w14:val="tx1"/>
                  </w14:solidFill>
                </w14:textFill>
              </w:rPr>
            </w:pPr>
            <w:r>
              <w:rPr>
                <w:color w:val="000000" w:themeColor="text1"/>
                <w14:textFill>
                  <w14:solidFill>
                    <w14:schemeClr w14:val="tx1"/>
                  </w14:solidFill>
                </w14:textFill>
              </w:rPr>
              <w:t>Ⅴ类水质标准</w:t>
            </w:r>
          </w:p>
        </w:tc>
        <w:tc>
          <w:tcPr>
            <w:tcW w:w="1187" w:type="dxa"/>
            <w:vAlign w:val="center"/>
          </w:tcPr>
          <w:p w14:paraId="51EACC78">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228" w:type="dxa"/>
            <w:vAlign w:val="center"/>
          </w:tcPr>
          <w:p w14:paraId="37B305BD">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150" w:type="dxa"/>
            <w:vAlign w:val="center"/>
          </w:tcPr>
          <w:p w14:paraId="69EFFDF2">
            <w:pPr>
              <w:pStyle w:val="28"/>
              <w:rPr>
                <w:color w:val="000000" w:themeColor="text1"/>
                <w14:textFill>
                  <w14:solidFill>
                    <w14:schemeClr w14:val="tx1"/>
                  </w14:solidFill>
                </w14:textFill>
              </w:rPr>
            </w:pPr>
            <w:r>
              <w:rPr>
                <w:color w:val="000000" w:themeColor="text1"/>
                <w14:textFill>
                  <w14:solidFill>
                    <w14:schemeClr w14:val="tx1"/>
                  </w14:solidFill>
                </w14:textFill>
              </w:rPr>
              <w:t>40000</w:t>
            </w:r>
          </w:p>
        </w:tc>
        <w:tc>
          <w:tcPr>
            <w:tcW w:w="720" w:type="pct"/>
            <w:vAlign w:val="center"/>
          </w:tcPr>
          <w:p w14:paraId="36EE2866">
            <w:pPr>
              <w:pStyle w:val="28"/>
              <w:rPr>
                <w:color w:val="000000" w:themeColor="text1"/>
                <w14:textFill>
                  <w14:solidFill>
                    <w14:schemeClr w14:val="tx1"/>
                  </w14:solidFill>
                </w14:textFill>
              </w:rPr>
            </w:pPr>
          </w:p>
        </w:tc>
        <w:tc>
          <w:tcPr>
            <w:tcW w:w="662" w:type="pct"/>
            <w:vAlign w:val="center"/>
          </w:tcPr>
          <w:p w14:paraId="699091B7">
            <w:pPr>
              <w:pStyle w:val="28"/>
              <w:rPr>
                <w:color w:val="000000" w:themeColor="text1"/>
                <w14:textFill>
                  <w14:solidFill>
                    <w14:schemeClr w14:val="tx1"/>
                  </w14:solidFill>
                </w14:textFill>
              </w:rPr>
            </w:pPr>
          </w:p>
        </w:tc>
      </w:tr>
    </w:tbl>
    <w:p w14:paraId="5C7E8CC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1.6.1.3地下水</w:t>
      </w:r>
    </w:p>
    <w:p w14:paraId="2E6805AE">
      <w:pPr>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区域地下水环境执行《地下水质量标准》（GB/T14848-2017）中的</w:t>
      </w:r>
      <w:r>
        <w:rPr>
          <w:rFonts w:cs="Times New Roman"/>
          <w:color w:val="000000" w:themeColor="text1"/>
          <w14:textFill>
            <w14:solidFill>
              <w14:schemeClr w14:val="tx1"/>
            </w14:solidFill>
          </w14:textFill>
        </w:rPr>
        <w:t>Ⅲ</w:t>
      </w:r>
      <w:r>
        <w:rPr>
          <w:color w:val="000000" w:themeColor="text1"/>
          <w14:textFill>
            <w14:solidFill>
              <w14:schemeClr w14:val="tx1"/>
            </w14:solidFill>
          </w14:textFill>
        </w:rPr>
        <w:t>类水质标准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具体标准值见表1.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7E053225">
      <w:pPr>
        <w:pStyle w:val="27"/>
        <w:rPr>
          <w:color w:val="000000" w:themeColor="text1"/>
          <w14:textFill>
            <w14:solidFill>
              <w14:schemeClr w14:val="tx1"/>
            </w14:solidFill>
          </w14:textFill>
        </w:rPr>
      </w:pPr>
    </w:p>
    <w:p w14:paraId="1BDF741A"/>
    <w:p w14:paraId="67AEA0D3">
      <w:pPr>
        <w:pStyle w:val="27"/>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-3  地下水质量标准</w:t>
      </w:r>
      <w:r>
        <w:rPr>
          <w:rFonts w:hint="eastAsia"/>
          <w:color w:val="000000" w:themeColor="text1"/>
          <w14:textFill>
            <w14:solidFill>
              <w14:schemeClr w14:val="tx1"/>
            </w14:solidFill>
          </w14:textFill>
        </w:rPr>
        <w:t xml:space="preserve">  单位：mg/L</w:t>
      </w:r>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067"/>
        <w:gridCol w:w="1531"/>
        <w:gridCol w:w="2390"/>
        <w:gridCol w:w="1531"/>
      </w:tblGrid>
      <w:tr w14:paraId="5BBF85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315CBCD5">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898" w:type="pct"/>
            <w:shd w:val="clear" w:color="auto" w:fill="auto"/>
            <w:vAlign w:val="center"/>
          </w:tcPr>
          <w:p w14:paraId="4DC50CB9">
            <w:pPr>
              <w:pStyle w:val="28"/>
              <w:rPr>
                <w:color w:val="000000" w:themeColor="text1"/>
                <w14:textFill>
                  <w14:solidFill>
                    <w14:schemeClr w14:val="tx1"/>
                  </w14:solidFill>
                </w14:textFill>
              </w:rPr>
            </w:pPr>
            <w:r>
              <w:rPr>
                <w:color w:val="000000" w:themeColor="text1"/>
                <w14:textFill>
                  <w14:solidFill>
                    <w14:schemeClr w14:val="tx1"/>
                  </w14:solidFill>
                </w14:textFill>
              </w:rPr>
              <w:t>III类标准值</w:t>
            </w:r>
          </w:p>
        </w:tc>
        <w:tc>
          <w:tcPr>
            <w:tcW w:w="1402" w:type="pct"/>
            <w:shd w:val="clear" w:color="auto" w:fill="auto"/>
            <w:vAlign w:val="center"/>
          </w:tcPr>
          <w:p w14:paraId="1B85EAC7">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898" w:type="pct"/>
            <w:shd w:val="clear" w:color="auto" w:fill="auto"/>
            <w:vAlign w:val="center"/>
          </w:tcPr>
          <w:p w14:paraId="7B8C9866">
            <w:pPr>
              <w:pStyle w:val="28"/>
              <w:rPr>
                <w:color w:val="000000" w:themeColor="text1"/>
                <w14:textFill>
                  <w14:solidFill>
                    <w14:schemeClr w14:val="tx1"/>
                  </w14:solidFill>
                </w14:textFill>
              </w:rPr>
            </w:pPr>
            <w:r>
              <w:rPr>
                <w:color w:val="000000" w:themeColor="text1"/>
                <w14:textFill>
                  <w14:solidFill>
                    <w14:schemeClr w14:val="tx1"/>
                  </w14:solidFill>
                </w14:textFill>
              </w:rPr>
              <w:t>III类标准值</w:t>
            </w:r>
          </w:p>
        </w:tc>
      </w:tr>
      <w:tr w14:paraId="2C33F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5D726B46">
            <w:pPr>
              <w:pStyle w:val="28"/>
              <w:rPr>
                <w:color w:val="000000" w:themeColor="text1"/>
                <w14:textFill>
                  <w14:solidFill>
                    <w14:schemeClr w14:val="tx1"/>
                  </w14:solidFill>
                </w14:textFill>
              </w:rPr>
            </w:pPr>
            <w:r>
              <w:rPr>
                <w:color w:val="000000" w:themeColor="text1"/>
                <w14:textFill>
                  <w14:solidFill>
                    <w14:schemeClr w14:val="tx1"/>
                  </w14:solidFill>
                </w14:textFill>
              </w:rPr>
              <w:t>pH值(无量纲)</w:t>
            </w:r>
          </w:p>
        </w:tc>
        <w:tc>
          <w:tcPr>
            <w:tcW w:w="898" w:type="pct"/>
            <w:shd w:val="clear" w:color="auto" w:fill="auto"/>
            <w:vAlign w:val="center"/>
          </w:tcPr>
          <w:p w14:paraId="098A5777">
            <w:pPr>
              <w:pStyle w:val="28"/>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1402" w:type="pct"/>
            <w:shd w:val="clear" w:color="auto" w:fill="auto"/>
            <w:vAlign w:val="center"/>
          </w:tcPr>
          <w:p w14:paraId="1B4A2D73">
            <w:pPr>
              <w:pStyle w:val="28"/>
              <w:rPr>
                <w:color w:val="000000" w:themeColor="text1"/>
                <w14:textFill>
                  <w14:solidFill>
                    <w14:schemeClr w14:val="tx1"/>
                  </w14:solidFill>
                </w14:textFill>
              </w:rPr>
            </w:pPr>
            <w:r>
              <w:rPr>
                <w:color w:val="000000" w:themeColor="text1"/>
                <w14:textFill>
                  <w14:solidFill>
                    <w14:schemeClr w14:val="tx1"/>
                  </w14:solidFill>
                </w14:textFill>
              </w:rPr>
              <w:t>硝酸盐（以N计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898" w:type="pct"/>
            <w:shd w:val="clear" w:color="auto" w:fill="auto"/>
            <w:vAlign w:val="center"/>
          </w:tcPr>
          <w:p w14:paraId="07BE579E">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r>
      <w:tr w14:paraId="6D7FC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6175107E">
            <w:pPr>
              <w:pStyle w:val="28"/>
              <w:rPr>
                <w:color w:val="000000" w:themeColor="text1"/>
                <w14:textFill>
                  <w14:solidFill>
                    <w14:schemeClr w14:val="tx1"/>
                  </w14:solidFill>
                </w14:textFill>
              </w:rPr>
            </w:pPr>
            <w:r>
              <w:rPr>
                <w:color w:val="000000" w:themeColor="text1"/>
                <w14:textFill>
                  <w14:solidFill>
                    <w14:schemeClr w14:val="tx1"/>
                  </w14:solidFill>
                </w14:textFill>
              </w:rPr>
              <w:t>浑浊度≤</w:t>
            </w:r>
          </w:p>
        </w:tc>
        <w:tc>
          <w:tcPr>
            <w:tcW w:w="898" w:type="pct"/>
            <w:shd w:val="clear" w:color="auto" w:fill="auto"/>
            <w:vAlign w:val="center"/>
          </w:tcPr>
          <w:p w14:paraId="6306A66F">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402" w:type="pct"/>
            <w:shd w:val="clear" w:color="auto" w:fill="auto"/>
            <w:vAlign w:val="center"/>
          </w:tcPr>
          <w:p w14:paraId="112BE969">
            <w:pPr>
              <w:pStyle w:val="28"/>
              <w:rPr>
                <w:color w:val="000000" w:themeColor="text1"/>
                <w14:textFill>
                  <w14:solidFill>
                    <w14:schemeClr w14:val="tx1"/>
                  </w14:solidFill>
                </w14:textFill>
              </w:rPr>
            </w:pPr>
            <w:r>
              <w:rPr>
                <w:color w:val="000000" w:themeColor="text1"/>
                <w14:textFill>
                  <w14:solidFill>
                    <w14:schemeClr w14:val="tx1"/>
                  </w14:solidFill>
                </w14:textFill>
              </w:rPr>
              <w:t>亚硝酸盐≤</w:t>
            </w:r>
          </w:p>
        </w:tc>
        <w:tc>
          <w:tcPr>
            <w:tcW w:w="898" w:type="pct"/>
            <w:shd w:val="clear" w:color="auto" w:fill="auto"/>
            <w:vAlign w:val="center"/>
          </w:tcPr>
          <w:p w14:paraId="5CA62900">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5CBFB6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800" w:type="pct"/>
            <w:shd w:val="clear" w:color="auto" w:fill="auto"/>
            <w:vAlign w:val="center"/>
          </w:tcPr>
          <w:p w14:paraId="59E5A2F9">
            <w:pPr>
              <w:pStyle w:val="28"/>
              <w:rPr>
                <w:color w:val="000000" w:themeColor="text1"/>
                <w14:textFill>
                  <w14:solidFill>
                    <w14:schemeClr w14:val="tx1"/>
                  </w14:solidFill>
                </w14:textFill>
              </w:rPr>
            </w:pPr>
            <w:r>
              <w:rPr>
                <w:color w:val="000000" w:themeColor="text1"/>
                <w14:textFill>
                  <w14:solidFill>
                    <w14:schemeClr w14:val="tx1"/>
                  </w14:solidFill>
                </w14:textFill>
              </w:rPr>
              <w:t>总硬度（以CaCO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计 ）≤</w:t>
            </w:r>
          </w:p>
        </w:tc>
        <w:tc>
          <w:tcPr>
            <w:tcW w:w="898" w:type="pct"/>
            <w:shd w:val="clear" w:color="auto" w:fill="auto"/>
            <w:vAlign w:val="center"/>
          </w:tcPr>
          <w:p w14:paraId="59AA11EF">
            <w:pPr>
              <w:pStyle w:val="28"/>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1402" w:type="pct"/>
            <w:shd w:val="clear" w:color="auto" w:fill="auto"/>
            <w:vAlign w:val="center"/>
          </w:tcPr>
          <w:p w14:paraId="6C7ED1BE">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98" w:type="pct"/>
            <w:shd w:val="clear" w:color="auto" w:fill="auto"/>
            <w:vAlign w:val="center"/>
          </w:tcPr>
          <w:p w14:paraId="584150A5">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12753A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800" w:type="pct"/>
            <w:shd w:val="clear" w:color="auto" w:fill="auto"/>
            <w:vAlign w:val="center"/>
          </w:tcPr>
          <w:p w14:paraId="41B861C6">
            <w:pPr>
              <w:pStyle w:val="28"/>
              <w:rPr>
                <w:color w:val="000000" w:themeColor="text1"/>
                <w14:textFill>
                  <w14:solidFill>
                    <w14:schemeClr w14:val="tx1"/>
                  </w14:solidFill>
                </w14:textFill>
              </w:rPr>
            </w:pPr>
            <w:r>
              <w:rPr>
                <w:color w:val="000000" w:themeColor="text1"/>
                <w14:textFill>
                  <w14:solidFill>
                    <w14:schemeClr w14:val="tx1"/>
                  </w14:solidFill>
                </w14:textFill>
              </w:rPr>
              <w:t>溶解性总固体≤</w:t>
            </w:r>
          </w:p>
        </w:tc>
        <w:tc>
          <w:tcPr>
            <w:tcW w:w="898" w:type="pct"/>
            <w:shd w:val="clear" w:color="auto" w:fill="auto"/>
            <w:vAlign w:val="center"/>
          </w:tcPr>
          <w:p w14:paraId="598BBA3A">
            <w:pPr>
              <w:pStyle w:val="28"/>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402" w:type="pct"/>
            <w:shd w:val="clear" w:color="auto" w:fill="auto"/>
            <w:vAlign w:val="center"/>
          </w:tcPr>
          <w:p w14:paraId="60741FFB">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898" w:type="pct"/>
            <w:shd w:val="clear" w:color="auto" w:fill="auto"/>
            <w:vAlign w:val="center"/>
          </w:tcPr>
          <w:p w14:paraId="61FBC303">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r>
      <w:tr w14:paraId="63652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800" w:type="pct"/>
            <w:shd w:val="clear" w:color="auto" w:fill="auto"/>
            <w:vAlign w:val="center"/>
          </w:tcPr>
          <w:p w14:paraId="364BAC77">
            <w:pPr>
              <w:pStyle w:val="2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898" w:type="pct"/>
            <w:shd w:val="clear" w:color="auto" w:fill="auto"/>
            <w:vAlign w:val="center"/>
          </w:tcPr>
          <w:p w14:paraId="1024260D">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1402" w:type="pct"/>
            <w:shd w:val="clear" w:color="auto" w:fill="auto"/>
            <w:vAlign w:val="center"/>
          </w:tcPr>
          <w:p w14:paraId="55D48BE0">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98" w:type="pct"/>
            <w:shd w:val="clear" w:color="auto" w:fill="auto"/>
            <w:vAlign w:val="center"/>
          </w:tcPr>
          <w:p w14:paraId="5606F155">
            <w:pPr>
              <w:pStyle w:val="28"/>
              <w:rPr>
                <w:color w:val="000000" w:themeColor="text1"/>
                <w14:textFill>
                  <w14:solidFill>
                    <w14:schemeClr w14:val="tx1"/>
                  </w14:solidFill>
                </w14:textFill>
              </w:rPr>
            </w:pPr>
            <w:r>
              <w:rPr>
                <w:color w:val="000000" w:themeColor="text1"/>
                <w14:textFill>
                  <w14:solidFill>
                    <w14:schemeClr w14:val="tx1"/>
                  </w14:solidFill>
                </w14:textFill>
              </w:rPr>
              <w:t>0.001</w:t>
            </w:r>
          </w:p>
        </w:tc>
      </w:tr>
      <w:tr w14:paraId="6012E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800" w:type="pct"/>
            <w:shd w:val="clear" w:color="auto" w:fill="auto"/>
            <w:vAlign w:val="center"/>
          </w:tcPr>
          <w:p w14:paraId="3A5758AC">
            <w:pPr>
              <w:pStyle w:val="28"/>
              <w:rPr>
                <w:color w:val="000000" w:themeColor="text1"/>
                <w14:textFill>
                  <w14:solidFill>
                    <w14:schemeClr w14:val="tx1"/>
                  </w14:solidFill>
                </w14:textFill>
              </w:rPr>
            </w:pPr>
            <w:r>
              <w:rPr>
                <w:color w:val="000000" w:themeColor="text1"/>
                <w14:textFill>
                  <w14:solidFill>
                    <w14:schemeClr w14:val="tx1"/>
                  </w14:solidFill>
                </w14:textFill>
              </w:rPr>
              <w:t>阴离子表面活性剂≤</w:t>
            </w:r>
          </w:p>
        </w:tc>
        <w:tc>
          <w:tcPr>
            <w:tcW w:w="898" w:type="pct"/>
            <w:shd w:val="clear" w:color="auto" w:fill="auto"/>
            <w:vAlign w:val="center"/>
          </w:tcPr>
          <w:p w14:paraId="43F189F0">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402" w:type="pct"/>
            <w:shd w:val="clear" w:color="auto" w:fill="auto"/>
            <w:vAlign w:val="center"/>
          </w:tcPr>
          <w:p w14:paraId="244592A8">
            <w:pPr>
              <w:pStyle w:val="2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898" w:type="pct"/>
            <w:shd w:val="clear" w:color="auto" w:fill="auto"/>
            <w:vAlign w:val="center"/>
          </w:tcPr>
          <w:p w14:paraId="1C180209">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3DB31F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800" w:type="pct"/>
            <w:shd w:val="clear" w:color="auto" w:fill="auto"/>
            <w:vAlign w:val="center"/>
          </w:tcPr>
          <w:p w14:paraId="5019889D">
            <w:pPr>
              <w:pStyle w:val="2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898" w:type="pct"/>
            <w:shd w:val="clear" w:color="auto" w:fill="auto"/>
            <w:vAlign w:val="center"/>
          </w:tcPr>
          <w:p w14:paraId="7E9ABFCE">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402" w:type="pct"/>
            <w:shd w:val="clear" w:color="auto" w:fill="auto"/>
            <w:vAlign w:val="center"/>
          </w:tcPr>
          <w:p w14:paraId="11BD3AB3">
            <w:pPr>
              <w:pStyle w:val="28"/>
              <w:rPr>
                <w:color w:val="000000" w:themeColor="text1"/>
                <w14:textFill>
                  <w14:solidFill>
                    <w14:schemeClr w14:val="tx1"/>
                  </w14:solidFill>
                </w14:textFill>
              </w:rPr>
            </w:pPr>
            <w:r>
              <w:rPr>
                <w:color w:val="000000" w:themeColor="text1"/>
                <w14:textFill>
                  <w14:solidFill>
                    <w14:schemeClr w14:val="tx1"/>
                  </w14:solidFill>
                </w14:textFill>
              </w:rPr>
              <w:t>铅 ≤</w:t>
            </w:r>
          </w:p>
        </w:tc>
        <w:tc>
          <w:tcPr>
            <w:tcW w:w="898" w:type="pct"/>
            <w:shd w:val="clear" w:color="auto" w:fill="auto"/>
            <w:vAlign w:val="center"/>
          </w:tcPr>
          <w:p w14:paraId="2381980E">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13EF1B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1BC50BD1">
            <w:pPr>
              <w:pStyle w:val="28"/>
              <w:rPr>
                <w:color w:val="000000" w:themeColor="text1"/>
                <w14:textFill>
                  <w14:solidFill>
                    <w14:schemeClr w14:val="tx1"/>
                  </w14:solidFill>
                </w14:textFill>
              </w:rPr>
            </w:pPr>
            <w:r>
              <w:rPr>
                <w:color w:val="000000" w:themeColor="text1"/>
                <w14:textFill>
                  <w14:solidFill>
                    <w14:schemeClr w14:val="tx1"/>
                  </w14:solidFill>
                </w14:textFill>
              </w:rPr>
              <w:t>Fe ≤</w:t>
            </w:r>
          </w:p>
        </w:tc>
        <w:tc>
          <w:tcPr>
            <w:tcW w:w="898" w:type="pct"/>
            <w:shd w:val="clear" w:color="auto" w:fill="auto"/>
            <w:vAlign w:val="center"/>
          </w:tcPr>
          <w:p w14:paraId="71631CE6">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402" w:type="pct"/>
            <w:shd w:val="clear" w:color="auto" w:fill="auto"/>
            <w:vAlign w:val="center"/>
          </w:tcPr>
          <w:p w14:paraId="0258AACE">
            <w:pPr>
              <w:pStyle w:val="28"/>
              <w:rPr>
                <w:color w:val="000000" w:themeColor="text1"/>
                <w14:textFill>
                  <w14:solidFill>
                    <w14:schemeClr w14:val="tx1"/>
                  </w14:solidFill>
                </w14:textFill>
              </w:rPr>
            </w:pPr>
            <w:r>
              <w:rPr>
                <w:color w:val="000000" w:themeColor="text1"/>
                <w14:textFill>
                  <w14:solidFill>
                    <w14:schemeClr w14:val="tx1"/>
                  </w14:solidFill>
                </w14:textFill>
              </w:rPr>
              <w:t>硒≤</w:t>
            </w:r>
          </w:p>
        </w:tc>
        <w:tc>
          <w:tcPr>
            <w:tcW w:w="898" w:type="pct"/>
            <w:shd w:val="clear" w:color="auto" w:fill="auto"/>
            <w:vAlign w:val="center"/>
          </w:tcPr>
          <w:p w14:paraId="1E9D4F12">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5676FF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800" w:type="pct"/>
            <w:shd w:val="clear" w:color="auto" w:fill="auto"/>
            <w:vAlign w:val="center"/>
          </w:tcPr>
          <w:p w14:paraId="5709F258">
            <w:pPr>
              <w:pStyle w:val="28"/>
              <w:rPr>
                <w:color w:val="000000" w:themeColor="text1"/>
                <w14:textFill>
                  <w14:solidFill>
                    <w14:schemeClr w14:val="tx1"/>
                  </w14:solidFill>
                </w14:textFill>
              </w:rPr>
            </w:pPr>
            <w:r>
              <w:rPr>
                <w:color w:val="000000" w:themeColor="text1"/>
                <w14:textFill>
                  <w14:solidFill>
                    <w14:schemeClr w14:val="tx1"/>
                  </w14:solidFill>
                </w14:textFill>
              </w:rPr>
              <w:t>Mn ≤</w:t>
            </w:r>
          </w:p>
        </w:tc>
        <w:tc>
          <w:tcPr>
            <w:tcW w:w="898" w:type="pct"/>
            <w:shd w:val="clear" w:color="auto" w:fill="auto"/>
            <w:vAlign w:val="center"/>
          </w:tcPr>
          <w:p w14:paraId="33A2EB44">
            <w:pPr>
              <w:pStyle w:val="28"/>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402" w:type="pct"/>
            <w:shd w:val="clear" w:color="auto" w:fill="auto"/>
            <w:vAlign w:val="center"/>
          </w:tcPr>
          <w:p w14:paraId="0C286C9E">
            <w:pPr>
              <w:pStyle w:val="2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898" w:type="pct"/>
            <w:shd w:val="clear" w:color="auto" w:fill="auto"/>
            <w:vAlign w:val="center"/>
          </w:tcPr>
          <w:p w14:paraId="05DBA5DF">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r>
      <w:tr w14:paraId="5FD56C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2E35BBA1">
            <w:pPr>
              <w:pStyle w:val="28"/>
              <w:rPr>
                <w:color w:val="000000" w:themeColor="text1"/>
                <w14:textFill>
                  <w14:solidFill>
                    <w14:schemeClr w14:val="tx1"/>
                  </w14:solidFill>
                </w14:textFill>
              </w:rPr>
            </w:pPr>
            <w:r>
              <w:rPr>
                <w:color w:val="000000" w:themeColor="text1"/>
                <w14:textFill>
                  <w14:solidFill>
                    <w14:schemeClr w14:val="tx1"/>
                  </w14:solidFill>
                </w14:textFill>
              </w:rPr>
              <w:t>氨氮(以N计)≤</w:t>
            </w:r>
          </w:p>
        </w:tc>
        <w:tc>
          <w:tcPr>
            <w:tcW w:w="898" w:type="pct"/>
            <w:shd w:val="clear" w:color="auto" w:fill="auto"/>
            <w:vAlign w:val="center"/>
          </w:tcPr>
          <w:p w14:paraId="5E6BE44E">
            <w:pPr>
              <w:pStyle w:val="28"/>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402" w:type="pct"/>
            <w:shd w:val="clear" w:color="auto" w:fill="auto"/>
            <w:vAlign w:val="center"/>
          </w:tcPr>
          <w:p w14:paraId="6C2275DA">
            <w:pPr>
              <w:pStyle w:val="28"/>
              <w:rPr>
                <w:color w:val="000000" w:themeColor="text1"/>
                <w14:textFill>
                  <w14:solidFill>
                    <w14:schemeClr w14:val="tx1"/>
                  </w14:solidFill>
                </w14:textFill>
              </w:rPr>
            </w:pPr>
            <w:r>
              <w:rPr>
                <w:color w:val="000000" w:themeColor="text1"/>
                <w14:textFill>
                  <w14:solidFill>
                    <w14:schemeClr w14:val="tx1"/>
                  </w14:solidFill>
                </w14:textFill>
              </w:rPr>
              <w:t>总大肠菌群≤</w:t>
            </w:r>
          </w:p>
        </w:tc>
        <w:tc>
          <w:tcPr>
            <w:tcW w:w="898" w:type="pct"/>
            <w:shd w:val="clear" w:color="auto" w:fill="auto"/>
            <w:vAlign w:val="center"/>
          </w:tcPr>
          <w:p w14:paraId="01100D28">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5013B2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800" w:type="pct"/>
            <w:shd w:val="clear" w:color="auto" w:fill="auto"/>
            <w:vAlign w:val="center"/>
          </w:tcPr>
          <w:p w14:paraId="19BBFA4C">
            <w:pPr>
              <w:pStyle w:val="28"/>
              <w:rPr>
                <w:color w:val="000000" w:themeColor="text1"/>
                <w14:textFill>
                  <w14:solidFill>
                    <w14:schemeClr w14:val="tx1"/>
                  </w14:solidFill>
                </w14:textFill>
              </w:rPr>
            </w:pPr>
            <w:r>
              <w:rPr>
                <w:color w:val="000000" w:themeColor="text1"/>
                <w14:textFill>
                  <w14:solidFill>
                    <w14:schemeClr w14:val="tx1"/>
                  </w14:solidFill>
                </w14:textFill>
              </w:rPr>
              <w:t>挥发酚类≤</w:t>
            </w:r>
          </w:p>
        </w:tc>
        <w:tc>
          <w:tcPr>
            <w:tcW w:w="898" w:type="pct"/>
            <w:shd w:val="clear" w:color="auto" w:fill="auto"/>
            <w:vAlign w:val="center"/>
          </w:tcPr>
          <w:p w14:paraId="5B7E0448">
            <w:pPr>
              <w:pStyle w:val="2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402" w:type="pct"/>
            <w:shd w:val="clear" w:color="auto" w:fill="auto"/>
            <w:vAlign w:val="center"/>
          </w:tcPr>
          <w:p w14:paraId="0C7733B9">
            <w:pPr>
              <w:pStyle w:val="28"/>
              <w:rPr>
                <w:color w:val="000000" w:themeColor="text1"/>
                <w14:textFill>
                  <w14:solidFill>
                    <w14:schemeClr w14:val="tx1"/>
                  </w14:solidFill>
                </w14:textFill>
              </w:rPr>
            </w:pPr>
            <w:r>
              <w:rPr>
                <w:color w:val="000000" w:themeColor="text1"/>
                <w14:textFill>
                  <w14:solidFill>
                    <w14:schemeClr w14:val="tx1"/>
                  </w14:solidFill>
                </w14:textFill>
              </w:rPr>
              <w:t>（MPN/100mL）≤</w:t>
            </w:r>
          </w:p>
        </w:tc>
        <w:tc>
          <w:tcPr>
            <w:tcW w:w="898" w:type="pct"/>
            <w:shd w:val="clear" w:color="auto" w:fill="auto"/>
            <w:vAlign w:val="center"/>
          </w:tcPr>
          <w:p w14:paraId="5407F375">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r>
      <w:tr w14:paraId="7344C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800" w:type="pct"/>
            <w:shd w:val="clear" w:color="auto" w:fill="auto"/>
            <w:vAlign w:val="center"/>
          </w:tcPr>
          <w:p w14:paraId="1EB8D69B">
            <w:pPr>
              <w:pStyle w:val="28"/>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898" w:type="pct"/>
            <w:shd w:val="clear" w:color="auto" w:fill="auto"/>
            <w:vAlign w:val="center"/>
          </w:tcPr>
          <w:p w14:paraId="340DC569">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02" w:type="pct"/>
            <w:shd w:val="clear" w:color="auto" w:fill="auto"/>
            <w:vAlign w:val="center"/>
          </w:tcPr>
          <w:p w14:paraId="0F5B2377">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898" w:type="pct"/>
            <w:shd w:val="clear" w:color="auto" w:fill="auto"/>
            <w:vAlign w:val="center"/>
          </w:tcPr>
          <w:p w14:paraId="366C494C">
            <w:pPr>
              <w:pStyle w:val="28"/>
              <w:rPr>
                <w:color w:val="000000" w:themeColor="text1"/>
                <w14:textFill>
                  <w14:solidFill>
                    <w14:schemeClr w14:val="tx1"/>
                  </w14:solidFill>
                </w14:textFill>
              </w:rPr>
            </w:pPr>
            <w:r>
              <w:rPr>
                <w:color w:val="000000" w:themeColor="text1"/>
                <w14:textFill>
                  <w14:solidFill>
                    <w14:schemeClr w14:val="tx1"/>
                  </w14:solidFill>
                </w14:textFill>
              </w:rPr>
              <w:t>0.2</w:t>
            </w:r>
          </w:p>
        </w:tc>
      </w:tr>
    </w:tbl>
    <w:p w14:paraId="4405D06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1.6.1.4声环境</w:t>
      </w:r>
    </w:p>
    <w:p w14:paraId="2E1935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项目位于高新技术产业开发区，声环境功能区为3类区，项目执行《声环境质量标准》（GB3096-2008）中3类标准，项目所在厂区厂界北侧紧邻九纬路，西侧紧邻春明路，其中春明路为城市次干路，</w:t>
      </w:r>
      <w:r>
        <w:rPr>
          <w:rFonts w:hint="eastAsia"/>
          <w:color w:val="000000" w:themeColor="text1"/>
          <w:lang w:val="en-US" w:eastAsia="zh-CN"/>
          <w14:textFill>
            <w14:solidFill>
              <w14:schemeClr w14:val="tx1"/>
            </w14:solidFill>
          </w14:textFill>
        </w:rPr>
        <w:t>项目区西面厂界执行</w:t>
      </w:r>
      <w:r>
        <w:rPr>
          <w:rFonts w:hint="eastAsia"/>
          <w:color w:val="000000" w:themeColor="text1"/>
          <w14:textFill>
            <w14:solidFill>
              <w14:schemeClr w14:val="tx1"/>
            </w14:solidFill>
          </w14:textFill>
        </w:rPr>
        <w:t>《声环境质量标准》（GB3096-2008）中</w:t>
      </w:r>
      <w:r>
        <w:rPr>
          <w:rFonts w:hint="eastAsia"/>
          <w:color w:val="000000" w:themeColor="text1"/>
          <w:lang w:val="en-US" w:eastAsia="zh-CN"/>
          <w14:textFill>
            <w14:solidFill>
              <w14:schemeClr w14:val="tx1"/>
            </w14:solidFill>
          </w14:textFill>
        </w:rPr>
        <w:t>4a</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评价范围内的敏感点执行</w:t>
      </w:r>
      <w:r>
        <w:rPr>
          <w:rFonts w:hint="eastAsia"/>
          <w:color w:val="000000" w:themeColor="text1"/>
          <w14:textFill>
            <w14:solidFill>
              <w14:schemeClr w14:val="tx1"/>
            </w14:solidFill>
          </w14:textFill>
        </w:rPr>
        <w:t>《声环境质量标准》（GB3096-2008）中</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具体标准值见下表。</w:t>
      </w:r>
    </w:p>
    <w:p w14:paraId="0CE6DA60">
      <w:pPr>
        <w:spacing w:line="240" w:lineRule="auto"/>
        <w:ind w:firstLine="0" w:firstLineChars="0"/>
        <w:jc w:val="center"/>
        <w:rPr>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表1.6-4 《声环境质量标准》（GB3096-2008） （dB（A））</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14:paraId="6787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vAlign w:val="center"/>
          </w:tcPr>
          <w:p w14:paraId="0F545EC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类别</w:t>
            </w:r>
          </w:p>
        </w:tc>
        <w:tc>
          <w:tcPr>
            <w:tcW w:w="1250" w:type="pct"/>
            <w:vAlign w:val="center"/>
          </w:tcPr>
          <w:p w14:paraId="32C3EFB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昼间</w:t>
            </w:r>
          </w:p>
        </w:tc>
        <w:tc>
          <w:tcPr>
            <w:tcW w:w="1250" w:type="pct"/>
            <w:vAlign w:val="center"/>
          </w:tcPr>
          <w:p w14:paraId="21CF7AD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夜间</w:t>
            </w:r>
          </w:p>
        </w:tc>
        <w:tc>
          <w:tcPr>
            <w:tcW w:w="1250" w:type="pct"/>
            <w:vAlign w:val="center"/>
          </w:tcPr>
          <w:p w14:paraId="69976BC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备注</w:t>
            </w:r>
          </w:p>
        </w:tc>
      </w:tr>
      <w:tr w14:paraId="22F0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F31AB1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250" w:type="pct"/>
            <w:vAlign w:val="center"/>
          </w:tcPr>
          <w:p w14:paraId="428A232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250" w:type="pct"/>
            <w:vAlign w:val="center"/>
          </w:tcPr>
          <w:p w14:paraId="7CDF2CB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1250" w:type="pct"/>
            <w:vAlign w:val="center"/>
          </w:tcPr>
          <w:p w14:paraId="116C590A">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敏感点</w:t>
            </w:r>
          </w:p>
        </w:tc>
      </w:tr>
      <w:tr w14:paraId="72A3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35B218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250" w:type="pct"/>
            <w:vAlign w:val="center"/>
          </w:tcPr>
          <w:p w14:paraId="0A212D5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1250" w:type="pct"/>
            <w:vAlign w:val="center"/>
          </w:tcPr>
          <w:p w14:paraId="35D5A74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250" w:type="pct"/>
            <w:vAlign w:val="center"/>
          </w:tcPr>
          <w:p w14:paraId="7C8BA5A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厂界东、南、北</w:t>
            </w:r>
          </w:p>
        </w:tc>
      </w:tr>
      <w:tr w14:paraId="0008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1B67331">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4a</w:t>
            </w:r>
          </w:p>
        </w:tc>
        <w:tc>
          <w:tcPr>
            <w:tcW w:w="1250" w:type="pct"/>
            <w:vAlign w:val="center"/>
          </w:tcPr>
          <w:p w14:paraId="2B0C07D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1250" w:type="pct"/>
            <w:vAlign w:val="center"/>
          </w:tcPr>
          <w:p w14:paraId="0B335EC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250" w:type="pct"/>
            <w:vAlign w:val="center"/>
          </w:tcPr>
          <w:p w14:paraId="207C3405">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厂界西</w:t>
            </w:r>
          </w:p>
        </w:tc>
      </w:tr>
    </w:tbl>
    <w:p w14:paraId="1F29047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1.6.1.5土壤</w:t>
      </w:r>
    </w:p>
    <w:p w14:paraId="039D3AFA">
      <w:pPr>
        <w:widowControl/>
        <w:ind w:firstLine="480"/>
        <w:rPr>
          <w:rFonts w:hAnsi="宋体"/>
          <w:color w:val="000000" w:themeColor="text1"/>
          <w14:textFill>
            <w14:solidFill>
              <w14:schemeClr w14:val="tx1"/>
            </w14:solidFill>
          </w14:textFill>
        </w:rPr>
      </w:pPr>
      <w:r>
        <w:rPr>
          <w:rFonts w:hint="eastAsia"/>
          <w:color w:val="000000" w:themeColor="text1"/>
          <w14:textFill>
            <w14:solidFill>
              <w14:schemeClr w14:val="tx1"/>
            </w14:solidFill>
          </w14:textFill>
        </w:rPr>
        <w:t>占地范围内及评价范围内园区建设用地的土壤执行</w:t>
      </w:r>
      <w:r>
        <w:rPr>
          <w:rFonts w:hint="eastAsia" w:hAnsi="宋体"/>
          <w:color w:val="000000" w:themeColor="text1"/>
          <w14:textFill>
            <w14:solidFill>
              <w14:schemeClr w14:val="tx1"/>
            </w14:solidFill>
          </w14:textFill>
        </w:rPr>
        <w:t>《土壤环境质量 建设用地土壤污染风险管控标准（试行）》（GB36600-2018）二类，评价范围内居住用地执行一类，标准值见表</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5；项目区周边农田执行《土壤环境质量 农用地土壤污染风险管控标准（试行）》（GB</w:t>
      </w:r>
      <w:r>
        <w:rPr>
          <w:rFonts w:hAnsi="宋体"/>
          <w:color w:val="000000" w:themeColor="text1"/>
          <w14:textFill>
            <w14:solidFill>
              <w14:schemeClr w14:val="tx1"/>
            </w14:solidFill>
          </w14:textFill>
        </w:rPr>
        <w:t>15618</w:t>
      </w:r>
      <w:r>
        <w:rPr>
          <w:rFonts w:hint="eastAsia" w:hAnsi="宋体"/>
          <w:color w:val="000000" w:themeColor="text1"/>
          <w14:textFill>
            <w14:solidFill>
              <w14:schemeClr w14:val="tx1"/>
            </w14:solidFill>
          </w14:textFill>
        </w:rPr>
        <w:t>-2018）标准，标准值见表</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6。</w:t>
      </w:r>
    </w:p>
    <w:p w14:paraId="257A0207">
      <w:pPr>
        <w:pStyle w:val="27"/>
        <w:rPr>
          <w:color w:val="000000" w:themeColor="text1"/>
          <w14:textFill>
            <w14:solidFill>
              <w14:schemeClr w14:val="tx1"/>
            </w14:solidFill>
          </w14:textFill>
        </w:rPr>
      </w:pPr>
    </w:p>
    <w:p w14:paraId="14E1A09C">
      <w:pPr>
        <w:pStyle w:val="27"/>
        <w:rPr>
          <w:color w:val="000000" w:themeColor="text1"/>
          <w14:textFill>
            <w14:solidFill>
              <w14:schemeClr w14:val="tx1"/>
            </w14:solidFill>
          </w14:textFill>
        </w:rPr>
      </w:pPr>
    </w:p>
    <w:p w14:paraId="3D834D79">
      <w:pPr>
        <w:pStyle w:val="27"/>
        <w:rPr>
          <w:color w:val="000000" w:themeColor="text1"/>
          <w14:textFill>
            <w14:solidFill>
              <w14:schemeClr w14:val="tx1"/>
            </w14:solidFill>
          </w14:textFill>
        </w:rPr>
      </w:pPr>
    </w:p>
    <w:p w14:paraId="6E4E2994">
      <w:pPr>
        <w:pStyle w:val="27"/>
        <w:rPr>
          <w:color w:val="000000" w:themeColor="text1"/>
          <w14:textFill>
            <w14:solidFill>
              <w14:schemeClr w14:val="tx1"/>
            </w14:solidFill>
          </w14:textFill>
        </w:rPr>
      </w:pPr>
    </w:p>
    <w:p w14:paraId="1B1B6F51">
      <w:pPr>
        <w:pStyle w:val="27"/>
        <w:rPr>
          <w:color w:val="000000" w:themeColor="text1"/>
          <w14:textFill>
            <w14:solidFill>
              <w14:schemeClr w14:val="tx1"/>
            </w14:solidFill>
          </w14:textFill>
        </w:rPr>
      </w:pPr>
    </w:p>
    <w:p w14:paraId="41EC31F5">
      <w:pPr>
        <w:pStyle w:val="27"/>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建设用地土壤污染风险筛选值     单位：mg/kg</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19"/>
        <w:gridCol w:w="2088"/>
        <w:gridCol w:w="1397"/>
        <w:gridCol w:w="1340"/>
        <w:gridCol w:w="1385"/>
        <w:gridCol w:w="1317"/>
      </w:tblGrid>
      <w:tr w14:paraId="21DF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vMerge w:val="restart"/>
            <w:tcMar>
              <w:top w:w="60" w:type="dxa"/>
              <w:left w:w="120" w:type="dxa"/>
              <w:bottom w:w="30" w:type="dxa"/>
              <w:right w:w="120" w:type="dxa"/>
            </w:tcMar>
            <w:vAlign w:val="center"/>
          </w:tcPr>
          <w:p w14:paraId="1D455321">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21" w:type="pct"/>
            <w:vMerge w:val="restart"/>
            <w:tcMar>
              <w:top w:w="60" w:type="dxa"/>
              <w:left w:w="120" w:type="dxa"/>
              <w:bottom w:w="30" w:type="dxa"/>
              <w:right w:w="120" w:type="dxa"/>
            </w:tcMar>
            <w:vAlign w:val="center"/>
          </w:tcPr>
          <w:p w14:paraId="0792EBA3">
            <w:pPr>
              <w:pStyle w:val="28"/>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601" w:type="pct"/>
            <w:gridSpan w:val="2"/>
            <w:tcMar>
              <w:top w:w="60" w:type="dxa"/>
              <w:left w:w="120" w:type="dxa"/>
              <w:bottom w:w="30" w:type="dxa"/>
              <w:right w:w="120" w:type="dxa"/>
            </w:tcMar>
            <w:vAlign w:val="center"/>
          </w:tcPr>
          <w:p w14:paraId="2A668D1B">
            <w:pPr>
              <w:pStyle w:val="28"/>
              <w:rPr>
                <w:color w:val="000000" w:themeColor="text1"/>
                <w14:textFill>
                  <w14:solidFill>
                    <w14:schemeClr w14:val="tx1"/>
                  </w14:solidFill>
                </w14:textFill>
              </w:rPr>
            </w:pPr>
            <w:r>
              <w:rPr>
                <w:color w:val="000000" w:themeColor="text1"/>
                <w14:textFill>
                  <w14:solidFill>
                    <w14:schemeClr w14:val="tx1"/>
                  </w14:solidFill>
                </w14:textFill>
              </w:rPr>
              <w:t>筛选值</w:t>
            </w:r>
          </w:p>
        </w:tc>
        <w:tc>
          <w:tcPr>
            <w:tcW w:w="1580" w:type="pct"/>
            <w:gridSpan w:val="2"/>
            <w:tcMar>
              <w:top w:w="60" w:type="dxa"/>
              <w:left w:w="120" w:type="dxa"/>
              <w:bottom w:w="30" w:type="dxa"/>
              <w:right w:w="120" w:type="dxa"/>
            </w:tcMar>
            <w:vAlign w:val="center"/>
          </w:tcPr>
          <w:p w14:paraId="3B4003D3">
            <w:pPr>
              <w:pStyle w:val="28"/>
              <w:rPr>
                <w:color w:val="000000" w:themeColor="text1"/>
                <w14:textFill>
                  <w14:solidFill>
                    <w14:schemeClr w14:val="tx1"/>
                  </w14:solidFill>
                </w14:textFill>
              </w:rPr>
            </w:pPr>
            <w:r>
              <w:rPr>
                <w:color w:val="000000" w:themeColor="text1"/>
                <w14:textFill>
                  <w14:solidFill>
                    <w14:schemeClr w14:val="tx1"/>
                  </w14:solidFill>
                </w14:textFill>
              </w:rPr>
              <w:t>管制值</w:t>
            </w:r>
          </w:p>
        </w:tc>
      </w:tr>
      <w:tr w14:paraId="7B06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vMerge w:val="continue"/>
            <w:tcMar>
              <w:top w:w="60" w:type="dxa"/>
              <w:left w:w="120" w:type="dxa"/>
              <w:bottom w:w="30" w:type="dxa"/>
              <w:right w:w="120" w:type="dxa"/>
            </w:tcMar>
            <w:vAlign w:val="center"/>
          </w:tcPr>
          <w:p w14:paraId="172F165B">
            <w:pPr>
              <w:pStyle w:val="28"/>
              <w:rPr>
                <w:color w:val="000000" w:themeColor="text1"/>
                <w14:textFill>
                  <w14:solidFill>
                    <w14:schemeClr w14:val="tx1"/>
                  </w14:solidFill>
                </w14:textFill>
              </w:rPr>
            </w:pPr>
          </w:p>
        </w:tc>
        <w:tc>
          <w:tcPr>
            <w:tcW w:w="1221" w:type="pct"/>
            <w:vMerge w:val="continue"/>
            <w:tcMar>
              <w:top w:w="60" w:type="dxa"/>
              <w:left w:w="120" w:type="dxa"/>
              <w:bottom w:w="30" w:type="dxa"/>
              <w:right w:w="120" w:type="dxa"/>
            </w:tcMar>
            <w:vAlign w:val="center"/>
          </w:tcPr>
          <w:p w14:paraId="04795C42">
            <w:pPr>
              <w:pStyle w:val="28"/>
              <w:rPr>
                <w:color w:val="000000" w:themeColor="text1"/>
                <w14:textFill>
                  <w14:solidFill>
                    <w14:schemeClr w14:val="tx1"/>
                  </w14:solidFill>
                </w14:textFill>
              </w:rPr>
            </w:pPr>
          </w:p>
        </w:tc>
        <w:tc>
          <w:tcPr>
            <w:tcW w:w="817" w:type="pct"/>
            <w:tcMar>
              <w:top w:w="60" w:type="dxa"/>
              <w:left w:w="120" w:type="dxa"/>
              <w:bottom w:w="30" w:type="dxa"/>
              <w:right w:w="120" w:type="dxa"/>
            </w:tcMar>
            <w:vAlign w:val="center"/>
          </w:tcPr>
          <w:p w14:paraId="3ED4F01F">
            <w:pPr>
              <w:pStyle w:val="28"/>
              <w:rPr>
                <w:color w:val="000000" w:themeColor="text1"/>
                <w14:textFill>
                  <w14:solidFill>
                    <w14:schemeClr w14:val="tx1"/>
                  </w14:solidFill>
                </w14:textFill>
              </w:rPr>
            </w:pPr>
            <w:r>
              <w:rPr>
                <w:color w:val="000000" w:themeColor="text1"/>
                <w14:textFill>
                  <w14:solidFill>
                    <w14:schemeClr w14:val="tx1"/>
                  </w14:solidFill>
                </w14:textFill>
              </w:rPr>
              <w:t>第一类用地</w:t>
            </w:r>
          </w:p>
        </w:tc>
        <w:tc>
          <w:tcPr>
            <w:tcW w:w="783" w:type="pct"/>
            <w:tcMar>
              <w:top w:w="60" w:type="dxa"/>
              <w:left w:w="120" w:type="dxa"/>
              <w:bottom w:w="30" w:type="dxa"/>
              <w:right w:w="120" w:type="dxa"/>
            </w:tcMar>
            <w:vAlign w:val="center"/>
          </w:tcPr>
          <w:p w14:paraId="0A0CAC2F">
            <w:pPr>
              <w:pStyle w:val="28"/>
              <w:rPr>
                <w:color w:val="000000" w:themeColor="text1"/>
                <w14:textFill>
                  <w14:solidFill>
                    <w14:schemeClr w14:val="tx1"/>
                  </w14:solidFill>
                </w14:textFill>
              </w:rPr>
            </w:pPr>
            <w:r>
              <w:rPr>
                <w:color w:val="000000" w:themeColor="text1"/>
                <w14:textFill>
                  <w14:solidFill>
                    <w14:schemeClr w14:val="tx1"/>
                  </w14:solidFill>
                </w14:textFill>
              </w:rPr>
              <w:t>第二类用地</w:t>
            </w:r>
          </w:p>
        </w:tc>
        <w:tc>
          <w:tcPr>
            <w:tcW w:w="810" w:type="pct"/>
            <w:tcMar>
              <w:top w:w="60" w:type="dxa"/>
              <w:left w:w="120" w:type="dxa"/>
              <w:bottom w:w="30" w:type="dxa"/>
              <w:right w:w="120" w:type="dxa"/>
            </w:tcMar>
            <w:vAlign w:val="center"/>
          </w:tcPr>
          <w:p w14:paraId="23362F2A">
            <w:pPr>
              <w:pStyle w:val="28"/>
              <w:rPr>
                <w:color w:val="000000" w:themeColor="text1"/>
                <w14:textFill>
                  <w14:solidFill>
                    <w14:schemeClr w14:val="tx1"/>
                  </w14:solidFill>
                </w14:textFill>
              </w:rPr>
            </w:pPr>
            <w:r>
              <w:rPr>
                <w:color w:val="000000" w:themeColor="text1"/>
                <w14:textFill>
                  <w14:solidFill>
                    <w14:schemeClr w14:val="tx1"/>
                  </w14:solidFill>
                </w14:textFill>
              </w:rPr>
              <w:t>第一类用地</w:t>
            </w:r>
          </w:p>
        </w:tc>
        <w:tc>
          <w:tcPr>
            <w:tcW w:w="770" w:type="pct"/>
            <w:tcMar>
              <w:top w:w="60" w:type="dxa"/>
              <w:left w:w="120" w:type="dxa"/>
              <w:bottom w:w="30" w:type="dxa"/>
              <w:right w:w="120" w:type="dxa"/>
            </w:tcMar>
            <w:vAlign w:val="center"/>
          </w:tcPr>
          <w:p w14:paraId="70BC188D">
            <w:pPr>
              <w:pStyle w:val="28"/>
              <w:rPr>
                <w:color w:val="000000" w:themeColor="text1"/>
                <w14:textFill>
                  <w14:solidFill>
                    <w14:schemeClr w14:val="tx1"/>
                  </w14:solidFill>
                </w14:textFill>
              </w:rPr>
            </w:pPr>
            <w:r>
              <w:rPr>
                <w:color w:val="000000" w:themeColor="text1"/>
                <w14:textFill>
                  <w14:solidFill>
                    <w14:schemeClr w14:val="tx1"/>
                  </w14:solidFill>
                </w14:textFill>
              </w:rPr>
              <w:t>第二类用地</w:t>
            </w:r>
          </w:p>
        </w:tc>
      </w:tr>
      <w:tr w14:paraId="5E25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4CE1E99C">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1" w:type="pct"/>
            <w:tcMar>
              <w:top w:w="60" w:type="dxa"/>
              <w:left w:w="120" w:type="dxa"/>
              <w:bottom w:w="30" w:type="dxa"/>
              <w:right w:w="120" w:type="dxa"/>
            </w:tcMar>
            <w:vAlign w:val="center"/>
          </w:tcPr>
          <w:p w14:paraId="11CBD6AC">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17" w:type="pct"/>
            <w:tcMar>
              <w:top w:w="60" w:type="dxa"/>
              <w:left w:w="120" w:type="dxa"/>
              <w:bottom w:w="30" w:type="dxa"/>
              <w:right w:w="120" w:type="dxa"/>
            </w:tcMar>
            <w:vAlign w:val="center"/>
          </w:tcPr>
          <w:p w14:paraId="53F74585">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783" w:type="pct"/>
            <w:tcMar>
              <w:top w:w="60" w:type="dxa"/>
              <w:left w:w="120" w:type="dxa"/>
              <w:bottom w:w="30" w:type="dxa"/>
              <w:right w:w="120" w:type="dxa"/>
            </w:tcMar>
            <w:vAlign w:val="center"/>
          </w:tcPr>
          <w:p w14:paraId="5032F2A1">
            <w:pPr>
              <w:pStyle w:val="2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810" w:type="pct"/>
            <w:tcMar>
              <w:top w:w="60" w:type="dxa"/>
              <w:left w:w="120" w:type="dxa"/>
              <w:bottom w:w="30" w:type="dxa"/>
              <w:right w:w="120" w:type="dxa"/>
            </w:tcMar>
            <w:vAlign w:val="center"/>
          </w:tcPr>
          <w:p w14:paraId="4D92F93B">
            <w:pPr>
              <w:pStyle w:val="28"/>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770" w:type="pct"/>
            <w:tcMar>
              <w:top w:w="60" w:type="dxa"/>
              <w:left w:w="120" w:type="dxa"/>
              <w:bottom w:w="30" w:type="dxa"/>
              <w:right w:w="120" w:type="dxa"/>
            </w:tcMar>
            <w:vAlign w:val="center"/>
          </w:tcPr>
          <w:p w14:paraId="1A70381C">
            <w:pPr>
              <w:pStyle w:val="28"/>
              <w:rPr>
                <w:color w:val="000000" w:themeColor="text1"/>
                <w14:textFill>
                  <w14:solidFill>
                    <w14:schemeClr w14:val="tx1"/>
                  </w14:solidFill>
                </w14:textFill>
              </w:rPr>
            </w:pPr>
            <w:r>
              <w:rPr>
                <w:color w:val="000000" w:themeColor="text1"/>
                <w14:textFill>
                  <w14:solidFill>
                    <w14:schemeClr w14:val="tx1"/>
                  </w14:solidFill>
                </w14:textFill>
              </w:rPr>
              <w:t>140</w:t>
            </w:r>
          </w:p>
        </w:tc>
      </w:tr>
      <w:tr w14:paraId="1D91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5D4B9D0">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1" w:type="pct"/>
            <w:tcMar>
              <w:top w:w="60" w:type="dxa"/>
              <w:left w:w="120" w:type="dxa"/>
              <w:bottom w:w="30" w:type="dxa"/>
              <w:right w:w="120" w:type="dxa"/>
            </w:tcMar>
            <w:vAlign w:val="center"/>
          </w:tcPr>
          <w:p w14:paraId="5CE93B39">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817" w:type="pct"/>
            <w:tcMar>
              <w:top w:w="60" w:type="dxa"/>
              <w:left w:w="120" w:type="dxa"/>
              <w:bottom w:w="30" w:type="dxa"/>
              <w:right w:w="120" w:type="dxa"/>
            </w:tcMar>
            <w:vAlign w:val="center"/>
          </w:tcPr>
          <w:p w14:paraId="7A91F1AA">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783" w:type="pct"/>
            <w:tcMar>
              <w:top w:w="60" w:type="dxa"/>
              <w:left w:w="120" w:type="dxa"/>
              <w:bottom w:w="30" w:type="dxa"/>
              <w:right w:w="120" w:type="dxa"/>
            </w:tcMar>
            <w:vAlign w:val="center"/>
          </w:tcPr>
          <w:p w14:paraId="4BF0FF8B">
            <w:pPr>
              <w:pStyle w:val="28"/>
              <w:rPr>
                <w:color w:val="000000" w:themeColor="text1"/>
                <w14:textFill>
                  <w14:solidFill>
                    <w14:schemeClr w14:val="tx1"/>
                  </w14:solidFill>
                </w14:textFill>
              </w:rPr>
            </w:pPr>
            <w:r>
              <w:rPr>
                <w:color w:val="000000" w:themeColor="text1"/>
                <w14:textFill>
                  <w14:solidFill>
                    <w14:schemeClr w14:val="tx1"/>
                  </w14:solidFill>
                </w14:textFill>
              </w:rPr>
              <w:t>65</w:t>
            </w:r>
          </w:p>
        </w:tc>
        <w:tc>
          <w:tcPr>
            <w:tcW w:w="810" w:type="pct"/>
            <w:tcMar>
              <w:top w:w="60" w:type="dxa"/>
              <w:left w:w="120" w:type="dxa"/>
              <w:bottom w:w="30" w:type="dxa"/>
              <w:right w:w="120" w:type="dxa"/>
            </w:tcMar>
            <w:vAlign w:val="center"/>
          </w:tcPr>
          <w:p w14:paraId="778849D7">
            <w:pPr>
              <w:pStyle w:val="28"/>
              <w:rPr>
                <w:color w:val="000000" w:themeColor="text1"/>
                <w14:textFill>
                  <w14:solidFill>
                    <w14:schemeClr w14:val="tx1"/>
                  </w14:solidFill>
                </w14:textFill>
              </w:rPr>
            </w:pPr>
            <w:r>
              <w:rPr>
                <w:color w:val="000000" w:themeColor="text1"/>
                <w14:textFill>
                  <w14:solidFill>
                    <w14:schemeClr w14:val="tx1"/>
                  </w14:solidFill>
                </w14:textFill>
              </w:rPr>
              <w:t>47</w:t>
            </w:r>
          </w:p>
        </w:tc>
        <w:tc>
          <w:tcPr>
            <w:tcW w:w="770" w:type="pct"/>
            <w:tcMar>
              <w:top w:w="60" w:type="dxa"/>
              <w:left w:w="120" w:type="dxa"/>
              <w:bottom w:w="30" w:type="dxa"/>
              <w:right w:w="120" w:type="dxa"/>
            </w:tcMar>
            <w:vAlign w:val="center"/>
          </w:tcPr>
          <w:p w14:paraId="4285AED9">
            <w:pPr>
              <w:pStyle w:val="28"/>
              <w:rPr>
                <w:color w:val="000000" w:themeColor="text1"/>
                <w14:textFill>
                  <w14:solidFill>
                    <w14:schemeClr w14:val="tx1"/>
                  </w14:solidFill>
                </w14:textFill>
              </w:rPr>
            </w:pPr>
            <w:r>
              <w:rPr>
                <w:color w:val="000000" w:themeColor="text1"/>
                <w14:textFill>
                  <w14:solidFill>
                    <w14:schemeClr w14:val="tx1"/>
                  </w14:solidFill>
                </w14:textFill>
              </w:rPr>
              <w:t>172</w:t>
            </w:r>
          </w:p>
        </w:tc>
      </w:tr>
      <w:tr w14:paraId="3C0F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37A6DBE">
            <w:pPr>
              <w:pStyle w:val="28"/>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21" w:type="pct"/>
            <w:tcMar>
              <w:top w:w="60" w:type="dxa"/>
              <w:left w:w="120" w:type="dxa"/>
              <w:bottom w:w="30" w:type="dxa"/>
              <w:right w:w="120" w:type="dxa"/>
            </w:tcMar>
            <w:vAlign w:val="center"/>
          </w:tcPr>
          <w:p w14:paraId="3AD102CB">
            <w:pPr>
              <w:pStyle w:val="28"/>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817" w:type="pct"/>
            <w:tcMar>
              <w:top w:w="60" w:type="dxa"/>
              <w:left w:w="120" w:type="dxa"/>
              <w:bottom w:w="30" w:type="dxa"/>
              <w:right w:w="120" w:type="dxa"/>
            </w:tcMar>
            <w:vAlign w:val="center"/>
          </w:tcPr>
          <w:p w14:paraId="7F64E774">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83" w:type="pct"/>
            <w:tcMar>
              <w:top w:w="60" w:type="dxa"/>
              <w:left w:w="120" w:type="dxa"/>
              <w:bottom w:w="30" w:type="dxa"/>
              <w:right w:w="120" w:type="dxa"/>
            </w:tcMar>
            <w:vAlign w:val="center"/>
          </w:tcPr>
          <w:p w14:paraId="5D1058CE">
            <w:pPr>
              <w:pStyle w:val="28"/>
              <w:rPr>
                <w:color w:val="000000" w:themeColor="text1"/>
                <w14:textFill>
                  <w14:solidFill>
                    <w14:schemeClr w14:val="tx1"/>
                  </w14:solidFill>
                </w14:textFill>
              </w:rPr>
            </w:pPr>
            <w:r>
              <w:rPr>
                <w:color w:val="000000" w:themeColor="text1"/>
                <w14:textFill>
                  <w14:solidFill>
                    <w14:schemeClr w14:val="tx1"/>
                  </w14:solidFill>
                </w14:textFill>
              </w:rPr>
              <w:t>5.7</w:t>
            </w:r>
          </w:p>
        </w:tc>
        <w:tc>
          <w:tcPr>
            <w:tcW w:w="810" w:type="pct"/>
            <w:tcMar>
              <w:top w:w="60" w:type="dxa"/>
              <w:left w:w="120" w:type="dxa"/>
              <w:bottom w:w="30" w:type="dxa"/>
              <w:right w:w="120" w:type="dxa"/>
            </w:tcMar>
            <w:vAlign w:val="center"/>
          </w:tcPr>
          <w:p w14:paraId="572BC6DA">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70" w:type="pct"/>
            <w:tcMar>
              <w:top w:w="60" w:type="dxa"/>
              <w:left w:w="120" w:type="dxa"/>
              <w:bottom w:w="30" w:type="dxa"/>
              <w:right w:w="120" w:type="dxa"/>
            </w:tcMar>
            <w:vAlign w:val="center"/>
          </w:tcPr>
          <w:p w14:paraId="4578883D">
            <w:pPr>
              <w:pStyle w:val="28"/>
              <w:rPr>
                <w:color w:val="000000" w:themeColor="text1"/>
                <w14:textFill>
                  <w14:solidFill>
                    <w14:schemeClr w14:val="tx1"/>
                  </w14:solidFill>
                </w14:textFill>
              </w:rPr>
            </w:pPr>
            <w:r>
              <w:rPr>
                <w:color w:val="000000" w:themeColor="text1"/>
                <w14:textFill>
                  <w14:solidFill>
                    <w14:schemeClr w14:val="tx1"/>
                  </w14:solidFill>
                </w14:textFill>
              </w:rPr>
              <w:t>78</w:t>
            </w:r>
          </w:p>
        </w:tc>
      </w:tr>
      <w:tr w14:paraId="43AD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36E29300">
            <w:pPr>
              <w:pStyle w:val="28"/>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1" w:type="pct"/>
            <w:tcMar>
              <w:top w:w="60" w:type="dxa"/>
              <w:left w:w="120" w:type="dxa"/>
              <w:bottom w:w="30" w:type="dxa"/>
              <w:right w:w="120" w:type="dxa"/>
            </w:tcMar>
            <w:vAlign w:val="center"/>
          </w:tcPr>
          <w:p w14:paraId="2D2E2C29">
            <w:pPr>
              <w:pStyle w:val="28"/>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817" w:type="pct"/>
            <w:tcMar>
              <w:top w:w="60" w:type="dxa"/>
              <w:left w:w="120" w:type="dxa"/>
              <w:bottom w:w="30" w:type="dxa"/>
              <w:right w:w="120" w:type="dxa"/>
            </w:tcMar>
            <w:vAlign w:val="center"/>
          </w:tcPr>
          <w:p w14:paraId="5F60ED78">
            <w:pPr>
              <w:pStyle w:val="28"/>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783" w:type="pct"/>
            <w:tcMar>
              <w:top w:w="60" w:type="dxa"/>
              <w:left w:w="120" w:type="dxa"/>
              <w:bottom w:w="30" w:type="dxa"/>
              <w:right w:w="120" w:type="dxa"/>
            </w:tcMar>
            <w:vAlign w:val="center"/>
          </w:tcPr>
          <w:p w14:paraId="248306DD">
            <w:pPr>
              <w:pStyle w:val="28"/>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810" w:type="pct"/>
            <w:tcMar>
              <w:top w:w="60" w:type="dxa"/>
              <w:left w:w="120" w:type="dxa"/>
              <w:bottom w:w="30" w:type="dxa"/>
              <w:right w:w="120" w:type="dxa"/>
            </w:tcMar>
            <w:vAlign w:val="center"/>
          </w:tcPr>
          <w:p w14:paraId="51AAFFD6">
            <w:pPr>
              <w:pStyle w:val="28"/>
              <w:rPr>
                <w:color w:val="000000" w:themeColor="text1"/>
                <w14:textFill>
                  <w14:solidFill>
                    <w14:schemeClr w14:val="tx1"/>
                  </w14:solidFill>
                </w14:textFill>
              </w:rPr>
            </w:pPr>
            <w:r>
              <w:rPr>
                <w:color w:val="000000" w:themeColor="text1"/>
                <w14:textFill>
                  <w14:solidFill>
                    <w14:schemeClr w14:val="tx1"/>
                  </w14:solidFill>
                </w14:textFill>
              </w:rPr>
              <w:t>8000</w:t>
            </w:r>
          </w:p>
        </w:tc>
        <w:tc>
          <w:tcPr>
            <w:tcW w:w="770" w:type="pct"/>
            <w:tcMar>
              <w:top w:w="60" w:type="dxa"/>
              <w:left w:w="120" w:type="dxa"/>
              <w:bottom w:w="30" w:type="dxa"/>
              <w:right w:w="120" w:type="dxa"/>
            </w:tcMar>
            <w:vAlign w:val="center"/>
          </w:tcPr>
          <w:p w14:paraId="28258D62">
            <w:pPr>
              <w:pStyle w:val="28"/>
              <w:rPr>
                <w:color w:val="000000" w:themeColor="text1"/>
                <w14:textFill>
                  <w14:solidFill>
                    <w14:schemeClr w14:val="tx1"/>
                  </w14:solidFill>
                </w14:textFill>
              </w:rPr>
            </w:pPr>
            <w:r>
              <w:rPr>
                <w:color w:val="000000" w:themeColor="text1"/>
                <w14:textFill>
                  <w14:solidFill>
                    <w14:schemeClr w14:val="tx1"/>
                  </w14:solidFill>
                </w14:textFill>
              </w:rPr>
              <w:t>36000</w:t>
            </w:r>
          </w:p>
        </w:tc>
      </w:tr>
      <w:tr w14:paraId="74F5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B59E29C">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21" w:type="pct"/>
            <w:tcMar>
              <w:top w:w="60" w:type="dxa"/>
              <w:left w:w="120" w:type="dxa"/>
              <w:bottom w:w="30" w:type="dxa"/>
              <w:right w:w="120" w:type="dxa"/>
            </w:tcMar>
            <w:vAlign w:val="center"/>
          </w:tcPr>
          <w:p w14:paraId="42576944">
            <w:pPr>
              <w:pStyle w:val="28"/>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817" w:type="pct"/>
            <w:tcMar>
              <w:top w:w="60" w:type="dxa"/>
              <w:left w:w="120" w:type="dxa"/>
              <w:bottom w:w="30" w:type="dxa"/>
              <w:right w:w="120" w:type="dxa"/>
            </w:tcMar>
            <w:vAlign w:val="center"/>
          </w:tcPr>
          <w:p w14:paraId="2E6E3371">
            <w:pPr>
              <w:pStyle w:val="28"/>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83" w:type="pct"/>
            <w:tcMar>
              <w:top w:w="60" w:type="dxa"/>
              <w:left w:w="120" w:type="dxa"/>
              <w:bottom w:w="30" w:type="dxa"/>
              <w:right w:w="120" w:type="dxa"/>
            </w:tcMar>
            <w:vAlign w:val="center"/>
          </w:tcPr>
          <w:p w14:paraId="54B83271">
            <w:pPr>
              <w:pStyle w:val="28"/>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810" w:type="pct"/>
            <w:tcMar>
              <w:top w:w="60" w:type="dxa"/>
              <w:left w:w="120" w:type="dxa"/>
              <w:bottom w:w="30" w:type="dxa"/>
              <w:right w:w="120" w:type="dxa"/>
            </w:tcMar>
            <w:vAlign w:val="center"/>
          </w:tcPr>
          <w:p w14:paraId="39740253">
            <w:pPr>
              <w:pStyle w:val="28"/>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770" w:type="pct"/>
            <w:tcMar>
              <w:top w:w="60" w:type="dxa"/>
              <w:left w:w="120" w:type="dxa"/>
              <w:bottom w:w="30" w:type="dxa"/>
              <w:right w:w="120" w:type="dxa"/>
            </w:tcMar>
            <w:vAlign w:val="center"/>
          </w:tcPr>
          <w:p w14:paraId="328A0BDC">
            <w:pPr>
              <w:pStyle w:val="28"/>
              <w:rPr>
                <w:color w:val="000000" w:themeColor="text1"/>
                <w14:textFill>
                  <w14:solidFill>
                    <w14:schemeClr w14:val="tx1"/>
                  </w14:solidFill>
                </w14:textFill>
              </w:rPr>
            </w:pPr>
            <w:r>
              <w:rPr>
                <w:color w:val="000000" w:themeColor="text1"/>
                <w14:textFill>
                  <w14:solidFill>
                    <w14:schemeClr w14:val="tx1"/>
                  </w14:solidFill>
                </w14:textFill>
              </w:rPr>
              <w:t>2500</w:t>
            </w:r>
          </w:p>
        </w:tc>
      </w:tr>
      <w:tr w14:paraId="4CB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487A3D3">
            <w:pPr>
              <w:pStyle w:val="28"/>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21" w:type="pct"/>
            <w:tcMar>
              <w:top w:w="60" w:type="dxa"/>
              <w:left w:w="120" w:type="dxa"/>
              <w:bottom w:w="30" w:type="dxa"/>
              <w:right w:w="120" w:type="dxa"/>
            </w:tcMar>
            <w:vAlign w:val="center"/>
          </w:tcPr>
          <w:p w14:paraId="32A4A501">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17" w:type="pct"/>
            <w:tcMar>
              <w:top w:w="60" w:type="dxa"/>
              <w:left w:w="120" w:type="dxa"/>
              <w:bottom w:w="30" w:type="dxa"/>
              <w:right w:w="120" w:type="dxa"/>
            </w:tcMar>
            <w:vAlign w:val="center"/>
          </w:tcPr>
          <w:p w14:paraId="715AD88C">
            <w:pPr>
              <w:pStyle w:val="28"/>
              <w:rPr>
                <w:color w:val="000000" w:themeColor="text1"/>
                <w14:textFill>
                  <w14:solidFill>
                    <w14:schemeClr w14:val="tx1"/>
                  </w14:solidFill>
                </w14:textFill>
              </w:rPr>
            </w:pPr>
            <w:r>
              <w:rPr>
                <w:color w:val="000000" w:themeColor="text1"/>
                <w14:textFill>
                  <w14:solidFill>
                    <w14:schemeClr w14:val="tx1"/>
                  </w14:solidFill>
                </w14:textFill>
              </w:rPr>
              <w:t>8</w:t>
            </w:r>
          </w:p>
        </w:tc>
        <w:tc>
          <w:tcPr>
            <w:tcW w:w="783" w:type="pct"/>
            <w:tcMar>
              <w:top w:w="60" w:type="dxa"/>
              <w:left w:w="120" w:type="dxa"/>
              <w:bottom w:w="30" w:type="dxa"/>
              <w:right w:w="120" w:type="dxa"/>
            </w:tcMar>
            <w:vAlign w:val="center"/>
          </w:tcPr>
          <w:p w14:paraId="4532741C">
            <w:pPr>
              <w:pStyle w:val="28"/>
              <w:rPr>
                <w:color w:val="000000" w:themeColor="text1"/>
                <w14:textFill>
                  <w14:solidFill>
                    <w14:schemeClr w14:val="tx1"/>
                  </w14:solidFill>
                </w14:textFill>
              </w:rPr>
            </w:pPr>
            <w:r>
              <w:rPr>
                <w:color w:val="000000" w:themeColor="text1"/>
                <w14:textFill>
                  <w14:solidFill>
                    <w14:schemeClr w14:val="tx1"/>
                  </w14:solidFill>
                </w14:textFill>
              </w:rPr>
              <w:t>38</w:t>
            </w:r>
          </w:p>
        </w:tc>
        <w:tc>
          <w:tcPr>
            <w:tcW w:w="810" w:type="pct"/>
            <w:tcMar>
              <w:top w:w="60" w:type="dxa"/>
              <w:left w:w="120" w:type="dxa"/>
              <w:bottom w:w="30" w:type="dxa"/>
              <w:right w:w="120" w:type="dxa"/>
            </w:tcMar>
            <w:vAlign w:val="center"/>
          </w:tcPr>
          <w:p w14:paraId="3B9D3CC0">
            <w:pPr>
              <w:pStyle w:val="28"/>
              <w:rPr>
                <w:color w:val="000000" w:themeColor="text1"/>
                <w14:textFill>
                  <w14:solidFill>
                    <w14:schemeClr w14:val="tx1"/>
                  </w14:solidFill>
                </w14:textFill>
              </w:rPr>
            </w:pPr>
            <w:r>
              <w:rPr>
                <w:color w:val="000000" w:themeColor="text1"/>
                <w14:textFill>
                  <w14:solidFill>
                    <w14:schemeClr w14:val="tx1"/>
                  </w14:solidFill>
                </w14:textFill>
              </w:rPr>
              <w:t>33</w:t>
            </w:r>
          </w:p>
        </w:tc>
        <w:tc>
          <w:tcPr>
            <w:tcW w:w="770" w:type="pct"/>
            <w:tcMar>
              <w:top w:w="60" w:type="dxa"/>
              <w:left w:w="120" w:type="dxa"/>
              <w:bottom w:w="30" w:type="dxa"/>
              <w:right w:w="120" w:type="dxa"/>
            </w:tcMar>
            <w:vAlign w:val="center"/>
          </w:tcPr>
          <w:p w14:paraId="1A305EC7">
            <w:pPr>
              <w:pStyle w:val="28"/>
              <w:rPr>
                <w:color w:val="000000" w:themeColor="text1"/>
                <w14:textFill>
                  <w14:solidFill>
                    <w14:schemeClr w14:val="tx1"/>
                  </w14:solidFill>
                </w14:textFill>
              </w:rPr>
            </w:pPr>
            <w:r>
              <w:rPr>
                <w:color w:val="000000" w:themeColor="text1"/>
                <w14:textFill>
                  <w14:solidFill>
                    <w14:schemeClr w14:val="tx1"/>
                  </w14:solidFill>
                </w14:textFill>
              </w:rPr>
              <w:t>82</w:t>
            </w:r>
          </w:p>
        </w:tc>
      </w:tr>
      <w:tr w14:paraId="19FD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34E7C621">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c>
          <w:tcPr>
            <w:tcW w:w="1221" w:type="pct"/>
            <w:tcMar>
              <w:top w:w="60" w:type="dxa"/>
              <w:left w:w="120" w:type="dxa"/>
              <w:bottom w:w="30" w:type="dxa"/>
              <w:right w:w="120" w:type="dxa"/>
            </w:tcMar>
            <w:vAlign w:val="center"/>
          </w:tcPr>
          <w:p w14:paraId="3AA8BAE0">
            <w:pPr>
              <w:pStyle w:val="28"/>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817" w:type="pct"/>
            <w:tcMar>
              <w:top w:w="60" w:type="dxa"/>
              <w:left w:w="120" w:type="dxa"/>
              <w:bottom w:w="30" w:type="dxa"/>
              <w:right w:w="120" w:type="dxa"/>
            </w:tcMar>
            <w:vAlign w:val="center"/>
          </w:tcPr>
          <w:p w14:paraId="761609E0">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783" w:type="pct"/>
            <w:tcMar>
              <w:top w:w="60" w:type="dxa"/>
              <w:left w:w="120" w:type="dxa"/>
              <w:bottom w:w="30" w:type="dxa"/>
              <w:right w:w="120" w:type="dxa"/>
            </w:tcMar>
            <w:vAlign w:val="center"/>
          </w:tcPr>
          <w:p w14:paraId="4685C2CC">
            <w:pPr>
              <w:pStyle w:val="28"/>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810" w:type="pct"/>
            <w:tcMar>
              <w:top w:w="60" w:type="dxa"/>
              <w:left w:w="120" w:type="dxa"/>
              <w:bottom w:w="30" w:type="dxa"/>
              <w:right w:w="120" w:type="dxa"/>
            </w:tcMar>
            <w:vAlign w:val="center"/>
          </w:tcPr>
          <w:p w14:paraId="148EDFA8">
            <w:pPr>
              <w:pStyle w:val="28"/>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770" w:type="pct"/>
            <w:tcMar>
              <w:top w:w="60" w:type="dxa"/>
              <w:left w:w="120" w:type="dxa"/>
              <w:bottom w:w="30" w:type="dxa"/>
              <w:right w:w="120" w:type="dxa"/>
            </w:tcMar>
            <w:vAlign w:val="center"/>
          </w:tcPr>
          <w:p w14:paraId="4826F7D0">
            <w:pPr>
              <w:pStyle w:val="28"/>
              <w:rPr>
                <w:color w:val="000000" w:themeColor="text1"/>
                <w14:textFill>
                  <w14:solidFill>
                    <w14:schemeClr w14:val="tx1"/>
                  </w14:solidFill>
                </w14:textFill>
              </w:rPr>
            </w:pPr>
            <w:r>
              <w:rPr>
                <w:color w:val="000000" w:themeColor="text1"/>
                <w14:textFill>
                  <w14:solidFill>
                    <w14:schemeClr w14:val="tx1"/>
                  </w14:solidFill>
                </w14:textFill>
              </w:rPr>
              <w:t>2000</w:t>
            </w:r>
          </w:p>
        </w:tc>
      </w:tr>
      <w:tr w14:paraId="3EFE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36DC4051">
            <w:pPr>
              <w:pStyle w:val="28"/>
              <w:rPr>
                <w:color w:val="000000" w:themeColor="text1"/>
                <w14:textFill>
                  <w14:solidFill>
                    <w14:schemeClr w14:val="tx1"/>
                  </w14:solidFill>
                </w14:textFill>
              </w:rPr>
            </w:pPr>
            <w:r>
              <w:rPr>
                <w:color w:val="000000" w:themeColor="text1"/>
                <w14:textFill>
                  <w14:solidFill>
                    <w14:schemeClr w14:val="tx1"/>
                  </w14:solidFill>
                </w14:textFill>
              </w:rPr>
              <w:t>8</w:t>
            </w:r>
          </w:p>
        </w:tc>
        <w:tc>
          <w:tcPr>
            <w:tcW w:w="1221" w:type="pct"/>
            <w:tcMar>
              <w:top w:w="60" w:type="dxa"/>
              <w:left w:w="120" w:type="dxa"/>
              <w:bottom w:w="30" w:type="dxa"/>
              <w:right w:w="120" w:type="dxa"/>
            </w:tcMar>
            <w:vAlign w:val="center"/>
          </w:tcPr>
          <w:p w14:paraId="3A9C2417">
            <w:pPr>
              <w:pStyle w:val="28"/>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817" w:type="pct"/>
            <w:tcMar>
              <w:top w:w="60" w:type="dxa"/>
              <w:left w:w="120" w:type="dxa"/>
              <w:bottom w:w="30" w:type="dxa"/>
              <w:right w:w="120" w:type="dxa"/>
            </w:tcMar>
            <w:vAlign w:val="center"/>
          </w:tcPr>
          <w:p w14:paraId="132156D5">
            <w:pPr>
              <w:pStyle w:val="28"/>
              <w:rPr>
                <w:color w:val="000000" w:themeColor="text1"/>
                <w14:textFill>
                  <w14:solidFill>
                    <w14:schemeClr w14:val="tx1"/>
                  </w14:solidFill>
                </w14:textFill>
              </w:rPr>
            </w:pPr>
            <w:r>
              <w:rPr>
                <w:color w:val="000000" w:themeColor="text1"/>
                <w14:textFill>
                  <w14:solidFill>
                    <w14:schemeClr w14:val="tx1"/>
                  </w14:solidFill>
                </w14:textFill>
              </w:rPr>
              <w:t>0.9</w:t>
            </w:r>
          </w:p>
        </w:tc>
        <w:tc>
          <w:tcPr>
            <w:tcW w:w="783" w:type="pct"/>
            <w:tcMar>
              <w:top w:w="60" w:type="dxa"/>
              <w:left w:w="120" w:type="dxa"/>
              <w:bottom w:w="30" w:type="dxa"/>
              <w:right w:w="120" w:type="dxa"/>
            </w:tcMar>
            <w:vAlign w:val="center"/>
          </w:tcPr>
          <w:p w14:paraId="010CE001">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10" w:type="pct"/>
            <w:tcMar>
              <w:top w:w="60" w:type="dxa"/>
              <w:left w:w="120" w:type="dxa"/>
              <w:bottom w:w="30" w:type="dxa"/>
              <w:right w:w="120" w:type="dxa"/>
            </w:tcMar>
            <w:vAlign w:val="center"/>
          </w:tcPr>
          <w:p w14:paraId="65FA49CC">
            <w:pPr>
              <w:pStyle w:val="28"/>
              <w:rPr>
                <w:color w:val="000000" w:themeColor="text1"/>
                <w14:textFill>
                  <w14:solidFill>
                    <w14:schemeClr w14:val="tx1"/>
                  </w14:solidFill>
                </w14:textFill>
              </w:rPr>
            </w:pPr>
            <w:r>
              <w:rPr>
                <w:color w:val="000000" w:themeColor="text1"/>
                <w14:textFill>
                  <w14:solidFill>
                    <w14:schemeClr w14:val="tx1"/>
                  </w14:solidFill>
                </w14:textFill>
              </w:rPr>
              <w:t>9</w:t>
            </w:r>
          </w:p>
        </w:tc>
        <w:tc>
          <w:tcPr>
            <w:tcW w:w="770" w:type="pct"/>
            <w:tcMar>
              <w:top w:w="60" w:type="dxa"/>
              <w:left w:w="120" w:type="dxa"/>
              <w:bottom w:w="30" w:type="dxa"/>
              <w:right w:w="120" w:type="dxa"/>
            </w:tcMar>
            <w:vAlign w:val="center"/>
          </w:tcPr>
          <w:p w14:paraId="4DEE033B">
            <w:pPr>
              <w:pStyle w:val="28"/>
              <w:rPr>
                <w:color w:val="000000" w:themeColor="text1"/>
                <w14:textFill>
                  <w14:solidFill>
                    <w14:schemeClr w14:val="tx1"/>
                  </w14:solidFill>
                </w14:textFill>
              </w:rPr>
            </w:pPr>
            <w:r>
              <w:rPr>
                <w:color w:val="000000" w:themeColor="text1"/>
                <w14:textFill>
                  <w14:solidFill>
                    <w14:schemeClr w14:val="tx1"/>
                  </w14:solidFill>
                </w14:textFill>
              </w:rPr>
              <w:t>36</w:t>
            </w:r>
          </w:p>
        </w:tc>
      </w:tr>
      <w:tr w14:paraId="7A60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1ABDC33">
            <w:pPr>
              <w:pStyle w:val="28"/>
              <w:rPr>
                <w:color w:val="000000" w:themeColor="text1"/>
                <w14:textFill>
                  <w14:solidFill>
                    <w14:schemeClr w14:val="tx1"/>
                  </w14:solidFill>
                </w14:textFill>
              </w:rPr>
            </w:pPr>
            <w:r>
              <w:rPr>
                <w:color w:val="000000" w:themeColor="text1"/>
                <w14:textFill>
                  <w14:solidFill>
                    <w14:schemeClr w14:val="tx1"/>
                  </w14:solidFill>
                </w14:textFill>
              </w:rPr>
              <w:t>9</w:t>
            </w:r>
          </w:p>
        </w:tc>
        <w:tc>
          <w:tcPr>
            <w:tcW w:w="1221" w:type="pct"/>
            <w:tcMar>
              <w:top w:w="60" w:type="dxa"/>
              <w:left w:w="120" w:type="dxa"/>
              <w:bottom w:w="30" w:type="dxa"/>
              <w:right w:w="120" w:type="dxa"/>
            </w:tcMar>
            <w:vAlign w:val="center"/>
          </w:tcPr>
          <w:p w14:paraId="492B8318">
            <w:pPr>
              <w:pStyle w:val="28"/>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817" w:type="pct"/>
            <w:tcMar>
              <w:top w:w="60" w:type="dxa"/>
              <w:left w:w="120" w:type="dxa"/>
              <w:bottom w:w="30" w:type="dxa"/>
              <w:right w:w="120" w:type="dxa"/>
            </w:tcMar>
            <w:vAlign w:val="center"/>
          </w:tcPr>
          <w:p w14:paraId="2550FF25">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783" w:type="pct"/>
            <w:tcMar>
              <w:top w:w="60" w:type="dxa"/>
              <w:left w:w="120" w:type="dxa"/>
              <w:bottom w:w="30" w:type="dxa"/>
              <w:right w:w="120" w:type="dxa"/>
            </w:tcMar>
            <w:vAlign w:val="center"/>
          </w:tcPr>
          <w:p w14:paraId="2F58F699">
            <w:pPr>
              <w:pStyle w:val="28"/>
              <w:rPr>
                <w:color w:val="000000" w:themeColor="text1"/>
                <w14:textFill>
                  <w14:solidFill>
                    <w14:schemeClr w14:val="tx1"/>
                  </w14:solidFill>
                </w14:textFill>
              </w:rPr>
            </w:pPr>
            <w:r>
              <w:rPr>
                <w:color w:val="000000" w:themeColor="text1"/>
                <w14:textFill>
                  <w14:solidFill>
                    <w14:schemeClr w14:val="tx1"/>
                  </w14:solidFill>
                </w14:textFill>
              </w:rPr>
              <w:t>0.9</w:t>
            </w:r>
          </w:p>
        </w:tc>
        <w:tc>
          <w:tcPr>
            <w:tcW w:w="810" w:type="pct"/>
            <w:tcMar>
              <w:top w:w="60" w:type="dxa"/>
              <w:left w:w="120" w:type="dxa"/>
              <w:bottom w:w="30" w:type="dxa"/>
              <w:right w:w="120" w:type="dxa"/>
            </w:tcMar>
            <w:vAlign w:val="center"/>
          </w:tcPr>
          <w:p w14:paraId="02F9225A">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770" w:type="pct"/>
            <w:tcMar>
              <w:top w:w="60" w:type="dxa"/>
              <w:left w:w="120" w:type="dxa"/>
              <w:bottom w:w="30" w:type="dxa"/>
              <w:right w:w="120" w:type="dxa"/>
            </w:tcMar>
            <w:vAlign w:val="center"/>
          </w:tcPr>
          <w:p w14:paraId="2AA79736">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3BBD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B129566">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21" w:type="pct"/>
            <w:tcMar>
              <w:top w:w="60" w:type="dxa"/>
              <w:left w:w="120" w:type="dxa"/>
              <w:bottom w:w="30" w:type="dxa"/>
              <w:right w:w="120" w:type="dxa"/>
            </w:tcMar>
            <w:vAlign w:val="center"/>
          </w:tcPr>
          <w:p w14:paraId="42FA4A30">
            <w:pPr>
              <w:pStyle w:val="28"/>
              <w:rPr>
                <w:color w:val="000000" w:themeColor="text1"/>
                <w14:textFill>
                  <w14:solidFill>
                    <w14:schemeClr w14:val="tx1"/>
                  </w14:solidFill>
                </w14:textFill>
              </w:rPr>
            </w:pPr>
            <w:r>
              <w:rPr>
                <w:color w:val="000000" w:themeColor="text1"/>
                <w14:textFill>
                  <w14:solidFill>
                    <w14:schemeClr w14:val="tx1"/>
                  </w14:solidFill>
                </w14:textFill>
              </w:rPr>
              <w:t>氯甲烷</w:t>
            </w:r>
          </w:p>
        </w:tc>
        <w:tc>
          <w:tcPr>
            <w:tcW w:w="817" w:type="pct"/>
            <w:tcMar>
              <w:top w:w="60" w:type="dxa"/>
              <w:left w:w="120" w:type="dxa"/>
              <w:bottom w:w="30" w:type="dxa"/>
              <w:right w:w="120" w:type="dxa"/>
            </w:tcMar>
            <w:vAlign w:val="center"/>
          </w:tcPr>
          <w:p w14:paraId="16FCEF14">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783" w:type="pct"/>
            <w:tcMar>
              <w:top w:w="60" w:type="dxa"/>
              <w:left w:w="120" w:type="dxa"/>
              <w:bottom w:w="30" w:type="dxa"/>
              <w:right w:w="120" w:type="dxa"/>
            </w:tcMar>
            <w:vAlign w:val="center"/>
          </w:tcPr>
          <w:p w14:paraId="006C8B5D">
            <w:pPr>
              <w:pStyle w:val="28"/>
              <w:rPr>
                <w:color w:val="000000" w:themeColor="text1"/>
                <w14:textFill>
                  <w14:solidFill>
                    <w14:schemeClr w14:val="tx1"/>
                  </w14:solidFill>
                </w14:textFill>
              </w:rPr>
            </w:pPr>
            <w:r>
              <w:rPr>
                <w:color w:val="000000" w:themeColor="text1"/>
                <w14:textFill>
                  <w14:solidFill>
                    <w14:schemeClr w14:val="tx1"/>
                  </w14:solidFill>
                </w14:textFill>
              </w:rPr>
              <w:t>37</w:t>
            </w:r>
          </w:p>
        </w:tc>
        <w:tc>
          <w:tcPr>
            <w:tcW w:w="810" w:type="pct"/>
            <w:tcMar>
              <w:top w:w="60" w:type="dxa"/>
              <w:left w:w="120" w:type="dxa"/>
              <w:bottom w:w="30" w:type="dxa"/>
              <w:right w:w="120" w:type="dxa"/>
            </w:tcMar>
            <w:vAlign w:val="center"/>
          </w:tcPr>
          <w:p w14:paraId="5F2B31FF">
            <w:pPr>
              <w:pStyle w:val="28"/>
              <w:rPr>
                <w:color w:val="000000" w:themeColor="text1"/>
                <w14:textFill>
                  <w14:solidFill>
                    <w14:schemeClr w14:val="tx1"/>
                  </w14:solidFill>
                </w14:textFill>
              </w:rPr>
            </w:pPr>
            <w:r>
              <w:rPr>
                <w:color w:val="000000" w:themeColor="text1"/>
                <w14:textFill>
                  <w14:solidFill>
                    <w14:schemeClr w14:val="tx1"/>
                  </w14:solidFill>
                </w14:textFill>
              </w:rPr>
              <w:t>21</w:t>
            </w:r>
          </w:p>
        </w:tc>
        <w:tc>
          <w:tcPr>
            <w:tcW w:w="770" w:type="pct"/>
            <w:tcMar>
              <w:top w:w="60" w:type="dxa"/>
              <w:left w:w="120" w:type="dxa"/>
              <w:bottom w:w="30" w:type="dxa"/>
              <w:right w:w="120" w:type="dxa"/>
            </w:tcMar>
            <w:vAlign w:val="center"/>
          </w:tcPr>
          <w:p w14:paraId="1729DADB">
            <w:pPr>
              <w:pStyle w:val="28"/>
              <w:rPr>
                <w:color w:val="000000" w:themeColor="text1"/>
                <w14:textFill>
                  <w14:solidFill>
                    <w14:schemeClr w14:val="tx1"/>
                  </w14:solidFill>
                </w14:textFill>
              </w:rPr>
            </w:pPr>
            <w:r>
              <w:rPr>
                <w:color w:val="000000" w:themeColor="text1"/>
                <w14:textFill>
                  <w14:solidFill>
                    <w14:schemeClr w14:val="tx1"/>
                  </w14:solidFill>
                </w14:textFill>
              </w:rPr>
              <w:t>120</w:t>
            </w:r>
          </w:p>
        </w:tc>
      </w:tr>
      <w:tr w14:paraId="2C94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C53D5B3">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221" w:type="pct"/>
            <w:tcMar>
              <w:top w:w="60" w:type="dxa"/>
              <w:left w:w="120" w:type="dxa"/>
              <w:bottom w:w="30" w:type="dxa"/>
              <w:right w:w="120" w:type="dxa"/>
            </w:tcMar>
            <w:vAlign w:val="center"/>
          </w:tcPr>
          <w:p w14:paraId="373A3129">
            <w:pPr>
              <w:pStyle w:val="28"/>
              <w:rPr>
                <w:color w:val="000000" w:themeColor="text1"/>
                <w14:textFill>
                  <w14:solidFill>
                    <w14:schemeClr w14:val="tx1"/>
                  </w14:solidFill>
                </w14:textFill>
              </w:rPr>
            </w:pPr>
            <w:r>
              <w:rPr>
                <w:color w:val="000000" w:themeColor="text1"/>
                <w14:textFill>
                  <w14:solidFill>
                    <w14:schemeClr w14:val="tx1"/>
                  </w14:solidFill>
                </w14:textFill>
              </w:rPr>
              <w:t>1,1 - 二氯乙烷</w:t>
            </w:r>
          </w:p>
        </w:tc>
        <w:tc>
          <w:tcPr>
            <w:tcW w:w="817" w:type="pct"/>
            <w:tcMar>
              <w:top w:w="60" w:type="dxa"/>
              <w:left w:w="120" w:type="dxa"/>
              <w:bottom w:w="30" w:type="dxa"/>
              <w:right w:w="120" w:type="dxa"/>
            </w:tcMar>
            <w:vAlign w:val="center"/>
          </w:tcPr>
          <w:p w14:paraId="4E7CB28F">
            <w:pPr>
              <w:pStyle w:val="28"/>
              <w:rPr>
                <w:color w:val="000000" w:themeColor="text1"/>
                <w14:textFill>
                  <w14:solidFill>
                    <w14:schemeClr w14:val="tx1"/>
                  </w14:solidFill>
                </w14:textFill>
              </w:rPr>
            </w:pPr>
            <w:r>
              <w:rPr>
                <w:color w:val="000000" w:themeColor="text1"/>
                <w14:textFill>
                  <w14:solidFill>
                    <w14:schemeClr w14:val="tx1"/>
                  </w14:solidFill>
                </w14:textFill>
              </w:rPr>
              <w:t>3</w:t>
            </w:r>
          </w:p>
        </w:tc>
        <w:tc>
          <w:tcPr>
            <w:tcW w:w="783" w:type="pct"/>
            <w:tcMar>
              <w:top w:w="60" w:type="dxa"/>
              <w:left w:w="120" w:type="dxa"/>
              <w:bottom w:w="30" w:type="dxa"/>
              <w:right w:w="120" w:type="dxa"/>
            </w:tcMar>
            <w:vAlign w:val="center"/>
          </w:tcPr>
          <w:p w14:paraId="20DAE86D">
            <w:pPr>
              <w:pStyle w:val="28"/>
              <w:rPr>
                <w:color w:val="000000" w:themeColor="text1"/>
                <w14:textFill>
                  <w14:solidFill>
                    <w14:schemeClr w14:val="tx1"/>
                  </w14:solidFill>
                </w14:textFill>
              </w:rPr>
            </w:pPr>
            <w:r>
              <w:rPr>
                <w:color w:val="000000" w:themeColor="text1"/>
                <w14:textFill>
                  <w14:solidFill>
                    <w14:schemeClr w14:val="tx1"/>
                  </w14:solidFill>
                </w14:textFill>
              </w:rPr>
              <w:t>9</w:t>
            </w:r>
          </w:p>
        </w:tc>
        <w:tc>
          <w:tcPr>
            <w:tcW w:w="810" w:type="pct"/>
            <w:tcMar>
              <w:top w:w="60" w:type="dxa"/>
              <w:left w:w="120" w:type="dxa"/>
              <w:bottom w:w="30" w:type="dxa"/>
              <w:right w:w="120" w:type="dxa"/>
            </w:tcMar>
            <w:vAlign w:val="center"/>
          </w:tcPr>
          <w:p w14:paraId="09135439">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770" w:type="pct"/>
            <w:tcMar>
              <w:top w:w="60" w:type="dxa"/>
              <w:left w:w="120" w:type="dxa"/>
              <w:bottom w:w="30" w:type="dxa"/>
              <w:right w:w="120" w:type="dxa"/>
            </w:tcMar>
            <w:vAlign w:val="center"/>
          </w:tcPr>
          <w:p w14:paraId="4592D224">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7BD0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C12D17C">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221" w:type="pct"/>
            <w:tcMar>
              <w:top w:w="60" w:type="dxa"/>
              <w:left w:w="120" w:type="dxa"/>
              <w:bottom w:w="30" w:type="dxa"/>
              <w:right w:w="120" w:type="dxa"/>
            </w:tcMar>
            <w:vAlign w:val="center"/>
          </w:tcPr>
          <w:p w14:paraId="58FB79B5">
            <w:pPr>
              <w:pStyle w:val="28"/>
              <w:rPr>
                <w:color w:val="000000" w:themeColor="text1"/>
                <w14:textFill>
                  <w14:solidFill>
                    <w14:schemeClr w14:val="tx1"/>
                  </w14:solidFill>
                </w14:textFill>
              </w:rPr>
            </w:pPr>
            <w:r>
              <w:rPr>
                <w:color w:val="000000" w:themeColor="text1"/>
                <w14:textFill>
                  <w14:solidFill>
                    <w14:schemeClr w14:val="tx1"/>
                  </w14:solidFill>
                </w14:textFill>
              </w:rPr>
              <w:t>1,2 - 二氯乙烷</w:t>
            </w:r>
          </w:p>
        </w:tc>
        <w:tc>
          <w:tcPr>
            <w:tcW w:w="817" w:type="pct"/>
            <w:tcMar>
              <w:top w:w="60" w:type="dxa"/>
              <w:left w:w="120" w:type="dxa"/>
              <w:bottom w:w="30" w:type="dxa"/>
              <w:right w:w="120" w:type="dxa"/>
            </w:tcMar>
            <w:vAlign w:val="center"/>
          </w:tcPr>
          <w:p w14:paraId="4278F1AA">
            <w:pPr>
              <w:pStyle w:val="28"/>
              <w:rPr>
                <w:color w:val="000000" w:themeColor="text1"/>
                <w14:textFill>
                  <w14:solidFill>
                    <w14:schemeClr w14:val="tx1"/>
                  </w14:solidFill>
                </w14:textFill>
              </w:rPr>
            </w:pPr>
            <w:r>
              <w:rPr>
                <w:color w:val="000000" w:themeColor="text1"/>
                <w14:textFill>
                  <w14:solidFill>
                    <w14:schemeClr w14:val="tx1"/>
                  </w14:solidFill>
                </w14:textFill>
              </w:rPr>
              <w:t>0.52</w:t>
            </w:r>
          </w:p>
        </w:tc>
        <w:tc>
          <w:tcPr>
            <w:tcW w:w="783" w:type="pct"/>
            <w:tcMar>
              <w:top w:w="60" w:type="dxa"/>
              <w:left w:w="120" w:type="dxa"/>
              <w:bottom w:w="30" w:type="dxa"/>
              <w:right w:w="120" w:type="dxa"/>
            </w:tcMar>
            <w:vAlign w:val="center"/>
          </w:tcPr>
          <w:p w14:paraId="34DBE997">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810" w:type="pct"/>
            <w:tcMar>
              <w:top w:w="60" w:type="dxa"/>
              <w:left w:w="120" w:type="dxa"/>
              <w:bottom w:w="30" w:type="dxa"/>
              <w:right w:w="120" w:type="dxa"/>
            </w:tcMar>
            <w:vAlign w:val="center"/>
          </w:tcPr>
          <w:p w14:paraId="739D0FBB">
            <w:pPr>
              <w:pStyle w:val="28"/>
              <w:rPr>
                <w:color w:val="000000" w:themeColor="text1"/>
                <w14:textFill>
                  <w14:solidFill>
                    <w14:schemeClr w14:val="tx1"/>
                  </w14:solidFill>
                </w14:textFill>
              </w:rPr>
            </w:pPr>
            <w:r>
              <w:rPr>
                <w:color w:val="000000" w:themeColor="text1"/>
                <w14:textFill>
                  <w14:solidFill>
                    <w14:schemeClr w14:val="tx1"/>
                  </w14:solidFill>
                </w14:textFill>
              </w:rPr>
              <w:t>6</w:t>
            </w:r>
          </w:p>
        </w:tc>
        <w:tc>
          <w:tcPr>
            <w:tcW w:w="770" w:type="pct"/>
            <w:tcMar>
              <w:top w:w="60" w:type="dxa"/>
              <w:left w:w="120" w:type="dxa"/>
              <w:bottom w:w="30" w:type="dxa"/>
              <w:right w:w="120" w:type="dxa"/>
            </w:tcMar>
            <w:vAlign w:val="center"/>
          </w:tcPr>
          <w:p w14:paraId="6B717CE1">
            <w:pPr>
              <w:pStyle w:val="28"/>
              <w:rPr>
                <w:color w:val="000000" w:themeColor="text1"/>
                <w14:textFill>
                  <w14:solidFill>
                    <w14:schemeClr w14:val="tx1"/>
                  </w14:solidFill>
                </w14:textFill>
              </w:rPr>
            </w:pPr>
            <w:r>
              <w:rPr>
                <w:color w:val="000000" w:themeColor="text1"/>
                <w14:textFill>
                  <w14:solidFill>
                    <w14:schemeClr w14:val="tx1"/>
                  </w14:solidFill>
                </w14:textFill>
              </w:rPr>
              <w:t>21</w:t>
            </w:r>
          </w:p>
        </w:tc>
      </w:tr>
      <w:tr w14:paraId="697D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23C0ED6">
            <w:pPr>
              <w:pStyle w:val="28"/>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221" w:type="pct"/>
            <w:tcMar>
              <w:top w:w="60" w:type="dxa"/>
              <w:left w:w="120" w:type="dxa"/>
              <w:bottom w:w="30" w:type="dxa"/>
              <w:right w:w="120" w:type="dxa"/>
            </w:tcMar>
            <w:vAlign w:val="center"/>
          </w:tcPr>
          <w:p w14:paraId="2511E543">
            <w:pPr>
              <w:pStyle w:val="28"/>
              <w:rPr>
                <w:color w:val="000000" w:themeColor="text1"/>
                <w14:textFill>
                  <w14:solidFill>
                    <w14:schemeClr w14:val="tx1"/>
                  </w14:solidFill>
                </w14:textFill>
              </w:rPr>
            </w:pPr>
            <w:r>
              <w:rPr>
                <w:color w:val="000000" w:themeColor="text1"/>
                <w14:textFill>
                  <w14:solidFill>
                    <w14:schemeClr w14:val="tx1"/>
                  </w14:solidFill>
                </w14:textFill>
              </w:rPr>
              <w:t>1,1 - 二氯乙烯</w:t>
            </w:r>
          </w:p>
        </w:tc>
        <w:tc>
          <w:tcPr>
            <w:tcW w:w="817" w:type="pct"/>
            <w:tcMar>
              <w:top w:w="60" w:type="dxa"/>
              <w:left w:w="120" w:type="dxa"/>
              <w:bottom w:w="30" w:type="dxa"/>
              <w:right w:w="120" w:type="dxa"/>
            </w:tcMar>
            <w:vAlign w:val="center"/>
          </w:tcPr>
          <w:p w14:paraId="3A94F3B0">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783" w:type="pct"/>
            <w:tcMar>
              <w:top w:w="60" w:type="dxa"/>
              <w:left w:w="120" w:type="dxa"/>
              <w:bottom w:w="30" w:type="dxa"/>
              <w:right w:w="120" w:type="dxa"/>
            </w:tcMar>
            <w:vAlign w:val="center"/>
          </w:tcPr>
          <w:p w14:paraId="7F557130">
            <w:pPr>
              <w:pStyle w:val="28"/>
              <w:rPr>
                <w:color w:val="000000" w:themeColor="text1"/>
                <w14:textFill>
                  <w14:solidFill>
                    <w14:schemeClr w14:val="tx1"/>
                  </w14:solidFill>
                </w14:textFill>
              </w:rPr>
            </w:pPr>
            <w:r>
              <w:rPr>
                <w:color w:val="000000" w:themeColor="text1"/>
                <w14:textFill>
                  <w14:solidFill>
                    <w14:schemeClr w14:val="tx1"/>
                  </w14:solidFill>
                </w14:textFill>
              </w:rPr>
              <w:t>66</w:t>
            </w:r>
          </w:p>
        </w:tc>
        <w:tc>
          <w:tcPr>
            <w:tcW w:w="810" w:type="pct"/>
            <w:tcMar>
              <w:top w:w="60" w:type="dxa"/>
              <w:left w:w="120" w:type="dxa"/>
              <w:bottom w:w="30" w:type="dxa"/>
              <w:right w:w="120" w:type="dxa"/>
            </w:tcMar>
            <w:vAlign w:val="center"/>
          </w:tcPr>
          <w:p w14:paraId="0BE43EDE">
            <w:pPr>
              <w:pStyle w:val="2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770" w:type="pct"/>
            <w:tcMar>
              <w:top w:w="60" w:type="dxa"/>
              <w:left w:w="120" w:type="dxa"/>
              <w:bottom w:w="30" w:type="dxa"/>
              <w:right w:w="120" w:type="dxa"/>
            </w:tcMar>
            <w:vAlign w:val="center"/>
          </w:tcPr>
          <w:p w14:paraId="4E4C8B03">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r>
      <w:tr w14:paraId="4E1B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A305932">
            <w:pPr>
              <w:pStyle w:val="2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221" w:type="pct"/>
            <w:tcMar>
              <w:top w:w="60" w:type="dxa"/>
              <w:left w:w="120" w:type="dxa"/>
              <w:bottom w:w="30" w:type="dxa"/>
              <w:right w:w="120" w:type="dxa"/>
            </w:tcMar>
            <w:vAlign w:val="center"/>
          </w:tcPr>
          <w:p w14:paraId="4BDA951A">
            <w:pPr>
              <w:pStyle w:val="28"/>
              <w:rPr>
                <w:color w:val="000000" w:themeColor="text1"/>
                <w14:textFill>
                  <w14:solidFill>
                    <w14:schemeClr w14:val="tx1"/>
                  </w14:solidFill>
                </w14:textFill>
              </w:rPr>
            </w:pPr>
            <w:r>
              <w:rPr>
                <w:color w:val="000000" w:themeColor="text1"/>
                <w14:textFill>
                  <w14:solidFill>
                    <w14:schemeClr w14:val="tx1"/>
                  </w14:solidFill>
                </w14:textFill>
              </w:rPr>
              <w:t>顺 - 1,2 - 二氯乙烯</w:t>
            </w:r>
          </w:p>
        </w:tc>
        <w:tc>
          <w:tcPr>
            <w:tcW w:w="817" w:type="pct"/>
            <w:tcMar>
              <w:top w:w="60" w:type="dxa"/>
              <w:left w:w="120" w:type="dxa"/>
              <w:bottom w:w="30" w:type="dxa"/>
              <w:right w:w="120" w:type="dxa"/>
            </w:tcMar>
            <w:vAlign w:val="center"/>
          </w:tcPr>
          <w:p w14:paraId="1B96DA4B">
            <w:pPr>
              <w:pStyle w:val="28"/>
              <w:rPr>
                <w:color w:val="000000" w:themeColor="text1"/>
                <w14:textFill>
                  <w14:solidFill>
                    <w14:schemeClr w14:val="tx1"/>
                  </w14:solidFill>
                </w14:textFill>
              </w:rPr>
            </w:pPr>
            <w:r>
              <w:rPr>
                <w:color w:val="000000" w:themeColor="text1"/>
                <w14:textFill>
                  <w14:solidFill>
                    <w14:schemeClr w14:val="tx1"/>
                  </w14:solidFill>
                </w14:textFill>
              </w:rPr>
              <w:t>66</w:t>
            </w:r>
          </w:p>
        </w:tc>
        <w:tc>
          <w:tcPr>
            <w:tcW w:w="783" w:type="pct"/>
            <w:tcMar>
              <w:top w:w="60" w:type="dxa"/>
              <w:left w:w="120" w:type="dxa"/>
              <w:bottom w:w="30" w:type="dxa"/>
              <w:right w:w="120" w:type="dxa"/>
            </w:tcMar>
            <w:vAlign w:val="center"/>
          </w:tcPr>
          <w:p w14:paraId="05412C8B">
            <w:pPr>
              <w:pStyle w:val="28"/>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810" w:type="pct"/>
            <w:tcMar>
              <w:top w:w="60" w:type="dxa"/>
              <w:left w:w="120" w:type="dxa"/>
              <w:bottom w:w="30" w:type="dxa"/>
              <w:right w:w="120" w:type="dxa"/>
            </w:tcMar>
            <w:vAlign w:val="center"/>
          </w:tcPr>
          <w:p w14:paraId="305673F0">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770" w:type="pct"/>
            <w:tcMar>
              <w:top w:w="60" w:type="dxa"/>
              <w:left w:w="120" w:type="dxa"/>
              <w:bottom w:w="30" w:type="dxa"/>
              <w:right w:w="120" w:type="dxa"/>
            </w:tcMar>
            <w:vAlign w:val="center"/>
          </w:tcPr>
          <w:p w14:paraId="7FAA94CD">
            <w:pPr>
              <w:pStyle w:val="28"/>
              <w:rPr>
                <w:color w:val="000000" w:themeColor="text1"/>
                <w14:textFill>
                  <w14:solidFill>
                    <w14:schemeClr w14:val="tx1"/>
                  </w14:solidFill>
                </w14:textFill>
              </w:rPr>
            </w:pPr>
            <w:r>
              <w:rPr>
                <w:color w:val="000000" w:themeColor="text1"/>
                <w14:textFill>
                  <w14:solidFill>
                    <w14:schemeClr w14:val="tx1"/>
                  </w14:solidFill>
                </w14:textFill>
              </w:rPr>
              <w:t>2000</w:t>
            </w:r>
          </w:p>
        </w:tc>
      </w:tr>
      <w:tr w14:paraId="3F83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0F684C26">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21" w:type="pct"/>
            <w:tcMar>
              <w:top w:w="60" w:type="dxa"/>
              <w:left w:w="120" w:type="dxa"/>
              <w:bottom w:w="30" w:type="dxa"/>
              <w:right w:w="120" w:type="dxa"/>
            </w:tcMar>
            <w:vAlign w:val="center"/>
          </w:tcPr>
          <w:p w14:paraId="2F3E12E4">
            <w:pPr>
              <w:pStyle w:val="28"/>
              <w:rPr>
                <w:color w:val="000000" w:themeColor="text1"/>
                <w14:textFill>
                  <w14:solidFill>
                    <w14:schemeClr w14:val="tx1"/>
                  </w14:solidFill>
                </w14:textFill>
              </w:rPr>
            </w:pPr>
            <w:r>
              <w:rPr>
                <w:color w:val="000000" w:themeColor="text1"/>
                <w14:textFill>
                  <w14:solidFill>
                    <w14:schemeClr w14:val="tx1"/>
                  </w14:solidFill>
                </w14:textFill>
              </w:rPr>
              <w:t>反 - 1,2 - 二氯乙烯</w:t>
            </w:r>
          </w:p>
        </w:tc>
        <w:tc>
          <w:tcPr>
            <w:tcW w:w="817" w:type="pct"/>
            <w:tcMar>
              <w:top w:w="60" w:type="dxa"/>
              <w:left w:w="120" w:type="dxa"/>
              <w:bottom w:w="30" w:type="dxa"/>
              <w:right w:w="120" w:type="dxa"/>
            </w:tcMar>
            <w:vAlign w:val="center"/>
          </w:tcPr>
          <w:p w14:paraId="7B677A6F">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83" w:type="pct"/>
            <w:tcMar>
              <w:top w:w="60" w:type="dxa"/>
              <w:left w:w="120" w:type="dxa"/>
              <w:bottom w:w="30" w:type="dxa"/>
              <w:right w:w="120" w:type="dxa"/>
            </w:tcMar>
            <w:vAlign w:val="center"/>
          </w:tcPr>
          <w:p w14:paraId="4BD0EAB6">
            <w:pPr>
              <w:pStyle w:val="28"/>
              <w:rPr>
                <w:color w:val="000000" w:themeColor="text1"/>
                <w14:textFill>
                  <w14:solidFill>
                    <w14:schemeClr w14:val="tx1"/>
                  </w14:solidFill>
                </w14:textFill>
              </w:rPr>
            </w:pPr>
            <w:r>
              <w:rPr>
                <w:color w:val="000000" w:themeColor="text1"/>
                <w14:textFill>
                  <w14:solidFill>
                    <w14:schemeClr w14:val="tx1"/>
                  </w14:solidFill>
                </w14:textFill>
              </w:rPr>
              <w:t>54</w:t>
            </w:r>
          </w:p>
        </w:tc>
        <w:tc>
          <w:tcPr>
            <w:tcW w:w="810" w:type="pct"/>
            <w:tcMar>
              <w:top w:w="60" w:type="dxa"/>
              <w:left w:w="120" w:type="dxa"/>
              <w:bottom w:w="30" w:type="dxa"/>
              <w:right w:w="120" w:type="dxa"/>
            </w:tcMar>
            <w:vAlign w:val="center"/>
          </w:tcPr>
          <w:p w14:paraId="28C921A9">
            <w:pPr>
              <w:pStyle w:val="28"/>
              <w:rPr>
                <w:color w:val="000000" w:themeColor="text1"/>
                <w14:textFill>
                  <w14:solidFill>
                    <w14:schemeClr w14:val="tx1"/>
                  </w14:solidFill>
                </w14:textFill>
              </w:rPr>
            </w:pPr>
            <w:r>
              <w:rPr>
                <w:color w:val="000000" w:themeColor="text1"/>
                <w14:textFill>
                  <w14:solidFill>
                    <w14:schemeClr w14:val="tx1"/>
                  </w14:solidFill>
                </w14:textFill>
              </w:rPr>
              <w:t>31</w:t>
            </w:r>
          </w:p>
        </w:tc>
        <w:tc>
          <w:tcPr>
            <w:tcW w:w="770" w:type="pct"/>
            <w:tcMar>
              <w:top w:w="60" w:type="dxa"/>
              <w:left w:w="120" w:type="dxa"/>
              <w:bottom w:w="30" w:type="dxa"/>
              <w:right w:w="120" w:type="dxa"/>
            </w:tcMar>
            <w:vAlign w:val="center"/>
          </w:tcPr>
          <w:p w14:paraId="471D0631">
            <w:pPr>
              <w:pStyle w:val="28"/>
              <w:rPr>
                <w:color w:val="000000" w:themeColor="text1"/>
                <w14:textFill>
                  <w14:solidFill>
                    <w14:schemeClr w14:val="tx1"/>
                  </w14:solidFill>
                </w14:textFill>
              </w:rPr>
            </w:pPr>
            <w:r>
              <w:rPr>
                <w:color w:val="000000" w:themeColor="text1"/>
                <w14:textFill>
                  <w14:solidFill>
                    <w14:schemeClr w14:val="tx1"/>
                  </w14:solidFill>
                </w14:textFill>
              </w:rPr>
              <w:t>163</w:t>
            </w:r>
          </w:p>
        </w:tc>
      </w:tr>
      <w:tr w14:paraId="6434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30600C93">
            <w:pPr>
              <w:pStyle w:val="28"/>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221" w:type="pct"/>
            <w:tcMar>
              <w:top w:w="60" w:type="dxa"/>
              <w:left w:w="120" w:type="dxa"/>
              <w:bottom w:w="30" w:type="dxa"/>
              <w:right w:w="120" w:type="dxa"/>
            </w:tcMar>
            <w:vAlign w:val="center"/>
          </w:tcPr>
          <w:p w14:paraId="6FCF3D3D">
            <w:pPr>
              <w:pStyle w:val="28"/>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817" w:type="pct"/>
            <w:tcMar>
              <w:top w:w="60" w:type="dxa"/>
              <w:left w:w="120" w:type="dxa"/>
              <w:bottom w:w="30" w:type="dxa"/>
              <w:right w:w="120" w:type="dxa"/>
            </w:tcMar>
            <w:vAlign w:val="center"/>
          </w:tcPr>
          <w:p w14:paraId="7C6D4531">
            <w:pPr>
              <w:pStyle w:val="28"/>
              <w:rPr>
                <w:color w:val="000000" w:themeColor="text1"/>
                <w14:textFill>
                  <w14:solidFill>
                    <w14:schemeClr w14:val="tx1"/>
                  </w14:solidFill>
                </w14:textFill>
              </w:rPr>
            </w:pPr>
            <w:r>
              <w:rPr>
                <w:color w:val="000000" w:themeColor="text1"/>
                <w14:textFill>
                  <w14:solidFill>
                    <w14:schemeClr w14:val="tx1"/>
                  </w14:solidFill>
                </w14:textFill>
              </w:rPr>
              <w:t>94</w:t>
            </w:r>
          </w:p>
        </w:tc>
        <w:tc>
          <w:tcPr>
            <w:tcW w:w="783" w:type="pct"/>
            <w:tcMar>
              <w:top w:w="60" w:type="dxa"/>
              <w:left w:w="120" w:type="dxa"/>
              <w:bottom w:w="30" w:type="dxa"/>
              <w:right w:w="120" w:type="dxa"/>
            </w:tcMar>
            <w:vAlign w:val="center"/>
          </w:tcPr>
          <w:p w14:paraId="070468B5">
            <w:pPr>
              <w:pStyle w:val="28"/>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810" w:type="pct"/>
            <w:tcMar>
              <w:top w:w="60" w:type="dxa"/>
              <w:left w:w="120" w:type="dxa"/>
              <w:bottom w:w="30" w:type="dxa"/>
              <w:right w:w="120" w:type="dxa"/>
            </w:tcMar>
            <w:vAlign w:val="center"/>
          </w:tcPr>
          <w:p w14:paraId="4F319DA0">
            <w:pPr>
              <w:pStyle w:val="2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770" w:type="pct"/>
            <w:tcMar>
              <w:top w:w="60" w:type="dxa"/>
              <w:left w:w="120" w:type="dxa"/>
              <w:bottom w:w="30" w:type="dxa"/>
              <w:right w:w="120" w:type="dxa"/>
            </w:tcMar>
            <w:vAlign w:val="center"/>
          </w:tcPr>
          <w:p w14:paraId="3D78F3F8">
            <w:pPr>
              <w:pStyle w:val="28"/>
              <w:rPr>
                <w:color w:val="000000" w:themeColor="text1"/>
                <w14:textFill>
                  <w14:solidFill>
                    <w14:schemeClr w14:val="tx1"/>
                  </w14:solidFill>
                </w14:textFill>
              </w:rPr>
            </w:pPr>
            <w:r>
              <w:rPr>
                <w:color w:val="000000" w:themeColor="text1"/>
                <w14:textFill>
                  <w14:solidFill>
                    <w14:schemeClr w14:val="tx1"/>
                  </w14:solidFill>
                </w14:textFill>
              </w:rPr>
              <w:t>2000</w:t>
            </w:r>
          </w:p>
        </w:tc>
      </w:tr>
      <w:tr w14:paraId="03C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4296623E">
            <w:pPr>
              <w:pStyle w:val="28"/>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221" w:type="pct"/>
            <w:tcMar>
              <w:top w:w="60" w:type="dxa"/>
              <w:left w:w="120" w:type="dxa"/>
              <w:bottom w:w="30" w:type="dxa"/>
              <w:right w:w="120" w:type="dxa"/>
            </w:tcMar>
            <w:vAlign w:val="center"/>
          </w:tcPr>
          <w:p w14:paraId="1E43B2AD">
            <w:pPr>
              <w:pStyle w:val="28"/>
              <w:rPr>
                <w:color w:val="000000" w:themeColor="text1"/>
                <w14:textFill>
                  <w14:solidFill>
                    <w14:schemeClr w14:val="tx1"/>
                  </w14:solidFill>
                </w14:textFill>
              </w:rPr>
            </w:pPr>
            <w:r>
              <w:rPr>
                <w:color w:val="000000" w:themeColor="text1"/>
                <w14:textFill>
                  <w14:solidFill>
                    <w14:schemeClr w14:val="tx1"/>
                  </w14:solidFill>
                </w14:textFill>
              </w:rPr>
              <w:t>1,2 - 二氯丙烷</w:t>
            </w:r>
          </w:p>
        </w:tc>
        <w:tc>
          <w:tcPr>
            <w:tcW w:w="817" w:type="pct"/>
            <w:tcMar>
              <w:top w:w="60" w:type="dxa"/>
              <w:left w:w="120" w:type="dxa"/>
              <w:bottom w:w="30" w:type="dxa"/>
              <w:right w:w="120" w:type="dxa"/>
            </w:tcMar>
            <w:vAlign w:val="center"/>
          </w:tcPr>
          <w:p w14:paraId="262A5BA2">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783" w:type="pct"/>
            <w:tcMar>
              <w:top w:w="60" w:type="dxa"/>
              <w:left w:w="120" w:type="dxa"/>
              <w:bottom w:w="30" w:type="dxa"/>
              <w:right w:w="120" w:type="dxa"/>
            </w:tcMar>
            <w:vAlign w:val="center"/>
          </w:tcPr>
          <w:p w14:paraId="420A25F3">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810" w:type="pct"/>
            <w:tcMar>
              <w:top w:w="60" w:type="dxa"/>
              <w:left w:w="120" w:type="dxa"/>
              <w:bottom w:w="30" w:type="dxa"/>
              <w:right w:w="120" w:type="dxa"/>
            </w:tcMar>
            <w:vAlign w:val="center"/>
          </w:tcPr>
          <w:p w14:paraId="1A5EBBCA">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770" w:type="pct"/>
            <w:tcMar>
              <w:top w:w="60" w:type="dxa"/>
              <w:left w:w="120" w:type="dxa"/>
              <w:bottom w:w="30" w:type="dxa"/>
              <w:right w:w="120" w:type="dxa"/>
            </w:tcMar>
            <w:vAlign w:val="center"/>
          </w:tcPr>
          <w:p w14:paraId="3F56E610">
            <w:pPr>
              <w:pStyle w:val="28"/>
              <w:rPr>
                <w:color w:val="000000" w:themeColor="text1"/>
                <w14:textFill>
                  <w14:solidFill>
                    <w14:schemeClr w14:val="tx1"/>
                  </w14:solidFill>
                </w14:textFill>
              </w:rPr>
            </w:pPr>
            <w:r>
              <w:rPr>
                <w:color w:val="000000" w:themeColor="text1"/>
                <w14:textFill>
                  <w14:solidFill>
                    <w14:schemeClr w14:val="tx1"/>
                  </w14:solidFill>
                </w14:textFill>
              </w:rPr>
              <w:t>47</w:t>
            </w:r>
          </w:p>
        </w:tc>
      </w:tr>
      <w:tr w14:paraId="0E1D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2CC8173C">
            <w:pPr>
              <w:pStyle w:val="28"/>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221" w:type="pct"/>
            <w:tcMar>
              <w:top w:w="60" w:type="dxa"/>
              <w:left w:w="120" w:type="dxa"/>
              <w:bottom w:w="30" w:type="dxa"/>
              <w:right w:w="120" w:type="dxa"/>
            </w:tcMar>
            <w:vAlign w:val="center"/>
          </w:tcPr>
          <w:p w14:paraId="13301E09">
            <w:pPr>
              <w:pStyle w:val="28"/>
              <w:rPr>
                <w:color w:val="000000" w:themeColor="text1"/>
                <w14:textFill>
                  <w14:solidFill>
                    <w14:schemeClr w14:val="tx1"/>
                  </w14:solidFill>
                </w14:textFill>
              </w:rPr>
            </w:pPr>
            <w:r>
              <w:rPr>
                <w:color w:val="000000" w:themeColor="text1"/>
                <w14:textFill>
                  <w14:solidFill>
                    <w14:schemeClr w14:val="tx1"/>
                  </w14:solidFill>
                </w14:textFill>
              </w:rPr>
              <w:t>1,1,1,2 - 四氯乙烷</w:t>
            </w:r>
          </w:p>
        </w:tc>
        <w:tc>
          <w:tcPr>
            <w:tcW w:w="817" w:type="pct"/>
            <w:tcMar>
              <w:top w:w="60" w:type="dxa"/>
              <w:left w:w="120" w:type="dxa"/>
              <w:bottom w:w="30" w:type="dxa"/>
              <w:right w:w="120" w:type="dxa"/>
            </w:tcMar>
            <w:vAlign w:val="center"/>
          </w:tcPr>
          <w:p w14:paraId="37FCEC74">
            <w:pPr>
              <w:pStyle w:val="28"/>
              <w:rPr>
                <w:color w:val="000000" w:themeColor="text1"/>
                <w14:textFill>
                  <w14:solidFill>
                    <w14:schemeClr w14:val="tx1"/>
                  </w14:solidFill>
                </w14:textFill>
              </w:rPr>
            </w:pPr>
            <w:r>
              <w:rPr>
                <w:color w:val="000000" w:themeColor="text1"/>
                <w14:textFill>
                  <w14:solidFill>
                    <w14:schemeClr w14:val="tx1"/>
                  </w14:solidFill>
                </w14:textFill>
              </w:rPr>
              <w:t>2.6</w:t>
            </w:r>
          </w:p>
        </w:tc>
        <w:tc>
          <w:tcPr>
            <w:tcW w:w="783" w:type="pct"/>
            <w:tcMar>
              <w:top w:w="60" w:type="dxa"/>
              <w:left w:w="120" w:type="dxa"/>
              <w:bottom w:w="30" w:type="dxa"/>
              <w:right w:w="120" w:type="dxa"/>
            </w:tcMar>
            <w:vAlign w:val="center"/>
          </w:tcPr>
          <w:p w14:paraId="7D07E5E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10" w:type="pct"/>
            <w:tcMar>
              <w:top w:w="60" w:type="dxa"/>
              <w:left w:w="120" w:type="dxa"/>
              <w:bottom w:w="30" w:type="dxa"/>
              <w:right w:w="120" w:type="dxa"/>
            </w:tcMar>
            <w:vAlign w:val="center"/>
          </w:tcPr>
          <w:p w14:paraId="330C6906">
            <w:pPr>
              <w:pStyle w:val="28"/>
              <w:rPr>
                <w:color w:val="000000" w:themeColor="text1"/>
                <w14:textFill>
                  <w14:solidFill>
                    <w14:schemeClr w14:val="tx1"/>
                  </w14:solidFill>
                </w14:textFill>
              </w:rPr>
            </w:pPr>
            <w:r>
              <w:rPr>
                <w:color w:val="000000" w:themeColor="text1"/>
                <w14:textFill>
                  <w14:solidFill>
                    <w14:schemeClr w14:val="tx1"/>
                  </w14:solidFill>
                </w14:textFill>
              </w:rPr>
              <w:t>26</w:t>
            </w:r>
          </w:p>
        </w:tc>
        <w:tc>
          <w:tcPr>
            <w:tcW w:w="770" w:type="pct"/>
            <w:tcMar>
              <w:top w:w="60" w:type="dxa"/>
              <w:left w:w="120" w:type="dxa"/>
              <w:bottom w:w="30" w:type="dxa"/>
              <w:right w:w="120" w:type="dxa"/>
            </w:tcMar>
            <w:vAlign w:val="center"/>
          </w:tcPr>
          <w:p w14:paraId="7E25E05F">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1059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E576995">
            <w:pPr>
              <w:pStyle w:val="28"/>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221" w:type="pct"/>
            <w:tcMar>
              <w:top w:w="60" w:type="dxa"/>
              <w:left w:w="120" w:type="dxa"/>
              <w:bottom w:w="30" w:type="dxa"/>
              <w:right w:w="120" w:type="dxa"/>
            </w:tcMar>
            <w:vAlign w:val="center"/>
          </w:tcPr>
          <w:p w14:paraId="1A7A3021">
            <w:pPr>
              <w:pStyle w:val="28"/>
              <w:rPr>
                <w:color w:val="000000" w:themeColor="text1"/>
                <w14:textFill>
                  <w14:solidFill>
                    <w14:schemeClr w14:val="tx1"/>
                  </w14:solidFill>
                </w14:textFill>
              </w:rPr>
            </w:pPr>
            <w:r>
              <w:rPr>
                <w:color w:val="000000" w:themeColor="text1"/>
                <w14:textFill>
                  <w14:solidFill>
                    <w14:schemeClr w14:val="tx1"/>
                  </w14:solidFill>
                </w14:textFill>
              </w:rPr>
              <w:t>1,1,2,2 - 四氯乙烷</w:t>
            </w:r>
          </w:p>
        </w:tc>
        <w:tc>
          <w:tcPr>
            <w:tcW w:w="817" w:type="pct"/>
            <w:tcMar>
              <w:top w:w="60" w:type="dxa"/>
              <w:left w:w="120" w:type="dxa"/>
              <w:bottom w:w="30" w:type="dxa"/>
              <w:right w:w="120" w:type="dxa"/>
            </w:tcMar>
            <w:vAlign w:val="center"/>
          </w:tcPr>
          <w:p w14:paraId="5C9521E7">
            <w:pPr>
              <w:pStyle w:val="28"/>
              <w:rPr>
                <w:color w:val="000000" w:themeColor="text1"/>
                <w14:textFill>
                  <w14:solidFill>
                    <w14:schemeClr w14:val="tx1"/>
                  </w14:solidFill>
                </w14:textFill>
              </w:rPr>
            </w:pPr>
            <w:r>
              <w:rPr>
                <w:color w:val="000000" w:themeColor="text1"/>
                <w14:textFill>
                  <w14:solidFill>
                    <w14:schemeClr w14:val="tx1"/>
                  </w14:solidFill>
                </w14:textFill>
              </w:rPr>
              <w:t>1.6</w:t>
            </w:r>
          </w:p>
        </w:tc>
        <w:tc>
          <w:tcPr>
            <w:tcW w:w="783" w:type="pct"/>
            <w:tcMar>
              <w:top w:w="60" w:type="dxa"/>
              <w:left w:w="120" w:type="dxa"/>
              <w:bottom w:w="30" w:type="dxa"/>
              <w:right w:w="120" w:type="dxa"/>
            </w:tcMar>
            <w:vAlign w:val="center"/>
          </w:tcPr>
          <w:p w14:paraId="6042726F">
            <w:pPr>
              <w:pStyle w:val="28"/>
              <w:rPr>
                <w:color w:val="000000" w:themeColor="text1"/>
                <w14:textFill>
                  <w14:solidFill>
                    <w14:schemeClr w14:val="tx1"/>
                  </w14:solidFill>
                </w14:textFill>
              </w:rPr>
            </w:pPr>
            <w:r>
              <w:rPr>
                <w:color w:val="000000" w:themeColor="text1"/>
                <w14:textFill>
                  <w14:solidFill>
                    <w14:schemeClr w14:val="tx1"/>
                  </w14:solidFill>
                </w14:textFill>
              </w:rPr>
              <w:t>6.8</w:t>
            </w:r>
          </w:p>
        </w:tc>
        <w:tc>
          <w:tcPr>
            <w:tcW w:w="810" w:type="pct"/>
            <w:tcMar>
              <w:top w:w="60" w:type="dxa"/>
              <w:left w:w="120" w:type="dxa"/>
              <w:bottom w:w="30" w:type="dxa"/>
              <w:right w:w="120" w:type="dxa"/>
            </w:tcMar>
            <w:vAlign w:val="center"/>
          </w:tcPr>
          <w:p w14:paraId="702CEC28">
            <w:pPr>
              <w:pStyle w:val="2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770" w:type="pct"/>
            <w:tcMar>
              <w:top w:w="60" w:type="dxa"/>
              <w:left w:w="120" w:type="dxa"/>
              <w:bottom w:w="30" w:type="dxa"/>
              <w:right w:w="120" w:type="dxa"/>
            </w:tcMar>
            <w:vAlign w:val="center"/>
          </w:tcPr>
          <w:p w14:paraId="066CA096">
            <w:pPr>
              <w:pStyle w:val="28"/>
              <w:rPr>
                <w:color w:val="000000" w:themeColor="text1"/>
                <w14:textFill>
                  <w14:solidFill>
                    <w14:schemeClr w14:val="tx1"/>
                  </w14:solidFill>
                </w14:textFill>
              </w:rPr>
            </w:pPr>
            <w:r>
              <w:rPr>
                <w:color w:val="000000" w:themeColor="text1"/>
                <w14:textFill>
                  <w14:solidFill>
                    <w14:schemeClr w14:val="tx1"/>
                  </w14:solidFill>
                </w14:textFill>
              </w:rPr>
              <w:t>50</w:t>
            </w:r>
          </w:p>
        </w:tc>
      </w:tr>
      <w:tr w14:paraId="3317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4F5B5A62">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1" w:type="pct"/>
            <w:tcMar>
              <w:top w:w="60" w:type="dxa"/>
              <w:left w:w="120" w:type="dxa"/>
              <w:bottom w:w="30" w:type="dxa"/>
              <w:right w:w="120" w:type="dxa"/>
            </w:tcMar>
            <w:vAlign w:val="center"/>
          </w:tcPr>
          <w:p w14:paraId="7EA73E49">
            <w:pPr>
              <w:pStyle w:val="28"/>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817" w:type="pct"/>
            <w:tcMar>
              <w:top w:w="60" w:type="dxa"/>
              <w:left w:w="120" w:type="dxa"/>
              <w:bottom w:w="30" w:type="dxa"/>
              <w:right w:w="120" w:type="dxa"/>
            </w:tcMar>
            <w:vAlign w:val="center"/>
          </w:tcPr>
          <w:p w14:paraId="710D6ACE">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783" w:type="pct"/>
            <w:tcMar>
              <w:top w:w="60" w:type="dxa"/>
              <w:left w:w="120" w:type="dxa"/>
              <w:bottom w:w="30" w:type="dxa"/>
              <w:right w:w="120" w:type="dxa"/>
            </w:tcMar>
            <w:vAlign w:val="center"/>
          </w:tcPr>
          <w:p w14:paraId="2AC75D71">
            <w:pPr>
              <w:pStyle w:val="28"/>
              <w:rPr>
                <w:color w:val="000000" w:themeColor="text1"/>
                <w14:textFill>
                  <w14:solidFill>
                    <w14:schemeClr w14:val="tx1"/>
                  </w14:solidFill>
                </w14:textFill>
              </w:rPr>
            </w:pPr>
            <w:r>
              <w:rPr>
                <w:color w:val="000000" w:themeColor="text1"/>
                <w14:textFill>
                  <w14:solidFill>
                    <w14:schemeClr w14:val="tx1"/>
                  </w14:solidFill>
                </w14:textFill>
              </w:rPr>
              <w:t>53</w:t>
            </w:r>
          </w:p>
        </w:tc>
        <w:tc>
          <w:tcPr>
            <w:tcW w:w="810" w:type="pct"/>
            <w:tcMar>
              <w:top w:w="60" w:type="dxa"/>
              <w:left w:w="120" w:type="dxa"/>
              <w:bottom w:w="30" w:type="dxa"/>
              <w:right w:w="120" w:type="dxa"/>
            </w:tcMar>
            <w:vAlign w:val="center"/>
          </w:tcPr>
          <w:p w14:paraId="3D589496">
            <w:pPr>
              <w:pStyle w:val="28"/>
              <w:rPr>
                <w:color w:val="000000" w:themeColor="text1"/>
                <w14:textFill>
                  <w14:solidFill>
                    <w14:schemeClr w14:val="tx1"/>
                  </w14:solidFill>
                </w14:textFill>
              </w:rPr>
            </w:pPr>
            <w:r>
              <w:rPr>
                <w:color w:val="000000" w:themeColor="text1"/>
                <w14:textFill>
                  <w14:solidFill>
                    <w14:schemeClr w14:val="tx1"/>
                  </w14:solidFill>
                </w14:textFill>
              </w:rPr>
              <w:t>34</w:t>
            </w:r>
          </w:p>
        </w:tc>
        <w:tc>
          <w:tcPr>
            <w:tcW w:w="770" w:type="pct"/>
            <w:tcMar>
              <w:top w:w="60" w:type="dxa"/>
              <w:left w:w="120" w:type="dxa"/>
              <w:bottom w:w="30" w:type="dxa"/>
              <w:right w:w="120" w:type="dxa"/>
            </w:tcMar>
            <w:vAlign w:val="center"/>
          </w:tcPr>
          <w:p w14:paraId="0A4924D9">
            <w:pPr>
              <w:pStyle w:val="28"/>
              <w:rPr>
                <w:color w:val="000000" w:themeColor="text1"/>
                <w14:textFill>
                  <w14:solidFill>
                    <w14:schemeClr w14:val="tx1"/>
                  </w14:solidFill>
                </w14:textFill>
              </w:rPr>
            </w:pPr>
            <w:r>
              <w:rPr>
                <w:color w:val="000000" w:themeColor="text1"/>
                <w14:textFill>
                  <w14:solidFill>
                    <w14:schemeClr w14:val="tx1"/>
                  </w14:solidFill>
                </w14:textFill>
              </w:rPr>
              <w:t>183</w:t>
            </w:r>
          </w:p>
        </w:tc>
      </w:tr>
      <w:tr w14:paraId="25F8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20897C5B">
            <w:pPr>
              <w:pStyle w:val="28"/>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221" w:type="pct"/>
            <w:tcMar>
              <w:top w:w="60" w:type="dxa"/>
              <w:left w:w="120" w:type="dxa"/>
              <w:bottom w:w="30" w:type="dxa"/>
              <w:right w:w="120" w:type="dxa"/>
            </w:tcMar>
            <w:vAlign w:val="center"/>
          </w:tcPr>
          <w:p w14:paraId="55746F1F">
            <w:pPr>
              <w:pStyle w:val="28"/>
              <w:rPr>
                <w:color w:val="000000" w:themeColor="text1"/>
                <w14:textFill>
                  <w14:solidFill>
                    <w14:schemeClr w14:val="tx1"/>
                  </w14:solidFill>
                </w14:textFill>
              </w:rPr>
            </w:pPr>
            <w:r>
              <w:rPr>
                <w:color w:val="000000" w:themeColor="text1"/>
                <w14:textFill>
                  <w14:solidFill>
                    <w14:schemeClr w14:val="tx1"/>
                  </w14:solidFill>
                </w14:textFill>
              </w:rPr>
              <w:t>1,1,1 - 三氯乙烷</w:t>
            </w:r>
          </w:p>
        </w:tc>
        <w:tc>
          <w:tcPr>
            <w:tcW w:w="817" w:type="pct"/>
            <w:tcMar>
              <w:top w:w="60" w:type="dxa"/>
              <w:left w:w="120" w:type="dxa"/>
              <w:bottom w:w="30" w:type="dxa"/>
              <w:right w:w="120" w:type="dxa"/>
            </w:tcMar>
            <w:vAlign w:val="center"/>
          </w:tcPr>
          <w:p w14:paraId="6ED7DDB6">
            <w:pPr>
              <w:pStyle w:val="28"/>
              <w:rPr>
                <w:color w:val="000000" w:themeColor="text1"/>
                <w14:textFill>
                  <w14:solidFill>
                    <w14:schemeClr w14:val="tx1"/>
                  </w14:solidFill>
                </w14:textFill>
              </w:rPr>
            </w:pPr>
            <w:r>
              <w:rPr>
                <w:color w:val="000000" w:themeColor="text1"/>
                <w14:textFill>
                  <w14:solidFill>
                    <w14:schemeClr w14:val="tx1"/>
                  </w14:solidFill>
                </w14:textFill>
              </w:rPr>
              <w:t>701</w:t>
            </w:r>
          </w:p>
        </w:tc>
        <w:tc>
          <w:tcPr>
            <w:tcW w:w="783" w:type="pct"/>
            <w:tcMar>
              <w:top w:w="60" w:type="dxa"/>
              <w:left w:w="120" w:type="dxa"/>
              <w:bottom w:w="30" w:type="dxa"/>
              <w:right w:w="120" w:type="dxa"/>
            </w:tcMar>
            <w:vAlign w:val="center"/>
          </w:tcPr>
          <w:p w14:paraId="6A618D12">
            <w:pPr>
              <w:pStyle w:val="28"/>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810" w:type="pct"/>
            <w:tcMar>
              <w:top w:w="60" w:type="dxa"/>
              <w:left w:w="120" w:type="dxa"/>
              <w:bottom w:w="30" w:type="dxa"/>
              <w:right w:w="120" w:type="dxa"/>
            </w:tcMar>
            <w:vAlign w:val="center"/>
          </w:tcPr>
          <w:p w14:paraId="3B6DD26B">
            <w:pPr>
              <w:pStyle w:val="28"/>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770" w:type="pct"/>
            <w:tcMar>
              <w:top w:w="60" w:type="dxa"/>
              <w:left w:w="120" w:type="dxa"/>
              <w:bottom w:w="30" w:type="dxa"/>
              <w:right w:w="120" w:type="dxa"/>
            </w:tcMar>
            <w:vAlign w:val="center"/>
          </w:tcPr>
          <w:p w14:paraId="7F2E1567">
            <w:pPr>
              <w:pStyle w:val="28"/>
              <w:rPr>
                <w:color w:val="000000" w:themeColor="text1"/>
                <w14:textFill>
                  <w14:solidFill>
                    <w14:schemeClr w14:val="tx1"/>
                  </w14:solidFill>
                </w14:textFill>
              </w:rPr>
            </w:pPr>
            <w:r>
              <w:rPr>
                <w:color w:val="000000" w:themeColor="text1"/>
                <w14:textFill>
                  <w14:solidFill>
                    <w14:schemeClr w14:val="tx1"/>
                  </w14:solidFill>
                </w14:textFill>
              </w:rPr>
              <w:t>840</w:t>
            </w:r>
          </w:p>
        </w:tc>
      </w:tr>
      <w:tr w14:paraId="574E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3A5761DA">
            <w:pPr>
              <w:pStyle w:val="28"/>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221" w:type="pct"/>
            <w:tcMar>
              <w:top w:w="60" w:type="dxa"/>
              <w:left w:w="120" w:type="dxa"/>
              <w:bottom w:w="30" w:type="dxa"/>
              <w:right w:w="120" w:type="dxa"/>
            </w:tcMar>
            <w:vAlign w:val="center"/>
          </w:tcPr>
          <w:p w14:paraId="4551BBF7">
            <w:pPr>
              <w:pStyle w:val="28"/>
              <w:rPr>
                <w:color w:val="000000" w:themeColor="text1"/>
                <w14:textFill>
                  <w14:solidFill>
                    <w14:schemeClr w14:val="tx1"/>
                  </w14:solidFill>
                </w14:textFill>
              </w:rPr>
            </w:pPr>
            <w:r>
              <w:rPr>
                <w:color w:val="000000" w:themeColor="text1"/>
                <w14:textFill>
                  <w14:solidFill>
                    <w14:schemeClr w14:val="tx1"/>
                  </w14:solidFill>
                </w14:textFill>
              </w:rPr>
              <w:t>1,1,2 - 三氯乙烷</w:t>
            </w:r>
          </w:p>
        </w:tc>
        <w:tc>
          <w:tcPr>
            <w:tcW w:w="817" w:type="pct"/>
            <w:tcMar>
              <w:top w:w="60" w:type="dxa"/>
              <w:left w:w="120" w:type="dxa"/>
              <w:bottom w:w="30" w:type="dxa"/>
              <w:right w:w="120" w:type="dxa"/>
            </w:tcMar>
            <w:vAlign w:val="center"/>
          </w:tcPr>
          <w:p w14:paraId="6BA4CF6A">
            <w:pPr>
              <w:pStyle w:val="28"/>
              <w:rPr>
                <w:color w:val="000000" w:themeColor="text1"/>
                <w14:textFill>
                  <w14:solidFill>
                    <w14:schemeClr w14:val="tx1"/>
                  </w14:solidFill>
                </w14:textFill>
              </w:rPr>
            </w:pPr>
            <w:r>
              <w:rPr>
                <w:color w:val="000000" w:themeColor="text1"/>
                <w14:textFill>
                  <w14:solidFill>
                    <w14:schemeClr w14:val="tx1"/>
                  </w14:solidFill>
                </w14:textFill>
              </w:rPr>
              <w:t>0.6</w:t>
            </w:r>
          </w:p>
        </w:tc>
        <w:tc>
          <w:tcPr>
            <w:tcW w:w="783" w:type="pct"/>
            <w:tcMar>
              <w:top w:w="60" w:type="dxa"/>
              <w:left w:w="120" w:type="dxa"/>
              <w:bottom w:w="30" w:type="dxa"/>
              <w:right w:w="120" w:type="dxa"/>
            </w:tcMar>
            <w:vAlign w:val="center"/>
          </w:tcPr>
          <w:p w14:paraId="2CB609CC">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10" w:type="pct"/>
            <w:tcMar>
              <w:top w:w="60" w:type="dxa"/>
              <w:left w:w="120" w:type="dxa"/>
              <w:bottom w:w="30" w:type="dxa"/>
              <w:right w:w="120" w:type="dxa"/>
            </w:tcMar>
            <w:vAlign w:val="center"/>
          </w:tcPr>
          <w:p w14:paraId="5EA2AD5A">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770" w:type="pct"/>
            <w:tcMar>
              <w:top w:w="60" w:type="dxa"/>
              <w:left w:w="120" w:type="dxa"/>
              <w:bottom w:w="30" w:type="dxa"/>
              <w:right w:w="120" w:type="dxa"/>
            </w:tcMar>
            <w:vAlign w:val="center"/>
          </w:tcPr>
          <w:p w14:paraId="21E13229">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r>
      <w:tr w14:paraId="35B2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7927E9D">
            <w:pPr>
              <w:pStyle w:val="28"/>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221" w:type="pct"/>
            <w:tcMar>
              <w:top w:w="60" w:type="dxa"/>
              <w:left w:w="120" w:type="dxa"/>
              <w:bottom w:w="30" w:type="dxa"/>
              <w:right w:w="120" w:type="dxa"/>
            </w:tcMar>
            <w:vAlign w:val="center"/>
          </w:tcPr>
          <w:p w14:paraId="7A10285F">
            <w:pPr>
              <w:pStyle w:val="28"/>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817" w:type="pct"/>
            <w:tcMar>
              <w:top w:w="60" w:type="dxa"/>
              <w:left w:w="120" w:type="dxa"/>
              <w:bottom w:w="30" w:type="dxa"/>
              <w:right w:w="120" w:type="dxa"/>
            </w:tcMar>
            <w:vAlign w:val="center"/>
          </w:tcPr>
          <w:p w14:paraId="58E9AE76">
            <w:pPr>
              <w:pStyle w:val="28"/>
              <w:rPr>
                <w:color w:val="000000" w:themeColor="text1"/>
                <w14:textFill>
                  <w14:solidFill>
                    <w14:schemeClr w14:val="tx1"/>
                  </w14:solidFill>
                </w14:textFill>
              </w:rPr>
            </w:pPr>
            <w:r>
              <w:rPr>
                <w:color w:val="000000" w:themeColor="text1"/>
                <w14:textFill>
                  <w14:solidFill>
                    <w14:schemeClr w14:val="tx1"/>
                  </w14:solidFill>
                </w14:textFill>
              </w:rPr>
              <w:t>0.7</w:t>
            </w:r>
          </w:p>
        </w:tc>
        <w:tc>
          <w:tcPr>
            <w:tcW w:w="783" w:type="pct"/>
            <w:tcMar>
              <w:top w:w="60" w:type="dxa"/>
              <w:left w:w="120" w:type="dxa"/>
              <w:bottom w:w="30" w:type="dxa"/>
              <w:right w:w="120" w:type="dxa"/>
            </w:tcMar>
            <w:vAlign w:val="center"/>
          </w:tcPr>
          <w:p w14:paraId="17D6B8B7">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10" w:type="pct"/>
            <w:tcMar>
              <w:top w:w="60" w:type="dxa"/>
              <w:left w:w="120" w:type="dxa"/>
              <w:bottom w:w="30" w:type="dxa"/>
              <w:right w:w="120" w:type="dxa"/>
            </w:tcMar>
            <w:vAlign w:val="center"/>
          </w:tcPr>
          <w:p w14:paraId="237901C6">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c>
          <w:tcPr>
            <w:tcW w:w="770" w:type="pct"/>
            <w:tcMar>
              <w:top w:w="60" w:type="dxa"/>
              <w:left w:w="120" w:type="dxa"/>
              <w:bottom w:w="30" w:type="dxa"/>
              <w:right w:w="120" w:type="dxa"/>
            </w:tcMar>
            <w:vAlign w:val="center"/>
          </w:tcPr>
          <w:p w14:paraId="7445D2BB">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r>
      <w:tr w14:paraId="592C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43D85F3">
            <w:pPr>
              <w:pStyle w:val="28"/>
              <w:rPr>
                <w:color w:val="000000" w:themeColor="text1"/>
                <w14:textFill>
                  <w14:solidFill>
                    <w14:schemeClr w14:val="tx1"/>
                  </w14:solidFill>
                </w14:textFill>
              </w:rPr>
            </w:pPr>
            <w:r>
              <w:rPr>
                <w:color w:val="000000" w:themeColor="text1"/>
                <w14:textFill>
                  <w14:solidFill>
                    <w14:schemeClr w14:val="tx1"/>
                  </w14:solidFill>
                </w14:textFill>
              </w:rPr>
              <w:t>24</w:t>
            </w:r>
          </w:p>
        </w:tc>
        <w:tc>
          <w:tcPr>
            <w:tcW w:w="1221" w:type="pct"/>
            <w:tcMar>
              <w:top w:w="60" w:type="dxa"/>
              <w:left w:w="120" w:type="dxa"/>
              <w:bottom w:w="30" w:type="dxa"/>
              <w:right w:w="120" w:type="dxa"/>
            </w:tcMar>
            <w:vAlign w:val="center"/>
          </w:tcPr>
          <w:p w14:paraId="1748860F">
            <w:pPr>
              <w:pStyle w:val="28"/>
              <w:rPr>
                <w:color w:val="000000" w:themeColor="text1"/>
                <w14:textFill>
                  <w14:solidFill>
                    <w14:schemeClr w14:val="tx1"/>
                  </w14:solidFill>
                </w14:textFill>
              </w:rPr>
            </w:pPr>
            <w:r>
              <w:rPr>
                <w:color w:val="000000" w:themeColor="text1"/>
                <w14:textFill>
                  <w14:solidFill>
                    <w14:schemeClr w14:val="tx1"/>
                  </w14:solidFill>
                </w14:textFill>
              </w:rPr>
              <w:t>1,2,3 - 三氯丙烷</w:t>
            </w:r>
          </w:p>
        </w:tc>
        <w:tc>
          <w:tcPr>
            <w:tcW w:w="817" w:type="pct"/>
            <w:tcMar>
              <w:top w:w="60" w:type="dxa"/>
              <w:left w:w="120" w:type="dxa"/>
              <w:bottom w:w="30" w:type="dxa"/>
              <w:right w:w="120" w:type="dxa"/>
            </w:tcMar>
            <w:vAlign w:val="center"/>
          </w:tcPr>
          <w:p w14:paraId="544BAB90">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783" w:type="pct"/>
            <w:tcMar>
              <w:top w:w="60" w:type="dxa"/>
              <w:left w:w="120" w:type="dxa"/>
              <w:bottom w:w="30" w:type="dxa"/>
              <w:right w:w="120" w:type="dxa"/>
            </w:tcMar>
            <w:vAlign w:val="center"/>
          </w:tcPr>
          <w:p w14:paraId="7601A367">
            <w:pPr>
              <w:pStyle w:val="28"/>
              <w:rPr>
                <w:color w:val="000000" w:themeColor="text1"/>
                <w14:textFill>
                  <w14:solidFill>
                    <w14:schemeClr w14:val="tx1"/>
                  </w14:solidFill>
                </w14:textFill>
              </w:rPr>
            </w:pPr>
            <w:r>
              <w:rPr>
                <w:color w:val="000000" w:themeColor="text1"/>
                <w14:textFill>
                  <w14:solidFill>
                    <w14:schemeClr w14:val="tx1"/>
                  </w14:solidFill>
                </w14:textFill>
              </w:rPr>
              <w:t>0.5</w:t>
            </w:r>
          </w:p>
        </w:tc>
        <w:tc>
          <w:tcPr>
            <w:tcW w:w="810" w:type="pct"/>
            <w:tcMar>
              <w:top w:w="60" w:type="dxa"/>
              <w:left w:w="120" w:type="dxa"/>
              <w:bottom w:w="30" w:type="dxa"/>
              <w:right w:w="120" w:type="dxa"/>
            </w:tcMar>
            <w:vAlign w:val="center"/>
          </w:tcPr>
          <w:p w14:paraId="37E69C6E">
            <w:pPr>
              <w:pStyle w:val="28"/>
              <w:rPr>
                <w:color w:val="000000" w:themeColor="text1"/>
                <w14:textFill>
                  <w14:solidFill>
                    <w14:schemeClr w14:val="tx1"/>
                  </w14:solidFill>
                </w14:textFill>
              </w:rPr>
            </w:pPr>
            <w:r>
              <w:rPr>
                <w:color w:val="000000" w:themeColor="text1"/>
                <w14:textFill>
                  <w14:solidFill>
                    <w14:schemeClr w14:val="tx1"/>
                  </w14:solidFill>
                </w14:textFill>
              </w:rPr>
              <w:t>0.5</w:t>
            </w:r>
          </w:p>
        </w:tc>
        <w:tc>
          <w:tcPr>
            <w:tcW w:w="770" w:type="pct"/>
            <w:tcMar>
              <w:top w:w="60" w:type="dxa"/>
              <w:left w:w="120" w:type="dxa"/>
              <w:bottom w:w="30" w:type="dxa"/>
              <w:right w:w="120" w:type="dxa"/>
            </w:tcMar>
            <w:vAlign w:val="center"/>
          </w:tcPr>
          <w:p w14:paraId="250C0519">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r>
      <w:tr w14:paraId="7F59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6A38306">
            <w:pPr>
              <w:pStyle w:val="28"/>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221" w:type="pct"/>
            <w:tcMar>
              <w:top w:w="60" w:type="dxa"/>
              <w:left w:w="120" w:type="dxa"/>
              <w:bottom w:w="30" w:type="dxa"/>
              <w:right w:w="120" w:type="dxa"/>
            </w:tcMar>
            <w:vAlign w:val="center"/>
          </w:tcPr>
          <w:p w14:paraId="19E63587">
            <w:pPr>
              <w:pStyle w:val="28"/>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817" w:type="pct"/>
            <w:tcMar>
              <w:top w:w="60" w:type="dxa"/>
              <w:left w:w="120" w:type="dxa"/>
              <w:bottom w:w="30" w:type="dxa"/>
              <w:right w:w="120" w:type="dxa"/>
            </w:tcMar>
            <w:vAlign w:val="center"/>
          </w:tcPr>
          <w:p w14:paraId="2FA0464C">
            <w:pPr>
              <w:pStyle w:val="28"/>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783" w:type="pct"/>
            <w:tcMar>
              <w:top w:w="60" w:type="dxa"/>
              <w:left w:w="120" w:type="dxa"/>
              <w:bottom w:w="30" w:type="dxa"/>
              <w:right w:w="120" w:type="dxa"/>
            </w:tcMar>
            <w:vAlign w:val="center"/>
          </w:tcPr>
          <w:p w14:paraId="32B5ABAD">
            <w:pPr>
              <w:pStyle w:val="28"/>
              <w:rPr>
                <w:color w:val="000000" w:themeColor="text1"/>
                <w14:textFill>
                  <w14:solidFill>
                    <w14:schemeClr w14:val="tx1"/>
                  </w14:solidFill>
                </w14:textFill>
              </w:rPr>
            </w:pPr>
            <w:r>
              <w:rPr>
                <w:color w:val="000000" w:themeColor="text1"/>
                <w14:textFill>
                  <w14:solidFill>
                    <w14:schemeClr w14:val="tx1"/>
                  </w14:solidFill>
                </w14:textFill>
              </w:rPr>
              <w:t>0.43</w:t>
            </w:r>
          </w:p>
        </w:tc>
        <w:tc>
          <w:tcPr>
            <w:tcW w:w="810" w:type="pct"/>
            <w:tcMar>
              <w:top w:w="60" w:type="dxa"/>
              <w:left w:w="120" w:type="dxa"/>
              <w:bottom w:w="30" w:type="dxa"/>
              <w:right w:w="120" w:type="dxa"/>
            </w:tcMar>
            <w:vAlign w:val="center"/>
          </w:tcPr>
          <w:p w14:paraId="7E87CC0F">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770" w:type="pct"/>
            <w:tcMar>
              <w:top w:w="60" w:type="dxa"/>
              <w:left w:w="120" w:type="dxa"/>
              <w:bottom w:w="30" w:type="dxa"/>
              <w:right w:w="120" w:type="dxa"/>
            </w:tcMar>
            <w:vAlign w:val="center"/>
          </w:tcPr>
          <w:p w14:paraId="3AAC4ED7">
            <w:pPr>
              <w:pStyle w:val="28"/>
              <w:rPr>
                <w:color w:val="000000" w:themeColor="text1"/>
                <w14:textFill>
                  <w14:solidFill>
                    <w14:schemeClr w14:val="tx1"/>
                  </w14:solidFill>
                </w14:textFill>
              </w:rPr>
            </w:pPr>
            <w:r>
              <w:rPr>
                <w:color w:val="000000" w:themeColor="text1"/>
                <w14:textFill>
                  <w14:solidFill>
                    <w14:schemeClr w14:val="tx1"/>
                  </w14:solidFill>
                </w14:textFill>
              </w:rPr>
              <w:t>4.3</w:t>
            </w:r>
          </w:p>
        </w:tc>
      </w:tr>
      <w:tr w14:paraId="2293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226312B2">
            <w:pPr>
              <w:pStyle w:val="28"/>
              <w:rPr>
                <w:color w:val="000000" w:themeColor="text1"/>
                <w14:textFill>
                  <w14:solidFill>
                    <w14:schemeClr w14:val="tx1"/>
                  </w14:solidFill>
                </w14:textFill>
              </w:rPr>
            </w:pPr>
            <w:r>
              <w:rPr>
                <w:color w:val="000000" w:themeColor="text1"/>
                <w14:textFill>
                  <w14:solidFill>
                    <w14:schemeClr w14:val="tx1"/>
                  </w14:solidFill>
                </w14:textFill>
              </w:rPr>
              <w:t>26</w:t>
            </w:r>
          </w:p>
        </w:tc>
        <w:tc>
          <w:tcPr>
            <w:tcW w:w="1221" w:type="pct"/>
            <w:tcMar>
              <w:top w:w="60" w:type="dxa"/>
              <w:left w:w="120" w:type="dxa"/>
              <w:bottom w:w="30" w:type="dxa"/>
              <w:right w:w="120" w:type="dxa"/>
            </w:tcMar>
            <w:vAlign w:val="center"/>
          </w:tcPr>
          <w:p w14:paraId="4DD0EB57">
            <w:pPr>
              <w:pStyle w:val="28"/>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817" w:type="pct"/>
            <w:tcMar>
              <w:top w:w="60" w:type="dxa"/>
              <w:left w:w="120" w:type="dxa"/>
              <w:bottom w:w="30" w:type="dxa"/>
              <w:right w:w="120" w:type="dxa"/>
            </w:tcMar>
            <w:vAlign w:val="center"/>
          </w:tcPr>
          <w:p w14:paraId="62E136AE">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783" w:type="pct"/>
            <w:tcMar>
              <w:top w:w="60" w:type="dxa"/>
              <w:left w:w="120" w:type="dxa"/>
              <w:bottom w:w="30" w:type="dxa"/>
              <w:right w:w="120" w:type="dxa"/>
            </w:tcMar>
            <w:vAlign w:val="center"/>
          </w:tcPr>
          <w:p w14:paraId="74FB9563">
            <w:pPr>
              <w:pStyle w:val="28"/>
              <w:rPr>
                <w:color w:val="000000" w:themeColor="text1"/>
                <w14:textFill>
                  <w14:solidFill>
                    <w14:schemeClr w14:val="tx1"/>
                  </w14:solidFill>
                </w14:textFill>
              </w:rPr>
            </w:pPr>
            <w:r>
              <w:rPr>
                <w:color w:val="000000" w:themeColor="text1"/>
                <w14:textFill>
                  <w14:solidFill>
                    <w14:schemeClr w14:val="tx1"/>
                  </w14:solidFill>
                </w14:textFill>
              </w:rPr>
              <w:t>4</w:t>
            </w:r>
          </w:p>
        </w:tc>
        <w:tc>
          <w:tcPr>
            <w:tcW w:w="810" w:type="pct"/>
            <w:tcMar>
              <w:top w:w="60" w:type="dxa"/>
              <w:left w:w="120" w:type="dxa"/>
              <w:bottom w:w="30" w:type="dxa"/>
              <w:right w:w="120" w:type="dxa"/>
            </w:tcMar>
            <w:vAlign w:val="center"/>
          </w:tcPr>
          <w:p w14:paraId="729EF18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70" w:type="pct"/>
            <w:tcMar>
              <w:top w:w="60" w:type="dxa"/>
              <w:left w:w="120" w:type="dxa"/>
              <w:bottom w:w="30" w:type="dxa"/>
              <w:right w:w="120" w:type="dxa"/>
            </w:tcMar>
            <w:vAlign w:val="center"/>
          </w:tcPr>
          <w:p w14:paraId="56A567FE">
            <w:pPr>
              <w:pStyle w:val="28"/>
              <w:rPr>
                <w:color w:val="000000" w:themeColor="text1"/>
                <w14:textFill>
                  <w14:solidFill>
                    <w14:schemeClr w14:val="tx1"/>
                  </w14:solidFill>
                </w14:textFill>
              </w:rPr>
            </w:pPr>
            <w:r>
              <w:rPr>
                <w:color w:val="000000" w:themeColor="text1"/>
                <w14:textFill>
                  <w14:solidFill>
                    <w14:schemeClr w14:val="tx1"/>
                  </w14:solidFill>
                </w14:textFill>
              </w:rPr>
              <w:t>40</w:t>
            </w:r>
          </w:p>
        </w:tc>
      </w:tr>
      <w:tr w14:paraId="528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097A081B">
            <w:pPr>
              <w:pStyle w:val="28"/>
              <w:rPr>
                <w:color w:val="000000" w:themeColor="text1"/>
                <w14:textFill>
                  <w14:solidFill>
                    <w14:schemeClr w14:val="tx1"/>
                  </w14:solidFill>
                </w14:textFill>
              </w:rPr>
            </w:pPr>
            <w:r>
              <w:rPr>
                <w:color w:val="000000" w:themeColor="text1"/>
                <w14:textFill>
                  <w14:solidFill>
                    <w14:schemeClr w14:val="tx1"/>
                  </w14:solidFill>
                </w14:textFill>
              </w:rPr>
              <w:t>27</w:t>
            </w:r>
          </w:p>
        </w:tc>
        <w:tc>
          <w:tcPr>
            <w:tcW w:w="1221" w:type="pct"/>
            <w:tcMar>
              <w:top w:w="60" w:type="dxa"/>
              <w:left w:w="120" w:type="dxa"/>
              <w:bottom w:w="30" w:type="dxa"/>
              <w:right w:w="120" w:type="dxa"/>
            </w:tcMar>
            <w:vAlign w:val="center"/>
          </w:tcPr>
          <w:p w14:paraId="2995B705">
            <w:pPr>
              <w:pStyle w:val="28"/>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817" w:type="pct"/>
            <w:tcMar>
              <w:top w:w="60" w:type="dxa"/>
              <w:left w:w="120" w:type="dxa"/>
              <w:bottom w:w="30" w:type="dxa"/>
              <w:right w:w="120" w:type="dxa"/>
            </w:tcMar>
            <w:vAlign w:val="center"/>
          </w:tcPr>
          <w:p w14:paraId="6F9B1208">
            <w:pPr>
              <w:pStyle w:val="28"/>
              <w:rPr>
                <w:color w:val="000000" w:themeColor="text1"/>
                <w14:textFill>
                  <w14:solidFill>
                    <w14:schemeClr w14:val="tx1"/>
                  </w14:solidFill>
                </w14:textFill>
              </w:rPr>
            </w:pPr>
            <w:r>
              <w:rPr>
                <w:color w:val="000000" w:themeColor="text1"/>
                <w14:textFill>
                  <w14:solidFill>
                    <w14:schemeClr w14:val="tx1"/>
                  </w14:solidFill>
                </w14:textFill>
              </w:rPr>
              <w:t>68</w:t>
            </w:r>
          </w:p>
        </w:tc>
        <w:tc>
          <w:tcPr>
            <w:tcW w:w="783" w:type="pct"/>
            <w:tcMar>
              <w:top w:w="60" w:type="dxa"/>
              <w:left w:w="120" w:type="dxa"/>
              <w:bottom w:w="30" w:type="dxa"/>
              <w:right w:w="120" w:type="dxa"/>
            </w:tcMar>
            <w:vAlign w:val="center"/>
          </w:tcPr>
          <w:p w14:paraId="2B0FA73B">
            <w:pPr>
              <w:pStyle w:val="28"/>
              <w:rPr>
                <w:color w:val="000000" w:themeColor="text1"/>
                <w14:textFill>
                  <w14:solidFill>
                    <w14:schemeClr w14:val="tx1"/>
                  </w14:solidFill>
                </w14:textFill>
              </w:rPr>
            </w:pPr>
            <w:r>
              <w:rPr>
                <w:color w:val="000000" w:themeColor="text1"/>
                <w14:textFill>
                  <w14:solidFill>
                    <w14:schemeClr w14:val="tx1"/>
                  </w14:solidFill>
                </w14:textFill>
              </w:rPr>
              <w:t>270</w:t>
            </w:r>
          </w:p>
        </w:tc>
        <w:tc>
          <w:tcPr>
            <w:tcW w:w="810" w:type="pct"/>
            <w:tcMar>
              <w:top w:w="60" w:type="dxa"/>
              <w:left w:w="120" w:type="dxa"/>
              <w:bottom w:w="30" w:type="dxa"/>
              <w:right w:w="120" w:type="dxa"/>
            </w:tcMar>
            <w:vAlign w:val="center"/>
          </w:tcPr>
          <w:p w14:paraId="128F52AF">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770" w:type="pct"/>
            <w:tcMar>
              <w:top w:w="60" w:type="dxa"/>
              <w:left w:w="120" w:type="dxa"/>
              <w:bottom w:w="30" w:type="dxa"/>
              <w:right w:w="120" w:type="dxa"/>
            </w:tcMar>
            <w:vAlign w:val="center"/>
          </w:tcPr>
          <w:p w14:paraId="1F63CBA8">
            <w:pPr>
              <w:pStyle w:val="28"/>
              <w:rPr>
                <w:color w:val="000000" w:themeColor="text1"/>
                <w14:textFill>
                  <w14:solidFill>
                    <w14:schemeClr w14:val="tx1"/>
                  </w14:solidFill>
                </w14:textFill>
              </w:rPr>
            </w:pPr>
            <w:r>
              <w:rPr>
                <w:color w:val="000000" w:themeColor="text1"/>
                <w14:textFill>
                  <w14:solidFill>
                    <w14:schemeClr w14:val="tx1"/>
                  </w14:solidFill>
                </w14:textFill>
              </w:rPr>
              <w:t>1000</w:t>
            </w:r>
          </w:p>
        </w:tc>
      </w:tr>
      <w:tr w14:paraId="3083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29A9F03">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21" w:type="pct"/>
            <w:tcMar>
              <w:top w:w="60" w:type="dxa"/>
              <w:left w:w="120" w:type="dxa"/>
              <w:bottom w:w="30" w:type="dxa"/>
              <w:right w:w="120" w:type="dxa"/>
            </w:tcMar>
            <w:vAlign w:val="center"/>
          </w:tcPr>
          <w:p w14:paraId="60D31E9D">
            <w:pPr>
              <w:pStyle w:val="28"/>
              <w:rPr>
                <w:color w:val="000000" w:themeColor="text1"/>
                <w14:textFill>
                  <w14:solidFill>
                    <w14:schemeClr w14:val="tx1"/>
                  </w14:solidFill>
                </w14:textFill>
              </w:rPr>
            </w:pPr>
            <w:r>
              <w:rPr>
                <w:color w:val="000000" w:themeColor="text1"/>
                <w14:textFill>
                  <w14:solidFill>
                    <w14:schemeClr w14:val="tx1"/>
                  </w14:solidFill>
                </w14:textFill>
              </w:rPr>
              <w:t>1,2 - 二氯苯</w:t>
            </w:r>
          </w:p>
        </w:tc>
        <w:tc>
          <w:tcPr>
            <w:tcW w:w="817" w:type="pct"/>
            <w:tcMar>
              <w:top w:w="60" w:type="dxa"/>
              <w:left w:w="120" w:type="dxa"/>
              <w:bottom w:w="30" w:type="dxa"/>
              <w:right w:w="120" w:type="dxa"/>
            </w:tcMar>
            <w:vAlign w:val="center"/>
          </w:tcPr>
          <w:p w14:paraId="1E4A55CA">
            <w:pPr>
              <w:pStyle w:val="28"/>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783" w:type="pct"/>
            <w:tcMar>
              <w:top w:w="60" w:type="dxa"/>
              <w:left w:w="120" w:type="dxa"/>
              <w:bottom w:w="30" w:type="dxa"/>
              <w:right w:w="120" w:type="dxa"/>
            </w:tcMar>
            <w:vAlign w:val="center"/>
          </w:tcPr>
          <w:p w14:paraId="24C9D750">
            <w:pPr>
              <w:pStyle w:val="28"/>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810" w:type="pct"/>
            <w:tcMar>
              <w:top w:w="60" w:type="dxa"/>
              <w:left w:w="120" w:type="dxa"/>
              <w:bottom w:w="30" w:type="dxa"/>
              <w:right w:w="120" w:type="dxa"/>
            </w:tcMar>
            <w:vAlign w:val="center"/>
          </w:tcPr>
          <w:p w14:paraId="6E55E2FD">
            <w:pPr>
              <w:pStyle w:val="28"/>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770" w:type="pct"/>
            <w:tcMar>
              <w:top w:w="60" w:type="dxa"/>
              <w:left w:w="120" w:type="dxa"/>
              <w:bottom w:w="30" w:type="dxa"/>
              <w:right w:w="120" w:type="dxa"/>
            </w:tcMar>
            <w:vAlign w:val="center"/>
          </w:tcPr>
          <w:p w14:paraId="6FF1F653">
            <w:pPr>
              <w:pStyle w:val="28"/>
              <w:rPr>
                <w:color w:val="000000" w:themeColor="text1"/>
                <w14:textFill>
                  <w14:solidFill>
                    <w14:schemeClr w14:val="tx1"/>
                  </w14:solidFill>
                </w14:textFill>
              </w:rPr>
            </w:pPr>
            <w:r>
              <w:rPr>
                <w:color w:val="000000" w:themeColor="text1"/>
                <w14:textFill>
                  <w14:solidFill>
                    <w14:schemeClr w14:val="tx1"/>
                  </w14:solidFill>
                </w14:textFill>
              </w:rPr>
              <w:t>560</w:t>
            </w:r>
          </w:p>
        </w:tc>
      </w:tr>
      <w:tr w14:paraId="3D2C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47ECF4B5">
            <w:pPr>
              <w:pStyle w:val="28"/>
              <w:rPr>
                <w:color w:val="000000" w:themeColor="text1"/>
                <w14:textFill>
                  <w14:solidFill>
                    <w14:schemeClr w14:val="tx1"/>
                  </w14:solidFill>
                </w14:textFill>
              </w:rPr>
            </w:pPr>
            <w:r>
              <w:rPr>
                <w:color w:val="000000" w:themeColor="text1"/>
                <w14:textFill>
                  <w14:solidFill>
                    <w14:schemeClr w14:val="tx1"/>
                  </w14:solidFill>
                </w14:textFill>
              </w:rPr>
              <w:t>29</w:t>
            </w:r>
          </w:p>
        </w:tc>
        <w:tc>
          <w:tcPr>
            <w:tcW w:w="1221" w:type="pct"/>
            <w:tcMar>
              <w:top w:w="60" w:type="dxa"/>
              <w:left w:w="120" w:type="dxa"/>
              <w:bottom w:w="30" w:type="dxa"/>
              <w:right w:w="120" w:type="dxa"/>
            </w:tcMar>
            <w:vAlign w:val="center"/>
          </w:tcPr>
          <w:p w14:paraId="68749C9E">
            <w:pPr>
              <w:pStyle w:val="28"/>
              <w:rPr>
                <w:color w:val="000000" w:themeColor="text1"/>
                <w14:textFill>
                  <w14:solidFill>
                    <w14:schemeClr w14:val="tx1"/>
                  </w14:solidFill>
                </w14:textFill>
              </w:rPr>
            </w:pPr>
            <w:r>
              <w:rPr>
                <w:color w:val="000000" w:themeColor="text1"/>
                <w14:textFill>
                  <w14:solidFill>
                    <w14:schemeClr w14:val="tx1"/>
                  </w14:solidFill>
                </w14:textFill>
              </w:rPr>
              <w:t>1,4 - 二氯苯</w:t>
            </w:r>
          </w:p>
        </w:tc>
        <w:tc>
          <w:tcPr>
            <w:tcW w:w="817" w:type="pct"/>
            <w:tcMar>
              <w:top w:w="60" w:type="dxa"/>
              <w:left w:w="120" w:type="dxa"/>
              <w:bottom w:w="30" w:type="dxa"/>
              <w:right w:w="120" w:type="dxa"/>
            </w:tcMar>
            <w:vAlign w:val="center"/>
          </w:tcPr>
          <w:p w14:paraId="5CA94392">
            <w:pPr>
              <w:pStyle w:val="28"/>
              <w:rPr>
                <w:color w:val="000000" w:themeColor="text1"/>
                <w14:textFill>
                  <w14:solidFill>
                    <w14:schemeClr w14:val="tx1"/>
                  </w14:solidFill>
                </w14:textFill>
              </w:rPr>
            </w:pPr>
            <w:r>
              <w:rPr>
                <w:color w:val="000000" w:themeColor="text1"/>
                <w14:textFill>
                  <w14:solidFill>
                    <w14:schemeClr w14:val="tx1"/>
                  </w14:solidFill>
                </w14:textFill>
              </w:rPr>
              <w:t>5.6</w:t>
            </w:r>
          </w:p>
        </w:tc>
        <w:tc>
          <w:tcPr>
            <w:tcW w:w="783" w:type="pct"/>
            <w:tcMar>
              <w:top w:w="60" w:type="dxa"/>
              <w:left w:w="120" w:type="dxa"/>
              <w:bottom w:w="30" w:type="dxa"/>
              <w:right w:w="120" w:type="dxa"/>
            </w:tcMar>
            <w:vAlign w:val="center"/>
          </w:tcPr>
          <w:p w14:paraId="649220A3">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10" w:type="pct"/>
            <w:tcMar>
              <w:top w:w="60" w:type="dxa"/>
              <w:left w:w="120" w:type="dxa"/>
              <w:bottom w:w="30" w:type="dxa"/>
              <w:right w:w="120" w:type="dxa"/>
            </w:tcMar>
            <w:vAlign w:val="center"/>
          </w:tcPr>
          <w:p w14:paraId="54FAFCEF">
            <w:pPr>
              <w:pStyle w:val="28"/>
              <w:rPr>
                <w:color w:val="000000" w:themeColor="text1"/>
                <w14:textFill>
                  <w14:solidFill>
                    <w14:schemeClr w14:val="tx1"/>
                  </w14:solidFill>
                </w14:textFill>
              </w:rPr>
            </w:pPr>
            <w:r>
              <w:rPr>
                <w:color w:val="000000" w:themeColor="text1"/>
                <w14:textFill>
                  <w14:solidFill>
                    <w14:schemeClr w14:val="tx1"/>
                  </w14:solidFill>
                </w14:textFill>
              </w:rPr>
              <w:t>56</w:t>
            </w:r>
          </w:p>
        </w:tc>
        <w:tc>
          <w:tcPr>
            <w:tcW w:w="770" w:type="pct"/>
            <w:tcMar>
              <w:top w:w="60" w:type="dxa"/>
              <w:left w:w="120" w:type="dxa"/>
              <w:bottom w:w="30" w:type="dxa"/>
              <w:right w:w="120" w:type="dxa"/>
            </w:tcMar>
            <w:vAlign w:val="center"/>
          </w:tcPr>
          <w:p w14:paraId="3BC62FFF">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r>
      <w:tr w14:paraId="50E7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F2C2A14">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21" w:type="pct"/>
            <w:tcMar>
              <w:top w:w="60" w:type="dxa"/>
              <w:left w:w="120" w:type="dxa"/>
              <w:bottom w:w="30" w:type="dxa"/>
              <w:right w:w="120" w:type="dxa"/>
            </w:tcMar>
            <w:vAlign w:val="center"/>
          </w:tcPr>
          <w:p w14:paraId="3C573AE0">
            <w:pPr>
              <w:pStyle w:val="28"/>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817" w:type="pct"/>
            <w:tcMar>
              <w:top w:w="60" w:type="dxa"/>
              <w:left w:w="120" w:type="dxa"/>
              <w:bottom w:w="30" w:type="dxa"/>
              <w:right w:w="120" w:type="dxa"/>
            </w:tcMar>
            <w:vAlign w:val="center"/>
          </w:tcPr>
          <w:p w14:paraId="797A75A5">
            <w:pPr>
              <w:pStyle w:val="2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783" w:type="pct"/>
            <w:tcMar>
              <w:top w:w="60" w:type="dxa"/>
              <w:left w:w="120" w:type="dxa"/>
              <w:bottom w:w="30" w:type="dxa"/>
              <w:right w:w="120" w:type="dxa"/>
            </w:tcMar>
            <w:vAlign w:val="center"/>
          </w:tcPr>
          <w:p w14:paraId="6A0025B6">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10" w:type="pct"/>
            <w:tcMar>
              <w:top w:w="60" w:type="dxa"/>
              <w:left w:w="120" w:type="dxa"/>
              <w:bottom w:w="30" w:type="dxa"/>
              <w:right w:w="120" w:type="dxa"/>
            </w:tcMar>
            <w:vAlign w:val="center"/>
          </w:tcPr>
          <w:p w14:paraId="22B3B12D">
            <w:pPr>
              <w:pStyle w:val="2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770" w:type="pct"/>
            <w:tcMar>
              <w:top w:w="60" w:type="dxa"/>
              <w:left w:w="120" w:type="dxa"/>
              <w:bottom w:w="30" w:type="dxa"/>
              <w:right w:w="120" w:type="dxa"/>
            </w:tcMar>
            <w:vAlign w:val="center"/>
          </w:tcPr>
          <w:p w14:paraId="62A0E110">
            <w:pPr>
              <w:pStyle w:val="28"/>
              <w:rPr>
                <w:color w:val="000000" w:themeColor="text1"/>
                <w14:textFill>
                  <w14:solidFill>
                    <w14:schemeClr w14:val="tx1"/>
                  </w14:solidFill>
                </w14:textFill>
              </w:rPr>
            </w:pPr>
            <w:r>
              <w:rPr>
                <w:color w:val="000000" w:themeColor="text1"/>
                <w14:textFill>
                  <w14:solidFill>
                    <w14:schemeClr w14:val="tx1"/>
                  </w14:solidFill>
                </w14:textFill>
              </w:rPr>
              <w:t>280</w:t>
            </w:r>
          </w:p>
        </w:tc>
      </w:tr>
      <w:tr w14:paraId="7856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4D0C2F93">
            <w:pPr>
              <w:pStyle w:val="28"/>
              <w:rPr>
                <w:color w:val="000000" w:themeColor="text1"/>
                <w14:textFill>
                  <w14:solidFill>
                    <w14:schemeClr w14:val="tx1"/>
                  </w14:solidFill>
                </w14:textFill>
              </w:rPr>
            </w:pPr>
            <w:r>
              <w:rPr>
                <w:color w:val="000000" w:themeColor="text1"/>
                <w14:textFill>
                  <w14:solidFill>
                    <w14:schemeClr w14:val="tx1"/>
                  </w14:solidFill>
                </w14:textFill>
              </w:rPr>
              <w:t>31</w:t>
            </w:r>
          </w:p>
        </w:tc>
        <w:tc>
          <w:tcPr>
            <w:tcW w:w="1221" w:type="pct"/>
            <w:tcMar>
              <w:top w:w="60" w:type="dxa"/>
              <w:left w:w="120" w:type="dxa"/>
              <w:bottom w:w="30" w:type="dxa"/>
              <w:right w:w="120" w:type="dxa"/>
            </w:tcMar>
            <w:vAlign w:val="center"/>
          </w:tcPr>
          <w:p w14:paraId="6789FA62">
            <w:pPr>
              <w:pStyle w:val="28"/>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817" w:type="pct"/>
            <w:tcMar>
              <w:top w:w="60" w:type="dxa"/>
              <w:left w:w="120" w:type="dxa"/>
              <w:bottom w:w="30" w:type="dxa"/>
              <w:right w:w="120" w:type="dxa"/>
            </w:tcMar>
            <w:vAlign w:val="center"/>
          </w:tcPr>
          <w:p w14:paraId="33577597">
            <w:pPr>
              <w:pStyle w:val="28"/>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783" w:type="pct"/>
            <w:tcMar>
              <w:top w:w="60" w:type="dxa"/>
              <w:left w:w="120" w:type="dxa"/>
              <w:bottom w:w="30" w:type="dxa"/>
              <w:right w:w="120" w:type="dxa"/>
            </w:tcMar>
            <w:vAlign w:val="center"/>
          </w:tcPr>
          <w:p w14:paraId="3D470297">
            <w:pPr>
              <w:pStyle w:val="28"/>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810" w:type="pct"/>
            <w:tcMar>
              <w:top w:w="60" w:type="dxa"/>
              <w:left w:w="120" w:type="dxa"/>
              <w:bottom w:w="30" w:type="dxa"/>
              <w:right w:w="120" w:type="dxa"/>
            </w:tcMar>
            <w:vAlign w:val="center"/>
          </w:tcPr>
          <w:p w14:paraId="683B2170">
            <w:pPr>
              <w:pStyle w:val="28"/>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770" w:type="pct"/>
            <w:tcMar>
              <w:top w:w="60" w:type="dxa"/>
              <w:left w:w="120" w:type="dxa"/>
              <w:bottom w:w="30" w:type="dxa"/>
              <w:right w:w="120" w:type="dxa"/>
            </w:tcMar>
            <w:vAlign w:val="center"/>
          </w:tcPr>
          <w:p w14:paraId="3F7EA393">
            <w:pPr>
              <w:pStyle w:val="28"/>
              <w:rPr>
                <w:color w:val="000000" w:themeColor="text1"/>
                <w14:textFill>
                  <w14:solidFill>
                    <w14:schemeClr w14:val="tx1"/>
                  </w14:solidFill>
                </w14:textFill>
              </w:rPr>
            </w:pPr>
            <w:r>
              <w:rPr>
                <w:color w:val="000000" w:themeColor="text1"/>
                <w14:textFill>
                  <w14:solidFill>
                    <w14:schemeClr w14:val="tx1"/>
                  </w14:solidFill>
                </w14:textFill>
              </w:rPr>
              <w:t>1290</w:t>
            </w:r>
          </w:p>
        </w:tc>
      </w:tr>
      <w:tr w14:paraId="2CA5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799CEF8">
            <w:pPr>
              <w:pStyle w:val="28"/>
              <w:rPr>
                <w:color w:val="000000" w:themeColor="text1"/>
                <w14:textFill>
                  <w14:solidFill>
                    <w14:schemeClr w14:val="tx1"/>
                  </w14:solidFill>
                </w14:textFill>
              </w:rPr>
            </w:pPr>
            <w:r>
              <w:rPr>
                <w:color w:val="000000" w:themeColor="text1"/>
                <w14:textFill>
                  <w14:solidFill>
                    <w14:schemeClr w14:val="tx1"/>
                  </w14:solidFill>
                </w14:textFill>
              </w:rPr>
              <w:t>32</w:t>
            </w:r>
          </w:p>
        </w:tc>
        <w:tc>
          <w:tcPr>
            <w:tcW w:w="1221" w:type="pct"/>
            <w:tcMar>
              <w:top w:w="60" w:type="dxa"/>
              <w:left w:w="120" w:type="dxa"/>
              <w:bottom w:w="30" w:type="dxa"/>
              <w:right w:w="120" w:type="dxa"/>
            </w:tcMar>
            <w:vAlign w:val="center"/>
          </w:tcPr>
          <w:p w14:paraId="02A5BC44">
            <w:pPr>
              <w:pStyle w:val="28"/>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817" w:type="pct"/>
            <w:tcMar>
              <w:top w:w="60" w:type="dxa"/>
              <w:left w:w="120" w:type="dxa"/>
              <w:bottom w:w="30" w:type="dxa"/>
              <w:right w:w="120" w:type="dxa"/>
            </w:tcMar>
            <w:vAlign w:val="center"/>
          </w:tcPr>
          <w:p w14:paraId="2B342AB6">
            <w:pPr>
              <w:pStyle w:val="2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783" w:type="pct"/>
            <w:tcMar>
              <w:top w:w="60" w:type="dxa"/>
              <w:left w:w="120" w:type="dxa"/>
              <w:bottom w:w="30" w:type="dxa"/>
              <w:right w:w="120" w:type="dxa"/>
            </w:tcMar>
            <w:vAlign w:val="center"/>
          </w:tcPr>
          <w:p w14:paraId="0B574FD4">
            <w:pPr>
              <w:pStyle w:val="2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810" w:type="pct"/>
            <w:tcMar>
              <w:top w:w="60" w:type="dxa"/>
              <w:left w:w="120" w:type="dxa"/>
              <w:bottom w:w="30" w:type="dxa"/>
              <w:right w:w="120" w:type="dxa"/>
            </w:tcMar>
            <w:vAlign w:val="center"/>
          </w:tcPr>
          <w:p w14:paraId="2F9E3BFA">
            <w:pPr>
              <w:pStyle w:val="2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770" w:type="pct"/>
            <w:tcMar>
              <w:top w:w="60" w:type="dxa"/>
              <w:left w:w="120" w:type="dxa"/>
              <w:bottom w:w="30" w:type="dxa"/>
              <w:right w:w="120" w:type="dxa"/>
            </w:tcMar>
            <w:vAlign w:val="center"/>
          </w:tcPr>
          <w:p w14:paraId="646FB5FE">
            <w:pPr>
              <w:pStyle w:val="28"/>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3A9A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CAD71AB">
            <w:pPr>
              <w:pStyle w:val="28"/>
              <w:rPr>
                <w:color w:val="000000" w:themeColor="text1"/>
                <w14:textFill>
                  <w14:solidFill>
                    <w14:schemeClr w14:val="tx1"/>
                  </w14:solidFill>
                </w14:textFill>
              </w:rPr>
            </w:pPr>
            <w:r>
              <w:rPr>
                <w:color w:val="000000" w:themeColor="text1"/>
                <w14:textFill>
                  <w14:solidFill>
                    <w14:schemeClr w14:val="tx1"/>
                  </w14:solidFill>
                </w14:textFill>
              </w:rPr>
              <w:t>33</w:t>
            </w:r>
          </w:p>
        </w:tc>
        <w:tc>
          <w:tcPr>
            <w:tcW w:w="1221" w:type="pct"/>
            <w:tcMar>
              <w:top w:w="60" w:type="dxa"/>
              <w:left w:w="120" w:type="dxa"/>
              <w:bottom w:w="30" w:type="dxa"/>
              <w:right w:w="120" w:type="dxa"/>
            </w:tcMar>
            <w:vAlign w:val="center"/>
          </w:tcPr>
          <w:p w14:paraId="54EE97BE">
            <w:pPr>
              <w:pStyle w:val="28"/>
              <w:rPr>
                <w:color w:val="000000" w:themeColor="text1"/>
                <w14:textFill>
                  <w14:solidFill>
                    <w14:schemeClr w14:val="tx1"/>
                  </w14:solidFill>
                </w14:textFill>
              </w:rPr>
            </w:pPr>
            <w:r>
              <w:rPr>
                <w:color w:val="000000" w:themeColor="text1"/>
                <w14:textFill>
                  <w14:solidFill>
                    <w14:schemeClr w14:val="tx1"/>
                  </w14:solidFill>
                </w14:textFill>
              </w:rPr>
              <w:t>间二甲苯 + 对二甲苯</w:t>
            </w:r>
          </w:p>
        </w:tc>
        <w:tc>
          <w:tcPr>
            <w:tcW w:w="817" w:type="pct"/>
            <w:tcMar>
              <w:top w:w="60" w:type="dxa"/>
              <w:left w:w="120" w:type="dxa"/>
              <w:bottom w:w="30" w:type="dxa"/>
              <w:right w:w="120" w:type="dxa"/>
            </w:tcMar>
            <w:vAlign w:val="center"/>
          </w:tcPr>
          <w:p w14:paraId="60404025">
            <w:pPr>
              <w:pStyle w:val="28"/>
              <w:rPr>
                <w:color w:val="000000" w:themeColor="text1"/>
                <w14:textFill>
                  <w14:solidFill>
                    <w14:schemeClr w14:val="tx1"/>
                  </w14:solidFill>
                </w14:textFill>
              </w:rPr>
            </w:pPr>
            <w:r>
              <w:rPr>
                <w:color w:val="000000" w:themeColor="text1"/>
                <w14:textFill>
                  <w14:solidFill>
                    <w14:schemeClr w14:val="tx1"/>
                  </w14:solidFill>
                </w14:textFill>
              </w:rPr>
              <w:t>163</w:t>
            </w:r>
          </w:p>
        </w:tc>
        <w:tc>
          <w:tcPr>
            <w:tcW w:w="783" w:type="pct"/>
            <w:tcMar>
              <w:top w:w="60" w:type="dxa"/>
              <w:left w:w="120" w:type="dxa"/>
              <w:bottom w:w="30" w:type="dxa"/>
              <w:right w:w="120" w:type="dxa"/>
            </w:tcMar>
            <w:vAlign w:val="center"/>
          </w:tcPr>
          <w:p w14:paraId="1BE9A967">
            <w:pPr>
              <w:pStyle w:val="28"/>
              <w:rPr>
                <w:color w:val="000000" w:themeColor="text1"/>
                <w14:textFill>
                  <w14:solidFill>
                    <w14:schemeClr w14:val="tx1"/>
                  </w14:solidFill>
                </w14:textFill>
              </w:rPr>
            </w:pPr>
            <w:r>
              <w:rPr>
                <w:color w:val="000000" w:themeColor="text1"/>
                <w14:textFill>
                  <w14:solidFill>
                    <w14:schemeClr w14:val="tx1"/>
                  </w14:solidFill>
                </w14:textFill>
              </w:rPr>
              <w:t>570</w:t>
            </w:r>
          </w:p>
        </w:tc>
        <w:tc>
          <w:tcPr>
            <w:tcW w:w="810" w:type="pct"/>
            <w:tcMar>
              <w:top w:w="60" w:type="dxa"/>
              <w:left w:w="120" w:type="dxa"/>
              <w:bottom w:w="30" w:type="dxa"/>
              <w:right w:w="120" w:type="dxa"/>
            </w:tcMar>
            <w:vAlign w:val="center"/>
          </w:tcPr>
          <w:p w14:paraId="6E14A5B6">
            <w:pPr>
              <w:pStyle w:val="28"/>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770" w:type="pct"/>
            <w:tcMar>
              <w:top w:w="60" w:type="dxa"/>
              <w:left w:w="120" w:type="dxa"/>
              <w:bottom w:w="30" w:type="dxa"/>
              <w:right w:w="120" w:type="dxa"/>
            </w:tcMar>
            <w:vAlign w:val="center"/>
          </w:tcPr>
          <w:p w14:paraId="29263A65">
            <w:pPr>
              <w:pStyle w:val="28"/>
              <w:rPr>
                <w:color w:val="000000" w:themeColor="text1"/>
                <w14:textFill>
                  <w14:solidFill>
                    <w14:schemeClr w14:val="tx1"/>
                  </w14:solidFill>
                </w14:textFill>
              </w:rPr>
            </w:pPr>
            <w:r>
              <w:rPr>
                <w:color w:val="000000" w:themeColor="text1"/>
                <w14:textFill>
                  <w14:solidFill>
                    <w14:schemeClr w14:val="tx1"/>
                  </w14:solidFill>
                </w14:textFill>
              </w:rPr>
              <w:t>570</w:t>
            </w:r>
          </w:p>
        </w:tc>
      </w:tr>
      <w:tr w14:paraId="0C69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5227BC6">
            <w:pPr>
              <w:pStyle w:val="28"/>
              <w:rPr>
                <w:color w:val="000000" w:themeColor="text1"/>
                <w14:textFill>
                  <w14:solidFill>
                    <w14:schemeClr w14:val="tx1"/>
                  </w14:solidFill>
                </w14:textFill>
              </w:rPr>
            </w:pPr>
            <w:r>
              <w:rPr>
                <w:color w:val="000000" w:themeColor="text1"/>
                <w14:textFill>
                  <w14:solidFill>
                    <w14:schemeClr w14:val="tx1"/>
                  </w14:solidFill>
                </w14:textFill>
              </w:rPr>
              <w:t>34</w:t>
            </w:r>
          </w:p>
        </w:tc>
        <w:tc>
          <w:tcPr>
            <w:tcW w:w="1221" w:type="pct"/>
            <w:tcMar>
              <w:top w:w="60" w:type="dxa"/>
              <w:left w:w="120" w:type="dxa"/>
              <w:bottom w:w="30" w:type="dxa"/>
              <w:right w:w="120" w:type="dxa"/>
            </w:tcMar>
            <w:vAlign w:val="center"/>
          </w:tcPr>
          <w:p w14:paraId="76F33883">
            <w:pPr>
              <w:pStyle w:val="28"/>
              <w:rPr>
                <w:color w:val="000000" w:themeColor="text1"/>
                <w14:textFill>
                  <w14:solidFill>
                    <w14:schemeClr w14:val="tx1"/>
                  </w14:solidFill>
                </w14:textFill>
              </w:rPr>
            </w:pPr>
            <w:r>
              <w:rPr>
                <w:color w:val="000000" w:themeColor="text1"/>
                <w14:textFill>
                  <w14:solidFill>
                    <w14:schemeClr w14:val="tx1"/>
                  </w14:solidFill>
                </w14:textFill>
              </w:rPr>
              <w:t>邻二甲苯</w:t>
            </w:r>
          </w:p>
        </w:tc>
        <w:tc>
          <w:tcPr>
            <w:tcW w:w="817" w:type="pct"/>
            <w:tcMar>
              <w:top w:w="60" w:type="dxa"/>
              <w:left w:w="120" w:type="dxa"/>
              <w:bottom w:w="30" w:type="dxa"/>
              <w:right w:w="120" w:type="dxa"/>
            </w:tcMar>
            <w:vAlign w:val="center"/>
          </w:tcPr>
          <w:p w14:paraId="6BCBF4C5">
            <w:pPr>
              <w:pStyle w:val="28"/>
              <w:rPr>
                <w:color w:val="000000" w:themeColor="text1"/>
                <w14:textFill>
                  <w14:solidFill>
                    <w14:schemeClr w14:val="tx1"/>
                  </w14:solidFill>
                </w14:textFill>
              </w:rPr>
            </w:pPr>
            <w:r>
              <w:rPr>
                <w:color w:val="000000" w:themeColor="text1"/>
                <w14:textFill>
                  <w14:solidFill>
                    <w14:schemeClr w14:val="tx1"/>
                  </w14:solidFill>
                </w14:textFill>
              </w:rPr>
              <w:t>222</w:t>
            </w:r>
          </w:p>
        </w:tc>
        <w:tc>
          <w:tcPr>
            <w:tcW w:w="783" w:type="pct"/>
            <w:tcMar>
              <w:top w:w="60" w:type="dxa"/>
              <w:left w:w="120" w:type="dxa"/>
              <w:bottom w:w="30" w:type="dxa"/>
              <w:right w:w="120" w:type="dxa"/>
            </w:tcMar>
            <w:vAlign w:val="center"/>
          </w:tcPr>
          <w:p w14:paraId="0A7A1B16">
            <w:pPr>
              <w:pStyle w:val="28"/>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810" w:type="pct"/>
            <w:tcMar>
              <w:top w:w="60" w:type="dxa"/>
              <w:left w:w="120" w:type="dxa"/>
              <w:bottom w:w="30" w:type="dxa"/>
              <w:right w:w="120" w:type="dxa"/>
            </w:tcMar>
            <w:vAlign w:val="center"/>
          </w:tcPr>
          <w:p w14:paraId="096DD5AA">
            <w:pPr>
              <w:pStyle w:val="28"/>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770" w:type="pct"/>
            <w:tcMar>
              <w:top w:w="60" w:type="dxa"/>
              <w:left w:w="120" w:type="dxa"/>
              <w:bottom w:w="30" w:type="dxa"/>
              <w:right w:w="120" w:type="dxa"/>
            </w:tcMar>
            <w:vAlign w:val="center"/>
          </w:tcPr>
          <w:p w14:paraId="55AA96D9">
            <w:pPr>
              <w:pStyle w:val="28"/>
              <w:rPr>
                <w:color w:val="000000" w:themeColor="text1"/>
                <w14:textFill>
                  <w14:solidFill>
                    <w14:schemeClr w14:val="tx1"/>
                  </w14:solidFill>
                </w14:textFill>
              </w:rPr>
            </w:pPr>
            <w:r>
              <w:rPr>
                <w:color w:val="000000" w:themeColor="text1"/>
                <w14:textFill>
                  <w14:solidFill>
                    <w14:schemeClr w14:val="tx1"/>
                  </w14:solidFill>
                </w14:textFill>
              </w:rPr>
              <w:t>640</w:t>
            </w:r>
          </w:p>
        </w:tc>
      </w:tr>
      <w:tr w14:paraId="5EE8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8261769">
            <w:pPr>
              <w:pStyle w:val="28"/>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221" w:type="pct"/>
            <w:tcMar>
              <w:top w:w="60" w:type="dxa"/>
              <w:left w:w="120" w:type="dxa"/>
              <w:bottom w:w="30" w:type="dxa"/>
              <w:right w:w="120" w:type="dxa"/>
            </w:tcMar>
            <w:vAlign w:val="center"/>
          </w:tcPr>
          <w:p w14:paraId="485CEA17">
            <w:pPr>
              <w:pStyle w:val="28"/>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817" w:type="pct"/>
            <w:tcMar>
              <w:top w:w="60" w:type="dxa"/>
              <w:left w:w="120" w:type="dxa"/>
              <w:bottom w:w="30" w:type="dxa"/>
              <w:right w:w="120" w:type="dxa"/>
            </w:tcMar>
            <w:vAlign w:val="center"/>
          </w:tcPr>
          <w:p w14:paraId="2F8D511E">
            <w:pPr>
              <w:pStyle w:val="28"/>
              <w:rPr>
                <w:color w:val="000000" w:themeColor="text1"/>
                <w14:textFill>
                  <w14:solidFill>
                    <w14:schemeClr w14:val="tx1"/>
                  </w14:solidFill>
                </w14:textFill>
              </w:rPr>
            </w:pPr>
            <w:r>
              <w:rPr>
                <w:color w:val="000000" w:themeColor="text1"/>
                <w14:textFill>
                  <w14:solidFill>
                    <w14:schemeClr w14:val="tx1"/>
                  </w14:solidFill>
                </w14:textFill>
              </w:rPr>
              <w:t>34</w:t>
            </w:r>
          </w:p>
        </w:tc>
        <w:tc>
          <w:tcPr>
            <w:tcW w:w="783" w:type="pct"/>
            <w:tcMar>
              <w:top w:w="60" w:type="dxa"/>
              <w:left w:w="120" w:type="dxa"/>
              <w:bottom w:w="30" w:type="dxa"/>
              <w:right w:w="120" w:type="dxa"/>
            </w:tcMar>
            <w:vAlign w:val="center"/>
          </w:tcPr>
          <w:p w14:paraId="5B6DC0CA">
            <w:pPr>
              <w:pStyle w:val="28"/>
              <w:rPr>
                <w:color w:val="000000" w:themeColor="text1"/>
                <w14:textFill>
                  <w14:solidFill>
                    <w14:schemeClr w14:val="tx1"/>
                  </w14:solidFill>
                </w14:textFill>
              </w:rPr>
            </w:pPr>
            <w:r>
              <w:rPr>
                <w:color w:val="000000" w:themeColor="text1"/>
                <w14:textFill>
                  <w14:solidFill>
                    <w14:schemeClr w14:val="tx1"/>
                  </w14:solidFill>
                </w14:textFill>
              </w:rPr>
              <w:t>76</w:t>
            </w:r>
          </w:p>
        </w:tc>
        <w:tc>
          <w:tcPr>
            <w:tcW w:w="810" w:type="pct"/>
            <w:tcMar>
              <w:top w:w="60" w:type="dxa"/>
              <w:left w:w="120" w:type="dxa"/>
              <w:bottom w:w="30" w:type="dxa"/>
              <w:right w:w="120" w:type="dxa"/>
            </w:tcMar>
            <w:vAlign w:val="center"/>
          </w:tcPr>
          <w:p w14:paraId="1C89FDDF">
            <w:pPr>
              <w:pStyle w:val="28"/>
              <w:rPr>
                <w:color w:val="000000" w:themeColor="text1"/>
                <w14:textFill>
                  <w14:solidFill>
                    <w14:schemeClr w14:val="tx1"/>
                  </w14:solidFill>
                </w14:textFill>
              </w:rPr>
            </w:pPr>
            <w:r>
              <w:rPr>
                <w:color w:val="000000" w:themeColor="text1"/>
                <w14:textFill>
                  <w14:solidFill>
                    <w14:schemeClr w14:val="tx1"/>
                  </w14:solidFill>
                </w14:textFill>
              </w:rPr>
              <w:t>190</w:t>
            </w:r>
          </w:p>
        </w:tc>
        <w:tc>
          <w:tcPr>
            <w:tcW w:w="770" w:type="pct"/>
            <w:tcMar>
              <w:top w:w="60" w:type="dxa"/>
              <w:left w:w="120" w:type="dxa"/>
              <w:bottom w:w="30" w:type="dxa"/>
              <w:right w:w="120" w:type="dxa"/>
            </w:tcMar>
            <w:vAlign w:val="center"/>
          </w:tcPr>
          <w:p w14:paraId="74DD0A7B">
            <w:pPr>
              <w:pStyle w:val="28"/>
              <w:rPr>
                <w:color w:val="000000" w:themeColor="text1"/>
                <w14:textFill>
                  <w14:solidFill>
                    <w14:schemeClr w14:val="tx1"/>
                  </w14:solidFill>
                </w14:textFill>
              </w:rPr>
            </w:pPr>
            <w:r>
              <w:rPr>
                <w:color w:val="000000" w:themeColor="text1"/>
                <w14:textFill>
                  <w14:solidFill>
                    <w14:schemeClr w14:val="tx1"/>
                  </w14:solidFill>
                </w14:textFill>
              </w:rPr>
              <w:t>760</w:t>
            </w:r>
          </w:p>
        </w:tc>
      </w:tr>
      <w:tr w14:paraId="6D80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082A42CC">
            <w:pPr>
              <w:pStyle w:val="28"/>
              <w:rPr>
                <w:color w:val="000000" w:themeColor="text1"/>
                <w14:textFill>
                  <w14:solidFill>
                    <w14:schemeClr w14:val="tx1"/>
                  </w14:solidFill>
                </w14:textFill>
              </w:rPr>
            </w:pPr>
            <w:r>
              <w:rPr>
                <w:color w:val="000000" w:themeColor="text1"/>
                <w14:textFill>
                  <w14:solidFill>
                    <w14:schemeClr w14:val="tx1"/>
                  </w14:solidFill>
                </w14:textFill>
              </w:rPr>
              <w:t>36</w:t>
            </w:r>
          </w:p>
        </w:tc>
        <w:tc>
          <w:tcPr>
            <w:tcW w:w="1221" w:type="pct"/>
            <w:tcMar>
              <w:top w:w="60" w:type="dxa"/>
              <w:left w:w="120" w:type="dxa"/>
              <w:bottom w:w="30" w:type="dxa"/>
              <w:right w:w="120" w:type="dxa"/>
            </w:tcMar>
            <w:vAlign w:val="center"/>
          </w:tcPr>
          <w:p w14:paraId="585150E4">
            <w:pPr>
              <w:pStyle w:val="28"/>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817" w:type="pct"/>
            <w:tcMar>
              <w:top w:w="60" w:type="dxa"/>
              <w:left w:w="120" w:type="dxa"/>
              <w:bottom w:w="30" w:type="dxa"/>
              <w:right w:w="120" w:type="dxa"/>
            </w:tcMar>
            <w:vAlign w:val="center"/>
          </w:tcPr>
          <w:p w14:paraId="4299314A">
            <w:pPr>
              <w:pStyle w:val="28"/>
              <w:rPr>
                <w:color w:val="000000" w:themeColor="text1"/>
                <w14:textFill>
                  <w14:solidFill>
                    <w14:schemeClr w14:val="tx1"/>
                  </w14:solidFill>
                </w14:textFill>
              </w:rPr>
            </w:pPr>
            <w:r>
              <w:rPr>
                <w:color w:val="000000" w:themeColor="text1"/>
                <w14:textFill>
                  <w14:solidFill>
                    <w14:schemeClr w14:val="tx1"/>
                  </w14:solidFill>
                </w14:textFill>
              </w:rPr>
              <w:t>92</w:t>
            </w:r>
          </w:p>
        </w:tc>
        <w:tc>
          <w:tcPr>
            <w:tcW w:w="783" w:type="pct"/>
            <w:tcMar>
              <w:top w:w="60" w:type="dxa"/>
              <w:left w:w="120" w:type="dxa"/>
              <w:bottom w:w="30" w:type="dxa"/>
              <w:right w:w="120" w:type="dxa"/>
            </w:tcMar>
            <w:vAlign w:val="center"/>
          </w:tcPr>
          <w:p w14:paraId="0A04C465">
            <w:pPr>
              <w:pStyle w:val="28"/>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810" w:type="pct"/>
            <w:tcMar>
              <w:top w:w="60" w:type="dxa"/>
              <w:left w:w="120" w:type="dxa"/>
              <w:bottom w:w="30" w:type="dxa"/>
              <w:right w:w="120" w:type="dxa"/>
            </w:tcMar>
            <w:vAlign w:val="center"/>
          </w:tcPr>
          <w:p w14:paraId="73EF085E">
            <w:pPr>
              <w:pStyle w:val="28"/>
              <w:rPr>
                <w:color w:val="000000" w:themeColor="text1"/>
                <w14:textFill>
                  <w14:solidFill>
                    <w14:schemeClr w14:val="tx1"/>
                  </w14:solidFill>
                </w14:textFill>
              </w:rPr>
            </w:pPr>
            <w:r>
              <w:rPr>
                <w:color w:val="000000" w:themeColor="text1"/>
                <w14:textFill>
                  <w14:solidFill>
                    <w14:schemeClr w14:val="tx1"/>
                  </w14:solidFill>
                </w14:textFill>
              </w:rPr>
              <w:t>211</w:t>
            </w:r>
          </w:p>
        </w:tc>
        <w:tc>
          <w:tcPr>
            <w:tcW w:w="770" w:type="pct"/>
            <w:tcMar>
              <w:top w:w="60" w:type="dxa"/>
              <w:left w:w="120" w:type="dxa"/>
              <w:bottom w:w="30" w:type="dxa"/>
              <w:right w:w="120" w:type="dxa"/>
            </w:tcMar>
            <w:vAlign w:val="center"/>
          </w:tcPr>
          <w:p w14:paraId="3420E866">
            <w:pPr>
              <w:pStyle w:val="28"/>
              <w:rPr>
                <w:color w:val="000000" w:themeColor="text1"/>
                <w14:textFill>
                  <w14:solidFill>
                    <w14:schemeClr w14:val="tx1"/>
                  </w14:solidFill>
                </w14:textFill>
              </w:rPr>
            </w:pPr>
            <w:r>
              <w:rPr>
                <w:color w:val="000000" w:themeColor="text1"/>
                <w14:textFill>
                  <w14:solidFill>
                    <w14:schemeClr w14:val="tx1"/>
                  </w14:solidFill>
                </w14:textFill>
              </w:rPr>
              <w:t>663</w:t>
            </w:r>
          </w:p>
        </w:tc>
      </w:tr>
      <w:tr w14:paraId="2BEA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0194150">
            <w:pPr>
              <w:pStyle w:val="28"/>
              <w:rPr>
                <w:color w:val="000000" w:themeColor="text1"/>
                <w14:textFill>
                  <w14:solidFill>
                    <w14:schemeClr w14:val="tx1"/>
                  </w14:solidFill>
                </w14:textFill>
              </w:rPr>
            </w:pPr>
            <w:r>
              <w:rPr>
                <w:color w:val="000000" w:themeColor="text1"/>
                <w14:textFill>
                  <w14:solidFill>
                    <w14:schemeClr w14:val="tx1"/>
                  </w14:solidFill>
                </w14:textFill>
              </w:rPr>
              <w:t>37</w:t>
            </w:r>
          </w:p>
        </w:tc>
        <w:tc>
          <w:tcPr>
            <w:tcW w:w="1221" w:type="pct"/>
            <w:tcMar>
              <w:top w:w="60" w:type="dxa"/>
              <w:left w:w="120" w:type="dxa"/>
              <w:bottom w:w="30" w:type="dxa"/>
              <w:right w:w="120" w:type="dxa"/>
            </w:tcMar>
            <w:vAlign w:val="center"/>
          </w:tcPr>
          <w:p w14:paraId="13EB8BE2">
            <w:pPr>
              <w:pStyle w:val="28"/>
              <w:rPr>
                <w:color w:val="000000" w:themeColor="text1"/>
                <w14:textFill>
                  <w14:solidFill>
                    <w14:schemeClr w14:val="tx1"/>
                  </w14:solidFill>
                </w14:textFill>
              </w:rPr>
            </w:pPr>
            <w:r>
              <w:rPr>
                <w:color w:val="000000" w:themeColor="text1"/>
                <w14:textFill>
                  <w14:solidFill>
                    <w14:schemeClr w14:val="tx1"/>
                  </w14:solidFill>
                </w14:textFill>
              </w:rPr>
              <w:t>2 - 氯酚</w:t>
            </w:r>
          </w:p>
        </w:tc>
        <w:tc>
          <w:tcPr>
            <w:tcW w:w="817" w:type="pct"/>
            <w:tcMar>
              <w:top w:w="60" w:type="dxa"/>
              <w:left w:w="120" w:type="dxa"/>
              <w:bottom w:w="30" w:type="dxa"/>
              <w:right w:w="120" w:type="dxa"/>
            </w:tcMar>
            <w:vAlign w:val="center"/>
          </w:tcPr>
          <w:p w14:paraId="4E620D48">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83" w:type="pct"/>
            <w:tcMar>
              <w:top w:w="60" w:type="dxa"/>
              <w:left w:w="120" w:type="dxa"/>
              <w:bottom w:w="30" w:type="dxa"/>
              <w:right w:w="120" w:type="dxa"/>
            </w:tcMar>
            <w:vAlign w:val="center"/>
          </w:tcPr>
          <w:p w14:paraId="22A45521">
            <w:pPr>
              <w:pStyle w:val="28"/>
              <w:rPr>
                <w:color w:val="000000" w:themeColor="text1"/>
                <w14:textFill>
                  <w14:solidFill>
                    <w14:schemeClr w14:val="tx1"/>
                  </w14:solidFill>
                </w14:textFill>
              </w:rPr>
            </w:pPr>
            <w:r>
              <w:rPr>
                <w:color w:val="000000" w:themeColor="text1"/>
                <w14:textFill>
                  <w14:solidFill>
                    <w14:schemeClr w14:val="tx1"/>
                  </w14:solidFill>
                </w14:textFill>
              </w:rPr>
              <w:t>2256</w:t>
            </w:r>
          </w:p>
        </w:tc>
        <w:tc>
          <w:tcPr>
            <w:tcW w:w="810" w:type="pct"/>
            <w:tcMar>
              <w:top w:w="60" w:type="dxa"/>
              <w:left w:w="120" w:type="dxa"/>
              <w:bottom w:w="30" w:type="dxa"/>
              <w:right w:w="120" w:type="dxa"/>
            </w:tcMar>
            <w:vAlign w:val="center"/>
          </w:tcPr>
          <w:p w14:paraId="1562A1E4">
            <w:pPr>
              <w:pStyle w:val="28"/>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770" w:type="pct"/>
            <w:tcMar>
              <w:top w:w="60" w:type="dxa"/>
              <w:left w:w="120" w:type="dxa"/>
              <w:bottom w:w="30" w:type="dxa"/>
              <w:right w:w="120" w:type="dxa"/>
            </w:tcMar>
            <w:vAlign w:val="center"/>
          </w:tcPr>
          <w:p w14:paraId="03E96593">
            <w:pPr>
              <w:pStyle w:val="28"/>
              <w:rPr>
                <w:color w:val="000000" w:themeColor="text1"/>
                <w14:textFill>
                  <w14:solidFill>
                    <w14:schemeClr w14:val="tx1"/>
                  </w14:solidFill>
                </w14:textFill>
              </w:rPr>
            </w:pPr>
            <w:r>
              <w:rPr>
                <w:color w:val="000000" w:themeColor="text1"/>
                <w14:textFill>
                  <w14:solidFill>
                    <w14:schemeClr w14:val="tx1"/>
                  </w14:solidFill>
                </w14:textFill>
              </w:rPr>
              <w:t>4500</w:t>
            </w:r>
          </w:p>
        </w:tc>
      </w:tr>
      <w:tr w14:paraId="02B1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59567E23">
            <w:pPr>
              <w:pStyle w:val="28"/>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221" w:type="pct"/>
            <w:tcMar>
              <w:top w:w="60" w:type="dxa"/>
              <w:left w:w="120" w:type="dxa"/>
              <w:bottom w:w="30" w:type="dxa"/>
              <w:right w:w="120" w:type="dxa"/>
            </w:tcMar>
            <w:vAlign w:val="center"/>
          </w:tcPr>
          <w:p w14:paraId="6631DFE7">
            <w:pPr>
              <w:pStyle w:val="28"/>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817" w:type="pct"/>
            <w:tcMar>
              <w:top w:w="60" w:type="dxa"/>
              <w:left w:w="120" w:type="dxa"/>
              <w:bottom w:w="30" w:type="dxa"/>
              <w:right w:w="120" w:type="dxa"/>
            </w:tcMar>
            <w:vAlign w:val="center"/>
          </w:tcPr>
          <w:p w14:paraId="22677CEF">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83" w:type="pct"/>
            <w:tcMar>
              <w:top w:w="60" w:type="dxa"/>
              <w:left w:w="120" w:type="dxa"/>
              <w:bottom w:w="30" w:type="dxa"/>
              <w:right w:w="120" w:type="dxa"/>
            </w:tcMar>
            <w:vAlign w:val="center"/>
          </w:tcPr>
          <w:p w14:paraId="77309265">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10" w:type="pct"/>
            <w:tcMar>
              <w:top w:w="60" w:type="dxa"/>
              <w:left w:w="120" w:type="dxa"/>
              <w:bottom w:w="30" w:type="dxa"/>
              <w:right w:w="120" w:type="dxa"/>
            </w:tcMar>
            <w:vAlign w:val="center"/>
          </w:tcPr>
          <w:p w14:paraId="1D6D2807">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70" w:type="pct"/>
            <w:tcMar>
              <w:top w:w="60" w:type="dxa"/>
              <w:left w:w="120" w:type="dxa"/>
              <w:bottom w:w="30" w:type="dxa"/>
              <w:right w:w="120" w:type="dxa"/>
            </w:tcMar>
            <w:vAlign w:val="center"/>
          </w:tcPr>
          <w:p w14:paraId="7FA5476A">
            <w:pPr>
              <w:pStyle w:val="28"/>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6CD6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74D7AD2">
            <w:pPr>
              <w:pStyle w:val="28"/>
              <w:rPr>
                <w:color w:val="000000" w:themeColor="text1"/>
                <w14:textFill>
                  <w14:solidFill>
                    <w14:schemeClr w14:val="tx1"/>
                  </w14:solidFill>
                </w14:textFill>
              </w:rPr>
            </w:pPr>
            <w:r>
              <w:rPr>
                <w:color w:val="000000" w:themeColor="text1"/>
                <w14:textFill>
                  <w14:solidFill>
                    <w14:schemeClr w14:val="tx1"/>
                  </w14:solidFill>
                </w14:textFill>
              </w:rPr>
              <w:t>39</w:t>
            </w:r>
          </w:p>
        </w:tc>
        <w:tc>
          <w:tcPr>
            <w:tcW w:w="1221" w:type="pct"/>
            <w:tcMar>
              <w:top w:w="60" w:type="dxa"/>
              <w:left w:w="120" w:type="dxa"/>
              <w:bottom w:w="30" w:type="dxa"/>
              <w:right w:w="120" w:type="dxa"/>
            </w:tcMar>
            <w:vAlign w:val="center"/>
          </w:tcPr>
          <w:p w14:paraId="726DC9D1">
            <w:pPr>
              <w:pStyle w:val="28"/>
              <w:rPr>
                <w:color w:val="000000" w:themeColor="text1"/>
                <w14:textFill>
                  <w14:solidFill>
                    <w14:schemeClr w14:val="tx1"/>
                  </w14:solidFill>
                </w14:textFill>
              </w:rPr>
            </w:pPr>
            <w:r>
              <w:rPr>
                <w:color w:val="000000" w:themeColor="text1"/>
                <w14:textFill>
                  <w14:solidFill>
                    <w14:schemeClr w14:val="tx1"/>
                  </w14:solidFill>
                </w14:textFill>
              </w:rPr>
              <w:t>苯并（a）芘</w:t>
            </w:r>
          </w:p>
        </w:tc>
        <w:tc>
          <w:tcPr>
            <w:tcW w:w="817" w:type="pct"/>
            <w:tcMar>
              <w:top w:w="60" w:type="dxa"/>
              <w:left w:w="120" w:type="dxa"/>
              <w:bottom w:w="30" w:type="dxa"/>
              <w:right w:w="120" w:type="dxa"/>
            </w:tcMar>
            <w:vAlign w:val="center"/>
          </w:tcPr>
          <w:p w14:paraId="78E44DAF">
            <w:pPr>
              <w:pStyle w:val="2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783" w:type="pct"/>
            <w:tcMar>
              <w:top w:w="60" w:type="dxa"/>
              <w:left w:w="120" w:type="dxa"/>
              <w:bottom w:w="30" w:type="dxa"/>
              <w:right w:w="120" w:type="dxa"/>
            </w:tcMar>
            <w:vAlign w:val="center"/>
          </w:tcPr>
          <w:p w14:paraId="69852F07">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10" w:type="pct"/>
            <w:tcMar>
              <w:top w:w="60" w:type="dxa"/>
              <w:left w:w="120" w:type="dxa"/>
              <w:bottom w:w="30" w:type="dxa"/>
              <w:right w:w="120" w:type="dxa"/>
            </w:tcMar>
            <w:vAlign w:val="center"/>
          </w:tcPr>
          <w:p w14:paraId="356A1482">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70" w:type="pct"/>
            <w:tcMar>
              <w:top w:w="60" w:type="dxa"/>
              <w:left w:w="120" w:type="dxa"/>
              <w:bottom w:w="30" w:type="dxa"/>
              <w:right w:w="120" w:type="dxa"/>
            </w:tcMar>
            <w:vAlign w:val="center"/>
          </w:tcPr>
          <w:p w14:paraId="41A18775">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r>
      <w:tr w14:paraId="0DE1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9C313EA">
            <w:pPr>
              <w:pStyle w:val="2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221" w:type="pct"/>
            <w:tcMar>
              <w:top w:w="60" w:type="dxa"/>
              <w:left w:w="120" w:type="dxa"/>
              <w:bottom w:w="30" w:type="dxa"/>
              <w:right w:w="120" w:type="dxa"/>
            </w:tcMar>
            <w:vAlign w:val="center"/>
          </w:tcPr>
          <w:p w14:paraId="4BDFE16E">
            <w:pPr>
              <w:pStyle w:val="28"/>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817" w:type="pct"/>
            <w:tcMar>
              <w:top w:w="60" w:type="dxa"/>
              <w:left w:w="120" w:type="dxa"/>
              <w:bottom w:w="30" w:type="dxa"/>
              <w:right w:w="120" w:type="dxa"/>
            </w:tcMar>
            <w:vAlign w:val="center"/>
          </w:tcPr>
          <w:p w14:paraId="66D828AD">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83" w:type="pct"/>
            <w:tcMar>
              <w:top w:w="60" w:type="dxa"/>
              <w:left w:w="120" w:type="dxa"/>
              <w:bottom w:w="30" w:type="dxa"/>
              <w:right w:w="120" w:type="dxa"/>
            </w:tcMar>
            <w:vAlign w:val="center"/>
          </w:tcPr>
          <w:p w14:paraId="0D9D6E62">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10" w:type="pct"/>
            <w:tcMar>
              <w:top w:w="60" w:type="dxa"/>
              <w:left w:w="120" w:type="dxa"/>
              <w:bottom w:w="30" w:type="dxa"/>
              <w:right w:w="120" w:type="dxa"/>
            </w:tcMar>
            <w:vAlign w:val="center"/>
          </w:tcPr>
          <w:p w14:paraId="6BA070E7">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70" w:type="pct"/>
            <w:tcMar>
              <w:top w:w="60" w:type="dxa"/>
              <w:left w:w="120" w:type="dxa"/>
              <w:bottom w:w="30" w:type="dxa"/>
              <w:right w:w="120" w:type="dxa"/>
            </w:tcMar>
            <w:vAlign w:val="center"/>
          </w:tcPr>
          <w:p w14:paraId="05183CD1">
            <w:pPr>
              <w:pStyle w:val="28"/>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123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2A2E3979">
            <w:pPr>
              <w:pStyle w:val="28"/>
              <w:rPr>
                <w:color w:val="000000" w:themeColor="text1"/>
                <w14:textFill>
                  <w14:solidFill>
                    <w14:schemeClr w14:val="tx1"/>
                  </w14:solidFill>
                </w14:textFill>
              </w:rPr>
            </w:pPr>
            <w:r>
              <w:rPr>
                <w:color w:val="000000" w:themeColor="text1"/>
                <w14:textFill>
                  <w14:solidFill>
                    <w14:schemeClr w14:val="tx1"/>
                  </w14:solidFill>
                </w14:textFill>
              </w:rPr>
              <w:t>41</w:t>
            </w:r>
          </w:p>
        </w:tc>
        <w:tc>
          <w:tcPr>
            <w:tcW w:w="1221" w:type="pct"/>
            <w:tcMar>
              <w:top w:w="60" w:type="dxa"/>
              <w:left w:w="120" w:type="dxa"/>
              <w:bottom w:w="30" w:type="dxa"/>
              <w:right w:w="120" w:type="dxa"/>
            </w:tcMar>
            <w:vAlign w:val="center"/>
          </w:tcPr>
          <w:p w14:paraId="4A5F9B5E">
            <w:pPr>
              <w:pStyle w:val="28"/>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817" w:type="pct"/>
            <w:tcMar>
              <w:top w:w="60" w:type="dxa"/>
              <w:left w:w="120" w:type="dxa"/>
              <w:bottom w:w="30" w:type="dxa"/>
              <w:right w:w="120" w:type="dxa"/>
            </w:tcMar>
            <w:vAlign w:val="center"/>
          </w:tcPr>
          <w:p w14:paraId="50D838C5">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83" w:type="pct"/>
            <w:tcMar>
              <w:top w:w="60" w:type="dxa"/>
              <w:left w:w="120" w:type="dxa"/>
              <w:bottom w:w="30" w:type="dxa"/>
              <w:right w:w="120" w:type="dxa"/>
            </w:tcMar>
            <w:vAlign w:val="center"/>
          </w:tcPr>
          <w:p w14:paraId="1206AC52">
            <w:pPr>
              <w:pStyle w:val="28"/>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810" w:type="pct"/>
            <w:tcMar>
              <w:top w:w="60" w:type="dxa"/>
              <w:left w:w="120" w:type="dxa"/>
              <w:bottom w:w="30" w:type="dxa"/>
              <w:right w:w="120" w:type="dxa"/>
            </w:tcMar>
            <w:vAlign w:val="center"/>
          </w:tcPr>
          <w:p w14:paraId="250D7598">
            <w:pPr>
              <w:pStyle w:val="28"/>
              <w:rPr>
                <w:color w:val="000000" w:themeColor="text1"/>
                <w14:textFill>
                  <w14:solidFill>
                    <w14:schemeClr w14:val="tx1"/>
                  </w14:solidFill>
                </w14:textFill>
              </w:rPr>
            </w:pPr>
            <w:r>
              <w:rPr>
                <w:color w:val="000000" w:themeColor="text1"/>
                <w14:textFill>
                  <w14:solidFill>
                    <w14:schemeClr w14:val="tx1"/>
                  </w14:solidFill>
                </w14:textFill>
              </w:rPr>
              <w:t>550</w:t>
            </w:r>
          </w:p>
        </w:tc>
        <w:tc>
          <w:tcPr>
            <w:tcW w:w="770" w:type="pct"/>
            <w:tcMar>
              <w:top w:w="60" w:type="dxa"/>
              <w:left w:w="120" w:type="dxa"/>
              <w:bottom w:w="30" w:type="dxa"/>
              <w:right w:w="120" w:type="dxa"/>
            </w:tcMar>
            <w:vAlign w:val="center"/>
          </w:tcPr>
          <w:p w14:paraId="10651DB7">
            <w:pPr>
              <w:pStyle w:val="28"/>
              <w:rPr>
                <w:color w:val="000000" w:themeColor="text1"/>
                <w14:textFill>
                  <w14:solidFill>
                    <w14:schemeClr w14:val="tx1"/>
                  </w14:solidFill>
                </w14:textFill>
              </w:rPr>
            </w:pPr>
            <w:r>
              <w:rPr>
                <w:color w:val="000000" w:themeColor="text1"/>
                <w14:textFill>
                  <w14:solidFill>
                    <w14:schemeClr w14:val="tx1"/>
                  </w14:solidFill>
                </w14:textFill>
              </w:rPr>
              <w:t>1500</w:t>
            </w:r>
          </w:p>
        </w:tc>
      </w:tr>
      <w:tr w14:paraId="358C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179E5FFF">
            <w:pPr>
              <w:pStyle w:val="28"/>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221" w:type="pct"/>
            <w:tcMar>
              <w:top w:w="60" w:type="dxa"/>
              <w:left w:w="120" w:type="dxa"/>
              <w:bottom w:w="30" w:type="dxa"/>
              <w:right w:w="120" w:type="dxa"/>
            </w:tcMar>
            <w:vAlign w:val="center"/>
          </w:tcPr>
          <w:p w14:paraId="31D57222">
            <w:pPr>
              <w:pStyle w:val="28"/>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817" w:type="pct"/>
            <w:tcMar>
              <w:top w:w="60" w:type="dxa"/>
              <w:left w:w="120" w:type="dxa"/>
              <w:bottom w:w="30" w:type="dxa"/>
              <w:right w:w="120" w:type="dxa"/>
            </w:tcMar>
            <w:vAlign w:val="center"/>
          </w:tcPr>
          <w:p w14:paraId="64885A8A">
            <w:pPr>
              <w:pStyle w:val="28"/>
              <w:rPr>
                <w:color w:val="000000" w:themeColor="text1"/>
                <w14:textFill>
                  <w14:solidFill>
                    <w14:schemeClr w14:val="tx1"/>
                  </w14:solidFill>
                </w14:textFill>
              </w:rPr>
            </w:pPr>
            <w:r>
              <w:rPr>
                <w:color w:val="000000" w:themeColor="text1"/>
                <w14:textFill>
                  <w14:solidFill>
                    <w14:schemeClr w14:val="tx1"/>
                  </w14:solidFill>
                </w14:textFill>
              </w:rPr>
              <w:t>490</w:t>
            </w:r>
          </w:p>
        </w:tc>
        <w:tc>
          <w:tcPr>
            <w:tcW w:w="783" w:type="pct"/>
            <w:tcMar>
              <w:top w:w="60" w:type="dxa"/>
              <w:left w:w="120" w:type="dxa"/>
              <w:bottom w:w="30" w:type="dxa"/>
              <w:right w:w="120" w:type="dxa"/>
            </w:tcMar>
            <w:vAlign w:val="center"/>
          </w:tcPr>
          <w:p w14:paraId="5E065851">
            <w:pPr>
              <w:pStyle w:val="28"/>
              <w:rPr>
                <w:color w:val="000000" w:themeColor="text1"/>
                <w14:textFill>
                  <w14:solidFill>
                    <w14:schemeClr w14:val="tx1"/>
                  </w14:solidFill>
                </w14:textFill>
              </w:rPr>
            </w:pPr>
            <w:r>
              <w:rPr>
                <w:color w:val="000000" w:themeColor="text1"/>
                <w14:textFill>
                  <w14:solidFill>
                    <w14:schemeClr w14:val="tx1"/>
                  </w14:solidFill>
                </w14:textFill>
              </w:rPr>
              <w:t>1293</w:t>
            </w:r>
          </w:p>
        </w:tc>
        <w:tc>
          <w:tcPr>
            <w:tcW w:w="810" w:type="pct"/>
            <w:tcMar>
              <w:top w:w="60" w:type="dxa"/>
              <w:left w:w="120" w:type="dxa"/>
              <w:bottom w:w="30" w:type="dxa"/>
              <w:right w:w="120" w:type="dxa"/>
            </w:tcMar>
            <w:vAlign w:val="center"/>
          </w:tcPr>
          <w:p w14:paraId="347702C1">
            <w:pPr>
              <w:pStyle w:val="28"/>
              <w:rPr>
                <w:color w:val="000000" w:themeColor="text1"/>
                <w14:textFill>
                  <w14:solidFill>
                    <w14:schemeClr w14:val="tx1"/>
                  </w14:solidFill>
                </w14:textFill>
              </w:rPr>
            </w:pPr>
            <w:r>
              <w:rPr>
                <w:color w:val="000000" w:themeColor="text1"/>
                <w14:textFill>
                  <w14:solidFill>
                    <w14:schemeClr w14:val="tx1"/>
                  </w14:solidFill>
                </w14:textFill>
              </w:rPr>
              <w:t>4900</w:t>
            </w:r>
          </w:p>
        </w:tc>
        <w:tc>
          <w:tcPr>
            <w:tcW w:w="770" w:type="pct"/>
            <w:tcMar>
              <w:top w:w="60" w:type="dxa"/>
              <w:left w:w="120" w:type="dxa"/>
              <w:bottom w:w="30" w:type="dxa"/>
              <w:right w:w="120" w:type="dxa"/>
            </w:tcMar>
            <w:vAlign w:val="center"/>
          </w:tcPr>
          <w:p w14:paraId="54B16C18">
            <w:pPr>
              <w:pStyle w:val="28"/>
              <w:rPr>
                <w:color w:val="000000" w:themeColor="text1"/>
                <w14:textFill>
                  <w14:solidFill>
                    <w14:schemeClr w14:val="tx1"/>
                  </w14:solidFill>
                </w14:textFill>
              </w:rPr>
            </w:pPr>
            <w:r>
              <w:rPr>
                <w:color w:val="000000" w:themeColor="text1"/>
                <w14:textFill>
                  <w14:solidFill>
                    <w14:schemeClr w14:val="tx1"/>
                  </w14:solidFill>
                </w14:textFill>
              </w:rPr>
              <w:t>12900</w:t>
            </w:r>
          </w:p>
        </w:tc>
      </w:tr>
      <w:tr w14:paraId="4BED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4D18A6C">
            <w:pPr>
              <w:pStyle w:val="28"/>
              <w:rPr>
                <w:color w:val="000000" w:themeColor="text1"/>
                <w14:textFill>
                  <w14:solidFill>
                    <w14:schemeClr w14:val="tx1"/>
                  </w14:solidFill>
                </w14:textFill>
              </w:rPr>
            </w:pPr>
            <w:r>
              <w:rPr>
                <w:color w:val="000000" w:themeColor="text1"/>
                <w14:textFill>
                  <w14:solidFill>
                    <w14:schemeClr w14:val="tx1"/>
                  </w14:solidFill>
                </w14:textFill>
              </w:rPr>
              <w:t>43</w:t>
            </w:r>
          </w:p>
        </w:tc>
        <w:tc>
          <w:tcPr>
            <w:tcW w:w="1221" w:type="pct"/>
            <w:tcMar>
              <w:top w:w="60" w:type="dxa"/>
              <w:left w:w="120" w:type="dxa"/>
              <w:bottom w:w="30" w:type="dxa"/>
              <w:right w:w="120" w:type="dxa"/>
            </w:tcMar>
            <w:vAlign w:val="center"/>
          </w:tcPr>
          <w:p w14:paraId="25B855A2">
            <w:pPr>
              <w:pStyle w:val="28"/>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817" w:type="pct"/>
            <w:tcMar>
              <w:top w:w="60" w:type="dxa"/>
              <w:left w:w="120" w:type="dxa"/>
              <w:bottom w:w="30" w:type="dxa"/>
              <w:right w:w="120" w:type="dxa"/>
            </w:tcMar>
            <w:vAlign w:val="center"/>
          </w:tcPr>
          <w:p w14:paraId="2BBA0032">
            <w:pPr>
              <w:pStyle w:val="2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783" w:type="pct"/>
            <w:tcMar>
              <w:top w:w="60" w:type="dxa"/>
              <w:left w:w="120" w:type="dxa"/>
              <w:bottom w:w="30" w:type="dxa"/>
              <w:right w:w="120" w:type="dxa"/>
            </w:tcMar>
            <w:vAlign w:val="center"/>
          </w:tcPr>
          <w:p w14:paraId="19A63790">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10" w:type="pct"/>
            <w:tcMar>
              <w:top w:w="60" w:type="dxa"/>
              <w:left w:w="120" w:type="dxa"/>
              <w:bottom w:w="30" w:type="dxa"/>
              <w:right w:w="120" w:type="dxa"/>
            </w:tcMar>
            <w:vAlign w:val="center"/>
          </w:tcPr>
          <w:p w14:paraId="18AE4809">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70" w:type="pct"/>
            <w:tcMar>
              <w:top w:w="60" w:type="dxa"/>
              <w:left w:w="120" w:type="dxa"/>
              <w:bottom w:w="30" w:type="dxa"/>
              <w:right w:w="120" w:type="dxa"/>
            </w:tcMar>
            <w:vAlign w:val="center"/>
          </w:tcPr>
          <w:p w14:paraId="710E4800">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r>
      <w:tr w14:paraId="6C39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11E47D0">
            <w:pPr>
              <w:pStyle w:val="28"/>
              <w:rPr>
                <w:color w:val="000000" w:themeColor="text1"/>
                <w14:textFill>
                  <w14:solidFill>
                    <w14:schemeClr w14:val="tx1"/>
                  </w14:solidFill>
                </w14:textFill>
              </w:rPr>
            </w:pPr>
            <w:r>
              <w:rPr>
                <w:color w:val="000000" w:themeColor="text1"/>
                <w14:textFill>
                  <w14:solidFill>
                    <w14:schemeClr w14:val="tx1"/>
                  </w14:solidFill>
                </w14:textFill>
              </w:rPr>
              <w:t>44</w:t>
            </w:r>
          </w:p>
        </w:tc>
        <w:tc>
          <w:tcPr>
            <w:tcW w:w="1221" w:type="pct"/>
            <w:tcMar>
              <w:top w:w="60" w:type="dxa"/>
              <w:left w:w="120" w:type="dxa"/>
              <w:bottom w:w="30" w:type="dxa"/>
              <w:right w:w="120" w:type="dxa"/>
            </w:tcMar>
            <w:vAlign w:val="center"/>
          </w:tcPr>
          <w:p w14:paraId="61B5DF4F">
            <w:pPr>
              <w:pStyle w:val="28"/>
              <w:rPr>
                <w:color w:val="000000" w:themeColor="text1"/>
                <w14:textFill>
                  <w14:solidFill>
                    <w14:schemeClr w14:val="tx1"/>
                  </w14:solidFill>
                </w14:textFill>
              </w:rPr>
            </w:pPr>
            <w:r>
              <w:rPr>
                <w:color w:val="000000" w:themeColor="text1"/>
                <w14:textFill>
                  <w14:solidFill>
                    <w14:schemeClr w14:val="tx1"/>
                  </w14:solidFill>
                </w14:textFill>
              </w:rPr>
              <w:t>茚并（1,2,3 - cd）芘</w:t>
            </w:r>
          </w:p>
        </w:tc>
        <w:tc>
          <w:tcPr>
            <w:tcW w:w="817" w:type="pct"/>
            <w:tcMar>
              <w:top w:w="60" w:type="dxa"/>
              <w:left w:w="120" w:type="dxa"/>
              <w:bottom w:w="30" w:type="dxa"/>
              <w:right w:w="120" w:type="dxa"/>
            </w:tcMar>
            <w:vAlign w:val="center"/>
          </w:tcPr>
          <w:p w14:paraId="1944D75B">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83" w:type="pct"/>
            <w:tcMar>
              <w:top w:w="60" w:type="dxa"/>
              <w:left w:w="120" w:type="dxa"/>
              <w:bottom w:w="30" w:type="dxa"/>
              <w:right w:w="120" w:type="dxa"/>
            </w:tcMar>
            <w:vAlign w:val="center"/>
          </w:tcPr>
          <w:p w14:paraId="010688FE">
            <w:pPr>
              <w:pStyle w:val="2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10" w:type="pct"/>
            <w:tcMar>
              <w:top w:w="60" w:type="dxa"/>
              <w:left w:w="120" w:type="dxa"/>
              <w:bottom w:w="30" w:type="dxa"/>
              <w:right w:w="120" w:type="dxa"/>
            </w:tcMar>
            <w:vAlign w:val="center"/>
          </w:tcPr>
          <w:p w14:paraId="72C21DF6">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70" w:type="pct"/>
            <w:tcMar>
              <w:top w:w="60" w:type="dxa"/>
              <w:left w:w="120" w:type="dxa"/>
              <w:bottom w:w="30" w:type="dxa"/>
              <w:right w:w="120" w:type="dxa"/>
            </w:tcMar>
            <w:vAlign w:val="center"/>
          </w:tcPr>
          <w:p w14:paraId="1C044E39">
            <w:pPr>
              <w:pStyle w:val="28"/>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6B08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78471D1F">
            <w:pPr>
              <w:pStyle w:val="28"/>
              <w:rPr>
                <w:color w:val="000000" w:themeColor="text1"/>
                <w14:textFill>
                  <w14:solidFill>
                    <w14:schemeClr w14:val="tx1"/>
                  </w14:solidFill>
                </w14:textFill>
              </w:rPr>
            </w:pPr>
            <w:r>
              <w:rPr>
                <w:color w:val="000000" w:themeColor="text1"/>
                <w14:textFill>
                  <w14:solidFill>
                    <w14:schemeClr w14:val="tx1"/>
                  </w14:solidFill>
                </w14:textFill>
              </w:rPr>
              <w:t>45</w:t>
            </w:r>
          </w:p>
        </w:tc>
        <w:tc>
          <w:tcPr>
            <w:tcW w:w="1221" w:type="pct"/>
            <w:tcMar>
              <w:top w:w="60" w:type="dxa"/>
              <w:left w:w="120" w:type="dxa"/>
              <w:bottom w:w="30" w:type="dxa"/>
              <w:right w:w="120" w:type="dxa"/>
            </w:tcMar>
            <w:vAlign w:val="center"/>
          </w:tcPr>
          <w:p w14:paraId="5B352DDD">
            <w:pPr>
              <w:pStyle w:val="28"/>
              <w:rPr>
                <w:color w:val="000000" w:themeColor="text1"/>
                <w14:textFill>
                  <w14:solidFill>
                    <w14:schemeClr w14:val="tx1"/>
                  </w14:solidFill>
                </w14:textFill>
              </w:rPr>
            </w:pPr>
            <w:r>
              <w:rPr>
                <w:color w:val="000000" w:themeColor="text1"/>
                <w14:textFill>
                  <w14:solidFill>
                    <w14:schemeClr w14:val="tx1"/>
                  </w14:solidFill>
                </w14:textFill>
              </w:rPr>
              <w:t>萘</w:t>
            </w:r>
          </w:p>
        </w:tc>
        <w:tc>
          <w:tcPr>
            <w:tcW w:w="817" w:type="pct"/>
            <w:tcMar>
              <w:top w:w="60" w:type="dxa"/>
              <w:left w:w="120" w:type="dxa"/>
              <w:bottom w:w="30" w:type="dxa"/>
              <w:right w:w="120" w:type="dxa"/>
            </w:tcMar>
            <w:vAlign w:val="center"/>
          </w:tcPr>
          <w:p w14:paraId="222D5E04">
            <w:pPr>
              <w:pStyle w:val="28"/>
              <w:rPr>
                <w:color w:val="000000" w:themeColor="text1"/>
                <w14:textFill>
                  <w14:solidFill>
                    <w14:schemeClr w14:val="tx1"/>
                  </w14:solidFill>
                </w14:textFill>
              </w:rPr>
            </w:pPr>
            <w:r>
              <w:rPr>
                <w:color w:val="000000" w:themeColor="text1"/>
                <w14:textFill>
                  <w14:solidFill>
                    <w14:schemeClr w14:val="tx1"/>
                  </w14:solidFill>
                </w14:textFill>
              </w:rPr>
              <w:t>25</w:t>
            </w:r>
          </w:p>
        </w:tc>
        <w:tc>
          <w:tcPr>
            <w:tcW w:w="783" w:type="pct"/>
            <w:tcMar>
              <w:top w:w="60" w:type="dxa"/>
              <w:left w:w="120" w:type="dxa"/>
              <w:bottom w:w="30" w:type="dxa"/>
              <w:right w:w="120" w:type="dxa"/>
            </w:tcMar>
            <w:vAlign w:val="center"/>
          </w:tcPr>
          <w:p w14:paraId="417C740E">
            <w:pPr>
              <w:pStyle w:val="28"/>
              <w:rPr>
                <w:color w:val="000000" w:themeColor="text1"/>
                <w14:textFill>
                  <w14:solidFill>
                    <w14:schemeClr w14:val="tx1"/>
                  </w14:solidFill>
                </w14:textFill>
              </w:rPr>
            </w:pPr>
            <w:r>
              <w:rPr>
                <w:color w:val="000000" w:themeColor="text1"/>
                <w14:textFill>
                  <w14:solidFill>
                    <w14:schemeClr w14:val="tx1"/>
                  </w14:solidFill>
                </w14:textFill>
              </w:rPr>
              <w:t>70</w:t>
            </w:r>
          </w:p>
        </w:tc>
        <w:tc>
          <w:tcPr>
            <w:tcW w:w="810" w:type="pct"/>
            <w:tcMar>
              <w:top w:w="60" w:type="dxa"/>
              <w:left w:w="120" w:type="dxa"/>
              <w:bottom w:w="30" w:type="dxa"/>
              <w:right w:w="120" w:type="dxa"/>
            </w:tcMar>
            <w:vAlign w:val="center"/>
          </w:tcPr>
          <w:p w14:paraId="5E7D0431">
            <w:pPr>
              <w:pStyle w:val="28"/>
              <w:rPr>
                <w:color w:val="000000" w:themeColor="text1"/>
                <w14:textFill>
                  <w14:solidFill>
                    <w14:schemeClr w14:val="tx1"/>
                  </w14:solidFill>
                </w14:textFill>
              </w:rPr>
            </w:pPr>
            <w:r>
              <w:rPr>
                <w:color w:val="000000" w:themeColor="text1"/>
                <w14:textFill>
                  <w14:solidFill>
                    <w14:schemeClr w14:val="tx1"/>
                  </w14:solidFill>
                </w14:textFill>
              </w:rPr>
              <w:t>255</w:t>
            </w:r>
          </w:p>
        </w:tc>
        <w:tc>
          <w:tcPr>
            <w:tcW w:w="770" w:type="pct"/>
            <w:tcMar>
              <w:top w:w="60" w:type="dxa"/>
              <w:left w:w="120" w:type="dxa"/>
              <w:bottom w:w="30" w:type="dxa"/>
              <w:right w:w="120" w:type="dxa"/>
            </w:tcMar>
            <w:vAlign w:val="center"/>
          </w:tcPr>
          <w:p w14:paraId="7D16B419">
            <w:pPr>
              <w:pStyle w:val="28"/>
              <w:rPr>
                <w:color w:val="000000" w:themeColor="text1"/>
                <w14:textFill>
                  <w14:solidFill>
                    <w14:schemeClr w14:val="tx1"/>
                  </w14:solidFill>
                </w14:textFill>
              </w:rPr>
            </w:pPr>
            <w:r>
              <w:rPr>
                <w:color w:val="000000" w:themeColor="text1"/>
                <w14:textFill>
                  <w14:solidFill>
                    <w14:schemeClr w14:val="tx1"/>
                  </w14:solidFill>
                </w14:textFill>
              </w:rPr>
              <w:t>700</w:t>
            </w:r>
          </w:p>
        </w:tc>
      </w:tr>
      <w:tr w14:paraId="4112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96" w:type="pct"/>
            <w:tcMar>
              <w:top w:w="60" w:type="dxa"/>
              <w:left w:w="120" w:type="dxa"/>
              <w:bottom w:w="30" w:type="dxa"/>
              <w:right w:w="120" w:type="dxa"/>
            </w:tcMar>
            <w:vAlign w:val="center"/>
          </w:tcPr>
          <w:p w14:paraId="68DEA9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1221" w:type="pct"/>
            <w:tcMar>
              <w:top w:w="60" w:type="dxa"/>
              <w:left w:w="120" w:type="dxa"/>
              <w:bottom w:w="30" w:type="dxa"/>
              <w:right w:w="120" w:type="dxa"/>
            </w:tcMar>
            <w:vAlign w:val="center"/>
          </w:tcPr>
          <w:p w14:paraId="0B91E4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石油烃（C</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40</w:t>
            </w:r>
            <w:r>
              <w:rPr>
                <w:rFonts w:hint="eastAsia"/>
                <w:color w:val="000000" w:themeColor="text1"/>
                <w14:textFill>
                  <w14:solidFill>
                    <w14:schemeClr w14:val="tx1"/>
                  </w14:solidFill>
                </w14:textFill>
              </w:rPr>
              <w:t>）</w:t>
            </w:r>
          </w:p>
        </w:tc>
        <w:tc>
          <w:tcPr>
            <w:tcW w:w="817" w:type="pct"/>
            <w:tcMar>
              <w:top w:w="60" w:type="dxa"/>
              <w:left w:w="120" w:type="dxa"/>
              <w:bottom w:w="30" w:type="dxa"/>
              <w:right w:w="120" w:type="dxa"/>
            </w:tcMar>
            <w:vAlign w:val="center"/>
          </w:tcPr>
          <w:p w14:paraId="54A5EE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826</w:t>
            </w:r>
          </w:p>
        </w:tc>
        <w:tc>
          <w:tcPr>
            <w:tcW w:w="783" w:type="pct"/>
            <w:tcMar>
              <w:top w:w="60" w:type="dxa"/>
              <w:left w:w="120" w:type="dxa"/>
              <w:bottom w:w="30" w:type="dxa"/>
              <w:right w:w="120" w:type="dxa"/>
            </w:tcMar>
            <w:vAlign w:val="center"/>
          </w:tcPr>
          <w:p w14:paraId="304035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810" w:type="pct"/>
            <w:tcMar>
              <w:top w:w="60" w:type="dxa"/>
              <w:left w:w="120" w:type="dxa"/>
              <w:bottom w:w="30" w:type="dxa"/>
              <w:right w:w="120" w:type="dxa"/>
            </w:tcMar>
            <w:vAlign w:val="center"/>
          </w:tcPr>
          <w:p w14:paraId="5EB3D3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770" w:type="pct"/>
            <w:tcMar>
              <w:top w:w="60" w:type="dxa"/>
              <w:left w:w="120" w:type="dxa"/>
              <w:bottom w:w="30" w:type="dxa"/>
              <w:right w:w="120" w:type="dxa"/>
            </w:tcMar>
            <w:vAlign w:val="center"/>
          </w:tcPr>
          <w:p w14:paraId="707B6C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w:t>
            </w:r>
          </w:p>
        </w:tc>
      </w:tr>
    </w:tbl>
    <w:p w14:paraId="3158839D">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农用地土壤污染风险筛选值和管制值（基本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w:t>
      </w:r>
      <w:r>
        <w:rPr>
          <w:color w:val="000000" w:themeColor="text1"/>
          <w14:textFill>
            <w14:solidFill>
              <w14:schemeClr w14:val="tx1"/>
            </w14:solidFill>
          </w14:textFill>
        </w:rPr>
        <w:t>/kg</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21"/>
        <w:gridCol w:w="729"/>
        <w:gridCol w:w="839"/>
        <w:gridCol w:w="839"/>
        <w:gridCol w:w="839"/>
        <w:gridCol w:w="840"/>
        <w:gridCol w:w="839"/>
        <w:gridCol w:w="840"/>
        <w:gridCol w:w="839"/>
        <w:gridCol w:w="840"/>
      </w:tblGrid>
      <w:tr w14:paraId="606C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blHeader/>
        </w:trPr>
        <w:tc>
          <w:tcPr>
            <w:tcW w:w="657" w:type="dxa"/>
            <w:vMerge w:val="restart"/>
            <w:vAlign w:val="center"/>
          </w:tcPr>
          <w:p w14:paraId="2BBDEEE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150" w:type="dxa"/>
            <w:gridSpan w:val="2"/>
            <w:vMerge w:val="restart"/>
            <w:vAlign w:val="center"/>
          </w:tcPr>
          <w:p w14:paraId="30822D9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1678" w:type="dxa"/>
            <w:gridSpan w:val="2"/>
            <w:vAlign w:val="center"/>
          </w:tcPr>
          <w:p w14:paraId="0D1AE8D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r>
              <w:rPr>
                <w:rFonts w:ascii="宋体"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5.5</w:t>
            </w:r>
          </w:p>
        </w:tc>
        <w:tc>
          <w:tcPr>
            <w:tcW w:w="1679" w:type="dxa"/>
            <w:gridSpan w:val="2"/>
            <w:vAlign w:val="center"/>
          </w:tcPr>
          <w:p w14:paraId="5C647AA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5.5＜pH</w:t>
            </w:r>
            <w:r>
              <w:rPr>
                <w:rFonts w:ascii="宋体"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6.5</w:t>
            </w:r>
          </w:p>
        </w:tc>
        <w:tc>
          <w:tcPr>
            <w:tcW w:w="1679" w:type="dxa"/>
            <w:gridSpan w:val="2"/>
            <w:vAlign w:val="center"/>
          </w:tcPr>
          <w:p w14:paraId="15C1D84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6.5＜pH</w:t>
            </w:r>
            <w:r>
              <w:rPr>
                <w:rFonts w:ascii="宋体"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7.5</w:t>
            </w:r>
          </w:p>
        </w:tc>
        <w:tc>
          <w:tcPr>
            <w:tcW w:w="1679" w:type="dxa"/>
            <w:gridSpan w:val="2"/>
            <w:vAlign w:val="center"/>
          </w:tcPr>
          <w:p w14:paraId="4893929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pH＞7.5</w:t>
            </w:r>
          </w:p>
        </w:tc>
      </w:tr>
      <w:tr w14:paraId="00A2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blHeader/>
        </w:trPr>
        <w:tc>
          <w:tcPr>
            <w:tcW w:w="657" w:type="dxa"/>
            <w:vMerge w:val="continue"/>
            <w:vAlign w:val="center"/>
          </w:tcPr>
          <w:p w14:paraId="30AA9402">
            <w:pPr>
              <w:spacing w:line="240" w:lineRule="auto"/>
              <w:ind w:firstLine="0" w:firstLineChars="0"/>
              <w:jc w:val="center"/>
              <w:rPr>
                <w:color w:val="000000" w:themeColor="text1"/>
                <w:sz w:val="21"/>
                <w:szCs w:val="21"/>
                <w14:textFill>
                  <w14:solidFill>
                    <w14:schemeClr w14:val="tx1"/>
                  </w14:solidFill>
                </w14:textFill>
              </w:rPr>
            </w:pPr>
          </w:p>
        </w:tc>
        <w:tc>
          <w:tcPr>
            <w:tcW w:w="1150" w:type="dxa"/>
            <w:gridSpan w:val="2"/>
            <w:vMerge w:val="continue"/>
            <w:vAlign w:val="center"/>
          </w:tcPr>
          <w:p w14:paraId="1AFCF090">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74A58400">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839" w:type="dxa"/>
            <w:vAlign w:val="center"/>
          </w:tcPr>
          <w:p w14:paraId="0CC5DCFA">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c>
          <w:tcPr>
            <w:tcW w:w="839" w:type="dxa"/>
            <w:vAlign w:val="center"/>
          </w:tcPr>
          <w:p w14:paraId="1DBB28BB">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840" w:type="dxa"/>
            <w:vAlign w:val="center"/>
          </w:tcPr>
          <w:p w14:paraId="30165378">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c>
          <w:tcPr>
            <w:tcW w:w="839" w:type="dxa"/>
            <w:vAlign w:val="center"/>
          </w:tcPr>
          <w:p w14:paraId="638CEBA6">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840" w:type="dxa"/>
            <w:vAlign w:val="center"/>
          </w:tcPr>
          <w:p w14:paraId="30391CF7">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c>
          <w:tcPr>
            <w:tcW w:w="839" w:type="dxa"/>
            <w:vAlign w:val="center"/>
          </w:tcPr>
          <w:p w14:paraId="1A190B85">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840" w:type="dxa"/>
            <w:vAlign w:val="center"/>
          </w:tcPr>
          <w:p w14:paraId="4DDBB459">
            <w:pPr>
              <w:spacing w:line="240" w:lineRule="auto"/>
              <w:ind w:left="-120" w:leftChars="-50" w:right="-120" w:rightChars="-5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r>
      <w:tr w14:paraId="6450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57" w:type="dxa"/>
            <w:vMerge w:val="restart"/>
            <w:vAlign w:val="center"/>
          </w:tcPr>
          <w:p w14:paraId="793AA0B8">
            <w:pPr>
              <w:spacing w:line="240" w:lineRule="auto"/>
              <w:ind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21" w:type="dxa"/>
            <w:vMerge w:val="restart"/>
            <w:vAlign w:val="center"/>
          </w:tcPr>
          <w:p w14:paraId="5934BC7D">
            <w:pPr>
              <w:spacing w:line="240" w:lineRule="auto"/>
              <w:ind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镉</w:t>
            </w:r>
          </w:p>
        </w:tc>
        <w:tc>
          <w:tcPr>
            <w:tcW w:w="729" w:type="dxa"/>
            <w:vAlign w:val="center"/>
          </w:tcPr>
          <w:p w14:paraId="572FE0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水田</w:t>
            </w:r>
          </w:p>
        </w:tc>
        <w:tc>
          <w:tcPr>
            <w:tcW w:w="839" w:type="dxa"/>
            <w:vAlign w:val="center"/>
          </w:tcPr>
          <w:p w14:paraId="62BEA7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839" w:type="dxa"/>
            <w:vMerge w:val="restart"/>
            <w:vAlign w:val="center"/>
          </w:tcPr>
          <w:p w14:paraId="472BB17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839" w:type="dxa"/>
            <w:vAlign w:val="center"/>
          </w:tcPr>
          <w:p w14:paraId="7242DF6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w:t>
            </w:r>
          </w:p>
        </w:tc>
        <w:tc>
          <w:tcPr>
            <w:tcW w:w="840" w:type="dxa"/>
            <w:vMerge w:val="restart"/>
            <w:vAlign w:val="center"/>
          </w:tcPr>
          <w:p w14:paraId="0A81DB8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39" w:type="dxa"/>
            <w:vAlign w:val="center"/>
          </w:tcPr>
          <w:p w14:paraId="32CF5A7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w:t>
            </w:r>
          </w:p>
        </w:tc>
        <w:tc>
          <w:tcPr>
            <w:tcW w:w="840" w:type="dxa"/>
            <w:vMerge w:val="restart"/>
            <w:vAlign w:val="center"/>
          </w:tcPr>
          <w:p w14:paraId="57CDE58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839" w:type="dxa"/>
            <w:vAlign w:val="center"/>
          </w:tcPr>
          <w:p w14:paraId="10EAB6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840" w:type="dxa"/>
            <w:vMerge w:val="restart"/>
            <w:vAlign w:val="center"/>
          </w:tcPr>
          <w:p w14:paraId="1766F84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r>
      <w:tr w14:paraId="07C4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14:paraId="021484EC">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683C11F2">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6389644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28D9EAB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839" w:type="dxa"/>
            <w:vMerge w:val="continue"/>
            <w:vAlign w:val="center"/>
          </w:tcPr>
          <w:p w14:paraId="4B0D406C">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566D4AF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840" w:type="dxa"/>
            <w:vMerge w:val="continue"/>
            <w:vAlign w:val="center"/>
          </w:tcPr>
          <w:p w14:paraId="39E10C57">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09A34B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840" w:type="dxa"/>
            <w:vMerge w:val="continue"/>
            <w:vAlign w:val="center"/>
          </w:tcPr>
          <w:p w14:paraId="5883560A">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4188A46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w:t>
            </w:r>
          </w:p>
        </w:tc>
        <w:tc>
          <w:tcPr>
            <w:tcW w:w="840" w:type="dxa"/>
            <w:vMerge w:val="continue"/>
            <w:vAlign w:val="center"/>
          </w:tcPr>
          <w:p w14:paraId="32191842">
            <w:pPr>
              <w:spacing w:line="240" w:lineRule="auto"/>
              <w:ind w:firstLine="0" w:firstLineChars="0"/>
              <w:jc w:val="center"/>
              <w:rPr>
                <w:color w:val="000000" w:themeColor="text1"/>
                <w:sz w:val="21"/>
                <w:szCs w:val="21"/>
                <w14:textFill>
                  <w14:solidFill>
                    <w14:schemeClr w14:val="tx1"/>
                  </w14:solidFill>
                </w14:textFill>
              </w:rPr>
            </w:pPr>
          </w:p>
        </w:tc>
      </w:tr>
      <w:tr w14:paraId="1A51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vAlign w:val="center"/>
          </w:tcPr>
          <w:p w14:paraId="137BEC0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421" w:type="dxa"/>
            <w:vMerge w:val="restart"/>
            <w:vAlign w:val="center"/>
          </w:tcPr>
          <w:p w14:paraId="141B325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729" w:type="dxa"/>
            <w:vAlign w:val="center"/>
          </w:tcPr>
          <w:p w14:paraId="726642D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水田</w:t>
            </w:r>
          </w:p>
        </w:tc>
        <w:tc>
          <w:tcPr>
            <w:tcW w:w="839" w:type="dxa"/>
            <w:vAlign w:val="center"/>
          </w:tcPr>
          <w:p w14:paraId="581EFDC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839" w:type="dxa"/>
            <w:vMerge w:val="restart"/>
            <w:vAlign w:val="center"/>
          </w:tcPr>
          <w:p w14:paraId="37FACD2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39" w:type="dxa"/>
            <w:vAlign w:val="center"/>
          </w:tcPr>
          <w:p w14:paraId="2B9E2A4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840" w:type="dxa"/>
            <w:vMerge w:val="restart"/>
            <w:vAlign w:val="center"/>
          </w:tcPr>
          <w:p w14:paraId="6DC924C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839" w:type="dxa"/>
            <w:vAlign w:val="center"/>
          </w:tcPr>
          <w:p w14:paraId="58950CE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w:t>
            </w:r>
          </w:p>
        </w:tc>
        <w:tc>
          <w:tcPr>
            <w:tcW w:w="840" w:type="dxa"/>
            <w:vMerge w:val="restart"/>
            <w:vAlign w:val="center"/>
          </w:tcPr>
          <w:p w14:paraId="691E057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839" w:type="dxa"/>
            <w:vAlign w:val="center"/>
          </w:tcPr>
          <w:p w14:paraId="3FC47B8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840" w:type="dxa"/>
            <w:vMerge w:val="restart"/>
            <w:vAlign w:val="center"/>
          </w:tcPr>
          <w:p w14:paraId="6FC2AC1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14:paraId="2E01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14:paraId="36B8AF95">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6634C9E2">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1231CC6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1B7A609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839" w:type="dxa"/>
            <w:vMerge w:val="continue"/>
            <w:vAlign w:val="center"/>
          </w:tcPr>
          <w:p w14:paraId="40D80893">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3ACDBE1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840" w:type="dxa"/>
            <w:vMerge w:val="continue"/>
            <w:vAlign w:val="center"/>
          </w:tcPr>
          <w:p w14:paraId="0201D478">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1B40B2D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840" w:type="dxa"/>
            <w:vMerge w:val="continue"/>
            <w:vAlign w:val="center"/>
          </w:tcPr>
          <w:p w14:paraId="1C19EB9B">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2970495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w:t>
            </w:r>
          </w:p>
        </w:tc>
        <w:tc>
          <w:tcPr>
            <w:tcW w:w="840" w:type="dxa"/>
            <w:vMerge w:val="continue"/>
            <w:vAlign w:val="center"/>
          </w:tcPr>
          <w:p w14:paraId="53BA52A4">
            <w:pPr>
              <w:spacing w:line="240" w:lineRule="auto"/>
              <w:ind w:firstLine="0" w:firstLineChars="0"/>
              <w:jc w:val="center"/>
              <w:rPr>
                <w:color w:val="000000" w:themeColor="text1"/>
                <w:sz w:val="21"/>
                <w:szCs w:val="21"/>
                <w14:textFill>
                  <w14:solidFill>
                    <w14:schemeClr w14:val="tx1"/>
                  </w14:solidFill>
                </w14:textFill>
              </w:rPr>
            </w:pPr>
          </w:p>
        </w:tc>
      </w:tr>
      <w:tr w14:paraId="5F93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57" w:type="dxa"/>
            <w:vMerge w:val="restart"/>
            <w:vAlign w:val="center"/>
          </w:tcPr>
          <w:p w14:paraId="7F505A3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421" w:type="dxa"/>
            <w:vMerge w:val="restart"/>
            <w:vAlign w:val="center"/>
          </w:tcPr>
          <w:p w14:paraId="48A12AD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729" w:type="dxa"/>
            <w:vAlign w:val="center"/>
          </w:tcPr>
          <w:p w14:paraId="69F4A17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水田</w:t>
            </w:r>
          </w:p>
        </w:tc>
        <w:tc>
          <w:tcPr>
            <w:tcW w:w="839" w:type="dxa"/>
            <w:vAlign w:val="center"/>
          </w:tcPr>
          <w:p w14:paraId="68E330A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839" w:type="dxa"/>
            <w:vMerge w:val="restart"/>
            <w:vAlign w:val="center"/>
          </w:tcPr>
          <w:p w14:paraId="6ECDD85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39" w:type="dxa"/>
            <w:vAlign w:val="center"/>
          </w:tcPr>
          <w:p w14:paraId="69F0AC5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840" w:type="dxa"/>
            <w:vMerge w:val="restart"/>
            <w:vAlign w:val="center"/>
          </w:tcPr>
          <w:p w14:paraId="5110447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39" w:type="dxa"/>
            <w:vAlign w:val="center"/>
          </w:tcPr>
          <w:p w14:paraId="781F98A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840" w:type="dxa"/>
            <w:vMerge w:val="restart"/>
            <w:vAlign w:val="center"/>
          </w:tcPr>
          <w:p w14:paraId="6F2FBEB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839" w:type="dxa"/>
            <w:vAlign w:val="center"/>
          </w:tcPr>
          <w:p w14:paraId="15B55FE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40" w:type="dxa"/>
            <w:vMerge w:val="restart"/>
            <w:vAlign w:val="center"/>
          </w:tcPr>
          <w:p w14:paraId="6A2D1BD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r>
      <w:tr w14:paraId="22E4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57" w:type="dxa"/>
            <w:vMerge w:val="continue"/>
            <w:vAlign w:val="center"/>
          </w:tcPr>
          <w:p w14:paraId="2E977CDE">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049E2B04">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42E4EE2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6392174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839" w:type="dxa"/>
            <w:vMerge w:val="continue"/>
            <w:vAlign w:val="center"/>
          </w:tcPr>
          <w:p w14:paraId="7692E975">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7D132D5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840" w:type="dxa"/>
            <w:vMerge w:val="continue"/>
            <w:vAlign w:val="center"/>
          </w:tcPr>
          <w:p w14:paraId="63BEEB38">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2E52BF5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840" w:type="dxa"/>
            <w:vMerge w:val="continue"/>
            <w:vAlign w:val="center"/>
          </w:tcPr>
          <w:p w14:paraId="3783AAC6">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513B47E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840" w:type="dxa"/>
            <w:vMerge w:val="continue"/>
            <w:vAlign w:val="center"/>
          </w:tcPr>
          <w:p w14:paraId="6A42E1FA">
            <w:pPr>
              <w:spacing w:line="240" w:lineRule="auto"/>
              <w:ind w:firstLine="0" w:firstLineChars="0"/>
              <w:jc w:val="center"/>
              <w:rPr>
                <w:color w:val="000000" w:themeColor="text1"/>
                <w:sz w:val="21"/>
                <w:szCs w:val="21"/>
                <w14:textFill>
                  <w14:solidFill>
                    <w14:schemeClr w14:val="tx1"/>
                  </w14:solidFill>
                </w14:textFill>
              </w:rPr>
            </w:pPr>
          </w:p>
        </w:tc>
      </w:tr>
      <w:tr w14:paraId="497F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vAlign w:val="center"/>
          </w:tcPr>
          <w:p w14:paraId="265F2AD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421" w:type="dxa"/>
            <w:vMerge w:val="restart"/>
            <w:vAlign w:val="center"/>
          </w:tcPr>
          <w:p w14:paraId="2BFBD84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729" w:type="dxa"/>
            <w:vAlign w:val="center"/>
          </w:tcPr>
          <w:p w14:paraId="77A4983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水田</w:t>
            </w:r>
          </w:p>
        </w:tc>
        <w:tc>
          <w:tcPr>
            <w:tcW w:w="839" w:type="dxa"/>
            <w:vAlign w:val="center"/>
          </w:tcPr>
          <w:p w14:paraId="006F9AC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839" w:type="dxa"/>
            <w:vMerge w:val="restart"/>
            <w:vAlign w:val="center"/>
          </w:tcPr>
          <w:p w14:paraId="5492357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839" w:type="dxa"/>
            <w:vAlign w:val="center"/>
          </w:tcPr>
          <w:p w14:paraId="081ACA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40" w:type="dxa"/>
            <w:vMerge w:val="restart"/>
            <w:vAlign w:val="center"/>
          </w:tcPr>
          <w:p w14:paraId="06E2662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39" w:type="dxa"/>
            <w:vAlign w:val="center"/>
          </w:tcPr>
          <w:p w14:paraId="3676881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140</w:t>
            </w:r>
          </w:p>
        </w:tc>
        <w:tc>
          <w:tcPr>
            <w:tcW w:w="840" w:type="dxa"/>
            <w:vMerge w:val="restart"/>
            <w:vAlign w:val="center"/>
          </w:tcPr>
          <w:p w14:paraId="7C4EC51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700</w:t>
            </w:r>
          </w:p>
        </w:tc>
        <w:tc>
          <w:tcPr>
            <w:tcW w:w="839" w:type="dxa"/>
            <w:vAlign w:val="center"/>
          </w:tcPr>
          <w:p w14:paraId="74EC308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240</w:t>
            </w:r>
          </w:p>
        </w:tc>
        <w:tc>
          <w:tcPr>
            <w:tcW w:w="840" w:type="dxa"/>
            <w:vMerge w:val="restart"/>
            <w:vAlign w:val="center"/>
          </w:tcPr>
          <w:p w14:paraId="240E091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w:t>
            </w:r>
          </w:p>
        </w:tc>
      </w:tr>
      <w:tr w14:paraId="6F80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14:paraId="4D9348D0">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265D3EF0">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62443BD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6EB8082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839" w:type="dxa"/>
            <w:vMerge w:val="continue"/>
            <w:vAlign w:val="center"/>
          </w:tcPr>
          <w:p w14:paraId="251DE610">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070FAD4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840" w:type="dxa"/>
            <w:vMerge w:val="continue"/>
            <w:vAlign w:val="center"/>
          </w:tcPr>
          <w:p w14:paraId="7F778934">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27D79F3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840" w:type="dxa"/>
            <w:vMerge w:val="continue"/>
            <w:vAlign w:val="center"/>
          </w:tcPr>
          <w:p w14:paraId="16046058">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40F0D5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170</w:t>
            </w:r>
          </w:p>
        </w:tc>
        <w:tc>
          <w:tcPr>
            <w:tcW w:w="840" w:type="dxa"/>
            <w:vMerge w:val="continue"/>
            <w:vAlign w:val="center"/>
          </w:tcPr>
          <w:p w14:paraId="723B7EEA">
            <w:pPr>
              <w:spacing w:line="240" w:lineRule="auto"/>
              <w:ind w:firstLine="0" w:firstLineChars="0"/>
              <w:jc w:val="center"/>
              <w:rPr>
                <w:color w:val="000000" w:themeColor="text1"/>
                <w:sz w:val="21"/>
                <w:szCs w:val="21"/>
                <w14:textFill>
                  <w14:solidFill>
                    <w14:schemeClr w14:val="tx1"/>
                  </w14:solidFill>
                </w14:textFill>
              </w:rPr>
            </w:pPr>
          </w:p>
        </w:tc>
      </w:tr>
      <w:tr w14:paraId="315F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vAlign w:val="center"/>
          </w:tcPr>
          <w:p w14:paraId="3D5F9DD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421" w:type="dxa"/>
            <w:vMerge w:val="restart"/>
            <w:vAlign w:val="center"/>
          </w:tcPr>
          <w:p w14:paraId="18373C8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铬</w:t>
            </w:r>
          </w:p>
        </w:tc>
        <w:tc>
          <w:tcPr>
            <w:tcW w:w="729" w:type="dxa"/>
            <w:vAlign w:val="center"/>
          </w:tcPr>
          <w:p w14:paraId="1A194DA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水田</w:t>
            </w:r>
          </w:p>
        </w:tc>
        <w:tc>
          <w:tcPr>
            <w:tcW w:w="839" w:type="dxa"/>
            <w:vAlign w:val="center"/>
          </w:tcPr>
          <w:p w14:paraId="57C4ADE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839" w:type="dxa"/>
            <w:vMerge w:val="restart"/>
            <w:vAlign w:val="center"/>
          </w:tcPr>
          <w:p w14:paraId="2F502D2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800</w:t>
            </w:r>
          </w:p>
        </w:tc>
        <w:tc>
          <w:tcPr>
            <w:tcW w:w="839" w:type="dxa"/>
            <w:vAlign w:val="center"/>
          </w:tcPr>
          <w:p w14:paraId="31E1919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840" w:type="dxa"/>
            <w:vMerge w:val="restart"/>
            <w:vAlign w:val="center"/>
          </w:tcPr>
          <w:p w14:paraId="359AB52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850</w:t>
            </w:r>
          </w:p>
        </w:tc>
        <w:tc>
          <w:tcPr>
            <w:tcW w:w="839" w:type="dxa"/>
            <w:vAlign w:val="center"/>
          </w:tcPr>
          <w:p w14:paraId="0B238F1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840" w:type="dxa"/>
            <w:vMerge w:val="restart"/>
            <w:vAlign w:val="center"/>
          </w:tcPr>
          <w:p w14:paraId="6E34AEC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w:t>
            </w:r>
          </w:p>
        </w:tc>
        <w:tc>
          <w:tcPr>
            <w:tcW w:w="839" w:type="dxa"/>
            <w:vAlign w:val="center"/>
          </w:tcPr>
          <w:p w14:paraId="76230C0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350</w:t>
            </w:r>
          </w:p>
        </w:tc>
        <w:tc>
          <w:tcPr>
            <w:tcW w:w="840" w:type="dxa"/>
            <w:vMerge w:val="restart"/>
            <w:vAlign w:val="center"/>
          </w:tcPr>
          <w:p w14:paraId="399201E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1300</w:t>
            </w:r>
          </w:p>
        </w:tc>
      </w:tr>
      <w:tr w14:paraId="3B17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14:paraId="3F0E263A">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1CDD47AE">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7013920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39D73DF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39" w:type="dxa"/>
            <w:vMerge w:val="continue"/>
            <w:vAlign w:val="center"/>
          </w:tcPr>
          <w:p w14:paraId="1170F198">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34F104E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40" w:type="dxa"/>
            <w:vMerge w:val="continue"/>
            <w:vAlign w:val="center"/>
          </w:tcPr>
          <w:p w14:paraId="1D56AE20">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2162B3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40" w:type="dxa"/>
            <w:vMerge w:val="continue"/>
            <w:vAlign w:val="center"/>
          </w:tcPr>
          <w:p w14:paraId="6293DA93">
            <w:pPr>
              <w:spacing w:line="240" w:lineRule="auto"/>
              <w:ind w:firstLine="0" w:firstLineChars="0"/>
              <w:jc w:val="center"/>
              <w:rPr>
                <w:color w:val="000000" w:themeColor="text1"/>
                <w:sz w:val="21"/>
                <w:szCs w:val="21"/>
                <w14:textFill>
                  <w14:solidFill>
                    <w14:schemeClr w14:val="tx1"/>
                  </w14:solidFill>
                </w14:textFill>
              </w:rPr>
            </w:pPr>
          </w:p>
        </w:tc>
        <w:tc>
          <w:tcPr>
            <w:tcW w:w="839" w:type="dxa"/>
            <w:vAlign w:val="center"/>
          </w:tcPr>
          <w:p w14:paraId="5D35145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840" w:type="dxa"/>
            <w:vMerge w:val="continue"/>
            <w:vAlign w:val="center"/>
          </w:tcPr>
          <w:p w14:paraId="585B2141">
            <w:pPr>
              <w:spacing w:line="240" w:lineRule="auto"/>
              <w:ind w:firstLine="0" w:firstLineChars="0"/>
              <w:jc w:val="center"/>
              <w:rPr>
                <w:color w:val="000000" w:themeColor="text1"/>
                <w:sz w:val="21"/>
                <w:szCs w:val="21"/>
                <w14:textFill>
                  <w14:solidFill>
                    <w14:schemeClr w14:val="tx1"/>
                  </w14:solidFill>
                </w14:textFill>
              </w:rPr>
            </w:pPr>
          </w:p>
        </w:tc>
      </w:tr>
      <w:tr w14:paraId="1961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vAlign w:val="center"/>
          </w:tcPr>
          <w:p w14:paraId="14D1BED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421" w:type="dxa"/>
            <w:vMerge w:val="restart"/>
            <w:vAlign w:val="center"/>
          </w:tcPr>
          <w:p w14:paraId="4D9394D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铜</w:t>
            </w:r>
          </w:p>
        </w:tc>
        <w:tc>
          <w:tcPr>
            <w:tcW w:w="729" w:type="dxa"/>
            <w:vAlign w:val="center"/>
          </w:tcPr>
          <w:p w14:paraId="31C2390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果园</w:t>
            </w:r>
          </w:p>
        </w:tc>
        <w:tc>
          <w:tcPr>
            <w:tcW w:w="839" w:type="dxa"/>
            <w:vAlign w:val="center"/>
          </w:tcPr>
          <w:p w14:paraId="03118B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39" w:type="dxa"/>
            <w:vAlign w:val="center"/>
          </w:tcPr>
          <w:p w14:paraId="5326055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74A7A56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40" w:type="dxa"/>
            <w:vAlign w:val="center"/>
          </w:tcPr>
          <w:p w14:paraId="5E809C1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06F0B8A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40" w:type="dxa"/>
            <w:vAlign w:val="center"/>
          </w:tcPr>
          <w:p w14:paraId="5BE8D5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0E5392D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40" w:type="dxa"/>
            <w:vAlign w:val="center"/>
          </w:tcPr>
          <w:p w14:paraId="373578A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4F88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14:paraId="51F4D2A2">
            <w:pPr>
              <w:spacing w:line="240" w:lineRule="auto"/>
              <w:ind w:firstLine="0" w:firstLineChars="0"/>
              <w:jc w:val="center"/>
              <w:rPr>
                <w:color w:val="000000" w:themeColor="text1"/>
                <w:sz w:val="21"/>
                <w:szCs w:val="21"/>
                <w14:textFill>
                  <w14:solidFill>
                    <w14:schemeClr w14:val="tx1"/>
                  </w14:solidFill>
                </w14:textFill>
              </w:rPr>
            </w:pPr>
          </w:p>
        </w:tc>
        <w:tc>
          <w:tcPr>
            <w:tcW w:w="421" w:type="dxa"/>
            <w:vMerge w:val="continue"/>
            <w:vAlign w:val="center"/>
          </w:tcPr>
          <w:p w14:paraId="38416226">
            <w:pPr>
              <w:spacing w:line="240" w:lineRule="auto"/>
              <w:ind w:firstLine="0" w:firstLineChars="0"/>
              <w:jc w:val="center"/>
              <w:rPr>
                <w:color w:val="000000" w:themeColor="text1"/>
                <w:sz w:val="21"/>
                <w:szCs w:val="21"/>
                <w14:textFill>
                  <w14:solidFill>
                    <w14:schemeClr w14:val="tx1"/>
                  </w14:solidFill>
                </w14:textFill>
              </w:rPr>
            </w:pPr>
          </w:p>
        </w:tc>
        <w:tc>
          <w:tcPr>
            <w:tcW w:w="729" w:type="dxa"/>
            <w:vAlign w:val="center"/>
          </w:tcPr>
          <w:p w14:paraId="3F5F28B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839" w:type="dxa"/>
            <w:vAlign w:val="center"/>
          </w:tcPr>
          <w:p w14:paraId="40A9D75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839" w:type="dxa"/>
            <w:vAlign w:val="center"/>
          </w:tcPr>
          <w:p w14:paraId="4EB5E1F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32A9B82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840" w:type="dxa"/>
            <w:vAlign w:val="center"/>
          </w:tcPr>
          <w:p w14:paraId="3409EB8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7B9DB1E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40" w:type="dxa"/>
            <w:vAlign w:val="center"/>
          </w:tcPr>
          <w:p w14:paraId="6BBF8BB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2E5EE0F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40" w:type="dxa"/>
            <w:vAlign w:val="center"/>
          </w:tcPr>
          <w:p w14:paraId="08E836B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2834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3475A6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150" w:type="dxa"/>
            <w:gridSpan w:val="2"/>
            <w:vAlign w:val="center"/>
          </w:tcPr>
          <w:p w14:paraId="2070782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镍</w:t>
            </w:r>
          </w:p>
        </w:tc>
        <w:tc>
          <w:tcPr>
            <w:tcW w:w="839" w:type="dxa"/>
            <w:vAlign w:val="center"/>
          </w:tcPr>
          <w:p w14:paraId="15BE167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839" w:type="dxa"/>
            <w:vAlign w:val="center"/>
          </w:tcPr>
          <w:p w14:paraId="3870596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49218DA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840" w:type="dxa"/>
            <w:vAlign w:val="center"/>
          </w:tcPr>
          <w:p w14:paraId="2744B22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1172BA7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40" w:type="dxa"/>
            <w:vAlign w:val="center"/>
          </w:tcPr>
          <w:p w14:paraId="7968213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2ACF782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190</w:t>
            </w:r>
          </w:p>
        </w:tc>
        <w:tc>
          <w:tcPr>
            <w:tcW w:w="840" w:type="dxa"/>
            <w:vAlign w:val="center"/>
          </w:tcPr>
          <w:p w14:paraId="7442228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0746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79208A7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150" w:type="dxa"/>
            <w:gridSpan w:val="2"/>
            <w:vAlign w:val="center"/>
          </w:tcPr>
          <w:p w14:paraId="706CA7A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锌</w:t>
            </w:r>
          </w:p>
        </w:tc>
        <w:tc>
          <w:tcPr>
            <w:tcW w:w="839" w:type="dxa"/>
            <w:vAlign w:val="center"/>
          </w:tcPr>
          <w:p w14:paraId="1367D8E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39" w:type="dxa"/>
            <w:vAlign w:val="center"/>
          </w:tcPr>
          <w:p w14:paraId="11F8004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722FD4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840" w:type="dxa"/>
            <w:vAlign w:val="center"/>
          </w:tcPr>
          <w:p w14:paraId="2FF70BA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3386326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840" w:type="dxa"/>
            <w:vAlign w:val="center"/>
          </w:tcPr>
          <w:p w14:paraId="3E493AA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39" w:type="dxa"/>
            <w:vAlign w:val="center"/>
          </w:tcPr>
          <w:p w14:paraId="1A5B848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840" w:type="dxa"/>
            <w:vAlign w:val="center"/>
          </w:tcPr>
          <w:p w14:paraId="43F774C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3EF89E7A">
      <w:pPr>
        <w:pStyle w:val="4"/>
        <w:rPr>
          <w:color w:val="000000" w:themeColor="text1"/>
          <w14:textFill>
            <w14:solidFill>
              <w14:schemeClr w14:val="tx1"/>
            </w14:solidFill>
          </w14:textFill>
        </w:rPr>
      </w:pPr>
      <w:bookmarkStart w:id="16" w:name="_Toc12647"/>
      <w:r>
        <w:rPr>
          <w:rFonts w:hint="eastAsia"/>
          <w:color w:val="000000" w:themeColor="text1"/>
          <w14:textFill>
            <w14:solidFill>
              <w14:schemeClr w14:val="tx1"/>
            </w14:solidFill>
          </w14:textFill>
        </w:rPr>
        <w:t>1.6.2污染物排放标准</w:t>
      </w:r>
      <w:bookmarkEnd w:id="16"/>
    </w:p>
    <w:p w14:paraId="62E49725">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1.6.2.1 废气</w:t>
      </w:r>
    </w:p>
    <w:p w14:paraId="02B2535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w:t>
      </w:r>
    </w:p>
    <w:p w14:paraId="2D19A7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本项目施工期不涉及大规模土建施工，仅涉及设备进场和安装，施工期废气主要是焊接烟尘，执行《大气污染物综合排放标准》（</w:t>
      </w:r>
      <w:r>
        <w:rPr>
          <w:color w:val="000000" w:themeColor="text1"/>
          <w14:textFill>
            <w14:solidFill>
              <w14:schemeClr w14:val="tx1"/>
            </w14:solidFill>
          </w14:textFill>
        </w:rPr>
        <w:t>GB16297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1996</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新污染源大气污染物排放限值中无组织排放限值。</w:t>
      </w:r>
    </w:p>
    <w:p w14:paraId="4C4C8B50">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 新污染源大气污染物排放限值中的无组织排放限值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3227"/>
        <w:gridCol w:w="2744"/>
      </w:tblGrid>
      <w:tr w14:paraId="4326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51" w:type="dxa"/>
            <w:vMerge w:val="restart"/>
            <w:tcBorders>
              <w:tl2br w:val="nil"/>
              <w:tr2bl w:val="nil"/>
            </w:tcBorders>
            <w:vAlign w:val="center"/>
          </w:tcPr>
          <w:p w14:paraId="2F894F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5971" w:type="dxa"/>
            <w:gridSpan w:val="2"/>
            <w:tcBorders>
              <w:tl2br w:val="nil"/>
              <w:tr2bl w:val="nil"/>
            </w:tcBorders>
            <w:vAlign w:val="center"/>
          </w:tcPr>
          <w:p w14:paraId="41C87B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无组织排放监控浓度限值</w:t>
            </w:r>
          </w:p>
        </w:tc>
      </w:tr>
      <w:tr w14:paraId="297A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vMerge w:val="continue"/>
            <w:tcBorders>
              <w:tl2br w:val="nil"/>
              <w:tr2bl w:val="nil"/>
            </w:tcBorders>
            <w:vAlign w:val="center"/>
          </w:tcPr>
          <w:p w14:paraId="253800B1">
            <w:pPr>
              <w:pStyle w:val="28"/>
              <w:rPr>
                <w:color w:val="000000" w:themeColor="text1"/>
                <w14:textFill>
                  <w14:solidFill>
                    <w14:schemeClr w14:val="tx1"/>
                  </w14:solidFill>
                </w14:textFill>
              </w:rPr>
            </w:pPr>
          </w:p>
        </w:tc>
        <w:tc>
          <w:tcPr>
            <w:tcW w:w="3227" w:type="dxa"/>
            <w:tcBorders>
              <w:tl2br w:val="nil"/>
              <w:tr2bl w:val="nil"/>
            </w:tcBorders>
            <w:vAlign w:val="center"/>
          </w:tcPr>
          <w:p w14:paraId="707F3C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监控点</w:t>
            </w:r>
          </w:p>
        </w:tc>
        <w:tc>
          <w:tcPr>
            <w:tcW w:w="2744" w:type="dxa"/>
            <w:tcBorders>
              <w:tl2br w:val="nil"/>
              <w:tr2bl w:val="nil"/>
            </w:tcBorders>
            <w:vAlign w:val="center"/>
          </w:tcPr>
          <w:p w14:paraId="5C3CF4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14:paraId="7A0B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tcBorders>
              <w:tl2br w:val="nil"/>
              <w:tr2bl w:val="nil"/>
            </w:tcBorders>
            <w:vAlign w:val="center"/>
          </w:tcPr>
          <w:p w14:paraId="5443AB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颗粒物（其他）</w:t>
            </w:r>
          </w:p>
        </w:tc>
        <w:tc>
          <w:tcPr>
            <w:tcW w:w="3227" w:type="dxa"/>
            <w:tcBorders>
              <w:tl2br w:val="nil"/>
              <w:tr2bl w:val="nil"/>
            </w:tcBorders>
            <w:vAlign w:val="center"/>
          </w:tcPr>
          <w:p w14:paraId="431566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周界外浓度最高点</w:t>
            </w:r>
          </w:p>
        </w:tc>
        <w:tc>
          <w:tcPr>
            <w:tcW w:w="2744" w:type="dxa"/>
            <w:tcBorders>
              <w:tl2br w:val="nil"/>
              <w:tr2bl w:val="nil"/>
            </w:tcBorders>
            <w:vAlign w:val="center"/>
          </w:tcPr>
          <w:p w14:paraId="271C0C2A">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47EF2F7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2、运营期</w:t>
      </w:r>
    </w:p>
    <w:p w14:paraId="768744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废气主要是投料粉尘、研磨废气、干燥废气、测试残渣处理废气和污水处理站废气，主要污染物为颗粒物、挥发性有机物（以非甲烷总烃表征）、硫化氢、臭气浓度。投料粉尘、研磨废气、干燥废气通过管道接入废气处理系统，经碱喷淋+除雾+活性炭吸附处理后通过15m高的排气筒排放。测试残渣处理废气通过通风橱+管道收集后进入废气处理系统处理后排放，废水处理站废气通过废水收集池封闭，池体上方设置集气罩收集后通过管道接入废气处理系统处理后排放。</w:t>
      </w:r>
    </w:p>
    <w:p w14:paraId="3E63743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（1）有组织废气</w:t>
      </w:r>
    </w:p>
    <w:p w14:paraId="086D95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有组织排放的颗粒物、非甲烷总烃执行《大气污染物综合排放标准》（GB16297-1996）表2中二级标准限值。硫化氢、臭气浓度执行《恶臭污染物排放标准》（GB 14554-93）。</w:t>
      </w:r>
    </w:p>
    <w:p w14:paraId="6EFB18D6">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表1.6-8 有组织废气污染物排放标准</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316"/>
        <w:gridCol w:w="1582"/>
        <w:gridCol w:w="1814"/>
        <w:gridCol w:w="1446"/>
        <w:gridCol w:w="1523"/>
      </w:tblGrid>
      <w:tr w14:paraId="72C4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31F4CE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排气筒</w:t>
            </w:r>
          </w:p>
        </w:tc>
        <w:tc>
          <w:tcPr>
            <w:tcW w:w="772" w:type="pct"/>
            <w:vMerge w:val="restart"/>
            <w:vAlign w:val="center"/>
          </w:tcPr>
          <w:p w14:paraId="179513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928" w:type="pct"/>
            <w:vMerge w:val="restart"/>
            <w:vAlign w:val="center"/>
          </w:tcPr>
          <w:p w14:paraId="4D16CF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最高允许排放浓度（mg/m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1912" w:type="pct"/>
            <w:gridSpan w:val="2"/>
            <w:shd w:val="clear" w:color="auto" w:fill="auto"/>
            <w:vAlign w:val="center"/>
          </w:tcPr>
          <w:p w14:paraId="7F2832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最高允许排放速率</w:t>
            </w:r>
          </w:p>
        </w:tc>
        <w:tc>
          <w:tcPr>
            <w:tcW w:w="893" w:type="pct"/>
            <w:vMerge w:val="restart"/>
            <w:vAlign w:val="center"/>
          </w:tcPr>
          <w:p w14:paraId="4428F8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w:t>
            </w:r>
          </w:p>
        </w:tc>
      </w:tr>
      <w:tr w14:paraId="2428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6879AC6F">
            <w:pPr>
              <w:pStyle w:val="28"/>
              <w:rPr>
                <w:color w:val="000000" w:themeColor="text1"/>
                <w14:textFill>
                  <w14:solidFill>
                    <w14:schemeClr w14:val="tx1"/>
                  </w14:solidFill>
                </w14:textFill>
              </w:rPr>
            </w:pPr>
          </w:p>
        </w:tc>
        <w:tc>
          <w:tcPr>
            <w:tcW w:w="772" w:type="pct"/>
            <w:vMerge w:val="continue"/>
            <w:shd w:val="clear" w:color="auto" w:fill="auto"/>
            <w:vAlign w:val="center"/>
          </w:tcPr>
          <w:p w14:paraId="1ED90042">
            <w:pPr>
              <w:pStyle w:val="28"/>
              <w:rPr>
                <w:color w:val="000000" w:themeColor="text1"/>
                <w14:textFill>
                  <w14:solidFill>
                    <w14:schemeClr w14:val="tx1"/>
                  </w14:solidFill>
                </w14:textFill>
              </w:rPr>
            </w:pPr>
          </w:p>
        </w:tc>
        <w:tc>
          <w:tcPr>
            <w:tcW w:w="928" w:type="pct"/>
            <w:vMerge w:val="continue"/>
            <w:vAlign w:val="center"/>
          </w:tcPr>
          <w:p w14:paraId="05EBA6F7">
            <w:pPr>
              <w:pStyle w:val="28"/>
              <w:rPr>
                <w:color w:val="000000" w:themeColor="text1"/>
                <w14:textFill>
                  <w14:solidFill>
                    <w14:schemeClr w14:val="tx1"/>
                  </w14:solidFill>
                </w14:textFill>
              </w:rPr>
            </w:pPr>
          </w:p>
        </w:tc>
        <w:tc>
          <w:tcPr>
            <w:tcW w:w="1064" w:type="pct"/>
            <w:shd w:val="clear" w:color="auto" w:fill="auto"/>
            <w:vAlign w:val="center"/>
          </w:tcPr>
          <w:p w14:paraId="3C7114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排气筒高度（m）</w:t>
            </w:r>
          </w:p>
        </w:tc>
        <w:tc>
          <w:tcPr>
            <w:tcW w:w="848" w:type="pct"/>
            <w:shd w:val="clear" w:color="auto" w:fill="auto"/>
            <w:vAlign w:val="center"/>
          </w:tcPr>
          <w:p w14:paraId="591ABA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二级（kg/h）</w:t>
            </w:r>
          </w:p>
        </w:tc>
        <w:tc>
          <w:tcPr>
            <w:tcW w:w="893" w:type="pct"/>
            <w:vMerge w:val="continue"/>
            <w:vAlign w:val="center"/>
          </w:tcPr>
          <w:p w14:paraId="716AAAD6">
            <w:pPr>
              <w:pStyle w:val="28"/>
              <w:rPr>
                <w:color w:val="000000" w:themeColor="text1"/>
                <w14:textFill>
                  <w14:solidFill>
                    <w14:schemeClr w14:val="tx1"/>
                  </w14:solidFill>
                </w14:textFill>
              </w:rPr>
            </w:pPr>
          </w:p>
        </w:tc>
      </w:tr>
      <w:tr w14:paraId="3148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4B3875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772" w:type="pct"/>
            <w:shd w:val="clear" w:color="auto" w:fill="auto"/>
            <w:vAlign w:val="center"/>
          </w:tcPr>
          <w:p w14:paraId="4FF432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928" w:type="pct"/>
            <w:vAlign w:val="center"/>
          </w:tcPr>
          <w:p w14:paraId="663A0C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064" w:type="pct"/>
            <w:shd w:val="clear" w:color="auto" w:fill="auto"/>
            <w:vAlign w:val="center"/>
          </w:tcPr>
          <w:p w14:paraId="5C0954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8" w:type="pct"/>
            <w:shd w:val="clear" w:color="auto" w:fill="auto"/>
            <w:vAlign w:val="center"/>
          </w:tcPr>
          <w:p w14:paraId="6D0C2D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893" w:type="pct"/>
            <w:vMerge w:val="restart"/>
            <w:vAlign w:val="center"/>
          </w:tcPr>
          <w:p w14:paraId="073903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GB16297-1996</w:t>
            </w:r>
          </w:p>
        </w:tc>
      </w:tr>
      <w:tr w14:paraId="5BF6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353DB16B">
            <w:pPr>
              <w:pStyle w:val="28"/>
              <w:rPr>
                <w:color w:val="000000" w:themeColor="text1"/>
                <w14:textFill>
                  <w14:solidFill>
                    <w14:schemeClr w14:val="tx1"/>
                  </w14:solidFill>
                </w14:textFill>
              </w:rPr>
            </w:pPr>
          </w:p>
        </w:tc>
        <w:tc>
          <w:tcPr>
            <w:tcW w:w="772" w:type="pct"/>
            <w:shd w:val="clear" w:color="auto" w:fill="auto"/>
            <w:vAlign w:val="center"/>
          </w:tcPr>
          <w:p w14:paraId="1ACC2B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928" w:type="pct"/>
            <w:vAlign w:val="center"/>
          </w:tcPr>
          <w:p w14:paraId="25A872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064" w:type="pct"/>
            <w:shd w:val="clear" w:color="auto" w:fill="auto"/>
            <w:vAlign w:val="center"/>
          </w:tcPr>
          <w:p w14:paraId="4A3563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8" w:type="pct"/>
            <w:shd w:val="clear" w:color="auto" w:fill="auto"/>
            <w:vAlign w:val="center"/>
          </w:tcPr>
          <w:p w14:paraId="7D282E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93" w:type="pct"/>
            <w:vMerge w:val="continue"/>
            <w:vAlign w:val="center"/>
          </w:tcPr>
          <w:p w14:paraId="0988B0E3">
            <w:pPr>
              <w:pStyle w:val="28"/>
              <w:rPr>
                <w:color w:val="000000" w:themeColor="text1"/>
                <w14:textFill>
                  <w14:solidFill>
                    <w14:schemeClr w14:val="tx1"/>
                  </w14:solidFill>
                </w14:textFill>
              </w:rPr>
            </w:pPr>
          </w:p>
        </w:tc>
      </w:tr>
      <w:tr w14:paraId="069A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1F64E7EF">
            <w:pPr>
              <w:pStyle w:val="28"/>
              <w:rPr>
                <w:color w:val="000000" w:themeColor="text1"/>
                <w14:textFill>
                  <w14:solidFill>
                    <w14:schemeClr w14:val="tx1"/>
                  </w14:solidFill>
                </w14:textFill>
              </w:rPr>
            </w:pPr>
          </w:p>
        </w:tc>
        <w:tc>
          <w:tcPr>
            <w:tcW w:w="772" w:type="pct"/>
            <w:vAlign w:val="center"/>
          </w:tcPr>
          <w:p w14:paraId="7D227D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928" w:type="pct"/>
            <w:vAlign w:val="center"/>
          </w:tcPr>
          <w:p w14:paraId="2F3C95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64" w:type="pct"/>
            <w:shd w:val="clear" w:color="auto" w:fill="auto"/>
            <w:vAlign w:val="center"/>
          </w:tcPr>
          <w:p w14:paraId="424C34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8" w:type="pct"/>
            <w:shd w:val="clear" w:color="auto" w:fill="auto"/>
            <w:vAlign w:val="center"/>
          </w:tcPr>
          <w:p w14:paraId="008676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0.33</w:t>
            </w:r>
          </w:p>
        </w:tc>
        <w:tc>
          <w:tcPr>
            <w:tcW w:w="893" w:type="pct"/>
            <w:vMerge w:val="restart"/>
            <w:vAlign w:val="center"/>
          </w:tcPr>
          <w:p w14:paraId="418782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GB 14554-93</w:t>
            </w:r>
          </w:p>
        </w:tc>
      </w:tr>
      <w:tr w14:paraId="45A2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6A714E9F">
            <w:pPr>
              <w:pStyle w:val="28"/>
              <w:rPr>
                <w:color w:val="000000" w:themeColor="text1"/>
                <w14:textFill>
                  <w14:solidFill>
                    <w14:schemeClr w14:val="tx1"/>
                  </w14:solidFill>
                </w14:textFill>
              </w:rPr>
            </w:pPr>
          </w:p>
        </w:tc>
        <w:tc>
          <w:tcPr>
            <w:tcW w:w="772" w:type="pct"/>
            <w:vAlign w:val="center"/>
          </w:tcPr>
          <w:p w14:paraId="17E214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臭气浓度</w:t>
            </w:r>
          </w:p>
        </w:tc>
        <w:tc>
          <w:tcPr>
            <w:tcW w:w="928" w:type="pct"/>
            <w:vAlign w:val="center"/>
          </w:tcPr>
          <w:p w14:paraId="574BDE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64" w:type="pct"/>
            <w:shd w:val="clear" w:color="auto" w:fill="auto"/>
            <w:vAlign w:val="center"/>
          </w:tcPr>
          <w:p w14:paraId="14A809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8" w:type="pct"/>
            <w:shd w:val="clear" w:color="auto" w:fill="auto"/>
            <w:vAlign w:val="center"/>
          </w:tcPr>
          <w:p w14:paraId="0D7E4C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2000</w:t>
            </w:r>
          </w:p>
          <w:p w14:paraId="414F63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893" w:type="pct"/>
            <w:vMerge w:val="continue"/>
            <w:vAlign w:val="center"/>
          </w:tcPr>
          <w:p w14:paraId="1D9704DF">
            <w:pPr>
              <w:pStyle w:val="28"/>
              <w:rPr>
                <w:color w:val="000000" w:themeColor="text1"/>
                <w14:textFill>
                  <w14:solidFill>
                    <w14:schemeClr w14:val="tx1"/>
                  </w14:solidFill>
                </w14:textFill>
              </w:rPr>
            </w:pPr>
          </w:p>
        </w:tc>
      </w:tr>
    </w:tbl>
    <w:p w14:paraId="0BCBB53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（2）无组织废气</w:t>
      </w:r>
    </w:p>
    <w:p w14:paraId="20F3396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无组织废气非甲烷总烃排放执行《大气污染物综合排放标准》（GB16297-1996）中表2新污染源二级标准限值要求。臭气浓度、硫化氢厂界排放浓度执行《恶臭污染物排放标准》（GB14554-93）表1恶臭污染物厂界标准值中</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级标准。企业厂区内挥发性有机物无组织排放监控点浓度执行《挥发性有机物无组织排放控制标准》（GB37822-2019）特别排放限值。</w:t>
      </w:r>
    </w:p>
    <w:p w14:paraId="2DECD52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表1.6-9 厂界大气污染物排放标准</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466"/>
        <w:gridCol w:w="2196"/>
        <w:gridCol w:w="2358"/>
        <w:gridCol w:w="1764"/>
      </w:tblGrid>
      <w:tr w14:paraId="668C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71BA9C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60" w:type="pct"/>
            <w:vAlign w:val="center"/>
          </w:tcPr>
          <w:p w14:paraId="1F0FD8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288" w:type="pct"/>
            <w:vAlign w:val="center"/>
          </w:tcPr>
          <w:p w14:paraId="3DE68E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监控点</w:t>
            </w:r>
          </w:p>
        </w:tc>
        <w:tc>
          <w:tcPr>
            <w:tcW w:w="1383" w:type="pct"/>
            <w:vAlign w:val="center"/>
          </w:tcPr>
          <w:p w14:paraId="5105BE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浓度限值（mg/m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1035" w:type="pct"/>
            <w:vAlign w:val="center"/>
          </w:tcPr>
          <w:p w14:paraId="646A8C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w:t>
            </w:r>
          </w:p>
        </w:tc>
      </w:tr>
      <w:tr w14:paraId="6C4F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31231E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60" w:type="pct"/>
            <w:shd w:val="clear" w:color="auto" w:fill="auto"/>
            <w:vAlign w:val="center"/>
          </w:tcPr>
          <w:p w14:paraId="2B5E2F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288" w:type="pct"/>
            <w:vMerge w:val="restart"/>
            <w:vAlign w:val="center"/>
          </w:tcPr>
          <w:p w14:paraId="5752B1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周界外浓度最高点</w:t>
            </w:r>
          </w:p>
        </w:tc>
        <w:tc>
          <w:tcPr>
            <w:tcW w:w="1383" w:type="pct"/>
            <w:vAlign w:val="center"/>
          </w:tcPr>
          <w:p w14:paraId="1A7FAC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1035" w:type="pct"/>
            <w:shd w:val="clear" w:color="auto" w:fill="auto"/>
            <w:vAlign w:val="center"/>
          </w:tcPr>
          <w:p w14:paraId="2F0BA1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GB16297-1996</w:t>
            </w:r>
          </w:p>
        </w:tc>
      </w:tr>
      <w:tr w14:paraId="3F40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3D3DDC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60" w:type="pct"/>
            <w:shd w:val="clear" w:color="auto" w:fill="auto"/>
            <w:vAlign w:val="center"/>
          </w:tcPr>
          <w:p w14:paraId="094A97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288" w:type="pct"/>
            <w:vMerge w:val="continue"/>
            <w:vAlign w:val="center"/>
          </w:tcPr>
          <w:p w14:paraId="0DA5DCD7">
            <w:pPr>
              <w:pStyle w:val="28"/>
              <w:rPr>
                <w:color w:val="000000" w:themeColor="text1"/>
                <w14:textFill>
                  <w14:solidFill>
                    <w14:schemeClr w14:val="tx1"/>
                  </w14:solidFill>
                </w14:textFill>
              </w:rPr>
            </w:pPr>
          </w:p>
        </w:tc>
        <w:tc>
          <w:tcPr>
            <w:tcW w:w="1383" w:type="pct"/>
            <w:vAlign w:val="center"/>
          </w:tcPr>
          <w:p w14:paraId="2F15CFF1">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w:t>
            </w:r>
          </w:p>
        </w:tc>
        <w:tc>
          <w:tcPr>
            <w:tcW w:w="1035" w:type="pct"/>
            <w:vMerge w:val="restart"/>
            <w:shd w:val="clear" w:color="auto" w:fill="auto"/>
            <w:vAlign w:val="center"/>
          </w:tcPr>
          <w:p w14:paraId="72D70D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GB 14554-93</w:t>
            </w:r>
          </w:p>
        </w:tc>
      </w:tr>
      <w:tr w14:paraId="782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2D6DE4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60" w:type="pct"/>
            <w:shd w:val="clear" w:color="auto" w:fill="auto"/>
            <w:vAlign w:val="center"/>
          </w:tcPr>
          <w:p w14:paraId="6BF352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臭气浓度</w:t>
            </w:r>
          </w:p>
        </w:tc>
        <w:tc>
          <w:tcPr>
            <w:tcW w:w="1288" w:type="pct"/>
            <w:vMerge w:val="continue"/>
            <w:vAlign w:val="center"/>
          </w:tcPr>
          <w:p w14:paraId="70B3B761">
            <w:pPr>
              <w:pStyle w:val="28"/>
              <w:rPr>
                <w:color w:val="000000" w:themeColor="text1"/>
                <w14:textFill>
                  <w14:solidFill>
                    <w14:schemeClr w14:val="tx1"/>
                  </w14:solidFill>
                </w14:textFill>
              </w:rPr>
            </w:pPr>
          </w:p>
        </w:tc>
        <w:tc>
          <w:tcPr>
            <w:tcW w:w="1383" w:type="pct"/>
            <w:vAlign w:val="center"/>
          </w:tcPr>
          <w:p w14:paraId="398EE652">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035" w:type="pct"/>
            <w:vMerge w:val="continue"/>
            <w:vAlign w:val="center"/>
          </w:tcPr>
          <w:p w14:paraId="3A26A8CA">
            <w:pPr>
              <w:pStyle w:val="28"/>
              <w:rPr>
                <w:color w:val="000000" w:themeColor="text1"/>
                <w14:textFill>
                  <w14:solidFill>
                    <w14:schemeClr w14:val="tx1"/>
                  </w14:solidFill>
                </w14:textFill>
              </w:rPr>
            </w:pPr>
          </w:p>
        </w:tc>
      </w:tr>
    </w:tbl>
    <w:p w14:paraId="6704122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表1.6-8 厂区内挥发性有机物无组织排放限值</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354"/>
        <w:gridCol w:w="1809"/>
        <w:gridCol w:w="2942"/>
      </w:tblGrid>
      <w:tr w14:paraId="264D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0" w:type="pct"/>
            <w:vMerge w:val="restart"/>
            <w:vAlign w:val="center"/>
          </w:tcPr>
          <w:p w14:paraId="223A83E5">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2442" w:type="pct"/>
            <w:gridSpan w:val="2"/>
            <w:vAlign w:val="center"/>
          </w:tcPr>
          <w:p w14:paraId="39E2B478">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无组织排放监控浓度值</w:t>
            </w:r>
          </w:p>
        </w:tc>
        <w:tc>
          <w:tcPr>
            <w:tcW w:w="1726" w:type="pct"/>
            <w:vMerge w:val="restart"/>
            <w:vAlign w:val="center"/>
          </w:tcPr>
          <w:p w14:paraId="493235FC">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限值含义</w:t>
            </w:r>
          </w:p>
        </w:tc>
      </w:tr>
      <w:tr w14:paraId="4D58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16D4910F">
            <w:pPr>
              <w:keepLines/>
              <w:spacing w:line="240" w:lineRule="auto"/>
              <w:ind w:firstLine="0" w:firstLineChars="0"/>
              <w:jc w:val="center"/>
              <w:rPr>
                <w:color w:val="000000" w:themeColor="text1"/>
                <w:sz w:val="21"/>
                <w:szCs w:val="21"/>
                <w14:textFill>
                  <w14:solidFill>
                    <w14:schemeClr w14:val="tx1"/>
                  </w14:solidFill>
                </w14:textFill>
              </w:rPr>
            </w:pPr>
          </w:p>
        </w:tc>
        <w:tc>
          <w:tcPr>
            <w:tcW w:w="1381" w:type="pct"/>
            <w:vAlign w:val="center"/>
          </w:tcPr>
          <w:p w14:paraId="73CDA970">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w:t>
            </w:r>
          </w:p>
        </w:tc>
        <w:tc>
          <w:tcPr>
            <w:tcW w:w="1060" w:type="pct"/>
            <w:vAlign w:val="center"/>
          </w:tcPr>
          <w:p w14:paraId="33EA2859">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浓度（mg/m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p>
        </w:tc>
        <w:tc>
          <w:tcPr>
            <w:tcW w:w="1726" w:type="pct"/>
            <w:vMerge w:val="continue"/>
            <w:vAlign w:val="center"/>
          </w:tcPr>
          <w:p w14:paraId="391A9F25">
            <w:pPr>
              <w:keepLines/>
              <w:spacing w:line="240" w:lineRule="auto"/>
              <w:ind w:firstLine="0" w:firstLineChars="0"/>
              <w:jc w:val="center"/>
              <w:rPr>
                <w:color w:val="000000" w:themeColor="text1"/>
                <w:sz w:val="21"/>
                <w:szCs w:val="21"/>
                <w14:textFill>
                  <w14:solidFill>
                    <w14:schemeClr w14:val="tx1"/>
                  </w14:solidFill>
                </w14:textFill>
              </w:rPr>
            </w:pPr>
          </w:p>
        </w:tc>
      </w:tr>
      <w:tr w14:paraId="1EDC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restart"/>
            <w:vAlign w:val="center"/>
          </w:tcPr>
          <w:p w14:paraId="4ABD7BF0">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1381" w:type="pct"/>
            <w:vMerge w:val="restart"/>
            <w:vAlign w:val="center"/>
          </w:tcPr>
          <w:p w14:paraId="624890BC">
            <w:pPr>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在厂房外设置监控点</w:t>
            </w:r>
          </w:p>
        </w:tc>
        <w:tc>
          <w:tcPr>
            <w:tcW w:w="1060" w:type="pct"/>
            <w:shd w:val="clear" w:color="auto" w:fill="auto"/>
            <w:vAlign w:val="center"/>
          </w:tcPr>
          <w:p w14:paraId="14E56161">
            <w:pPr>
              <w:pStyle w:val="28"/>
              <w:rPr>
                <w:rFonts w:cs="黑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726" w:type="pct"/>
            <w:shd w:val="clear" w:color="auto" w:fill="auto"/>
            <w:vAlign w:val="center"/>
          </w:tcPr>
          <w:p w14:paraId="3ED57AFD">
            <w:pPr>
              <w:pStyle w:val="28"/>
              <w:rPr>
                <w:rFonts w:cs="黑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监控点处1h的平均浓度值</w:t>
            </w:r>
          </w:p>
        </w:tc>
      </w:tr>
      <w:tr w14:paraId="6C4D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7B8340B2">
            <w:pPr>
              <w:keepLines/>
              <w:spacing w:line="240" w:lineRule="auto"/>
              <w:ind w:firstLine="0" w:firstLineChars="0"/>
              <w:jc w:val="center"/>
              <w:rPr>
                <w:color w:val="000000" w:themeColor="text1"/>
                <w:sz w:val="21"/>
                <w:szCs w:val="21"/>
                <w14:textFill>
                  <w14:solidFill>
                    <w14:schemeClr w14:val="tx1"/>
                  </w14:solidFill>
                </w14:textFill>
              </w:rPr>
            </w:pPr>
          </w:p>
        </w:tc>
        <w:tc>
          <w:tcPr>
            <w:tcW w:w="1381" w:type="pct"/>
            <w:vMerge w:val="continue"/>
            <w:vAlign w:val="center"/>
          </w:tcPr>
          <w:p w14:paraId="7555E79E">
            <w:pPr>
              <w:keepLines/>
              <w:spacing w:line="240" w:lineRule="auto"/>
              <w:ind w:firstLine="0" w:firstLineChars="0"/>
              <w:jc w:val="center"/>
              <w:rPr>
                <w:color w:val="000000" w:themeColor="text1"/>
                <w:sz w:val="21"/>
                <w:szCs w:val="21"/>
                <w14:textFill>
                  <w14:solidFill>
                    <w14:schemeClr w14:val="tx1"/>
                  </w14:solidFill>
                </w14:textFill>
              </w:rPr>
            </w:pPr>
          </w:p>
        </w:tc>
        <w:tc>
          <w:tcPr>
            <w:tcW w:w="1060" w:type="pct"/>
            <w:shd w:val="clear" w:color="auto" w:fill="auto"/>
            <w:vAlign w:val="center"/>
          </w:tcPr>
          <w:p w14:paraId="7BA39B72">
            <w:pPr>
              <w:pStyle w:val="28"/>
              <w:rPr>
                <w:rFonts w:cs="黑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726" w:type="pct"/>
            <w:shd w:val="clear" w:color="auto" w:fill="auto"/>
            <w:vAlign w:val="center"/>
          </w:tcPr>
          <w:p w14:paraId="4E8F58C7">
            <w:pPr>
              <w:pStyle w:val="28"/>
              <w:rPr>
                <w:rFonts w:cs="黑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监控点处任意一次浓度值</w:t>
            </w:r>
          </w:p>
        </w:tc>
      </w:tr>
    </w:tbl>
    <w:p w14:paraId="7A22B812">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1.6.2.2 废水</w:t>
      </w:r>
    </w:p>
    <w:p w14:paraId="1612AF1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w:t>
      </w:r>
    </w:p>
    <w:p w14:paraId="79C04B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废水主要是施工人员清洗废水，经现有化粪池收集处理达到《污水综合排放标准》（GB8978-1996）三级标准和《污水排入城镇下水道水质标准》（GB/T31962-2015）表1A等级标准后通过市政污水管网，排入玉溪市污水处理厂</w:t>
      </w:r>
      <w:r>
        <w:rPr>
          <w:color w:val="000000" w:themeColor="text1"/>
          <w14:textFill>
            <w14:solidFill>
              <w14:schemeClr w14:val="tx1"/>
            </w14:solidFill>
          </w14:textFill>
        </w:rPr>
        <w:t>。</w:t>
      </w:r>
    </w:p>
    <w:p w14:paraId="3B7D02A0">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1.6-9</w:t>
      </w:r>
      <w:r>
        <w:rPr>
          <w:color w:val="000000" w:themeColor="text1"/>
          <w14:textFill>
            <w14:solidFill>
              <w14:schemeClr w14:val="tx1"/>
            </w14:solidFill>
          </w14:textFill>
        </w:rPr>
        <w:t xml:space="preserve">  本项目污水接管标准  单位：mg/L</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938"/>
        <w:gridCol w:w="1812"/>
        <w:gridCol w:w="2584"/>
        <w:gridCol w:w="1894"/>
        <w:gridCol w:w="1294"/>
      </w:tblGrid>
      <w:tr w14:paraId="65CF19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auto" w:sz="4" w:space="0"/>
              <w:left w:val="single" w:color="auto" w:sz="4" w:space="0"/>
              <w:bottom w:val="single" w:color="auto" w:sz="4" w:space="0"/>
              <w:right w:val="single" w:color="000000" w:sz="6" w:space="0"/>
            </w:tcBorders>
            <w:vAlign w:val="center"/>
          </w:tcPr>
          <w:p w14:paraId="0E730455">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063" w:type="pct"/>
            <w:tcBorders>
              <w:top w:val="single" w:color="auto" w:sz="4" w:space="0"/>
              <w:left w:val="single" w:color="000000" w:sz="6" w:space="0"/>
              <w:bottom w:val="single" w:color="auto" w:sz="4" w:space="0"/>
              <w:right w:val="single" w:color="000000" w:sz="6" w:space="0"/>
            </w:tcBorders>
            <w:vAlign w:val="center"/>
          </w:tcPr>
          <w:p w14:paraId="4573D3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基本控制</w:t>
            </w:r>
            <w:r>
              <w:rPr>
                <w:color w:val="000000" w:themeColor="text1"/>
                <w14:textFill>
                  <w14:solidFill>
                    <w14:schemeClr w14:val="tx1"/>
                  </w14:solidFill>
                </w14:textFill>
              </w:rPr>
              <w:t>项目</w:t>
            </w:r>
          </w:p>
        </w:tc>
        <w:tc>
          <w:tcPr>
            <w:tcW w:w="1516" w:type="pct"/>
            <w:tcBorders>
              <w:top w:val="single" w:color="auto" w:sz="4" w:space="0"/>
              <w:left w:val="single" w:color="000000" w:sz="6" w:space="0"/>
              <w:bottom w:val="single" w:color="auto" w:sz="4" w:space="0"/>
              <w:right w:val="single" w:color="auto" w:sz="4" w:space="0"/>
            </w:tcBorders>
            <w:vAlign w:val="center"/>
          </w:tcPr>
          <w:p w14:paraId="155C9E59">
            <w:pPr>
              <w:pStyle w:val="28"/>
              <w:rPr>
                <w:color w:val="000000" w:themeColor="text1"/>
                <w14:textFill>
                  <w14:solidFill>
                    <w14:schemeClr w14:val="tx1"/>
                  </w14:solidFill>
                </w14:textFill>
              </w:rPr>
            </w:pPr>
            <w:r>
              <w:rPr>
                <w:color w:val="000000" w:themeColor="text1"/>
                <w14:textFill>
                  <w14:solidFill>
                    <w14:schemeClr w14:val="tx1"/>
                  </w14:solidFill>
                </w14:textFill>
              </w:rPr>
              <w:t>GB/T31962-2015</w:t>
            </w:r>
          </w:p>
          <w:p w14:paraId="4AFE1AF1">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A级</w:t>
            </w:r>
          </w:p>
        </w:tc>
        <w:tc>
          <w:tcPr>
            <w:tcW w:w="1111" w:type="pct"/>
            <w:tcBorders>
              <w:top w:val="single" w:color="auto" w:sz="4" w:space="0"/>
              <w:left w:val="single" w:color="000000" w:sz="6" w:space="0"/>
              <w:bottom w:val="single" w:color="auto" w:sz="4" w:space="0"/>
              <w:right w:val="single" w:color="auto" w:sz="4" w:space="0"/>
            </w:tcBorders>
            <w:vAlign w:val="center"/>
          </w:tcPr>
          <w:p w14:paraId="3422C60D">
            <w:pPr>
              <w:pStyle w:val="28"/>
              <w:rPr>
                <w:bCs/>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B8978-1996</w:t>
            </w:r>
            <w:r>
              <w:rPr>
                <w:rFonts w:hint="eastAsia"/>
                <w:color w:val="000000" w:themeColor="text1"/>
                <w14:textFill>
                  <w14:solidFill>
                    <w14:schemeClr w14:val="tx1"/>
                  </w14:solidFill>
                </w14:textFill>
              </w:rPr>
              <w:t>三级</w:t>
            </w:r>
          </w:p>
        </w:tc>
        <w:tc>
          <w:tcPr>
            <w:tcW w:w="759" w:type="pct"/>
            <w:tcBorders>
              <w:top w:val="single" w:color="auto" w:sz="4" w:space="0"/>
              <w:left w:val="single" w:color="000000" w:sz="6" w:space="0"/>
              <w:bottom w:val="single" w:color="auto" w:sz="4" w:space="0"/>
              <w:right w:val="single" w:color="auto" w:sz="4" w:space="0"/>
            </w:tcBorders>
            <w:vAlign w:val="center"/>
          </w:tcPr>
          <w:p w14:paraId="6FC0F3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本项目执行标准</w:t>
            </w:r>
          </w:p>
        </w:tc>
      </w:tr>
      <w:tr w14:paraId="58A703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auto" w:sz="4" w:space="0"/>
              <w:left w:val="single" w:color="auto" w:sz="4" w:space="0"/>
              <w:bottom w:val="single" w:color="000000" w:sz="6" w:space="0"/>
              <w:right w:val="single" w:color="000000" w:sz="6" w:space="0"/>
            </w:tcBorders>
            <w:vAlign w:val="center"/>
          </w:tcPr>
          <w:p w14:paraId="7B144356">
            <w:pPr>
              <w:pStyle w:val="28"/>
              <w:rPr>
                <w:bCs/>
                <w:color w:val="000000" w:themeColor="text1"/>
                <w14:textFill>
                  <w14:solidFill>
                    <w14:schemeClr w14:val="tx1"/>
                  </w14:solidFill>
                </w14:textFill>
              </w:rPr>
            </w:pPr>
            <w:r>
              <w:rPr>
                <w:bCs/>
                <w:color w:val="000000" w:themeColor="text1"/>
                <w14:textFill>
                  <w14:solidFill>
                    <w14:schemeClr w14:val="tx1"/>
                  </w14:solidFill>
                </w14:textFill>
              </w:rPr>
              <w:t>1</w:t>
            </w:r>
          </w:p>
        </w:tc>
        <w:tc>
          <w:tcPr>
            <w:tcW w:w="1063" w:type="pct"/>
            <w:tcBorders>
              <w:top w:val="single" w:color="auto" w:sz="4" w:space="0"/>
              <w:left w:val="single" w:color="000000" w:sz="6" w:space="0"/>
              <w:bottom w:val="single" w:color="000000" w:sz="6" w:space="0"/>
              <w:right w:val="single" w:color="000000" w:sz="6" w:space="0"/>
            </w:tcBorders>
            <w:vAlign w:val="center"/>
          </w:tcPr>
          <w:p w14:paraId="6CC17D95">
            <w:pPr>
              <w:pStyle w:val="28"/>
              <w:rPr>
                <w:bCs/>
                <w:color w:val="000000" w:themeColor="text1"/>
                <w14:textFill>
                  <w14:solidFill>
                    <w14:schemeClr w14:val="tx1"/>
                  </w14:solidFill>
                </w14:textFill>
              </w:rPr>
            </w:pPr>
            <w:r>
              <w:rPr>
                <w:bCs/>
                <w:color w:val="000000" w:themeColor="text1"/>
                <w14:textFill>
                  <w14:solidFill>
                    <w14:schemeClr w14:val="tx1"/>
                  </w14:solidFill>
                </w14:textFill>
              </w:rPr>
              <w:t>pH</w:t>
            </w:r>
          </w:p>
        </w:tc>
        <w:tc>
          <w:tcPr>
            <w:tcW w:w="1516" w:type="pct"/>
            <w:tcBorders>
              <w:top w:val="single" w:color="auto" w:sz="4" w:space="0"/>
              <w:left w:val="single" w:color="000000" w:sz="6" w:space="0"/>
              <w:bottom w:val="single" w:color="000000" w:sz="6" w:space="0"/>
              <w:right w:val="single" w:color="auto" w:sz="4" w:space="0"/>
            </w:tcBorders>
            <w:vAlign w:val="center"/>
          </w:tcPr>
          <w:p w14:paraId="32CA987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6.5-9.5</w:t>
            </w:r>
          </w:p>
        </w:tc>
        <w:tc>
          <w:tcPr>
            <w:tcW w:w="1111" w:type="pct"/>
            <w:tcBorders>
              <w:top w:val="single" w:color="auto" w:sz="4" w:space="0"/>
              <w:left w:val="single" w:color="000000" w:sz="6" w:space="0"/>
              <w:bottom w:val="single" w:color="000000" w:sz="6" w:space="0"/>
              <w:right w:val="single" w:color="auto" w:sz="4" w:space="0"/>
            </w:tcBorders>
            <w:vAlign w:val="center"/>
          </w:tcPr>
          <w:p w14:paraId="648EA61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6-9</w:t>
            </w:r>
          </w:p>
        </w:tc>
        <w:tc>
          <w:tcPr>
            <w:tcW w:w="759" w:type="pct"/>
            <w:tcBorders>
              <w:top w:val="single" w:color="auto" w:sz="4" w:space="0"/>
              <w:left w:val="single" w:color="000000" w:sz="6" w:space="0"/>
              <w:bottom w:val="single" w:color="000000" w:sz="6" w:space="0"/>
              <w:right w:val="single" w:color="auto" w:sz="4" w:space="0"/>
            </w:tcBorders>
            <w:vAlign w:val="center"/>
          </w:tcPr>
          <w:p w14:paraId="56019F5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6-9</w:t>
            </w:r>
          </w:p>
        </w:tc>
      </w:tr>
      <w:tr w14:paraId="75C6B1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5D1AFF0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1063" w:type="pct"/>
            <w:tcBorders>
              <w:top w:val="single" w:color="000000" w:sz="6" w:space="0"/>
              <w:left w:val="single" w:color="000000" w:sz="6" w:space="0"/>
              <w:bottom w:val="single" w:color="000000" w:sz="6" w:space="0"/>
              <w:right w:val="single" w:color="000000" w:sz="6" w:space="0"/>
            </w:tcBorders>
            <w:vAlign w:val="center"/>
          </w:tcPr>
          <w:p w14:paraId="46750AC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C</w:t>
            </w:r>
            <w:r>
              <w:rPr>
                <w:bCs/>
                <w:color w:val="000000" w:themeColor="text1"/>
                <w14:textFill>
                  <w14:solidFill>
                    <w14:schemeClr w14:val="tx1"/>
                  </w14:solidFill>
                </w14:textFill>
              </w:rPr>
              <w:t>OD</w:t>
            </w:r>
          </w:p>
        </w:tc>
        <w:tc>
          <w:tcPr>
            <w:tcW w:w="1516" w:type="pct"/>
            <w:tcBorders>
              <w:top w:val="single" w:color="000000" w:sz="6" w:space="0"/>
              <w:left w:val="single" w:color="000000" w:sz="6" w:space="0"/>
              <w:bottom w:val="single" w:color="000000" w:sz="6" w:space="0"/>
              <w:right w:val="single" w:color="auto" w:sz="4" w:space="0"/>
            </w:tcBorders>
            <w:vAlign w:val="center"/>
          </w:tcPr>
          <w:p w14:paraId="7B01002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c>
          <w:tcPr>
            <w:tcW w:w="1111" w:type="pct"/>
            <w:tcBorders>
              <w:top w:val="single" w:color="000000" w:sz="6" w:space="0"/>
              <w:left w:val="single" w:color="000000" w:sz="6" w:space="0"/>
              <w:bottom w:val="single" w:color="000000" w:sz="6" w:space="0"/>
              <w:right w:val="single" w:color="auto" w:sz="4" w:space="0"/>
            </w:tcBorders>
            <w:vAlign w:val="center"/>
          </w:tcPr>
          <w:p w14:paraId="3DE71DD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c>
          <w:tcPr>
            <w:tcW w:w="759" w:type="pct"/>
            <w:tcBorders>
              <w:top w:val="single" w:color="000000" w:sz="6" w:space="0"/>
              <w:left w:val="single" w:color="000000" w:sz="6" w:space="0"/>
              <w:bottom w:val="single" w:color="000000" w:sz="6" w:space="0"/>
              <w:right w:val="single" w:color="auto" w:sz="4" w:space="0"/>
            </w:tcBorders>
            <w:vAlign w:val="center"/>
          </w:tcPr>
          <w:p w14:paraId="5B6798B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r>
      <w:tr w14:paraId="180D40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4C30D2A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1063" w:type="pct"/>
            <w:tcBorders>
              <w:top w:val="single" w:color="000000" w:sz="6" w:space="0"/>
              <w:left w:val="single" w:color="000000" w:sz="6" w:space="0"/>
              <w:bottom w:val="single" w:color="000000" w:sz="6" w:space="0"/>
              <w:right w:val="single" w:color="000000" w:sz="6" w:space="0"/>
            </w:tcBorders>
            <w:vAlign w:val="center"/>
          </w:tcPr>
          <w:p w14:paraId="066BF6CF">
            <w:pPr>
              <w:pStyle w:val="28"/>
              <w:rPr>
                <w:bCs/>
                <w:color w:val="000000" w:themeColor="text1"/>
                <w14:textFill>
                  <w14:solidFill>
                    <w14:schemeClr w14:val="tx1"/>
                  </w14:solidFill>
                </w14:textFill>
              </w:rPr>
            </w:pPr>
            <w:r>
              <w:rPr>
                <w:bCs/>
                <w:color w:val="000000" w:themeColor="text1"/>
                <w14:textFill>
                  <w14:solidFill>
                    <w14:schemeClr w14:val="tx1"/>
                  </w14:solidFill>
                </w14:textFill>
              </w:rPr>
              <w:t>BOD</w:t>
            </w:r>
            <w:r>
              <w:rPr>
                <w:bCs/>
                <w:color w:val="000000" w:themeColor="text1"/>
                <w:vertAlign w:val="subscript"/>
                <w14:textFill>
                  <w14:solidFill>
                    <w14:schemeClr w14:val="tx1"/>
                  </w14:solidFill>
                </w14:textFill>
              </w:rPr>
              <w:t>5</w:t>
            </w:r>
          </w:p>
        </w:tc>
        <w:tc>
          <w:tcPr>
            <w:tcW w:w="1516" w:type="pct"/>
            <w:tcBorders>
              <w:top w:val="single" w:color="000000" w:sz="6" w:space="0"/>
              <w:left w:val="single" w:color="000000" w:sz="6" w:space="0"/>
              <w:bottom w:val="single" w:color="000000" w:sz="6" w:space="0"/>
              <w:right w:val="single" w:color="auto" w:sz="4" w:space="0"/>
            </w:tcBorders>
            <w:vAlign w:val="center"/>
          </w:tcPr>
          <w:p w14:paraId="5C37801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350</w:t>
            </w:r>
          </w:p>
        </w:tc>
        <w:tc>
          <w:tcPr>
            <w:tcW w:w="1111" w:type="pct"/>
            <w:tcBorders>
              <w:top w:val="single" w:color="000000" w:sz="6" w:space="0"/>
              <w:left w:val="single" w:color="000000" w:sz="6" w:space="0"/>
              <w:bottom w:val="single" w:color="000000" w:sz="6" w:space="0"/>
              <w:right w:val="single" w:color="auto" w:sz="4" w:space="0"/>
            </w:tcBorders>
            <w:vAlign w:val="center"/>
          </w:tcPr>
          <w:p w14:paraId="27EEBD9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300</w:t>
            </w:r>
          </w:p>
        </w:tc>
        <w:tc>
          <w:tcPr>
            <w:tcW w:w="759" w:type="pct"/>
            <w:tcBorders>
              <w:top w:val="single" w:color="000000" w:sz="6" w:space="0"/>
              <w:left w:val="single" w:color="000000" w:sz="6" w:space="0"/>
              <w:bottom w:val="single" w:color="000000" w:sz="6" w:space="0"/>
              <w:right w:val="single" w:color="auto" w:sz="4" w:space="0"/>
            </w:tcBorders>
            <w:vAlign w:val="center"/>
          </w:tcPr>
          <w:p w14:paraId="4890F77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300</w:t>
            </w:r>
          </w:p>
        </w:tc>
      </w:tr>
      <w:tr w14:paraId="76A1D6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16B5042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1063" w:type="pct"/>
            <w:tcBorders>
              <w:top w:val="single" w:color="000000" w:sz="6" w:space="0"/>
              <w:left w:val="single" w:color="000000" w:sz="6" w:space="0"/>
              <w:bottom w:val="single" w:color="000000" w:sz="6" w:space="0"/>
              <w:right w:val="single" w:color="000000" w:sz="6" w:space="0"/>
            </w:tcBorders>
            <w:vAlign w:val="center"/>
          </w:tcPr>
          <w:p w14:paraId="2601D74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S</w:t>
            </w:r>
            <w:r>
              <w:rPr>
                <w:bCs/>
                <w:color w:val="000000" w:themeColor="text1"/>
                <w14:textFill>
                  <w14:solidFill>
                    <w14:schemeClr w14:val="tx1"/>
                  </w14:solidFill>
                </w14:textFill>
              </w:rPr>
              <w:t>S</w:t>
            </w:r>
          </w:p>
        </w:tc>
        <w:tc>
          <w:tcPr>
            <w:tcW w:w="1516" w:type="pct"/>
            <w:tcBorders>
              <w:top w:val="single" w:color="000000" w:sz="6" w:space="0"/>
              <w:left w:val="single" w:color="000000" w:sz="6" w:space="0"/>
              <w:bottom w:val="single" w:color="000000" w:sz="6" w:space="0"/>
              <w:right w:val="single" w:color="auto" w:sz="4" w:space="0"/>
            </w:tcBorders>
            <w:vAlign w:val="center"/>
          </w:tcPr>
          <w:p w14:paraId="0565B85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c>
          <w:tcPr>
            <w:tcW w:w="1111" w:type="pct"/>
            <w:tcBorders>
              <w:top w:val="single" w:color="000000" w:sz="6" w:space="0"/>
              <w:left w:val="single" w:color="000000" w:sz="6" w:space="0"/>
              <w:bottom w:val="single" w:color="000000" w:sz="6" w:space="0"/>
              <w:right w:val="single" w:color="auto" w:sz="4" w:space="0"/>
            </w:tcBorders>
            <w:vAlign w:val="center"/>
          </w:tcPr>
          <w:p w14:paraId="4001BA8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c>
          <w:tcPr>
            <w:tcW w:w="759" w:type="pct"/>
            <w:tcBorders>
              <w:top w:val="single" w:color="000000" w:sz="6" w:space="0"/>
              <w:left w:val="single" w:color="000000" w:sz="6" w:space="0"/>
              <w:bottom w:val="single" w:color="000000" w:sz="6" w:space="0"/>
              <w:right w:val="single" w:color="auto" w:sz="4" w:space="0"/>
            </w:tcBorders>
            <w:vAlign w:val="center"/>
          </w:tcPr>
          <w:p w14:paraId="227361F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r>
      <w:tr w14:paraId="7C541B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02698D4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1063" w:type="pct"/>
            <w:tcBorders>
              <w:top w:val="single" w:color="000000" w:sz="6" w:space="0"/>
              <w:left w:val="single" w:color="000000" w:sz="6" w:space="0"/>
              <w:bottom w:val="single" w:color="000000" w:sz="6" w:space="0"/>
              <w:right w:val="single" w:color="000000" w:sz="6" w:space="0"/>
            </w:tcBorders>
            <w:vAlign w:val="center"/>
          </w:tcPr>
          <w:p w14:paraId="69F1782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总磷</w:t>
            </w:r>
          </w:p>
        </w:tc>
        <w:tc>
          <w:tcPr>
            <w:tcW w:w="1516" w:type="pct"/>
            <w:tcBorders>
              <w:top w:val="single" w:color="000000" w:sz="6" w:space="0"/>
              <w:left w:val="single" w:color="000000" w:sz="6" w:space="0"/>
              <w:bottom w:val="single" w:color="000000" w:sz="6" w:space="0"/>
              <w:right w:val="single" w:color="auto" w:sz="4" w:space="0"/>
            </w:tcBorders>
            <w:vAlign w:val="center"/>
          </w:tcPr>
          <w:p w14:paraId="5AE0444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1111" w:type="pct"/>
            <w:tcBorders>
              <w:top w:val="single" w:color="000000" w:sz="6" w:space="0"/>
              <w:left w:val="single" w:color="000000" w:sz="6" w:space="0"/>
              <w:bottom w:val="single" w:color="000000" w:sz="6" w:space="0"/>
              <w:right w:val="single" w:color="auto" w:sz="4" w:space="0"/>
            </w:tcBorders>
            <w:vAlign w:val="center"/>
          </w:tcPr>
          <w:p w14:paraId="0E93EB1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21F2715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r>
      <w:tr w14:paraId="434CAF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73C4068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1063" w:type="pct"/>
            <w:tcBorders>
              <w:top w:val="single" w:color="000000" w:sz="6" w:space="0"/>
              <w:left w:val="single" w:color="000000" w:sz="6" w:space="0"/>
              <w:bottom w:val="single" w:color="000000" w:sz="6" w:space="0"/>
              <w:right w:val="single" w:color="000000" w:sz="6" w:space="0"/>
            </w:tcBorders>
            <w:vAlign w:val="center"/>
          </w:tcPr>
          <w:p w14:paraId="56EFB19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总氮</w:t>
            </w:r>
          </w:p>
        </w:tc>
        <w:tc>
          <w:tcPr>
            <w:tcW w:w="1516" w:type="pct"/>
            <w:tcBorders>
              <w:top w:val="single" w:color="000000" w:sz="6" w:space="0"/>
              <w:left w:val="single" w:color="000000" w:sz="6" w:space="0"/>
              <w:bottom w:val="single" w:color="000000" w:sz="6" w:space="0"/>
              <w:right w:val="single" w:color="auto" w:sz="4" w:space="0"/>
            </w:tcBorders>
            <w:vAlign w:val="center"/>
          </w:tcPr>
          <w:p w14:paraId="37A80EF5">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70</w:t>
            </w:r>
          </w:p>
        </w:tc>
        <w:tc>
          <w:tcPr>
            <w:tcW w:w="1111" w:type="pct"/>
            <w:tcBorders>
              <w:top w:val="single" w:color="000000" w:sz="6" w:space="0"/>
              <w:left w:val="single" w:color="000000" w:sz="6" w:space="0"/>
              <w:bottom w:val="single" w:color="000000" w:sz="6" w:space="0"/>
              <w:right w:val="single" w:color="auto" w:sz="4" w:space="0"/>
            </w:tcBorders>
            <w:vAlign w:val="center"/>
          </w:tcPr>
          <w:p w14:paraId="41BBE9E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7C58EB4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70</w:t>
            </w:r>
          </w:p>
        </w:tc>
      </w:tr>
      <w:tr w14:paraId="31BA76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2E9C509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1063" w:type="pct"/>
            <w:tcBorders>
              <w:top w:val="single" w:color="000000" w:sz="6" w:space="0"/>
              <w:left w:val="single" w:color="000000" w:sz="6" w:space="0"/>
              <w:bottom w:val="single" w:color="000000" w:sz="6" w:space="0"/>
              <w:right w:val="single" w:color="000000" w:sz="6" w:space="0"/>
            </w:tcBorders>
            <w:vAlign w:val="center"/>
          </w:tcPr>
          <w:p w14:paraId="6FE00C11">
            <w:pPr>
              <w:pStyle w:val="28"/>
              <w:rPr>
                <w:bCs/>
                <w:color w:val="000000" w:themeColor="text1"/>
                <w14:textFill>
                  <w14:solidFill>
                    <w14:schemeClr w14:val="tx1"/>
                  </w14:solidFill>
                </w14:textFill>
              </w:rPr>
            </w:pPr>
            <w:r>
              <w:rPr>
                <w:bCs/>
                <w:color w:val="000000" w:themeColor="text1"/>
                <w14:textFill>
                  <w14:solidFill>
                    <w14:schemeClr w14:val="tx1"/>
                  </w14:solidFill>
                </w14:textFill>
              </w:rPr>
              <w:t>氨氮</w:t>
            </w:r>
          </w:p>
        </w:tc>
        <w:tc>
          <w:tcPr>
            <w:tcW w:w="1516" w:type="pct"/>
            <w:tcBorders>
              <w:top w:val="single" w:color="000000" w:sz="6" w:space="0"/>
              <w:left w:val="single" w:color="000000" w:sz="6" w:space="0"/>
              <w:bottom w:val="single" w:color="000000" w:sz="6" w:space="0"/>
              <w:right w:val="single" w:color="auto" w:sz="4" w:space="0"/>
            </w:tcBorders>
            <w:vAlign w:val="center"/>
          </w:tcPr>
          <w:p w14:paraId="7E51340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45</w:t>
            </w:r>
          </w:p>
        </w:tc>
        <w:tc>
          <w:tcPr>
            <w:tcW w:w="1111" w:type="pct"/>
            <w:tcBorders>
              <w:top w:val="single" w:color="000000" w:sz="6" w:space="0"/>
              <w:left w:val="single" w:color="000000" w:sz="6" w:space="0"/>
              <w:bottom w:val="single" w:color="000000" w:sz="6" w:space="0"/>
              <w:right w:val="single" w:color="auto" w:sz="4" w:space="0"/>
            </w:tcBorders>
            <w:vAlign w:val="center"/>
          </w:tcPr>
          <w:p w14:paraId="0CEFE45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463F492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45</w:t>
            </w:r>
          </w:p>
        </w:tc>
      </w:tr>
      <w:tr w14:paraId="783EE3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0D3BE38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1063" w:type="pct"/>
            <w:tcBorders>
              <w:top w:val="single" w:color="000000" w:sz="6" w:space="0"/>
              <w:left w:val="single" w:color="000000" w:sz="6" w:space="0"/>
              <w:bottom w:val="single" w:color="000000" w:sz="6" w:space="0"/>
              <w:right w:val="single" w:color="000000" w:sz="6" w:space="0"/>
            </w:tcBorders>
            <w:vAlign w:val="center"/>
          </w:tcPr>
          <w:p w14:paraId="2B9CEAB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LAS</w:t>
            </w:r>
          </w:p>
        </w:tc>
        <w:tc>
          <w:tcPr>
            <w:tcW w:w="1516" w:type="pct"/>
            <w:tcBorders>
              <w:top w:val="single" w:color="000000" w:sz="6" w:space="0"/>
              <w:left w:val="single" w:color="000000" w:sz="6" w:space="0"/>
              <w:bottom w:val="single" w:color="000000" w:sz="6" w:space="0"/>
              <w:right w:val="single" w:color="auto" w:sz="4" w:space="0"/>
            </w:tcBorders>
            <w:vAlign w:val="center"/>
          </w:tcPr>
          <w:p w14:paraId="338686A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c>
          <w:tcPr>
            <w:tcW w:w="1111" w:type="pct"/>
            <w:tcBorders>
              <w:top w:val="single" w:color="000000" w:sz="6" w:space="0"/>
              <w:left w:val="single" w:color="000000" w:sz="6" w:space="0"/>
              <w:bottom w:val="single" w:color="000000" w:sz="6" w:space="0"/>
              <w:right w:val="single" w:color="auto" w:sz="4" w:space="0"/>
            </w:tcBorders>
            <w:vAlign w:val="center"/>
          </w:tcPr>
          <w:p w14:paraId="5A1B68E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c>
          <w:tcPr>
            <w:tcW w:w="759" w:type="pct"/>
            <w:tcBorders>
              <w:top w:val="single" w:color="000000" w:sz="6" w:space="0"/>
              <w:left w:val="single" w:color="000000" w:sz="6" w:space="0"/>
              <w:bottom w:val="single" w:color="000000" w:sz="6" w:space="0"/>
              <w:right w:val="single" w:color="auto" w:sz="4" w:space="0"/>
            </w:tcBorders>
            <w:vAlign w:val="center"/>
          </w:tcPr>
          <w:p w14:paraId="4E55C815">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r>
      <w:tr w14:paraId="1777DE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12967BA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w:t>
            </w:r>
          </w:p>
        </w:tc>
        <w:tc>
          <w:tcPr>
            <w:tcW w:w="1063" w:type="pct"/>
            <w:tcBorders>
              <w:top w:val="single" w:color="000000" w:sz="6" w:space="0"/>
              <w:left w:val="single" w:color="000000" w:sz="6" w:space="0"/>
              <w:bottom w:val="single" w:color="000000" w:sz="6" w:space="0"/>
              <w:right w:val="single" w:color="000000" w:sz="6" w:space="0"/>
            </w:tcBorders>
            <w:vAlign w:val="center"/>
          </w:tcPr>
          <w:p w14:paraId="062A6292">
            <w:pPr>
              <w:pStyle w:val="28"/>
              <w:rPr>
                <w:bCs/>
                <w:color w:val="000000" w:themeColor="text1"/>
                <w14:textFill>
                  <w14:solidFill>
                    <w14:schemeClr w14:val="tx1"/>
                  </w14:solidFill>
                </w14:textFill>
              </w:rPr>
            </w:pPr>
            <w:r>
              <w:rPr>
                <w:bCs/>
                <w:color w:val="000000" w:themeColor="text1"/>
                <w14:textFill>
                  <w14:solidFill>
                    <w14:schemeClr w14:val="tx1"/>
                  </w14:solidFill>
                </w14:textFill>
              </w:rPr>
              <w:t>石油类</w:t>
            </w:r>
          </w:p>
        </w:tc>
        <w:tc>
          <w:tcPr>
            <w:tcW w:w="1516" w:type="pct"/>
            <w:tcBorders>
              <w:top w:val="single" w:color="000000" w:sz="6" w:space="0"/>
              <w:left w:val="single" w:color="000000" w:sz="6" w:space="0"/>
              <w:bottom w:val="single" w:color="000000" w:sz="6" w:space="0"/>
              <w:right w:val="single" w:color="auto" w:sz="4" w:space="0"/>
            </w:tcBorders>
            <w:vAlign w:val="center"/>
          </w:tcPr>
          <w:p w14:paraId="75F609F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111" w:type="pct"/>
            <w:tcBorders>
              <w:top w:val="single" w:color="000000" w:sz="6" w:space="0"/>
              <w:left w:val="single" w:color="000000" w:sz="6" w:space="0"/>
              <w:bottom w:val="single" w:color="000000" w:sz="6" w:space="0"/>
              <w:right w:val="single" w:color="auto" w:sz="4" w:space="0"/>
            </w:tcBorders>
            <w:vAlign w:val="center"/>
          </w:tcPr>
          <w:p w14:paraId="570DC6B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w:t>
            </w:r>
          </w:p>
        </w:tc>
        <w:tc>
          <w:tcPr>
            <w:tcW w:w="759" w:type="pct"/>
            <w:tcBorders>
              <w:top w:val="single" w:color="000000" w:sz="6" w:space="0"/>
              <w:left w:val="single" w:color="000000" w:sz="6" w:space="0"/>
              <w:bottom w:val="single" w:color="000000" w:sz="6" w:space="0"/>
              <w:right w:val="single" w:color="auto" w:sz="4" w:space="0"/>
            </w:tcBorders>
            <w:vAlign w:val="center"/>
          </w:tcPr>
          <w:p w14:paraId="2B905E3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r>
      <w:tr w14:paraId="3F3A5A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5BB33D25">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w:t>
            </w:r>
          </w:p>
        </w:tc>
        <w:tc>
          <w:tcPr>
            <w:tcW w:w="1063" w:type="pct"/>
            <w:tcBorders>
              <w:top w:val="single" w:color="000000" w:sz="6" w:space="0"/>
              <w:left w:val="single" w:color="000000" w:sz="6" w:space="0"/>
              <w:bottom w:val="single" w:color="000000" w:sz="6" w:space="0"/>
              <w:right w:val="single" w:color="000000" w:sz="6" w:space="0"/>
            </w:tcBorders>
            <w:vAlign w:val="center"/>
          </w:tcPr>
          <w:p w14:paraId="534E516E">
            <w:pPr>
              <w:pStyle w:val="28"/>
              <w:rPr>
                <w:bCs/>
                <w:color w:val="000000" w:themeColor="text1"/>
                <w14:textFill>
                  <w14:solidFill>
                    <w14:schemeClr w14:val="tx1"/>
                  </w14:solidFill>
                </w14:textFill>
              </w:rPr>
            </w:pPr>
            <w:r>
              <w:rPr>
                <w:bCs/>
                <w:color w:val="000000" w:themeColor="text1"/>
                <w14:textFill>
                  <w14:solidFill>
                    <w14:schemeClr w14:val="tx1"/>
                  </w14:solidFill>
                </w14:textFill>
              </w:rPr>
              <w:t>总余氯</w:t>
            </w:r>
          </w:p>
        </w:tc>
        <w:tc>
          <w:tcPr>
            <w:tcW w:w="1516" w:type="pct"/>
            <w:tcBorders>
              <w:top w:val="single" w:color="000000" w:sz="6" w:space="0"/>
              <w:left w:val="single" w:color="000000" w:sz="6" w:space="0"/>
              <w:bottom w:val="single" w:color="000000" w:sz="6" w:space="0"/>
              <w:right w:val="single" w:color="auto" w:sz="4" w:space="0"/>
            </w:tcBorders>
            <w:vAlign w:val="center"/>
          </w:tcPr>
          <w:p w14:paraId="0F669E6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1111" w:type="pct"/>
            <w:tcBorders>
              <w:top w:val="single" w:color="000000" w:sz="6" w:space="0"/>
              <w:left w:val="single" w:color="000000" w:sz="6" w:space="0"/>
              <w:bottom w:val="single" w:color="000000" w:sz="6" w:space="0"/>
              <w:right w:val="single" w:color="auto" w:sz="4" w:space="0"/>
            </w:tcBorders>
            <w:vAlign w:val="center"/>
          </w:tcPr>
          <w:p w14:paraId="3FB6590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1279CD44">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r>
      <w:tr w14:paraId="4DED1A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3F2BB50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w:t>
            </w:r>
          </w:p>
        </w:tc>
        <w:tc>
          <w:tcPr>
            <w:tcW w:w="1063" w:type="pct"/>
            <w:tcBorders>
              <w:top w:val="single" w:color="000000" w:sz="6" w:space="0"/>
              <w:left w:val="single" w:color="000000" w:sz="6" w:space="0"/>
              <w:bottom w:val="single" w:color="000000" w:sz="6" w:space="0"/>
              <w:right w:val="single" w:color="000000" w:sz="6" w:space="0"/>
            </w:tcBorders>
            <w:vAlign w:val="center"/>
          </w:tcPr>
          <w:p w14:paraId="2D5CD0A5">
            <w:pPr>
              <w:pStyle w:val="28"/>
              <w:rPr>
                <w:bCs/>
                <w:color w:val="000000" w:themeColor="text1"/>
                <w14:textFill>
                  <w14:solidFill>
                    <w14:schemeClr w14:val="tx1"/>
                  </w14:solidFill>
                </w14:textFill>
              </w:rPr>
            </w:pPr>
            <w:r>
              <w:rPr>
                <w:bCs/>
                <w:color w:val="000000" w:themeColor="text1"/>
                <w14:textFill>
                  <w14:solidFill>
                    <w14:schemeClr w14:val="tx1"/>
                  </w14:solidFill>
                </w14:textFill>
              </w:rPr>
              <w:t>溶解性总固体</w:t>
            </w:r>
          </w:p>
        </w:tc>
        <w:tc>
          <w:tcPr>
            <w:tcW w:w="1516" w:type="pct"/>
            <w:tcBorders>
              <w:top w:val="single" w:color="000000" w:sz="6" w:space="0"/>
              <w:left w:val="single" w:color="000000" w:sz="6" w:space="0"/>
              <w:bottom w:val="single" w:color="000000" w:sz="6" w:space="0"/>
              <w:right w:val="single" w:color="auto" w:sz="4" w:space="0"/>
            </w:tcBorders>
            <w:vAlign w:val="center"/>
          </w:tcPr>
          <w:p w14:paraId="3B68337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2000</w:t>
            </w:r>
          </w:p>
        </w:tc>
        <w:tc>
          <w:tcPr>
            <w:tcW w:w="1111" w:type="pct"/>
            <w:tcBorders>
              <w:top w:val="single" w:color="000000" w:sz="6" w:space="0"/>
              <w:left w:val="single" w:color="000000" w:sz="6" w:space="0"/>
              <w:bottom w:val="single" w:color="000000" w:sz="6" w:space="0"/>
              <w:right w:val="single" w:color="auto" w:sz="4" w:space="0"/>
            </w:tcBorders>
            <w:vAlign w:val="center"/>
          </w:tcPr>
          <w:p w14:paraId="460952E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3F5F1D5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2000</w:t>
            </w:r>
          </w:p>
        </w:tc>
      </w:tr>
      <w:tr w14:paraId="234648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550" w:type="pct"/>
            <w:tcBorders>
              <w:top w:val="single" w:color="000000" w:sz="6" w:space="0"/>
              <w:left w:val="single" w:color="auto" w:sz="4" w:space="0"/>
              <w:bottom w:val="single" w:color="000000" w:sz="6" w:space="0"/>
              <w:right w:val="single" w:color="000000" w:sz="6" w:space="0"/>
            </w:tcBorders>
            <w:vAlign w:val="center"/>
          </w:tcPr>
          <w:p w14:paraId="5EB0AEB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2</w:t>
            </w:r>
          </w:p>
        </w:tc>
        <w:tc>
          <w:tcPr>
            <w:tcW w:w="1063" w:type="pct"/>
            <w:tcBorders>
              <w:top w:val="single" w:color="000000" w:sz="6" w:space="0"/>
              <w:left w:val="single" w:color="000000" w:sz="6" w:space="0"/>
              <w:bottom w:val="single" w:color="000000" w:sz="6" w:space="0"/>
              <w:right w:val="single" w:color="000000" w:sz="6" w:space="0"/>
            </w:tcBorders>
            <w:vAlign w:val="center"/>
          </w:tcPr>
          <w:p w14:paraId="43E1950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色度（倍）</w:t>
            </w:r>
          </w:p>
        </w:tc>
        <w:tc>
          <w:tcPr>
            <w:tcW w:w="1516" w:type="pct"/>
            <w:tcBorders>
              <w:top w:val="single" w:color="000000" w:sz="6" w:space="0"/>
              <w:left w:val="single" w:color="000000" w:sz="6" w:space="0"/>
              <w:bottom w:val="single" w:color="000000" w:sz="6" w:space="0"/>
              <w:right w:val="single" w:color="auto" w:sz="4" w:space="0"/>
            </w:tcBorders>
            <w:vAlign w:val="center"/>
          </w:tcPr>
          <w:p w14:paraId="42A05B7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4</w:t>
            </w:r>
          </w:p>
        </w:tc>
        <w:tc>
          <w:tcPr>
            <w:tcW w:w="1111" w:type="pct"/>
            <w:tcBorders>
              <w:top w:val="single" w:color="000000" w:sz="6" w:space="0"/>
              <w:left w:val="single" w:color="000000" w:sz="6" w:space="0"/>
              <w:bottom w:val="single" w:color="000000" w:sz="6" w:space="0"/>
              <w:right w:val="single" w:color="auto" w:sz="4" w:space="0"/>
            </w:tcBorders>
            <w:vAlign w:val="center"/>
          </w:tcPr>
          <w:p w14:paraId="7D32197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759" w:type="pct"/>
            <w:tcBorders>
              <w:top w:val="single" w:color="000000" w:sz="6" w:space="0"/>
              <w:left w:val="single" w:color="000000" w:sz="6" w:space="0"/>
              <w:bottom w:val="single" w:color="000000" w:sz="6" w:space="0"/>
              <w:right w:val="single" w:color="auto" w:sz="4" w:space="0"/>
            </w:tcBorders>
            <w:vAlign w:val="center"/>
          </w:tcPr>
          <w:p w14:paraId="539CF25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4</w:t>
            </w:r>
          </w:p>
        </w:tc>
      </w:tr>
    </w:tbl>
    <w:p w14:paraId="41C0BC0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2、运营期</w:t>
      </w:r>
    </w:p>
    <w:p w14:paraId="7FB17D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本项目废水主要是生活污水和生产废水，生产废水主要是纯水制备废水、测试器具清洗废水、车间拖把清洁废水、冷却水循环系统定期排污水。</w:t>
      </w:r>
    </w:p>
    <w:p w14:paraId="677359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生活污水、车间拖把清洁废水依托现有化粪池预处理后通过云南捷辰包装材料有限公司以批复的排放口（DW001）排入市政污水管网，排入玉溪市污水处理厂。</w:t>
      </w:r>
    </w:p>
    <w:p w14:paraId="553AFF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经自建一体化污水处理站处理达标后通过生产废水排放口（DW002）排入云南捷辰包装材料有限公司已建成的污水管网，通过云南捷辰包装材料有限公司以批复的排放口（DW001）接入九纬路市政污水管网，最终进入玉溪市污水处理厂。</w:t>
      </w:r>
    </w:p>
    <w:p w14:paraId="0D9B8C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根据本项目原辅材料、生产工艺分析，本项目原辅材料不涉及重金属，生产工艺不涉及电极涂层、金属集流体预处理等，因此本项目废水污染物主要是SS、CODcr、BOD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、氨氮、总磷、硫化物，本项目废水不含重金属。本项目属于电子专用材料制造行业，该排放口执行《电子工业水污染物排放标准》（GB39731-2020），该标准中未规定电子专用材料硫化物、BOD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的限值，本环评硫化物、BOD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参照</w:t>
      </w:r>
      <w:r>
        <w:rPr>
          <w:rFonts w:hint="eastAsia" w:cs="Times New Roman"/>
          <w:color w:val="000000" w:themeColor="text1"/>
          <w14:textFill>
            <w14:solidFill>
              <w14:schemeClr w14:val="tx1"/>
            </w14:solidFill>
          </w14:textFill>
        </w:rPr>
        <w:t>《污水综合排放标准》（GB8978-1996）三级标准和《污水排入城镇下水道水质标准》（GB/T31962-2015）表1A等级标准，两者从严执行进行评价</w:t>
      </w:r>
      <w:r>
        <w:rPr>
          <w:rFonts w:hint="eastAsia"/>
          <w:color w:val="000000" w:themeColor="text1"/>
          <w14:textFill>
            <w14:solidFill>
              <w14:schemeClr w14:val="tx1"/>
            </w14:solidFill>
          </w14:textFill>
        </w:rPr>
        <w:t>。</w:t>
      </w:r>
    </w:p>
    <w:p w14:paraId="47885011">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本项目生活污水、车间拖把清洁废水依托云南捷辰包装材料有限公司已建成的化粪池处理后通过“印刷业务改扩建项目”已批复的排放口（DW001）进行排放通过市政污水管网，排入玉溪市污水处理厂。该排放口</w:t>
      </w:r>
      <w:r>
        <w:rPr>
          <w:rFonts w:hint="eastAsia" w:cs="Times New Roman"/>
          <w:color w:val="000000" w:themeColor="text1"/>
          <w14:textFill>
            <w14:solidFill>
              <w14:schemeClr w14:val="tx1"/>
            </w14:solidFill>
          </w14:textFill>
        </w:rPr>
        <w:t>执行《污水排入城镇下水道水质标准》（GB/T31962-2015）中表1 A等级标准及《污水综合排放标准》（GB8978-1996）表4三级。</w:t>
      </w:r>
    </w:p>
    <w:p w14:paraId="46F5B46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废水合并排放后，依托排放口执行《电子工业水污染物排放标准》（GB39731-2020）电子专用材料间接排放标准、《污水排入城镇下水道水质标准》（GB/T31962-2015）中表1 A等级标准及《污水综合排放标准》（GB8978-1996）表4三级，三者取严执行。</w:t>
      </w:r>
    </w:p>
    <w:p w14:paraId="537486D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根据《电子工业水污染物排放标准》（GB39731-2020）中表2，电子专用材料（其他） 单位产品基准排水量为5.0m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/t产品。</w:t>
      </w:r>
    </w:p>
    <w:p w14:paraId="1E114B3C">
      <w:pPr>
        <w:pStyle w:val="27"/>
        <w:rPr>
          <w:color w:val="000000" w:themeColor="text1"/>
          <w14:textFill>
            <w14:solidFill>
              <w14:schemeClr w14:val="tx1"/>
            </w14:solidFill>
          </w14:textFill>
        </w:rPr>
      </w:pPr>
    </w:p>
    <w:p w14:paraId="696D9E45">
      <w:pPr>
        <w:pStyle w:val="27"/>
        <w:rPr>
          <w:color w:val="000000" w:themeColor="text1"/>
          <w14:textFill>
            <w14:solidFill>
              <w14:schemeClr w14:val="tx1"/>
            </w14:solidFill>
          </w14:textFill>
        </w:rPr>
      </w:pPr>
    </w:p>
    <w:p w14:paraId="38670C07">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本项目污水接管标准  单位：mg/L</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18"/>
        <w:gridCol w:w="1164"/>
        <w:gridCol w:w="1919"/>
        <w:gridCol w:w="1919"/>
        <w:gridCol w:w="1493"/>
        <w:gridCol w:w="1506"/>
      </w:tblGrid>
      <w:tr w14:paraId="3236A6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auto" w:sz="4" w:space="0"/>
              <w:left w:val="single" w:color="auto" w:sz="4" w:space="0"/>
              <w:bottom w:val="single" w:color="auto" w:sz="4" w:space="0"/>
              <w:right w:val="single" w:color="000000" w:sz="6" w:space="0"/>
            </w:tcBorders>
            <w:vAlign w:val="center"/>
          </w:tcPr>
          <w:p w14:paraId="64453B69">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83" w:type="pct"/>
            <w:tcBorders>
              <w:top w:val="single" w:color="auto" w:sz="4" w:space="0"/>
              <w:left w:val="single" w:color="000000" w:sz="6" w:space="0"/>
              <w:bottom w:val="single" w:color="auto" w:sz="4" w:space="0"/>
              <w:right w:val="single" w:color="000000" w:sz="6" w:space="0"/>
            </w:tcBorders>
            <w:vAlign w:val="center"/>
          </w:tcPr>
          <w:p w14:paraId="4F0527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基本控制</w:t>
            </w:r>
            <w:r>
              <w:rPr>
                <w:color w:val="000000" w:themeColor="text1"/>
                <w14:textFill>
                  <w14:solidFill>
                    <w14:schemeClr w14:val="tx1"/>
                  </w14:solidFill>
                </w14:textFill>
              </w:rPr>
              <w:t>项目</w:t>
            </w:r>
          </w:p>
        </w:tc>
        <w:tc>
          <w:tcPr>
            <w:tcW w:w="1126" w:type="pct"/>
            <w:tcBorders>
              <w:top w:val="single" w:color="auto" w:sz="4" w:space="0"/>
              <w:left w:val="single" w:color="000000" w:sz="6" w:space="0"/>
              <w:bottom w:val="single" w:color="auto" w:sz="4" w:space="0"/>
              <w:right w:val="single" w:color="auto" w:sz="4" w:space="0"/>
            </w:tcBorders>
            <w:vAlign w:val="center"/>
          </w:tcPr>
          <w:p w14:paraId="13C18D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GB39731-2020</w:t>
            </w:r>
          </w:p>
          <w:p w14:paraId="0370F4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w:t>
            </w:r>
          </w:p>
        </w:tc>
        <w:tc>
          <w:tcPr>
            <w:tcW w:w="1126" w:type="pct"/>
            <w:tcBorders>
              <w:top w:val="single" w:color="auto" w:sz="4" w:space="0"/>
              <w:left w:val="single" w:color="000000" w:sz="6" w:space="0"/>
              <w:bottom w:val="single" w:color="auto" w:sz="4" w:space="0"/>
              <w:right w:val="single" w:color="auto" w:sz="4" w:space="0"/>
            </w:tcBorders>
            <w:vAlign w:val="center"/>
          </w:tcPr>
          <w:p w14:paraId="1F66B164">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GB/T31962-2015 </w:t>
            </w:r>
          </w:p>
          <w:p w14:paraId="41B013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A等级</w:t>
            </w:r>
          </w:p>
        </w:tc>
        <w:tc>
          <w:tcPr>
            <w:tcW w:w="876" w:type="pct"/>
            <w:tcBorders>
              <w:top w:val="single" w:color="auto" w:sz="4" w:space="0"/>
              <w:left w:val="single" w:color="000000" w:sz="6" w:space="0"/>
              <w:bottom w:val="single" w:color="auto" w:sz="4" w:space="0"/>
              <w:right w:val="single" w:color="auto" w:sz="4" w:space="0"/>
            </w:tcBorders>
            <w:vAlign w:val="center"/>
          </w:tcPr>
          <w:p w14:paraId="1AE655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B8978-1996</w:t>
            </w:r>
          </w:p>
          <w:p w14:paraId="11690B99">
            <w:pPr>
              <w:pStyle w:val="28"/>
              <w:rPr>
                <w:bCs/>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883" w:type="pct"/>
            <w:tcBorders>
              <w:top w:val="single" w:color="auto" w:sz="4" w:space="0"/>
              <w:left w:val="single" w:color="000000" w:sz="6" w:space="0"/>
              <w:bottom w:val="single" w:color="auto" w:sz="4" w:space="0"/>
              <w:right w:val="single" w:color="auto" w:sz="4" w:space="0"/>
            </w:tcBorders>
            <w:vAlign w:val="center"/>
          </w:tcPr>
          <w:p w14:paraId="05EEB8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本项目执行标准</w:t>
            </w:r>
          </w:p>
        </w:tc>
      </w:tr>
      <w:tr w14:paraId="59ABE0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auto" w:sz="4" w:space="0"/>
              <w:left w:val="single" w:color="auto" w:sz="4" w:space="0"/>
              <w:bottom w:val="single" w:color="000000" w:sz="6" w:space="0"/>
              <w:right w:val="single" w:color="000000" w:sz="6" w:space="0"/>
            </w:tcBorders>
            <w:vAlign w:val="center"/>
          </w:tcPr>
          <w:p w14:paraId="75973575">
            <w:pPr>
              <w:pStyle w:val="28"/>
              <w:rPr>
                <w:bCs/>
                <w:color w:val="000000" w:themeColor="text1"/>
                <w14:textFill>
                  <w14:solidFill>
                    <w14:schemeClr w14:val="tx1"/>
                  </w14:solidFill>
                </w14:textFill>
              </w:rPr>
            </w:pPr>
            <w:r>
              <w:rPr>
                <w:bCs/>
                <w:color w:val="000000" w:themeColor="text1"/>
                <w14:textFill>
                  <w14:solidFill>
                    <w14:schemeClr w14:val="tx1"/>
                  </w14:solidFill>
                </w14:textFill>
              </w:rPr>
              <w:t>1</w:t>
            </w:r>
          </w:p>
        </w:tc>
        <w:tc>
          <w:tcPr>
            <w:tcW w:w="683" w:type="pct"/>
            <w:tcBorders>
              <w:top w:val="single" w:color="auto" w:sz="4" w:space="0"/>
              <w:left w:val="single" w:color="000000" w:sz="6" w:space="0"/>
              <w:bottom w:val="single" w:color="000000" w:sz="6" w:space="0"/>
              <w:right w:val="single" w:color="000000" w:sz="6" w:space="0"/>
            </w:tcBorders>
            <w:vAlign w:val="center"/>
          </w:tcPr>
          <w:p w14:paraId="44EAC702">
            <w:pPr>
              <w:pStyle w:val="28"/>
              <w:rPr>
                <w:bCs/>
                <w:color w:val="000000" w:themeColor="text1"/>
                <w14:textFill>
                  <w14:solidFill>
                    <w14:schemeClr w14:val="tx1"/>
                  </w14:solidFill>
                </w14:textFill>
              </w:rPr>
            </w:pPr>
            <w:r>
              <w:rPr>
                <w:bCs/>
                <w:color w:val="000000" w:themeColor="text1"/>
                <w14:textFill>
                  <w14:solidFill>
                    <w14:schemeClr w14:val="tx1"/>
                  </w14:solidFill>
                </w14:textFill>
              </w:rPr>
              <w:t>pH</w:t>
            </w:r>
          </w:p>
        </w:tc>
        <w:tc>
          <w:tcPr>
            <w:tcW w:w="1126" w:type="pct"/>
            <w:tcBorders>
              <w:top w:val="single" w:color="auto" w:sz="4" w:space="0"/>
              <w:left w:val="single" w:color="000000" w:sz="6" w:space="0"/>
              <w:bottom w:val="single" w:color="000000" w:sz="6" w:space="0"/>
              <w:right w:val="single" w:color="auto" w:sz="4" w:space="0"/>
            </w:tcBorders>
            <w:vAlign w:val="center"/>
          </w:tcPr>
          <w:p w14:paraId="7DE17B2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6.0-9.0</w:t>
            </w:r>
          </w:p>
        </w:tc>
        <w:tc>
          <w:tcPr>
            <w:tcW w:w="1126" w:type="pct"/>
            <w:tcBorders>
              <w:top w:val="single" w:color="auto" w:sz="4" w:space="0"/>
              <w:left w:val="single" w:color="000000" w:sz="6" w:space="0"/>
              <w:bottom w:val="single" w:color="000000" w:sz="6" w:space="0"/>
              <w:right w:val="single" w:color="auto" w:sz="4" w:space="0"/>
            </w:tcBorders>
            <w:vAlign w:val="center"/>
          </w:tcPr>
          <w:p w14:paraId="4E3E88C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6.5-9.5</w:t>
            </w:r>
          </w:p>
        </w:tc>
        <w:tc>
          <w:tcPr>
            <w:tcW w:w="876" w:type="pct"/>
            <w:tcBorders>
              <w:top w:val="single" w:color="auto" w:sz="4" w:space="0"/>
              <w:left w:val="single" w:color="000000" w:sz="6" w:space="0"/>
              <w:bottom w:val="single" w:color="000000" w:sz="6" w:space="0"/>
              <w:right w:val="single" w:color="auto" w:sz="4" w:space="0"/>
            </w:tcBorders>
            <w:vAlign w:val="center"/>
          </w:tcPr>
          <w:p w14:paraId="5012B6E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6-9</w:t>
            </w:r>
          </w:p>
        </w:tc>
        <w:tc>
          <w:tcPr>
            <w:tcW w:w="883" w:type="pct"/>
            <w:tcBorders>
              <w:top w:val="single" w:color="auto" w:sz="4" w:space="0"/>
              <w:left w:val="single" w:color="000000" w:sz="6" w:space="0"/>
              <w:bottom w:val="single" w:color="000000" w:sz="6" w:space="0"/>
              <w:right w:val="single" w:color="auto" w:sz="4" w:space="0"/>
            </w:tcBorders>
            <w:vAlign w:val="center"/>
          </w:tcPr>
          <w:p w14:paraId="78FE952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6-9</w:t>
            </w:r>
          </w:p>
        </w:tc>
      </w:tr>
      <w:tr w14:paraId="43CC09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31C0A8C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683" w:type="pct"/>
            <w:tcBorders>
              <w:top w:val="single" w:color="000000" w:sz="6" w:space="0"/>
              <w:left w:val="single" w:color="000000" w:sz="6" w:space="0"/>
              <w:bottom w:val="single" w:color="000000" w:sz="6" w:space="0"/>
              <w:right w:val="single" w:color="000000" w:sz="6" w:space="0"/>
            </w:tcBorders>
            <w:vAlign w:val="center"/>
          </w:tcPr>
          <w:p w14:paraId="471691C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C</w:t>
            </w:r>
            <w:r>
              <w:rPr>
                <w:bCs/>
                <w:color w:val="000000" w:themeColor="text1"/>
                <w14:textFill>
                  <w14:solidFill>
                    <w14:schemeClr w14:val="tx1"/>
                  </w14:solidFill>
                </w14:textFill>
              </w:rPr>
              <w:t>OD</w:t>
            </w:r>
          </w:p>
        </w:tc>
        <w:tc>
          <w:tcPr>
            <w:tcW w:w="1126" w:type="pct"/>
            <w:tcBorders>
              <w:top w:val="single" w:color="000000" w:sz="6" w:space="0"/>
              <w:left w:val="single" w:color="000000" w:sz="6" w:space="0"/>
              <w:bottom w:val="single" w:color="000000" w:sz="6" w:space="0"/>
              <w:right w:val="single" w:color="auto" w:sz="4" w:space="0"/>
            </w:tcBorders>
            <w:vAlign w:val="center"/>
          </w:tcPr>
          <w:p w14:paraId="47E3A32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c>
          <w:tcPr>
            <w:tcW w:w="1126" w:type="pct"/>
            <w:tcBorders>
              <w:top w:val="single" w:color="000000" w:sz="6" w:space="0"/>
              <w:left w:val="single" w:color="000000" w:sz="6" w:space="0"/>
              <w:bottom w:val="single" w:color="000000" w:sz="6" w:space="0"/>
              <w:right w:val="single" w:color="auto" w:sz="4" w:space="0"/>
            </w:tcBorders>
            <w:vAlign w:val="center"/>
          </w:tcPr>
          <w:p w14:paraId="02F73F4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c>
          <w:tcPr>
            <w:tcW w:w="876" w:type="pct"/>
            <w:tcBorders>
              <w:top w:val="single" w:color="000000" w:sz="6" w:space="0"/>
              <w:left w:val="single" w:color="000000" w:sz="6" w:space="0"/>
              <w:bottom w:val="single" w:color="000000" w:sz="6" w:space="0"/>
              <w:right w:val="single" w:color="auto" w:sz="4" w:space="0"/>
            </w:tcBorders>
            <w:vAlign w:val="center"/>
          </w:tcPr>
          <w:p w14:paraId="62424E8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c>
          <w:tcPr>
            <w:tcW w:w="883" w:type="pct"/>
            <w:tcBorders>
              <w:top w:val="single" w:color="000000" w:sz="6" w:space="0"/>
              <w:left w:val="single" w:color="000000" w:sz="6" w:space="0"/>
              <w:bottom w:val="single" w:color="000000" w:sz="6" w:space="0"/>
              <w:right w:val="single" w:color="auto" w:sz="4" w:space="0"/>
            </w:tcBorders>
            <w:vAlign w:val="center"/>
          </w:tcPr>
          <w:p w14:paraId="24CC119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500</w:t>
            </w:r>
          </w:p>
        </w:tc>
      </w:tr>
      <w:tr w14:paraId="7DEF50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0583215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683" w:type="pct"/>
            <w:tcBorders>
              <w:top w:val="single" w:color="000000" w:sz="6" w:space="0"/>
              <w:left w:val="single" w:color="000000" w:sz="6" w:space="0"/>
              <w:bottom w:val="single" w:color="000000" w:sz="6" w:space="0"/>
              <w:right w:val="single" w:color="000000" w:sz="6" w:space="0"/>
            </w:tcBorders>
            <w:vAlign w:val="center"/>
          </w:tcPr>
          <w:p w14:paraId="12A2F19B">
            <w:pPr>
              <w:pStyle w:val="28"/>
              <w:rPr>
                <w:bCs/>
                <w:color w:val="000000" w:themeColor="text1"/>
                <w14:textFill>
                  <w14:solidFill>
                    <w14:schemeClr w14:val="tx1"/>
                  </w14:solidFill>
                </w14:textFill>
              </w:rPr>
            </w:pPr>
            <w:r>
              <w:rPr>
                <w:bCs/>
                <w:color w:val="000000" w:themeColor="text1"/>
                <w14:textFill>
                  <w14:solidFill>
                    <w14:schemeClr w14:val="tx1"/>
                  </w14:solidFill>
                </w14:textFill>
              </w:rPr>
              <w:t>BOD</w:t>
            </w:r>
            <w:r>
              <w:rPr>
                <w:bCs/>
                <w:color w:val="000000" w:themeColor="text1"/>
                <w:vertAlign w:val="subscript"/>
                <w14:textFill>
                  <w14:solidFill>
                    <w14:schemeClr w14:val="tx1"/>
                  </w14:solidFill>
                </w14:textFill>
              </w:rPr>
              <w:t>5</w:t>
            </w:r>
          </w:p>
        </w:tc>
        <w:tc>
          <w:tcPr>
            <w:tcW w:w="1126" w:type="pct"/>
            <w:tcBorders>
              <w:top w:val="single" w:color="000000" w:sz="6" w:space="0"/>
              <w:left w:val="single" w:color="000000" w:sz="6" w:space="0"/>
              <w:bottom w:val="single" w:color="000000" w:sz="6" w:space="0"/>
              <w:right w:val="single" w:color="auto" w:sz="4" w:space="0"/>
            </w:tcBorders>
            <w:vAlign w:val="center"/>
          </w:tcPr>
          <w:p w14:paraId="101B897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126" w:type="pct"/>
            <w:tcBorders>
              <w:top w:val="single" w:color="000000" w:sz="6" w:space="0"/>
              <w:left w:val="single" w:color="000000" w:sz="6" w:space="0"/>
              <w:bottom w:val="single" w:color="000000" w:sz="6" w:space="0"/>
              <w:right w:val="single" w:color="auto" w:sz="4" w:space="0"/>
            </w:tcBorders>
            <w:vAlign w:val="center"/>
          </w:tcPr>
          <w:p w14:paraId="0B75A95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350</w:t>
            </w:r>
          </w:p>
        </w:tc>
        <w:tc>
          <w:tcPr>
            <w:tcW w:w="876" w:type="pct"/>
            <w:tcBorders>
              <w:top w:val="single" w:color="000000" w:sz="6" w:space="0"/>
              <w:left w:val="single" w:color="000000" w:sz="6" w:space="0"/>
              <w:bottom w:val="single" w:color="000000" w:sz="6" w:space="0"/>
              <w:right w:val="single" w:color="auto" w:sz="4" w:space="0"/>
            </w:tcBorders>
            <w:vAlign w:val="center"/>
          </w:tcPr>
          <w:p w14:paraId="3BEE6C4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300</w:t>
            </w:r>
          </w:p>
        </w:tc>
        <w:tc>
          <w:tcPr>
            <w:tcW w:w="883" w:type="pct"/>
            <w:tcBorders>
              <w:top w:val="single" w:color="000000" w:sz="6" w:space="0"/>
              <w:left w:val="single" w:color="000000" w:sz="6" w:space="0"/>
              <w:bottom w:val="single" w:color="000000" w:sz="6" w:space="0"/>
              <w:right w:val="single" w:color="auto" w:sz="4" w:space="0"/>
            </w:tcBorders>
            <w:vAlign w:val="center"/>
          </w:tcPr>
          <w:p w14:paraId="44BC1145">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300</w:t>
            </w:r>
          </w:p>
        </w:tc>
      </w:tr>
      <w:tr w14:paraId="4615B5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60E176BF">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683" w:type="pct"/>
            <w:tcBorders>
              <w:top w:val="single" w:color="000000" w:sz="6" w:space="0"/>
              <w:left w:val="single" w:color="000000" w:sz="6" w:space="0"/>
              <w:bottom w:val="single" w:color="000000" w:sz="6" w:space="0"/>
              <w:right w:val="single" w:color="000000" w:sz="6" w:space="0"/>
            </w:tcBorders>
            <w:vAlign w:val="center"/>
          </w:tcPr>
          <w:p w14:paraId="4495744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S</w:t>
            </w:r>
            <w:r>
              <w:rPr>
                <w:bCs/>
                <w:color w:val="000000" w:themeColor="text1"/>
                <w14:textFill>
                  <w14:solidFill>
                    <w14:schemeClr w14:val="tx1"/>
                  </w14:solidFill>
                </w14:textFill>
              </w:rPr>
              <w:t>S</w:t>
            </w:r>
          </w:p>
        </w:tc>
        <w:tc>
          <w:tcPr>
            <w:tcW w:w="1126" w:type="pct"/>
            <w:tcBorders>
              <w:top w:val="single" w:color="000000" w:sz="6" w:space="0"/>
              <w:left w:val="single" w:color="000000" w:sz="6" w:space="0"/>
              <w:bottom w:val="single" w:color="000000" w:sz="6" w:space="0"/>
              <w:right w:val="single" w:color="auto" w:sz="4" w:space="0"/>
            </w:tcBorders>
            <w:vAlign w:val="center"/>
          </w:tcPr>
          <w:p w14:paraId="349B6B9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c>
          <w:tcPr>
            <w:tcW w:w="1126" w:type="pct"/>
            <w:tcBorders>
              <w:top w:val="single" w:color="000000" w:sz="6" w:space="0"/>
              <w:left w:val="single" w:color="000000" w:sz="6" w:space="0"/>
              <w:bottom w:val="single" w:color="000000" w:sz="6" w:space="0"/>
              <w:right w:val="single" w:color="auto" w:sz="4" w:space="0"/>
            </w:tcBorders>
            <w:vAlign w:val="center"/>
          </w:tcPr>
          <w:p w14:paraId="497A58F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c>
          <w:tcPr>
            <w:tcW w:w="876" w:type="pct"/>
            <w:tcBorders>
              <w:top w:val="single" w:color="000000" w:sz="6" w:space="0"/>
              <w:left w:val="single" w:color="000000" w:sz="6" w:space="0"/>
              <w:bottom w:val="single" w:color="000000" w:sz="6" w:space="0"/>
              <w:right w:val="single" w:color="auto" w:sz="4" w:space="0"/>
            </w:tcBorders>
            <w:vAlign w:val="center"/>
          </w:tcPr>
          <w:p w14:paraId="75B4CE6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c>
          <w:tcPr>
            <w:tcW w:w="883" w:type="pct"/>
            <w:tcBorders>
              <w:top w:val="single" w:color="000000" w:sz="6" w:space="0"/>
              <w:left w:val="single" w:color="000000" w:sz="6" w:space="0"/>
              <w:bottom w:val="single" w:color="000000" w:sz="6" w:space="0"/>
              <w:right w:val="single" w:color="auto" w:sz="4" w:space="0"/>
            </w:tcBorders>
            <w:vAlign w:val="center"/>
          </w:tcPr>
          <w:p w14:paraId="345F463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400</w:t>
            </w:r>
          </w:p>
        </w:tc>
      </w:tr>
      <w:tr w14:paraId="43F190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49DFC8B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683" w:type="pct"/>
            <w:tcBorders>
              <w:top w:val="single" w:color="000000" w:sz="6" w:space="0"/>
              <w:left w:val="single" w:color="000000" w:sz="6" w:space="0"/>
              <w:bottom w:val="single" w:color="000000" w:sz="6" w:space="0"/>
              <w:right w:val="single" w:color="000000" w:sz="6" w:space="0"/>
            </w:tcBorders>
            <w:vAlign w:val="center"/>
          </w:tcPr>
          <w:p w14:paraId="2923BB3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总磷</w:t>
            </w:r>
          </w:p>
        </w:tc>
        <w:tc>
          <w:tcPr>
            <w:tcW w:w="1126" w:type="pct"/>
            <w:tcBorders>
              <w:top w:val="single" w:color="000000" w:sz="6" w:space="0"/>
              <w:left w:val="single" w:color="000000" w:sz="6" w:space="0"/>
              <w:bottom w:val="single" w:color="000000" w:sz="6" w:space="0"/>
              <w:right w:val="single" w:color="auto" w:sz="4" w:space="0"/>
            </w:tcBorders>
            <w:vAlign w:val="center"/>
          </w:tcPr>
          <w:p w14:paraId="5AD229A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8.0</w:t>
            </w:r>
          </w:p>
        </w:tc>
        <w:tc>
          <w:tcPr>
            <w:tcW w:w="1126" w:type="pct"/>
            <w:tcBorders>
              <w:top w:val="single" w:color="000000" w:sz="6" w:space="0"/>
              <w:left w:val="single" w:color="000000" w:sz="6" w:space="0"/>
              <w:bottom w:val="single" w:color="000000" w:sz="6" w:space="0"/>
              <w:right w:val="single" w:color="auto" w:sz="4" w:space="0"/>
            </w:tcBorders>
            <w:vAlign w:val="center"/>
          </w:tcPr>
          <w:p w14:paraId="4B951BD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876" w:type="pct"/>
            <w:tcBorders>
              <w:top w:val="single" w:color="000000" w:sz="6" w:space="0"/>
              <w:left w:val="single" w:color="000000" w:sz="6" w:space="0"/>
              <w:bottom w:val="single" w:color="000000" w:sz="6" w:space="0"/>
              <w:right w:val="single" w:color="auto" w:sz="4" w:space="0"/>
            </w:tcBorders>
            <w:vAlign w:val="center"/>
          </w:tcPr>
          <w:p w14:paraId="325948E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83" w:type="pct"/>
            <w:tcBorders>
              <w:top w:val="single" w:color="000000" w:sz="6" w:space="0"/>
              <w:left w:val="single" w:color="000000" w:sz="6" w:space="0"/>
              <w:bottom w:val="single" w:color="000000" w:sz="6" w:space="0"/>
              <w:right w:val="single" w:color="auto" w:sz="4" w:space="0"/>
            </w:tcBorders>
            <w:vAlign w:val="center"/>
          </w:tcPr>
          <w:p w14:paraId="264F1BF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r>
      <w:tr w14:paraId="2E633A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254A04E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683" w:type="pct"/>
            <w:tcBorders>
              <w:top w:val="single" w:color="000000" w:sz="6" w:space="0"/>
              <w:left w:val="single" w:color="000000" w:sz="6" w:space="0"/>
              <w:bottom w:val="single" w:color="000000" w:sz="6" w:space="0"/>
              <w:right w:val="single" w:color="000000" w:sz="6" w:space="0"/>
            </w:tcBorders>
            <w:vAlign w:val="center"/>
          </w:tcPr>
          <w:p w14:paraId="23AB5A94">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总氮</w:t>
            </w:r>
          </w:p>
        </w:tc>
        <w:tc>
          <w:tcPr>
            <w:tcW w:w="1126" w:type="pct"/>
            <w:tcBorders>
              <w:top w:val="single" w:color="000000" w:sz="6" w:space="0"/>
              <w:left w:val="single" w:color="000000" w:sz="6" w:space="0"/>
              <w:bottom w:val="single" w:color="000000" w:sz="6" w:space="0"/>
              <w:right w:val="single" w:color="auto" w:sz="4" w:space="0"/>
            </w:tcBorders>
            <w:vAlign w:val="center"/>
          </w:tcPr>
          <w:p w14:paraId="7FBEA3DF">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70</w:t>
            </w:r>
          </w:p>
        </w:tc>
        <w:tc>
          <w:tcPr>
            <w:tcW w:w="1126" w:type="pct"/>
            <w:tcBorders>
              <w:top w:val="single" w:color="000000" w:sz="6" w:space="0"/>
              <w:left w:val="single" w:color="000000" w:sz="6" w:space="0"/>
              <w:bottom w:val="single" w:color="000000" w:sz="6" w:space="0"/>
              <w:right w:val="single" w:color="auto" w:sz="4" w:space="0"/>
            </w:tcBorders>
            <w:vAlign w:val="center"/>
          </w:tcPr>
          <w:p w14:paraId="4FA1A67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70</w:t>
            </w:r>
          </w:p>
        </w:tc>
        <w:tc>
          <w:tcPr>
            <w:tcW w:w="876" w:type="pct"/>
            <w:tcBorders>
              <w:top w:val="single" w:color="000000" w:sz="6" w:space="0"/>
              <w:left w:val="single" w:color="000000" w:sz="6" w:space="0"/>
              <w:bottom w:val="single" w:color="000000" w:sz="6" w:space="0"/>
              <w:right w:val="single" w:color="auto" w:sz="4" w:space="0"/>
            </w:tcBorders>
            <w:vAlign w:val="center"/>
          </w:tcPr>
          <w:p w14:paraId="077CC24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83" w:type="pct"/>
            <w:tcBorders>
              <w:top w:val="single" w:color="000000" w:sz="6" w:space="0"/>
              <w:left w:val="single" w:color="000000" w:sz="6" w:space="0"/>
              <w:bottom w:val="single" w:color="000000" w:sz="6" w:space="0"/>
              <w:right w:val="single" w:color="auto" w:sz="4" w:space="0"/>
            </w:tcBorders>
            <w:vAlign w:val="center"/>
          </w:tcPr>
          <w:p w14:paraId="583618D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70</w:t>
            </w:r>
          </w:p>
        </w:tc>
      </w:tr>
      <w:tr w14:paraId="4EFFD9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2FBDD2A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683" w:type="pct"/>
            <w:tcBorders>
              <w:top w:val="single" w:color="000000" w:sz="6" w:space="0"/>
              <w:left w:val="single" w:color="000000" w:sz="6" w:space="0"/>
              <w:bottom w:val="single" w:color="000000" w:sz="6" w:space="0"/>
              <w:right w:val="single" w:color="000000" w:sz="6" w:space="0"/>
            </w:tcBorders>
            <w:vAlign w:val="center"/>
          </w:tcPr>
          <w:p w14:paraId="20466B98">
            <w:pPr>
              <w:pStyle w:val="28"/>
              <w:rPr>
                <w:bCs/>
                <w:color w:val="000000" w:themeColor="text1"/>
                <w14:textFill>
                  <w14:solidFill>
                    <w14:schemeClr w14:val="tx1"/>
                  </w14:solidFill>
                </w14:textFill>
              </w:rPr>
            </w:pPr>
            <w:r>
              <w:rPr>
                <w:bCs/>
                <w:color w:val="000000" w:themeColor="text1"/>
                <w14:textFill>
                  <w14:solidFill>
                    <w14:schemeClr w14:val="tx1"/>
                  </w14:solidFill>
                </w14:textFill>
              </w:rPr>
              <w:t>氨氮</w:t>
            </w:r>
          </w:p>
        </w:tc>
        <w:tc>
          <w:tcPr>
            <w:tcW w:w="1126" w:type="pct"/>
            <w:tcBorders>
              <w:top w:val="single" w:color="000000" w:sz="6" w:space="0"/>
              <w:left w:val="single" w:color="000000" w:sz="6" w:space="0"/>
              <w:bottom w:val="single" w:color="000000" w:sz="6" w:space="0"/>
              <w:right w:val="single" w:color="auto" w:sz="4" w:space="0"/>
            </w:tcBorders>
            <w:vAlign w:val="center"/>
          </w:tcPr>
          <w:p w14:paraId="489A586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45</w:t>
            </w:r>
          </w:p>
        </w:tc>
        <w:tc>
          <w:tcPr>
            <w:tcW w:w="1126" w:type="pct"/>
            <w:tcBorders>
              <w:top w:val="single" w:color="000000" w:sz="6" w:space="0"/>
              <w:left w:val="single" w:color="000000" w:sz="6" w:space="0"/>
              <w:bottom w:val="single" w:color="000000" w:sz="6" w:space="0"/>
              <w:right w:val="single" w:color="auto" w:sz="4" w:space="0"/>
            </w:tcBorders>
            <w:vAlign w:val="center"/>
          </w:tcPr>
          <w:p w14:paraId="643EF58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45</w:t>
            </w:r>
          </w:p>
        </w:tc>
        <w:tc>
          <w:tcPr>
            <w:tcW w:w="876" w:type="pct"/>
            <w:tcBorders>
              <w:top w:val="single" w:color="000000" w:sz="6" w:space="0"/>
              <w:left w:val="single" w:color="000000" w:sz="6" w:space="0"/>
              <w:bottom w:val="single" w:color="000000" w:sz="6" w:space="0"/>
              <w:right w:val="single" w:color="auto" w:sz="4" w:space="0"/>
            </w:tcBorders>
            <w:vAlign w:val="center"/>
          </w:tcPr>
          <w:p w14:paraId="5E5E5B7D">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83" w:type="pct"/>
            <w:tcBorders>
              <w:top w:val="single" w:color="000000" w:sz="6" w:space="0"/>
              <w:left w:val="single" w:color="000000" w:sz="6" w:space="0"/>
              <w:bottom w:val="single" w:color="000000" w:sz="6" w:space="0"/>
              <w:right w:val="single" w:color="auto" w:sz="4" w:space="0"/>
            </w:tcBorders>
            <w:vAlign w:val="center"/>
          </w:tcPr>
          <w:p w14:paraId="64E8B8A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45</w:t>
            </w:r>
          </w:p>
        </w:tc>
      </w:tr>
      <w:tr w14:paraId="6F3649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4851456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12</w:t>
            </w:r>
          </w:p>
        </w:tc>
        <w:tc>
          <w:tcPr>
            <w:tcW w:w="683" w:type="pct"/>
            <w:tcBorders>
              <w:top w:val="single" w:color="000000" w:sz="6" w:space="0"/>
              <w:left w:val="single" w:color="000000" w:sz="6" w:space="0"/>
              <w:bottom w:val="single" w:color="000000" w:sz="6" w:space="0"/>
              <w:right w:val="single" w:color="000000" w:sz="6" w:space="0"/>
            </w:tcBorders>
            <w:vAlign w:val="center"/>
          </w:tcPr>
          <w:p w14:paraId="70DFA80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硫化物</w:t>
            </w:r>
          </w:p>
        </w:tc>
        <w:tc>
          <w:tcPr>
            <w:tcW w:w="1126" w:type="pct"/>
            <w:tcBorders>
              <w:top w:val="single" w:color="000000" w:sz="6" w:space="0"/>
              <w:left w:val="single" w:color="000000" w:sz="6" w:space="0"/>
              <w:bottom w:val="single" w:color="000000" w:sz="6" w:space="0"/>
              <w:right w:val="single" w:color="auto" w:sz="4" w:space="0"/>
            </w:tcBorders>
            <w:vAlign w:val="center"/>
          </w:tcPr>
          <w:p w14:paraId="4F3CFB5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1126" w:type="pct"/>
            <w:tcBorders>
              <w:top w:val="single" w:color="000000" w:sz="6" w:space="0"/>
              <w:left w:val="single" w:color="000000" w:sz="6" w:space="0"/>
              <w:bottom w:val="single" w:color="000000" w:sz="6" w:space="0"/>
              <w:right w:val="single" w:color="auto" w:sz="4" w:space="0"/>
            </w:tcBorders>
            <w:vAlign w:val="center"/>
          </w:tcPr>
          <w:p w14:paraId="71821AE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876" w:type="pct"/>
            <w:tcBorders>
              <w:top w:val="single" w:color="000000" w:sz="6" w:space="0"/>
              <w:left w:val="single" w:color="000000" w:sz="6" w:space="0"/>
              <w:bottom w:val="single" w:color="000000" w:sz="6" w:space="0"/>
              <w:right w:val="single" w:color="auto" w:sz="4" w:space="0"/>
            </w:tcBorders>
            <w:vAlign w:val="center"/>
          </w:tcPr>
          <w:p w14:paraId="274E1C6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883" w:type="pct"/>
            <w:tcBorders>
              <w:top w:val="single" w:color="000000" w:sz="6" w:space="0"/>
              <w:left w:val="single" w:color="000000" w:sz="6" w:space="0"/>
              <w:bottom w:val="single" w:color="000000" w:sz="6" w:space="0"/>
              <w:right w:val="single" w:color="auto" w:sz="4" w:space="0"/>
            </w:tcBorders>
            <w:vAlign w:val="center"/>
          </w:tcPr>
          <w:p w14:paraId="7AA38BC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r>
      <w:tr w14:paraId="24BBC7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04" w:type="pct"/>
            <w:tcBorders>
              <w:top w:val="single" w:color="000000" w:sz="6" w:space="0"/>
              <w:left w:val="single" w:color="auto" w:sz="4" w:space="0"/>
              <w:bottom w:val="single" w:color="000000" w:sz="6" w:space="0"/>
              <w:right w:val="single" w:color="000000" w:sz="6" w:space="0"/>
            </w:tcBorders>
            <w:vAlign w:val="center"/>
          </w:tcPr>
          <w:p w14:paraId="041FB7E4">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13</w:t>
            </w:r>
          </w:p>
        </w:tc>
        <w:tc>
          <w:tcPr>
            <w:tcW w:w="683" w:type="pct"/>
            <w:tcBorders>
              <w:top w:val="single" w:color="000000" w:sz="6" w:space="0"/>
              <w:left w:val="single" w:color="000000" w:sz="6" w:space="0"/>
              <w:bottom w:val="single" w:color="000000" w:sz="6" w:space="0"/>
              <w:right w:val="single" w:color="000000" w:sz="6" w:space="0"/>
            </w:tcBorders>
            <w:vAlign w:val="center"/>
          </w:tcPr>
          <w:p w14:paraId="603E409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石油类</w:t>
            </w:r>
          </w:p>
        </w:tc>
        <w:tc>
          <w:tcPr>
            <w:tcW w:w="1126" w:type="pct"/>
            <w:tcBorders>
              <w:top w:val="single" w:color="000000" w:sz="6" w:space="0"/>
              <w:left w:val="single" w:color="000000" w:sz="6" w:space="0"/>
              <w:bottom w:val="single" w:color="000000" w:sz="6" w:space="0"/>
              <w:right w:val="single" w:color="auto" w:sz="4" w:space="0"/>
            </w:tcBorders>
            <w:vAlign w:val="center"/>
          </w:tcPr>
          <w:p w14:paraId="62B8E72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c>
          <w:tcPr>
            <w:tcW w:w="1126" w:type="pct"/>
            <w:tcBorders>
              <w:top w:val="single" w:color="000000" w:sz="6" w:space="0"/>
              <w:left w:val="single" w:color="000000" w:sz="6" w:space="0"/>
              <w:bottom w:val="single" w:color="000000" w:sz="6" w:space="0"/>
              <w:right w:val="single" w:color="auto" w:sz="4" w:space="0"/>
            </w:tcBorders>
            <w:vAlign w:val="center"/>
          </w:tcPr>
          <w:p w14:paraId="1441C83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876" w:type="pct"/>
            <w:tcBorders>
              <w:top w:val="single" w:color="000000" w:sz="6" w:space="0"/>
              <w:left w:val="single" w:color="000000" w:sz="6" w:space="0"/>
              <w:bottom w:val="single" w:color="000000" w:sz="6" w:space="0"/>
              <w:right w:val="single" w:color="auto" w:sz="4" w:space="0"/>
            </w:tcBorders>
            <w:vAlign w:val="center"/>
          </w:tcPr>
          <w:p w14:paraId="5EA5F49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30</w:t>
            </w:r>
          </w:p>
        </w:tc>
        <w:tc>
          <w:tcPr>
            <w:tcW w:w="883" w:type="pct"/>
            <w:tcBorders>
              <w:top w:val="single" w:color="000000" w:sz="6" w:space="0"/>
              <w:left w:val="single" w:color="000000" w:sz="6" w:space="0"/>
              <w:bottom w:val="single" w:color="000000" w:sz="6" w:space="0"/>
              <w:right w:val="single" w:color="auto" w:sz="4" w:space="0"/>
            </w:tcBorders>
            <w:vAlign w:val="center"/>
          </w:tcPr>
          <w:p w14:paraId="71A1451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r>
    </w:tbl>
    <w:p w14:paraId="10B3748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1.6.2.3 噪声</w:t>
      </w:r>
    </w:p>
    <w:p w14:paraId="1FF3B0D0">
      <w:pPr>
        <w:keepLines/>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w:t>
      </w:r>
    </w:p>
    <w:p w14:paraId="69C107E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项目施工期噪声排放执行《建筑施工噪声排放标准》（GB12523-2025）。</w:t>
      </w:r>
    </w:p>
    <w:p w14:paraId="7C36D09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12  建筑施工噪声排放标准（单位：</w:t>
      </w:r>
      <w:r>
        <w:rPr>
          <w:color w:val="000000" w:themeColor="text1"/>
          <w14:textFill>
            <w14:solidFill>
              <w14:schemeClr w14:val="tx1"/>
            </w14:solidFill>
          </w14:textFill>
        </w:rPr>
        <w:t>dB(A)</w:t>
      </w:r>
      <w:r>
        <w:rPr>
          <w:rFonts w:hint="eastAsia"/>
          <w:color w:val="000000" w:themeColor="text1"/>
          <w14:textFill>
            <w14:solidFill>
              <w14:schemeClr w14:val="tx1"/>
            </w14:solidFill>
          </w14:textFill>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7"/>
        <w:gridCol w:w="4459"/>
      </w:tblGrid>
      <w:tr w14:paraId="53B2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7" w:type="dxa"/>
            <w:vAlign w:val="center"/>
          </w:tcPr>
          <w:p w14:paraId="3F033D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4459" w:type="dxa"/>
            <w:vAlign w:val="center"/>
          </w:tcPr>
          <w:p w14:paraId="5215EE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5A27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7" w:type="dxa"/>
            <w:vAlign w:val="center"/>
          </w:tcPr>
          <w:p w14:paraId="2DDD50C9">
            <w:pPr>
              <w:pStyle w:val="28"/>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459" w:type="dxa"/>
            <w:vAlign w:val="center"/>
          </w:tcPr>
          <w:p w14:paraId="16CDD801">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r>
    </w:tbl>
    <w:p w14:paraId="2DFA1796">
      <w:pPr>
        <w:keepLines/>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2、运营期</w:t>
      </w:r>
    </w:p>
    <w:p w14:paraId="4F8A9DE2">
      <w:pPr>
        <w:keepLines/>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运营期厂界噪声标准执行《工业企业厂界环境噪声排放标准》（GB12348-2008）中3类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4类</w:t>
      </w:r>
      <w:r>
        <w:rPr>
          <w:rFonts w:hint="eastAsia"/>
          <w:color w:val="000000" w:themeColor="text1"/>
          <w14:textFill>
            <w14:solidFill>
              <w14:schemeClr w14:val="tx1"/>
            </w14:solidFill>
          </w14:textFill>
        </w:rPr>
        <w:t>标准。</w:t>
      </w:r>
    </w:p>
    <w:p w14:paraId="13D7D972">
      <w:pPr>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表1.6-8 《工业企业厂界环境噪声排放标准》 （dB（A））</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14:paraId="24D6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ABDA4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250" w:type="pct"/>
            <w:vAlign w:val="center"/>
          </w:tcPr>
          <w:p w14:paraId="386D39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250" w:type="pct"/>
            <w:vAlign w:val="center"/>
          </w:tcPr>
          <w:p w14:paraId="513DBA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250" w:type="pct"/>
            <w:vAlign w:val="center"/>
          </w:tcPr>
          <w:p w14:paraId="736B0BFB">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r>
      <w:tr w14:paraId="5DAD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D380685">
            <w:pPr>
              <w:pStyle w:val="2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类</w:t>
            </w:r>
          </w:p>
        </w:tc>
        <w:tc>
          <w:tcPr>
            <w:tcW w:w="1250" w:type="pct"/>
            <w:vAlign w:val="center"/>
          </w:tcPr>
          <w:p w14:paraId="695F22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250" w:type="pct"/>
            <w:vAlign w:val="center"/>
          </w:tcPr>
          <w:p w14:paraId="01B342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250" w:type="pct"/>
            <w:shd w:val="clear" w:color="auto" w:fill="auto"/>
            <w:vAlign w:val="center"/>
          </w:tcPr>
          <w:p w14:paraId="5D347B0A">
            <w:pPr>
              <w:spacing w:line="240" w:lineRule="auto"/>
              <w:ind w:firstLine="0" w:firstLineChars="0"/>
              <w:jc w:val="center"/>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厂界东、南、北</w:t>
            </w:r>
          </w:p>
        </w:tc>
      </w:tr>
      <w:tr w14:paraId="0D89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02A5934">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4类</w:t>
            </w:r>
          </w:p>
        </w:tc>
        <w:tc>
          <w:tcPr>
            <w:tcW w:w="1250" w:type="pct"/>
            <w:vAlign w:val="center"/>
          </w:tcPr>
          <w:p w14:paraId="54579BBB">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1250" w:type="pct"/>
            <w:vAlign w:val="center"/>
          </w:tcPr>
          <w:p w14:paraId="4614D8E8">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1250" w:type="pct"/>
            <w:shd w:val="clear" w:color="auto" w:fill="auto"/>
            <w:vAlign w:val="center"/>
          </w:tcPr>
          <w:p w14:paraId="2EA1DA30">
            <w:pPr>
              <w:spacing w:line="240" w:lineRule="auto"/>
              <w:ind w:firstLine="0" w:firstLineChars="0"/>
              <w:jc w:val="center"/>
              <w:rPr>
                <w:rFonts w:hint="eastAsia"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厂界西</w:t>
            </w:r>
          </w:p>
        </w:tc>
      </w:tr>
    </w:tbl>
    <w:p w14:paraId="6EE3D1D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1.6.2.4固废</w:t>
      </w:r>
    </w:p>
    <w:p w14:paraId="62D077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一般工业固废暂存执行《一般工业固体废物贮存和填埋污染控制标准》（GB 18599-2020）。</w:t>
      </w:r>
    </w:p>
    <w:p w14:paraId="34F4F8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危险废物收集、暂存、管理执行《危险废物贮存污染控制标准》（GB18597-2023）。</w:t>
      </w:r>
    </w:p>
    <w:p w14:paraId="34F5A04D">
      <w:pPr>
        <w:pStyle w:val="3"/>
        <w:rPr>
          <w:color w:val="000000" w:themeColor="text1"/>
          <w14:textFill>
            <w14:solidFill>
              <w14:schemeClr w14:val="tx1"/>
            </w14:solidFill>
          </w14:textFill>
        </w:rPr>
      </w:pPr>
      <w:bookmarkStart w:id="17" w:name="_Toc21150"/>
      <w:r>
        <w:rPr>
          <w:rFonts w:hint="eastAsia"/>
          <w:color w:val="000000" w:themeColor="text1"/>
          <w14:textFill>
            <w14:solidFill>
              <w14:schemeClr w14:val="tx1"/>
            </w14:solidFill>
          </w14:textFill>
        </w:rPr>
        <w:t>1.7评价工作等级及评价范围</w:t>
      </w:r>
      <w:bookmarkEnd w:id="17"/>
    </w:p>
    <w:p w14:paraId="4E13896E">
      <w:pPr>
        <w:pStyle w:val="4"/>
        <w:rPr>
          <w:color w:val="000000" w:themeColor="text1"/>
          <w14:textFill>
            <w14:solidFill>
              <w14:schemeClr w14:val="tx1"/>
            </w14:solidFill>
          </w14:textFill>
        </w:rPr>
      </w:pPr>
      <w:bookmarkStart w:id="18" w:name="_Toc14305"/>
      <w:r>
        <w:rPr>
          <w:rFonts w:hint="eastAsia"/>
          <w:color w:val="000000" w:themeColor="text1"/>
          <w14:textFill>
            <w14:solidFill>
              <w14:schemeClr w14:val="tx1"/>
            </w14:solidFill>
          </w14:textFill>
        </w:rPr>
        <w:t>1.7.1评价工作等级</w:t>
      </w:r>
      <w:bookmarkEnd w:id="18"/>
    </w:p>
    <w:p w14:paraId="5E8C2A8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1.7.1.1 环境空气</w:t>
      </w:r>
    </w:p>
    <w:p w14:paraId="4248A0FC">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根据《环境影响评价技术导则-大气环境》</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HJ2.2-2018</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中5.3节工作等级的确定方法，结合项目工程分析结果，选择正常排放的主要污染物及排放参数，采用附录A推荐模型中的AERSCREEN模式计算项目污染源的最大环境影响，按照评价工作分级判据进行分级。</w:t>
      </w:r>
    </w:p>
    <w:p w14:paraId="7754CDD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1、Pmax及D10%的确定</w:t>
      </w:r>
    </w:p>
    <w:p w14:paraId="0B6AB4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依据《环境影响评价技术导则 大气环境》(HJ2.2-2018)中最大地面浓度占标率Pi定义如下：</w:t>
      </w:r>
    </w:p>
    <w:p w14:paraId="178F56B4">
      <w:pPr>
        <w:ind w:firstLine="480"/>
        <w:jc w:val="center"/>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1314450" cy="409575"/>
            <wp:effectExtent l="0" t="0" r="0" b="9525"/>
            <wp:docPr id="75" name="图片 1" descr="C:\Users\ADMINI~1\AppData\Local\Temp\ksohtml51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C:\Users\ADMINI~1\AppData\Local\Temp\ksohtml5108\wps2.jpg"/>
                    <pic:cNvPicPr>
                      <a:picLocks noChangeAspect="1"/>
                    </pic:cNvPicPr>
                  </pic:nvPicPr>
                  <pic:blipFill>
                    <a:blip r:embed="rId18" r:link="rId19"/>
                    <a:stretch>
                      <a:fillRect/>
                    </a:stretch>
                  </pic:blipFill>
                  <pic:spPr>
                    <a:xfrm>
                      <a:off x="0" y="0"/>
                      <a:ext cx="1314450" cy="409575"/>
                    </a:xfrm>
                    <a:prstGeom prst="rect">
                      <a:avLst/>
                    </a:prstGeom>
                    <a:noFill/>
                    <a:ln>
                      <a:noFill/>
                    </a:ln>
                  </pic:spPr>
                </pic:pic>
              </a:graphicData>
            </a:graphic>
          </wp:inline>
        </w:drawing>
      </w:r>
    </w:p>
    <w:p w14:paraId="70FDF2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个污染物的最大地面空气质量浓度占标率，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595BAA7B">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采用估算模式计算出的第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个污染物的最大</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地面浓度，</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2CA81D8E">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个污染物的环境空气质量浓度标准，</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4882A781">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rFonts w:hint="eastAsia"/>
          <w:color w:val="000000" w:themeColor="text1"/>
          <w14:textFill>
            <w14:solidFill>
              <w14:schemeClr w14:val="tx1"/>
            </w14:solidFill>
          </w14:textFill>
        </w:rPr>
        <w:t>一般选用《环境空气质量标准》（</w:t>
      </w:r>
      <w:r>
        <w:rPr>
          <w:color w:val="000000" w:themeColor="text1"/>
          <w14:textFill>
            <w14:solidFill>
              <w14:schemeClr w14:val="tx1"/>
            </w14:solidFill>
          </w14:textFill>
        </w:rPr>
        <w:t>GB3095-2</w:t>
      </w:r>
      <w:r>
        <w:rPr>
          <w:rFonts w:hint="eastAsia"/>
          <w:color w:val="000000" w:themeColor="text1"/>
          <w14:textFill>
            <w14:solidFill>
              <w14:schemeClr w14:val="tx1"/>
            </w14:solidFill>
          </w14:textFill>
        </w:rPr>
        <w:t>026）中</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平均质量浓度的二级标准的浓度限值。</w:t>
      </w:r>
    </w:p>
    <w:p w14:paraId="5760CE5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2、评价等级判别表</w:t>
      </w:r>
    </w:p>
    <w:p w14:paraId="37D7B3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评价等级划分按照表</w:t>
      </w:r>
      <w:r>
        <w:rPr>
          <w:color w:val="000000" w:themeColor="text1"/>
          <w14:textFill>
            <w14:solidFill>
              <w14:schemeClr w14:val="tx1"/>
            </w14:solidFill>
          </w14:textFill>
        </w:rPr>
        <w:t>1.7-1</w:t>
      </w:r>
      <w:r>
        <w:rPr>
          <w:rFonts w:hint="eastAsia"/>
          <w:color w:val="000000" w:themeColor="text1"/>
          <w14:textFill>
            <w14:solidFill>
              <w14:schemeClr w14:val="tx1"/>
            </w14:solidFill>
          </w14:textFill>
        </w:rPr>
        <w:t>要求进行划分。</w:t>
      </w:r>
    </w:p>
    <w:p w14:paraId="69167FD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1.7-1</w:t>
      </w:r>
      <w:r>
        <w:rPr>
          <w:rFonts w:hint="eastAsia"/>
          <w:color w:val="000000" w:themeColor="text1"/>
          <w14:textFill>
            <w14:solidFill>
              <w14:schemeClr w14:val="tx1"/>
            </w14:solidFill>
          </w14:textFill>
        </w:rPr>
        <w:t xml:space="preserve">  大气环境影响评价分级判据表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3"/>
      </w:tblGrid>
      <w:tr w14:paraId="1185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3" w:type="dxa"/>
            <w:vAlign w:val="center"/>
          </w:tcPr>
          <w:p w14:paraId="1F327D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评价工作等级</w:t>
            </w:r>
          </w:p>
        </w:tc>
        <w:tc>
          <w:tcPr>
            <w:tcW w:w="6283" w:type="dxa"/>
            <w:vAlign w:val="center"/>
          </w:tcPr>
          <w:p w14:paraId="6EFD96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评价工作分级判据</w:t>
            </w:r>
          </w:p>
        </w:tc>
      </w:tr>
      <w:tr w14:paraId="7A9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3" w:type="dxa"/>
            <w:vAlign w:val="center"/>
          </w:tcPr>
          <w:p w14:paraId="5B5C73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6283" w:type="dxa"/>
            <w:vAlign w:val="center"/>
          </w:tcPr>
          <w:p w14:paraId="04C7A8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Pmax≥10%</w:t>
            </w:r>
          </w:p>
        </w:tc>
      </w:tr>
      <w:tr w14:paraId="476D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3" w:type="dxa"/>
            <w:vAlign w:val="center"/>
          </w:tcPr>
          <w:p w14:paraId="4B7EB9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283" w:type="dxa"/>
            <w:vAlign w:val="center"/>
          </w:tcPr>
          <w:p w14:paraId="57A747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1%≤Pmax＜</w:t>
            </w:r>
            <w:r>
              <w:rPr>
                <w:color w:val="000000" w:themeColor="text1"/>
                <w14:textFill>
                  <w14:solidFill>
                    <w14:schemeClr w14:val="tx1"/>
                  </w14:solidFill>
                </w14:textFill>
              </w:rPr>
              <w:t>10%</w:t>
            </w:r>
          </w:p>
        </w:tc>
      </w:tr>
      <w:tr w14:paraId="6B27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3" w:type="dxa"/>
            <w:vAlign w:val="center"/>
          </w:tcPr>
          <w:p w14:paraId="5437AD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283" w:type="dxa"/>
            <w:vAlign w:val="center"/>
          </w:tcPr>
          <w:p w14:paraId="7717E7E2">
            <w:pPr>
              <w:pStyle w:val="28"/>
              <w:rPr>
                <w:color w:val="000000" w:themeColor="text1"/>
                <w14:textFill>
                  <w14:solidFill>
                    <w14:schemeClr w14:val="tx1"/>
                  </w14:solidFill>
                </w14:textFill>
              </w:rPr>
            </w:pPr>
            <w:r>
              <w:rPr>
                <w:color w:val="000000" w:themeColor="text1"/>
                <w14:textFill>
                  <w14:solidFill>
                    <w14:schemeClr w14:val="tx1"/>
                  </w14:solidFill>
                </w14:textFill>
              </w:rPr>
              <w:t>Pmax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p>
        </w:tc>
      </w:tr>
    </w:tbl>
    <w:p w14:paraId="71487CBC">
      <w:pPr>
        <w:spacing w:line="480" w:lineRule="exact"/>
        <w:ind w:firstLine="424" w:firstLineChars="176"/>
        <w:jc w:val="left"/>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3、</w:t>
      </w:r>
      <w:r>
        <w:rPr>
          <w:rFonts w:cs="Times New Roman"/>
          <w:b/>
          <w:bCs/>
          <w:color w:val="000000" w:themeColor="text1"/>
          <w14:textFill>
            <w14:solidFill>
              <w14:schemeClr w14:val="tx1"/>
            </w14:solidFill>
          </w14:textFill>
        </w:rPr>
        <w:t>污染物评价标准</w:t>
      </w:r>
    </w:p>
    <w:p w14:paraId="04E62852">
      <w:pPr>
        <w:spacing w:line="480" w:lineRule="exact"/>
        <w:ind w:firstLine="422" w:firstLineChars="176"/>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污染物评价标准和来源见下表。</w:t>
      </w:r>
    </w:p>
    <w:p w14:paraId="0CA5742F">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1.7-2</w:t>
      </w:r>
      <w:r>
        <w:rPr>
          <w:color w:val="000000" w:themeColor="text1"/>
          <w14:textFill>
            <w14:solidFill>
              <w14:schemeClr w14:val="tx1"/>
            </w14:solidFill>
          </w14:textFill>
        </w:rPr>
        <w:t xml:space="preserve"> 污染物评价标准</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44"/>
        <w:gridCol w:w="1083"/>
        <w:gridCol w:w="1134"/>
        <w:gridCol w:w="1079"/>
        <w:gridCol w:w="3882"/>
      </w:tblGrid>
      <w:tr w14:paraId="358FA0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88" w:type="pct"/>
            <w:vAlign w:val="center"/>
          </w:tcPr>
          <w:p w14:paraId="4266F0DD">
            <w:pPr>
              <w:pStyle w:val="28"/>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635" w:type="pct"/>
            <w:vAlign w:val="center"/>
          </w:tcPr>
          <w:p w14:paraId="02331433">
            <w:pPr>
              <w:pStyle w:val="28"/>
              <w:rPr>
                <w:color w:val="000000" w:themeColor="text1"/>
                <w14:textFill>
                  <w14:solidFill>
                    <w14:schemeClr w14:val="tx1"/>
                  </w14:solidFill>
                </w14:textFill>
              </w:rPr>
            </w:pPr>
            <w:r>
              <w:rPr>
                <w:color w:val="000000" w:themeColor="text1"/>
                <w14:textFill>
                  <w14:solidFill>
                    <w14:schemeClr w14:val="tx1"/>
                  </w14:solidFill>
                </w14:textFill>
              </w:rPr>
              <w:t>功能区</w:t>
            </w:r>
          </w:p>
        </w:tc>
        <w:tc>
          <w:tcPr>
            <w:tcW w:w="665" w:type="pct"/>
            <w:vAlign w:val="center"/>
          </w:tcPr>
          <w:p w14:paraId="7C9A87B2">
            <w:pPr>
              <w:pStyle w:val="28"/>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633" w:type="pct"/>
            <w:vAlign w:val="center"/>
          </w:tcPr>
          <w:p w14:paraId="4F54A716">
            <w:pPr>
              <w:pStyle w:val="28"/>
              <w:rPr>
                <w:color w:val="000000" w:themeColor="text1"/>
                <w14:textFill>
                  <w14:solidFill>
                    <w14:schemeClr w14:val="tx1"/>
                  </w14:solidFill>
                </w14:textFill>
              </w:rPr>
            </w:pPr>
            <w:r>
              <w:rPr>
                <w:color w:val="000000" w:themeColor="text1"/>
                <w14:textFill>
                  <w14:solidFill>
                    <w14:schemeClr w14:val="tx1"/>
                  </w14:solidFill>
                </w14:textFill>
              </w:rPr>
              <w:t>标准值(μg/m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277" w:type="pct"/>
            <w:vAlign w:val="center"/>
          </w:tcPr>
          <w:p w14:paraId="7D9AC54A">
            <w:pPr>
              <w:pStyle w:val="28"/>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4E2703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88" w:type="pct"/>
            <w:shd w:val="clear" w:color="auto" w:fill="auto"/>
            <w:vAlign w:val="center"/>
          </w:tcPr>
          <w:p w14:paraId="621F11F3">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635" w:type="pct"/>
            <w:shd w:val="clear" w:color="auto" w:fill="auto"/>
            <w:vAlign w:val="center"/>
          </w:tcPr>
          <w:p w14:paraId="5D007888">
            <w:pPr>
              <w:pStyle w:val="28"/>
              <w:rPr>
                <w:color w:val="000000" w:themeColor="text1"/>
                <w14:textFill>
                  <w14:solidFill>
                    <w14:schemeClr w14:val="tx1"/>
                  </w14:solidFill>
                </w14:textFill>
              </w:rPr>
            </w:pPr>
            <w:r>
              <w:rPr>
                <w:color w:val="000000" w:themeColor="text1"/>
                <w14:textFill>
                  <w14:solidFill>
                    <w14:schemeClr w14:val="tx1"/>
                  </w14:solidFill>
                </w14:textFill>
              </w:rPr>
              <w:t>二类限区</w:t>
            </w:r>
          </w:p>
        </w:tc>
        <w:tc>
          <w:tcPr>
            <w:tcW w:w="665" w:type="pct"/>
            <w:shd w:val="clear" w:color="auto" w:fill="auto"/>
            <w:vAlign w:val="center"/>
          </w:tcPr>
          <w:p w14:paraId="761CF0C4">
            <w:pPr>
              <w:pStyle w:val="28"/>
              <w:rPr>
                <w:color w:val="000000" w:themeColor="text1"/>
                <w14:textFill>
                  <w14:solidFill>
                    <w14:schemeClr w14:val="tx1"/>
                  </w14:solidFill>
                </w14:textFill>
              </w:rPr>
            </w:pPr>
            <w:r>
              <w:rPr>
                <w:color w:val="000000" w:themeColor="text1"/>
                <w14:textFill>
                  <w14:solidFill>
                    <w14:schemeClr w14:val="tx1"/>
                  </w14:solidFill>
                </w14:textFill>
              </w:rPr>
              <w:t>日均</w:t>
            </w:r>
          </w:p>
        </w:tc>
        <w:tc>
          <w:tcPr>
            <w:tcW w:w="633" w:type="pct"/>
            <w:shd w:val="clear" w:color="auto" w:fill="auto"/>
            <w:vAlign w:val="center"/>
          </w:tcPr>
          <w:p w14:paraId="4F4D76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2277" w:type="pct"/>
            <w:shd w:val="clear" w:color="auto" w:fill="auto"/>
            <w:vAlign w:val="center"/>
          </w:tcPr>
          <w:p w14:paraId="69CBE542">
            <w:pPr>
              <w:pStyle w:val="28"/>
              <w:rPr>
                <w:color w:val="000000" w:themeColor="text1"/>
                <w14:textFill>
                  <w14:solidFill>
                    <w14:schemeClr w14:val="tx1"/>
                  </w14:solidFill>
                </w14:textFill>
              </w:rPr>
            </w:pPr>
            <w:r>
              <w:rPr>
                <w:color w:val="000000" w:themeColor="text1"/>
                <w14:textFill>
                  <w14:solidFill>
                    <w14:schemeClr w14:val="tx1"/>
                  </w14:solidFill>
                </w14:textFill>
              </w:rPr>
              <w:t>环境空气质量标准(GB 3095-</w:t>
            </w:r>
            <w:r>
              <w:rPr>
                <w:rFonts w:hint="eastAsia"/>
                <w:color w:val="000000" w:themeColor="text1"/>
                <w14:textFill>
                  <w14:solidFill>
                    <w14:schemeClr w14:val="tx1"/>
                  </w14:solidFill>
                </w14:textFill>
              </w:rPr>
              <w:t>2026</w:t>
            </w:r>
            <w:r>
              <w:rPr>
                <w:color w:val="000000" w:themeColor="text1"/>
                <w14:textFill>
                  <w14:solidFill>
                    <w14:schemeClr w14:val="tx1"/>
                  </w14:solidFill>
                </w14:textFill>
              </w:rPr>
              <w:t>)</w:t>
            </w:r>
          </w:p>
        </w:tc>
      </w:tr>
      <w:tr w14:paraId="31DCA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88" w:type="pct"/>
            <w:shd w:val="clear" w:color="auto" w:fill="auto"/>
            <w:vAlign w:val="center"/>
          </w:tcPr>
          <w:p w14:paraId="49C69584">
            <w:pPr>
              <w:pStyle w:val="28"/>
              <w:rPr>
                <w:color w:val="000000" w:themeColor="text1"/>
                <w14:textFill>
                  <w14:solidFill>
                    <w14:schemeClr w14:val="tx1"/>
                  </w14:solidFill>
                </w14:textFill>
              </w:rPr>
            </w:pPr>
            <w:r>
              <w:rPr>
                <w:color w:val="000000" w:themeColor="text1"/>
                <w14:textFill>
                  <w14:solidFill>
                    <w14:schemeClr w14:val="tx1"/>
                  </w14:solidFill>
                </w14:textFill>
              </w:rPr>
              <w:t>TVOC</w:t>
            </w:r>
          </w:p>
        </w:tc>
        <w:tc>
          <w:tcPr>
            <w:tcW w:w="635" w:type="pct"/>
            <w:shd w:val="clear" w:color="auto" w:fill="auto"/>
            <w:vAlign w:val="center"/>
          </w:tcPr>
          <w:p w14:paraId="6262C3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5" w:type="pct"/>
            <w:shd w:val="clear" w:color="auto" w:fill="auto"/>
            <w:vAlign w:val="center"/>
          </w:tcPr>
          <w:p w14:paraId="01F19642">
            <w:pPr>
              <w:pStyle w:val="28"/>
              <w:rPr>
                <w:color w:val="000000" w:themeColor="text1"/>
                <w14:textFill>
                  <w14:solidFill>
                    <w14:schemeClr w14:val="tx1"/>
                  </w14:solidFill>
                </w14:textFill>
              </w:rPr>
            </w:pPr>
            <w:r>
              <w:rPr>
                <w:color w:val="000000" w:themeColor="text1"/>
                <w14:textFill>
                  <w14:solidFill>
                    <w14:schemeClr w14:val="tx1"/>
                  </w14:solidFill>
                </w14:textFill>
              </w:rPr>
              <w:t>8小时</w:t>
            </w:r>
          </w:p>
        </w:tc>
        <w:tc>
          <w:tcPr>
            <w:tcW w:w="633" w:type="pct"/>
            <w:shd w:val="clear" w:color="auto" w:fill="auto"/>
            <w:vAlign w:val="center"/>
          </w:tcPr>
          <w:p w14:paraId="2C1E1647">
            <w:pPr>
              <w:pStyle w:val="28"/>
              <w:rPr>
                <w:color w:val="000000" w:themeColor="text1"/>
                <w14:textFill>
                  <w14:solidFill>
                    <w14:schemeClr w14:val="tx1"/>
                  </w14:solidFill>
                </w14:textFill>
              </w:rPr>
            </w:pPr>
            <w:r>
              <w:rPr>
                <w:color w:val="000000" w:themeColor="text1"/>
                <w14:textFill>
                  <w14:solidFill>
                    <w14:schemeClr w14:val="tx1"/>
                  </w14:solidFill>
                </w14:textFill>
              </w:rPr>
              <w:t>600.0</w:t>
            </w:r>
          </w:p>
        </w:tc>
        <w:tc>
          <w:tcPr>
            <w:tcW w:w="2277" w:type="pct"/>
            <w:shd w:val="clear" w:color="auto" w:fill="auto"/>
            <w:vAlign w:val="center"/>
          </w:tcPr>
          <w:p w14:paraId="19497365">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《环境影响评价技术导则-大气环境》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 2.2-2018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附录D</w:t>
            </w:r>
          </w:p>
        </w:tc>
      </w:tr>
      <w:tr w14:paraId="3990C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88" w:type="pct"/>
            <w:shd w:val="clear" w:color="auto" w:fill="auto"/>
            <w:vAlign w:val="center"/>
          </w:tcPr>
          <w:p w14:paraId="79DC3164">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635" w:type="pct"/>
            <w:shd w:val="clear" w:color="auto" w:fill="auto"/>
            <w:vAlign w:val="center"/>
          </w:tcPr>
          <w:p w14:paraId="0F5FBB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5" w:type="pct"/>
            <w:shd w:val="clear" w:color="auto" w:fill="auto"/>
            <w:vAlign w:val="center"/>
          </w:tcPr>
          <w:p w14:paraId="66B80FB0">
            <w:pPr>
              <w:pStyle w:val="28"/>
              <w:rPr>
                <w:color w:val="000000" w:themeColor="text1"/>
                <w14:textFill>
                  <w14:solidFill>
                    <w14:schemeClr w14:val="tx1"/>
                  </w14:solidFill>
                </w14:textFill>
              </w:rPr>
            </w:pPr>
            <w:r>
              <w:rPr>
                <w:color w:val="000000" w:themeColor="text1"/>
                <w14:textFill>
                  <w14:solidFill>
                    <w14:schemeClr w14:val="tx1"/>
                  </w14:solidFill>
                </w14:textFill>
              </w:rPr>
              <w:t>一小时</w:t>
            </w:r>
          </w:p>
        </w:tc>
        <w:tc>
          <w:tcPr>
            <w:tcW w:w="633" w:type="pct"/>
            <w:shd w:val="clear" w:color="auto" w:fill="auto"/>
            <w:vAlign w:val="center"/>
          </w:tcPr>
          <w:p w14:paraId="3E3EC86D">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2277" w:type="pct"/>
            <w:shd w:val="clear" w:color="auto" w:fill="auto"/>
            <w:vAlign w:val="center"/>
          </w:tcPr>
          <w:p w14:paraId="099BD03F">
            <w:pPr>
              <w:pStyle w:val="28"/>
              <w:rPr>
                <w:color w:val="000000" w:themeColor="text1"/>
                <w14:textFill>
                  <w14:solidFill>
                    <w14:schemeClr w14:val="tx1"/>
                  </w14:solidFill>
                </w14:textFill>
              </w:rPr>
            </w:pPr>
            <w:r>
              <w:rPr>
                <w:color w:val="000000" w:themeColor="text1"/>
                <w14:textFill>
                  <w14:solidFill>
                    <w14:schemeClr w14:val="tx1"/>
                  </w14:solidFill>
                </w14:textFill>
              </w:rPr>
              <w:t>《环境影响评价技术导则-大气环境》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 2.2-2018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附录D</w:t>
            </w:r>
          </w:p>
        </w:tc>
      </w:tr>
    </w:tbl>
    <w:p w14:paraId="0166AE50">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4、污染源参数</w:t>
      </w:r>
    </w:p>
    <w:p w14:paraId="707C6980">
      <w:pPr>
        <w:pStyle w:val="27"/>
        <w:rPr>
          <w:color w:val="000000" w:themeColor="text1"/>
          <w14:textFill>
            <w14:solidFill>
              <w14:schemeClr w14:val="tx1"/>
            </w14:solidFill>
          </w14:textFill>
        </w:rPr>
      </w:pPr>
    </w:p>
    <w:p w14:paraId="2568DA6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 xml:space="preserve">3  主要废气污染源参数一览表(点源) </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99"/>
        <w:gridCol w:w="1058"/>
        <w:gridCol w:w="962"/>
        <w:gridCol w:w="861"/>
        <w:gridCol w:w="662"/>
        <w:gridCol w:w="563"/>
        <w:gridCol w:w="662"/>
        <w:gridCol w:w="667"/>
        <w:gridCol w:w="762"/>
        <w:gridCol w:w="762"/>
        <w:gridCol w:w="764"/>
      </w:tblGrid>
      <w:tr w14:paraId="752AEB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69" w:type="pct"/>
            <w:vMerge w:val="restart"/>
            <w:vAlign w:val="center"/>
          </w:tcPr>
          <w:p w14:paraId="428F4409">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1185" w:type="pct"/>
            <w:gridSpan w:val="2"/>
            <w:vAlign w:val="center"/>
          </w:tcPr>
          <w:p w14:paraId="0D31E3F7">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排气筒底部中心坐标(°)</w:t>
            </w:r>
          </w:p>
        </w:tc>
        <w:tc>
          <w:tcPr>
            <w:tcW w:w="505" w:type="pct"/>
            <w:vMerge w:val="restart"/>
            <w:vAlign w:val="center"/>
          </w:tcPr>
          <w:p w14:paraId="4E033446">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排气筒底部海拔高度(m)</w:t>
            </w:r>
          </w:p>
        </w:tc>
        <w:tc>
          <w:tcPr>
            <w:tcW w:w="1497" w:type="pct"/>
            <w:gridSpan w:val="4"/>
            <w:vAlign w:val="center"/>
          </w:tcPr>
          <w:p w14:paraId="6BF94E73">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排气筒参数</w:t>
            </w:r>
          </w:p>
        </w:tc>
        <w:tc>
          <w:tcPr>
            <w:tcW w:w="1342" w:type="pct"/>
            <w:gridSpan w:val="3"/>
            <w:vAlign w:val="center"/>
          </w:tcPr>
          <w:p w14:paraId="564376A1">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污染物排放速率(kg/h)</w:t>
            </w:r>
          </w:p>
        </w:tc>
      </w:tr>
      <w:tr w14:paraId="3F08E7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69" w:type="pct"/>
            <w:vMerge w:val="continue"/>
            <w:vAlign w:val="center"/>
          </w:tcPr>
          <w:p w14:paraId="0A8E3F9A">
            <w:pPr>
              <w:pStyle w:val="28"/>
              <w:rPr>
                <w:color w:val="000000" w:themeColor="text1"/>
                <w:sz w:val="18"/>
                <w:szCs w:val="18"/>
                <w14:textFill>
                  <w14:solidFill>
                    <w14:schemeClr w14:val="tx1"/>
                  </w14:solidFill>
                </w14:textFill>
              </w:rPr>
            </w:pPr>
          </w:p>
        </w:tc>
        <w:tc>
          <w:tcPr>
            <w:tcW w:w="621" w:type="pct"/>
            <w:vAlign w:val="center"/>
          </w:tcPr>
          <w:p w14:paraId="0E2AA76D">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经度</w:t>
            </w:r>
          </w:p>
        </w:tc>
        <w:tc>
          <w:tcPr>
            <w:tcW w:w="564" w:type="pct"/>
            <w:vAlign w:val="center"/>
          </w:tcPr>
          <w:p w14:paraId="1565C81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纬度</w:t>
            </w:r>
          </w:p>
        </w:tc>
        <w:tc>
          <w:tcPr>
            <w:tcW w:w="505" w:type="pct"/>
            <w:vMerge w:val="continue"/>
            <w:vAlign w:val="center"/>
          </w:tcPr>
          <w:p w14:paraId="7CB98C0A">
            <w:pPr>
              <w:pStyle w:val="28"/>
              <w:rPr>
                <w:color w:val="000000" w:themeColor="text1"/>
                <w:sz w:val="18"/>
                <w:szCs w:val="18"/>
                <w14:textFill>
                  <w14:solidFill>
                    <w14:schemeClr w14:val="tx1"/>
                  </w14:solidFill>
                </w14:textFill>
              </w:rPr>
            </w:pPr>
          </w:p>
        </w:tc>
        <w:tc>
          <w:tcPr>
            <w:tcW w:w="388" w:type="pct"/>
            <w:vAlign w:val="center"/>
          </w:tcPr>
          <w:p w14:paraId="753E6799">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高度(m)</w:t>
            </w:r>
          </w:p>
        </w:tc>
        <w:tc>
          <w:tcPr>
            <w:tcW w:w="330" w:type="pct"/>
            <w:vAlign w:val="center"/>
          </w:tcPr>
          <w:p w14:paraId="76193E1B">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内径(m)</w:t>
            </w:r>
          </w:p>
        </w:tc>
        <w:tc>
          <w:tcPr>
            <w:tcW w:w="388" w:type="pct"/>
            <w:vAlign w:val="center"/>
          </w:tcPr>
          <w:p w14:paraId="417096CE">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温度(℃)</w:t>
            </w:r>
          </w:p>
        </w:tc>
        <w:tc>
          <w:tcPr>
            <w:tcW w:w="390" w:type="pct"/>
            <w:vAlign w:val="center"/>
          </w:tcPr>
          <w:p w14:paraId="17564690">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流速(m/s)</w:t>
            </w:r>
          </w:p>
        </w:tc>
        <w:tc>
          <w:tcPr>
            <w:tcW w:w="447" w:type="pct"/>
            <w:vAlign w:val="center"/>
          </w:tcPr>
          <w:p w14:paraId="63DDC11A">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S</w:t>
            </w:r>
          </w:p>
        </w:tc>
        <w:tc>
          <w:tcPr>
            <w:tcW w:w="447" w:type="pct"/>
            <w:vAlign w:val="center"/>
          </w:tcPr>
          <w:p w14:paraId="4D45E487">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PM</w:t>
            </w:r>
            <w:r>
              <w:rPr>
                <w:color w:val="000000" w:themeColor="text1"/>
                <w:sz w:val="18"/>
                <w:szCs w:val="18"/>
                <w:vertAlign w:val="subscript"/>
                <w14:textFill>
                  <w14:solidFill>
                    <w14:schemeClr w14:val="tx1"/>
                  </w14:solidFill>
                </w14:textFill>
              </w:rPr>
              <w:t>10</w:t>
            </w:r>
          </w:p>
        </w:tc>
        <w:tc>
          <w:tcPr>
            <w:tcW w:w="448" w:type="pct"/>
            <w:vAlign w:val="center"/>
          </w:tcPr>
          <w:p w14:paraId="0D5CDFF8">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TVOC</w:t>
            </w:r>
          </w:p>
        </w:tc>
      </w:tr>
      <w:tr w14:paraId="0C1288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469" w:type="pct"/>
            <w:vAlign w:val="center"/>
          </w:tcPr>
          <w:p w14:paraId="53990754">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DA001</w:t>
            </w:r>
          </w:p>
        </w:tc>
        <w:tc>
          <w:tcPr>
            <w:tcW w:w="621" w:type="pct"/>
            <w:vAlign w:val="center"/>
          </w:tcPr>
          <w:p w14:paraId="30BB0FE3">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102.52672</w:t>
            </w:r>
          </w:p>
        </w:tc>
        <w:tc>
          <w:tcPr>
            <w:tcW w:w="564" w:type="pct"/>
            <w:vAlign w:val="center"/>
          </w:tcPr>
          <w:p w14:paraId="135D404C">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24.43729</w:t>
            </w:r>
          </w:p>
        </w:tc>
        <w:tc>
          <w:tcPr>
            <w:tcW w:w="505" w:type="pct"/>
            <w:vAlign w:val="center"/>
          </w:tcPr>
          <w:p w14:paraId="7B786C5D">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1676.00</w:t>
            </w:r>
          </w:p>
        </w:tc>
        <w:tc>
          <w:tcPr>
            <w:tcW w:w="388" w:type="pct"/>
            <w:vAlign w:val="center"/>
          </w:tcPr>
          <w:p w14:paraId="55E213EF">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15.00</w:t>
            </w:r>
          </w:p>
        </w:tc>
        <w:tc>
          <w:tcPr>
            <w:tcW w:w="330" w:type="pct"/>
            <w:vAlign w:val="center"/>
          </w:tcPr>
          <w:p w14:paraId="5D23A43E">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0.65</w:t>
            </w:r>
          </w:p>
        </w:tc>
        <w:tc>
          <w:tcPr>
            <w:tcW w:w="388" w:type="pct"/>
            <w:vAlign w:val="center"/>
          </w:tcPr>
          <w:p w14:paraId="3B60D85C">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390" w:type="pct"/>
            <w:vAlign w:val="center"/>
          </w:tcPr>
          <w:p w14:paraId="0D59023D">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47" w:type="pct"/>
            <w:vAlign w:val="center"/>
          </w:tcPr>
          <w:p w14:paraId="2AB7963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0.0002</w:t>
            </w:r>
          </w:p>
        </w:tc>
        <w:tc>
          <w:tcPr>
            <w:tcW w:w="447" w:type="pct"/>
            <w:vAlign w:val="center"/>
          </w:tcPr>
          <w:p w14:paraId="600A43FF">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0.018</w:t>
            </w:r>
          </w:p>
        </w:tc>
        <w:tc>
          <w:tcPr>
            <w:tcW w:w="448" w:type="pct"/>
            <w:vAlign w:val="center"/>
          </w:tcPr>
          <w:p w14:paraId="04DF7830">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0.04</w:t>
            </w:r>
          </w:p>
        </w:tc>
      </w:tr>
    </w:tbl>
    <w:p w14:paraId="3DFE1B48">
      <w:pPr>
        <w:spacing w:line="480" w:lineRule="exact"/>
        <w:ind w:firstLine="422"/>
        <w:jc w:val="center"/>
        <w:rPr>
          <w:rStyle w:val="30"/>
          <w:color w:val="000000" w:themeColor="text1"/>
          <w14:textFill>
            <w14:solidFill>
              <w14:schemeClr w14:val="tx1"/>
            </w14:solidFill>
          </w14:textFill>
        </w:rPr>
      </w:pPr>
      <w:r>
        <w:rPr>
          <w:rStyle w:val="30"/>
          <w:color w:val="000000" w:themeColor="text1"/>
          <w14:textFill>
            <w14:solidFill>
              <w14:schemeClr w14:val="tx1"/>
            </w14:solidFill>
          </w14:textFill>
        </w:rPr>
        <w:t xml:space="preserve"> 表</w:t>
      </w:r>
      <w:r>
        <w:rPr>
          <w:rStyle w:val="30"/>
          <w:rFonts w:hint="eastAsia"/>
          <w:color w:val="000000" w:themeColor="text1"/>
          <w14:textFill>
            <w14:solidFill>
              <w14:schemeClr w14:val="tx1"/>
            </w14:solidFill>
          </w14:textFill>
        </w:rPr>
        <w:t>1.7-</w:t>
      </w:r>
      <w:r>
        <w:rPr>
          <w:rStyle w:val="30"/>
          <w:color w:val="000000" w:themeColor="text1"/>
          <w14:textFill>
            <w14:solidFill>
              <w14:schemeClr w14:val="tx1"/>
            </w14:solidFill>
          </w14:textFill>
        </w:rPr>
        <w:t>4  主要废气污染源参数一览表(</w:t>
      </w:r>
      <w:r>
        <w:rPr>
          <w:rStyle w:val="30"/>
          <w:rFonts w:hint="eastAsia"/>
          <w:color w:val="000000" w:themeColor="text1"/>
          <w14:textFill>
            <w14:solidFill>
              <w14:schemeClr w14:val="tx1"/>
            </w14:solidFill>
          </w14:textFill>
        </w:rPr>
        <w:t>圆形</w:t>
      </w:r>
      <w:r>
        <w:rPr>
          <w:rStyle w:val="30"/>
          <w:color w:val="000000" w:themeColor="text1"/>
          <w14:textFill>
            <w14:solidFill>
              <w14:schemeClr w14:val="tx1"/>
            </w14:solidFill>
          </w14:textFill>
        </w:rPr>
        <w:t xml:space="preserve">面源) </w:t>
      </w:r>
    </w:p>
    <w:tbl>
      <w:tblPr>
        <w:tblStyle w:val="2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40"/>
        <w:gridCol w:w="1214"/>
        <w:gridCol w:w="1295"/>
        <w:gridCol w:w="914"/>
        <w:gridCol w:w="941"/>
        <w:gridCol w:w="845"/>
        <w:gridCol w:w="764"/>
        <w:gridCol w:w="1006"/>
        <w:gridCol w:w="1008"/>
      </w:tblGrid>
      <w:tr w14:paraId="45D3AB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540" w:type="dxa"/>
            <w:vMerge w:val="restart"/>
            <w:vAlign w:val="center"/>
          </w:tcPr>
          <w:p w14:paraId="58696E33">
            <w:pPr>
              <w:pStyle w:val="28"/>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2509" w:type="dxa"/>
            <w:gridSpan w:val="2"/>
            <w:vAlign w:val="center"/>
          </w:tcPr>
          <w:p w14:paraId="5FB57A95">
            <w:pPr>
              <w:pStyle w:val="28"/>
              <w:rPr>
                <w:color w:val="000000" w:themeColor="text1"/>
                <w14:textFill>
                  <w14:solidFill>
                    <w14:schemeClr w14:val="tx1"/>
                  </w14:solidFill>
                </w14:textFill>
              </w:rPr>
            </w:pPr>
            <w:r>
              <w:rPr>
                <w:color w:val="000000" w:themeColor="text1"/>
                <w14:textFill>
                  <w14:solidFill>
                    <w14:schemeClr w14:val="tx1"/>
                  </w14:solidFill>
                </w14:textFill>
              </w:rPr>
              <w:t>中心点坐标(°)</w:t>
            </w:r>
          </w:p>
        </w:tc>
        <w:tc>
          <w:tcPr>
            <w:tcW w:w="914" w:type="dxa"/>
            <w:vMerge w:val="restart"/>
            <w:vAlign w:val="center"/>
          </w:tcPr>
          <w:p w14:paraId="502CA116">
            <w:pPr>
              <w:pStyle w:val="28"/>
              <w:rPr>
                <w:color w:val="000000" w:themeColor="text1"/>
                <w14:textFill>
                  <w14:solidFill>
                    <w14:schemeClr w14:val="tx1"/>
                  </w14:solidFill>
                </w14:textFill>
              </w:rPr>
            </w:pPr>
            <w:r>
              <w:rPr>
                <w:color w:val="000000" w:themeColor="text1"/>
                <w14:textFill>
                  <w14:solidFill>
                    <w14:schemeClr w14:val="tx1"/>
                  </w14:solidFill>
                </w14:textFill>
              </w:rPr>
              <w:t>海拔高度(m)</w:t>
            </w:r>
          </w:p>
        </w:tc>
        <w:tc>
          <w:tcPr>
            <w:tcW w:w="941" w:type="dxa"/>
            <w:vMerge w:val="restart"/>
            <w:vAlign w:val="center"/>
          </w:tcPr>
          <w:p w14:paraId="5B2CA59A">
            <w:pPr>
              <w:pStyle w:val="28"/>
              <w:rPr>
                <w:color w:val="000000" w:themeColor="text1"/>
                <w14:textFill>
                  <w14:solidFill>
                    <w14:schemeClr w14:val="tx1"/>
                  </w14:solidFill>
                </w14:textFill>
              </w:rPr>
            </w:pPr>
            <w:r>
              <w:rPr>
                <w:color w:val="000000" w:themeColor="text1"/>
                <w14:textFill>
                  <w14:solidFill>
                    <w14:schemeClr w14:val="tx1"/>
                  </w14:solidFill>
                </w14:textFill>
              </w:rPr>
              <w:t>面源有效排放高度(m)</w:t>
            </w:r>
          </w:p>
        </w:tc>
        <w:tc>
          <w:tcPr>
            <w:tcW w:w="845" w:type="dxa"/>
            <w:vMerge w:val="restart"/>
            <w:vAlign w:val="center"/>
          </w:tcPr>
          <w:p w14:paraId="5AD9F244">
            <w:pPr>
              <w:pStyle w:val="28"/>
              <w:rPr>
                <w:color w:val="000000" w:themeColor="text1"/>
                <w14:textFill>
                  <w14:solidFill>
                    <w14:schemeClr w14:val="tx1"/>
                  </w14:solidFill>
                </w14:textFill>
              </w:rPr>
            </w:pPr>
            <w:r>
              <w:rPr>
                <w:color w:val="000000" w:themeColor="text1"/>
                <w14:textFill>
                  <w14:solidFill>
                    <w14:schemeClr w14:val="tx1"/>
                  </w14:solidFill>
                </w14:textFill>
              </w:rPr>
              <w:t>初始垂向扩散参数(m)</w:t>
            </w:r>
          </w:p>
        </w:tc>
        <w:tc>
          <w:tcPr>
            <w:tcW w:w="764" w:type="dxa"/>
            <w:vMerge w:val="restart"/>
            <w:vAlign w:val="center"/>
          </w:tcPr>
          <w:p w14:paraId="762FF510">
            <w:pPr>
              <w:pStyle w:val="28"/>
              <w:rPr>
                <w:color w:val="000000" w:themeColor="text1"/>
                <w14:textFill>
                  <w14:solidFill>
                    <w14:schemeClr w14:val="tx1"/>
                  </w14:solidFill>
                </w14:textFill>
              </w:rPr>
            </w:pPr>
            <w:r>
              <w:rPr>
                <w:color w:val="000000" w:themeColor="text1"/>
                <w14:textFill>
                  <w14:solidFill>
                    <w14:schemeClr w14:val="tx1"/>
                  </w14:solidFill>
                </w14:textFill>
              </w:rPr>
              <w:t>圆形面源半径(m)</w:t>
            </w:r>
          </w:p>
        </w:tc>
        <w:tc>
          <w:tcPr>
            <w:tcW w:w="1006" w:type="dxa"/>
            <w:vMerge w:val="restart"/>
            <w:vAlign w:val="center"/>
          </w:tcPr>
          <w:p w14:paraId="28D96944">
            <w:pPr>
              <w:pStyle w:val="28"/>
              <w:rPr>
                <w:color w:val="000000" w:themeColor="text1"/>
                <w14:textFill>
                  <w14:solidFill>
                    <w14:schemeClr w14:val="tx1"/>
                  </w14:solidFill>
                </w14:textFill>
              </w:rPr>
            </w:pPr>
            <w:r>
              <w:rPr>
                <w:color w:val="000000" w:themeColor="text1"/>
                <w14:textFill>
                  <w14:solidFill>
                    <w14:schemeClr w14:val="tx1"/>
                  </w14:solidFill>
                </w14:textFill>
              </w:rPr>
              <w:t>近圆形面源的顶点或边的个数</w:t>
            </w:r>
          </w:p>
        </w:tc>
        <w:tc>
          <w:tcPr>
            <w:tcW w:w="1008" w:type="dxa"/>
            <w:vAlign w:val="center"/>
          </w:tcPr>
          <w:p w14:paraId="37A81252">
            <w:pPr>
              <w:pStyle w:val="28"/>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14:paraId="521485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540" w:type="dxa"/>
            <w:vMerge w:val="continue"/>
            <w:vAlign w:val="center"/>
          </w:tcPr>
          <w:p w14:paraId="646B2EA6">
            <w:pPr>
              <w:pStyle w:val="28"/>
              <w:rPr>
                <w:color w:val="000000" w:themeColor="text1"/>
                <w14:textFill>
                  <w14:solidFill>
                    <w14:schemeClr w14:val="tx1"/>
                  </w14:solidFill>
                </w14:textFill>
              </w:rPr>
            </w:pPr>
          </w:p>
        </w:tc>
        <w:tc>
          <w:tcPr>
            <w:tcW w:w="1214" w:type="dxa"/>
            <w:vAlign w:val="center"/>
          </w:tcPr>
          <w:p w14:paraId="7EE9923C">
            <w:pPr>
              <w:pStyle w:val="28"/>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1295" w:type="dxa"/>
            <w:vAlign w:val="center"/>
          </w:tcPr>
          <w:p w14:paraId="619BF245">
            <w:pPr>
              <w:pStyle w:val="28"/>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914" w:type="dxa"/>
            <w:vMerge w:val="continue"/>
            <w:vAlign w:val="center"/>
          </w:tcPr>
          <w:p w14:paraId="36AA1F41">
            <w:pPr>
              <w:pStyle w:val="28"/>
              <w:rPr>
                <w:color w:val="000000" w:themeColor="text1"/>
                <w14:textFill>
                  <w14:solidFill>
                    <w14:schemeClr w14:val="tx1"/>
                  </w14:solidFill>
                </w14:textFill>
              </w:rPr>
            </w:pPr>
          </w:p>
        </w:tc>
        <w:tc>
          <w:tcPr>
            <w:tcW w:w="941" w:type="dxa"/>
            <w:vMerge w:val="continue"/>
            <w:vAlign w:val="center"/>
          </w:tcPr>
          <w:p w14:paraId="377DC074">
            <w:pPr>
              <w:pStyle w:val="28"/>
              <w:rPr>
                <w:color w:val="000000" w:themeColor="text1"/>
                <w14:textFill>
                  <w14:solidFill>
                    <w14:schemeClr w14:val="tx1"/>
                  </w14:solidFill>
                </w14:textFill>
              </w:rPr>
            </w:pPr>
          </w:p>
        </w:tc>
        <w:tc>
          <w:tcPr>
            <w:tcW w:w="845" w:type="dxa"/>
            <w:vMerge w:val="continue"/>
            <w:vAlign w:val="center"/>
          </w:tcPr>
          <w:p w14:paraId="6E4CF2B0">
            <w:pPr>
              <w:pStyle w:val="28"/>
              <w:rPr>
                <w:color w:val="000000" w:themeColor="text1"/>
                <w14:textFill>
                  <w14:solidFill>
                    <w14:schemeClr w14:val="tx1"/>
                  </w14:solidFill>
                </w14:textFill>
              </w:rPr>
            </w:pPr>
          </w:p>
        </w:tc>
        <w:tc>
          <w:tcPr>
            <w:tcW w:w="764" w:type="dxa"/>
            <w:vMerge w:val="continue"/>
            <w:vAlign w:val="center"/>
          </w:tcPr>
          <w:p w14:paraId="19072DE5">
            <w:pPr>
              <w:pStyle w:val="28"/>
              <w:rPr>
                <w:color w:val="000000" w:themeColor="text1"/>
                <w14:textFill>
                  <w14:solidFill>
                    <w14:schemeClr w14:val="tx1"/>
                  </w14:solidFill>
                </w14:textFill>
              </w:rPr>
            </w:pPr>
          </w:p>
        </w:tc>
        <w:tc>
          <w:tcPr>
            <w:tcW w:w="1006" w:type="dxa"/>
            <w:vMerge w:val="continue"/>
            <w:vAlign w:val="center"/>
          </w:tcPr>
          <w:p w14:paraId="437869A8">
            <w:pPr>
              <w:pStyle w:val="28"/>
              <w:rPr>
                <w:color w:val="000000" w:themeColor="text1"/>
                <w14:textFill>
                  <w14:solidFill>
                    <w14:schemeClr w14:val="tx1"/>
                  </w14:solidFill>
                </w14:textFill>
              </w:rPr>
            </w:pPr>
          </w:p>
        </w:tc>
        <w:tc>
          <w:tcPr>
            <w:tcW w:w="1008" w:type="dxa"/>
            <w:vAlign w:val="center"/>
          </w:tcPr>
          <w:p w14:paraId="7D7A2619">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14:paraId="38593B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540" w:type="dxa"/>
            <w:vAlign w:val="center"/>
          </w:tcPr>
          <w:p w14:paraId="7857C874">
            <w:pPr>
              <w:pStyle w:val="28"/>
              <w:rPr>
                <w:color w:val="000000" w:themeColor="text1"/>
                <w14:textFill>
                  <w14:solidFill>
                    <w14:schemeClr w14:val="tx1"/>
                  </w14:solidFill>
                </w14:textFill>
              </w:rPr>
            </w:pPr>
            <w:r>
              <w:rPr>
                <w:color w:val="000000" w:themeColor="text1"/>
                <w14:textFill>
                  <w14:solidFill>
                    <w14:schemeClr w14:val="tx1"/>
                  </w14:solidFill>
                </w14:textFill>
              </w:rPr>
              <w:t>圆形面源</w:t>
            </w:r>
          </w:p>
        </w:tc>
        <w:tc>
          <w:tcPr>
            <w:tcW w:w="1214" w:type="dxa"/>
            <w:vAlign w:val="center"/>
          </w:tcPr>
          <w:p w14:paraId="5AB20F36">
            <w:pPr>
              <w:pStyle w:val="28"/>
              <w:rPr>
                <w:color w:val="000000" w:themeColor="text1"/>
                <w14:textFill>
                  <w14:solidFill>
                    <w14:schemeClr w14:val="tx1"/>
                  </w14:solidFill>
                </w14:textFill>
              </w:rPr>
            </w:pPr>
            <w:r>
              <w:rPr>
                <w:color w:val="000000" w:themeColor="text1"/>
                <w14:textFill>
                  <w14:solidFill>
                    <w14:schemeClr w14:val="tx1"/>
                  </w14:solidFill>
                </w14:textFill>
              </w:rPr>
              <w:t>102.526712</w:t>
            </w:r>
          </w:p>
        </w:tc>
        <w:tc>
          <w:tcPr>
            <w:tcW w:w="1295" w:type="dxa"/>
            <w:vAlign w:val="center"/>
          </w:tcPr>
          <w:p w14:paraId="7BFE7B3B">
            <w:pPr>
              <w:pStyle w:val="28"/>
              <w:rPr>
                <w:color w:val="000000" w:themeColor="text1"/>
                <w14:textFill>
                  <w14:solidFill>
                    <w14:schemeClr w14:val="tx1"/>
                  </w14:solidFill>
                </w14:textFill>
              </w:rPr>
            </w:pPr>
            <w:r>
              <w:rPr>
                <w:color w:val="000000" w:themeColor="text1"/>
                <w14:textFill>
                  <w14:solidFill>
                    <w14:schemeClr w14:val="tx1"/>
                  </w14:solidFill>
                </w14:textFill>
              </w:rPr>
              <w:t>24.437423</w:t>
            </w:r>
          </w:p>
        </w:tc>
        <w:tc>
          <w:tcPr>
            <w:tcW w:w="914" w:type="dxa"/>
            <w:vAlign w:val="center"/>
          </w:tcPr>
          <w:p w14:paraId="6CCA86DC">
            <w:pPr>
              <w:pStyle w:val="28"/>
              <w:rPr>
                <w:color w:val="000000" w:themeColor="text1"/>
                <w14:textFill>
                  <w14:solidFill>
                    <w14:schemeClr w14:val="tx1"/>
                  </w14:solidFill>
                </w14:textFill>
              </w:rPr>
            </w:pPr>
            <w:r>
              <w:rPr>
                <w:color w:val="000000" w:themeColor="text1"/>
                <w14:textFill>
                  <w14:solidFill>
                    <w14:schemeClr w14:val="tx1"/>
                  </w14:solidFill>
                </w14:textFill>
              </w:rPr>
              <w:t>1676.00</w:t>
            </w:r>
          </w:p>
        </w:tc>
        <w:tc>
          <w:tcPr>
            <w:tcW w:w="941" w:type="dxa"/>
            <w:vAlign w:val="center"/>
          </w:tcPr>
          <w:p w14:paraId="30A48CA6">
            <w:pPr>
              <w:pStyle w:val="28"/>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845" w:type="dxa"/>
            <w:vAlign w:val="center"/>
          </w:tcPr>
          <w:p w14:paraId="33B49758">
            <w:pPr>
              <w:pStyle w:val="28"/>
              <w:rPr>
                <w:color w:val="000000" w:themeColor="text1"/>
                <w14:textFill>
                  <w14:solidFill>
                    <w14:schemeClr w14:val="tx1"/>
                  </w14:solidFill>
                </w14:textFill>
              </w:rPr>
            </w:pPr>
            <w:r>
              <w:rPr>
                <w:color w:val="000000" w:themeColor="text1"/>
                <w14:textFill>
                  <w14:solidFill>
                    <w14:schemeClr w14:val="tx1"/>
                  </w14:solidFill>
                </w14:textFill>
              </w:rPr>
              <w:t>4.65</w:t>
            </w:r>
          </w:p>
        </w:tc>
        <w:tc>
          <w:tcPr>
            <w:tcW w:w="764" w:type="dxa"/>
            <w:vAlign w:val="center"/>
          </w:tcPr>
          <w:p w14:paraId="321ED90C">
            <w:pPr>
              <w:pStyle w:val="28"/>
              <w:rPr>
                <w:color w:val="000000" w:themeColor="text1"/>
                <w14:textFill>
                  <w14:solidFill>
                    <w14:schemeClr w14:val="tx1"/>
                  </w14:solidFill>
                </w14:textFill>
              </w:rPr>
            </w:pPr>
            <w:r>
              <w:rPr>
                <w:color w:val="000000" w:themeColor="text1"/>
                <w14:textFill>
                  <w14:solidFill>
                    <w14:schemeClr w14:val="tx1"/>
                  </w14:solidFill>
                </w14:textFill>
              </w:rPr>
              <w:t>5.58</w:t>
            </w:r>
          </w:p>
        </w:tc>
        <w:tc>
          <w:tcPr>
            <w:tcW w:w="1006" w:type="dxa"/>
            <w:vAlign w:val="center"/>
          </w:tcPr>
          <w:p w14:paraId="64795F2C">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08" w:type="dxa"/>
            <w:vAlign w:val="center"/>
          </w:tcPr>
          <w:p w14:paraId="1F451592">
            <w:pPr>
              <w:pStyle w:val="28"/>
              <w:rPr>
                <w:color w:val="000000" w:themeColor="text1"/>
                <w14:textFill>
                  <w14:solidFill>
                    <w14:schemeClr w14:val="tx1"/>
                  </w14:solidFill>
                </w14:textFill>
              </w:rPr>
            </w:pPr>
            <w:r>
              <w:rPr>
                <w:color w:val="000000" w:themeColor="text1"/>
                <w14:textFill>
                  <w14:solidFill>
                    <w14:schemeClr w14:val="tx1"/>
                  </w14:solidFill>
                </w14:textFill>
              </w:rPr>
              <w:t>0.000</w:t>
            </w:r>
            <w:r>
              <w:rPr>
                <w:rFonts w:hint="eastAsia"/>
                <w:color w:val="000000" w:themeColor="text1"/>
                <w14:textFill>
                  <w14:solidFill>
                    <w14:schemeClr w14:val="tx1"/>
                  </w14:solidFill>
                </w14:textFill>
              </w:rPr>
              <w:t>2</w:t>
            </w:r>
          </w:p>
        </w:tc>
      </w:tr>
    </w:tbl>
    <w:p w14:paraId="52584FC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5、项目参数</w:t>
      </w:r>
    </w:p>
    <w:p w14:paraId="20F8C455">
      <w:pPr>
        <w:ind w:firstLine="480"/>
        <w:rPr>
          <w:color w:val="000000" w:themeColor="text1"/>
          <w14:textFill>
            <w14:solidFill>
              <w14:schemeClr w14:val="tx1"/>
            </w14:solidFill>
          </w14:textFill>
        </w:rPr>
      </w:pPr>
      <w:r>
        <w:rPr>
          <w:color w:val="000000" w:themeColor="text1"/>
          <w14:textFill>
            <w14:solidFill>
              <w14:schemeClr w14:val="tx1"/>
            </w14:solidFill>
          </w14:textFill>
        </w:rPr>
        <w:t>估算模式所用参数见表</w:t>
      </w:r>
    </w:p>
    <w:p w14:paraId="0290B837">
      <w:pPr>
        <w:pStyle w:val="27"/>
        <w:rPr>
          <w:color w:val="000000" w:themeColor="text1"/>
          <w14:textFill>
            <w14:solidFill>
              <w14:schemeClr w14:val="tx1"/>
            </w14:solidFill>
          </w14:textFill>
        </w:rPr>
      </w:pPr>
      <w:r>
        <w:rPr>
          <w:color w:val="000000" w:themeColor="text1"/>
          <w14:textFill>
            <w14:solidFill>
              <w14:schemeClr w14:val="tx1"/>
            </w14:solidFill>
          </w14:textFill>
        </w:rPr>
        <w:t xml:space="preserve"> 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5  估算模型参数表</w:t>
      </w:r>
    </w:p>
    <w:tbl>
      <w:tblPr>
        <w:tblStyle w:val="2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270"/>
        <w:gridCol w:w="3144"/>
        <w:gridCol w:w="3113"/>
      </w:tblGrid>
      <w:tr w14:paraId="0867A6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414" w:type="dxa"/>
            <w:gridSpan w:val="2"/>
            <w:vAlign w:val="center"/>
          </w:tcPr>
          <w:p w14:paraId="04F7C677">
            <w:pPr>
              <w:pStyle w:val="28"/>
              <w:rPr>
                <w:color w:val="000000" w:themeColor="text1"/>
                <w14:textFill>
                  <w14:solidFill>
                    <w14:schemeClr w14:val="tx1"/>
                  </w14:solidFill>
                </w14:textFill>
              </w:rPr>
            </w:pPr>
            <w:r>
              <w:rPr>
                <w:color w:val="000000" w:themeColor="text1"/>
                <w14:textFill>
                  <w14:solidFill>
                    <w14:schemeClr w14:val="tx1"/>
                  </w14:solidFill>
                </w14:textFill>
              </w:rPr>
              <w:t>参数</w:t>
            </w:r>
          </w:p>
        </w:tc>
        <w:tc>
          <w:tcPr>
            <w:tcW w:w="3113" w:type="dxa"/>
            <w:vAlign w:val="center"/>
          </w:tcPr>
          <w:p w14:paraId="3085645A">
            <w:pPr>
              <w:pStyle w:val="28"/>
              <w:rPr>
                <w:color w:val="000000" w:themeColor="text1"/>
                <w14:textFill>
                  <w14:solidFill>
                    <w14:schemeClr w14:val="tx1"/>
                  </w14:solidFill>
                </w14:textFill>
              </w:rPr>
            </w:pPr>
            <w:r>
              <w:rPr>
                <w:color w:val="000000" w:themeColor="text1"/>
                <w14:textFill>
                  <w14:solidFill>
                    <w14:schemeClr w14:val="tx1"/>
                  </w14:solidFill>
                </w14:textFill>
              </w:rPr>
              <w:t>取值</w:t>
            </w:r>
          </w:p>
        </w:tc>
      </w:tr>
      <w:tr w14:paraId="08B773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restart"/>
            <w:vAlign w:val="center"/>
          </w:tcPr>
          <w:p w14:paraId="0B5C271A">
            <w:pPr>
              <w:pStyle w:val="28"/>
              <w:rPr>
                <w:color w:val="000000" w:themeColor="text1"/>
                <w14:textFill>
                  <w14:solidFill>
                    <w14:schemeClr w14:val="tx1"/>
                  </w14:solidFill>
                </w14:textFill>
              </w:rPr>
            </w:pPr>
            <w:r>
              <w:rPr>
                <w:color w:val="000000" w:themeColor="text1"/>
                <w14:textFill>
                  <w14:solidFill>
                    <w14:schemeClr w14:val="tx1"/>
                  </w14:solidFill>
                </w14:textFill>
              </w:rPr>
              <w:t>城市/农村选项</w:t>
            </w:r>
          </w:p>
        </w:tc>
        <w:tc>
          <w:tcPr>
            <w:tcW w:w="3144" w:type="dxa"/>
            <w:vAlign w:val="center"/>
          </w:tcPr>
          <w:p w14:paraId="6954BEA3">
            <w:pPr>
              <w:pStyle w:val="28"/>
              <w:rPr>
                <w:color w:val="000000" w:themeColor="text1"/>
                <w14:textFill>
                  <w14:solidFill>
                    <w14:schemeClr w14:val="tx1"/>
                  </w14:solidFill>
                </w14:textFill>
              </w:rPr>
            </w:pPr>
            <w:r>
              <w:rPr>
                <w:color w:val="000000" w:themeColor="text1"/>
                <w14:textFill>
                  <w14:solidFill>
                    <w14:schemeClr w14:val="tx1"/>
                  </w14:solidFill>
                </w14:textFill>
              </w:rPr>
              <w:t>城市/农村</w:t>
            </w:r>
          </w:p>
        </w:tc>
        <w:tc>
          <w:tcPr>
            <w:tcW w:w="3113" w:type="dxa"/>
            <w:vAlign w:val="center"/>
          </w:tcPr>
          <w:p w14:paraId="73225F85">
            <w:pPr>
              <w:pStyle w:val="28"/>
              <w:rPr>
                <w:color w:val="000000" w:themeColor="text1"/>
                <w14:textFill>
                  <w14:solidFill>
                    <w14:schemeClr w14:val="tx1"/>
                  </w14:solidFill>
                </w14:textFill>
              </w:rPr>
            </w:pPr>
            <w:r>
              <w:rPr>
                <w:color w:val="000000" w:themeColor="text1"/>
                <w14:textFill>
                  <w14:solidFill>
                    <w14:schemeClr w14:val="tx1"/>
                  </w14:solidFill>
                </w14:textFill>
              </w:rPr>
              <w:t>农村</w:t>
            </w:r>
          </w:p>
        </w:tc>
      </w:tr>
      <w:tr w14:paraId="4BF73F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continue"/>
            <w:vAlign w:val="center"/>
          </w:tcPr>
          <w:p w14:paraId="00E3E922">
            <w:pPr>
              <w:pStyle w:val="28"/>
              <w:rPr>
                <w:color w:val="000000" w:themeColor="text1"/>
                <w14:textFill>
                  <w14:solidFill>
                    <w14:schemeClr w14:val="tx1"/>
                  </w14:solidFill>
                </w14:textFill>
              </w:rPr>
            </w:pPr>
          </w:p>
        </w:tc>
        <w:tc>
          <w:tcPr>
            <w:tcW w:w="3144" w:type="dxa"/>
            <w:vAlign w:val="center"/>
          </w:tcPr>
          <w:p w14:paraId="427371A7">
            <w:pPr>
              <w:pStyle w:val="28"/>
              <w:rPr>
                <w:color w:val="000000" w:themeColor="text1"/>
                <w14:textFill>
                  <w14:solidFill>
                    <w14:schemeClr w14:val="tx1"/>
                  </w14:solidFill>
                </w14:textFill>
              </w:rPr>
            </w:pPr>
            <w:r>
              <w:rPr>
                <w:color w:val="000000" w:themeColor="text1"/>
                <w14:textFill>
                  <w14:solidFill>
                    <w14:schemeClr w14:val="tx1"/>
                  </w14:solidFill>
                </w14:textFill>
              </w:rPr>
              <w:t>人口数</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城市人口数</w:t>
            </w:r>
            <w:r>
              <w:rPr>
                <w:rFonts w:hint="eastAsia" w:ascii="宋体" w:hAnsi="宋体" w:cs="宋体"/>
                <w:color w:val="000000" w:themeColor="text1"/>
                <w14:textFill>
                  <w14:solidFill>
                    <w14:schemeClr w14:val="tx1"/>
                  </w14:solidFill>
                </w14:textFill>
              </w:rPr>
              <w:t>)</w:t>
            </w:r>
          </w:p>
        </w:tc>
        <w:tc>
          <w:tcPr>
            <w:tcW w:w="3113" w:type="dxa"/>
            <w:vAlign w:val="center"/>
          </w:tcPr>
          <w:p w14:paraId="61DBE54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422FE8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414" w:type="dxa"/>
            <w:gridSpan w:val="2"/>
            <w:vAlign w:val="center"/>
          </w:tcPr>
          <w:p w14:paraId="674F4E2F">
            <w:pPr>
              <w:pStyle w:val="28"/>
              <w:rPr>
                <w:color w:val="000000" w:themeColor="text1"/>
                <w14:textFill>
                  <w14:solidFill>
                    <w14:schemeClr w14:val="tx1"/>
                  </w14:solidFill>
                </w14:textFill>
              </w:rPr>
            </w:pPr>
            <w:r>
              <w:rPr>
                <w:color w:val="000000" w:themeColor="text1"/>
                <w14:textFill>
                  <w14:solidFill>
                    <w14:schemeClr w14:val="tx1"/>
                  </w14:solidFill>
                </w14:textFill>
              </w:rPr>
              <w:t>最高环境温度</w:t>
            </w:r>
          </w:p>
        </w:tc>
        <w:tc>
          <w:tcPr>
            <w:tcW w:w="3113" w:type="dxa"/>
            <w:shd w:val="clear" w:color="auto" w:fill="auto"/>
            <w:vAlign w:val="center"/>
          </w:tcPr>
          <w:p w14:paraId="6877421B">
            <w:pPr>
              <w:pStyle w:val="28"/>
              <w:rPr>
                <w:color w:val="000000" w:themeColor="text1"/>
                <w14:textFill>
                  <w14:solidFill>
                    <w14:schemeClr w14:val="tx1"/>
                  </w14:solidFill>
                </w14:textFill>
              </w:rPr>
            </w:pPr>
            <w:r>
              <w:rPr>
                <w:color w:val="000000" w:themeColor="text1"/>
                <w14:textFill>
                  <w14:solidFill>
                    <w14:schemeClr w14:val="tx1"/>
                  </w14:solidFill>
                </w14:textFill>
              </w:rPr>
              <w:t>34.4</w:t>
            </w:r>
          </w:p>
        </w:tc>
      </w:tr>
      <w:tr w14:paraId="20F051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414" w:type="dxa"/>
            <w:gridSpan w:val="2"/>
            <w:vAlign w:val="center"/>
          </w:tcPr>
          <w:p w14:paraId="42EE461B">
            <w:pPr>
              <w:pStyle w:val="28"/>
              <w:rPr>
                <w:color w:val="000000" w:themeColor="text1"/>
                <w14:textFill>
                  <w14:solidFill>
                    <w14:schemeClr w14:val="tx1"/>
                  </w14:solidFill>
                </w14:textFill>
              </w:rPr>
            </w:pPr>
            <w:r>
              <w:rPr>
                <w:color w:val="000000" w:themeColor="text1"/>
                <w14:textFill>
                  <w14:solidFill>
                    <w14:schemeClr w14:val="tx1"/>
                  </w14:solidFill>
                </w14:textFill>
              </w:rPr>
              <w:t>最低环境温度</w:t>
            </w:r>
          </w:p>
        </w:tc>
        <w:tc>
          <w:tcPr>
            <w:tcW w:w="3113" w:type="dxa"/>
            <w:shd w:val="clear" w:color="auto" w:fill="auto"/>
            <w:vAlign w:val="center"/>
          </w:tcPr>
          <w:p w14:paraId="4A0445A3">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r>
      <w:tr w14:paraId="4BC711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414" w:type="dxa"/>
            <w:gridSpan w:val="2"/>
            <w:vAlign w:val="center"/>
          </w:tcPr>
          <w:p w14:paraId="3E666EA8">
            <w:pPr>
              <w:pStyle w:val="28"/>
              <w:rPr>
                <w:color w:val="000000" w:themeColor="text1"/>
                <w14:textFill>
                  <w14:solidFill>
                    <w14:schemeClr w14:val="tx1"/>
                  </w14:solidFill>
                </w14:textFill>
              </w:rPr>
            </w:pPr>
            <w:r>
              <w:rPr>
                <w:color w:val="000000" w:themeColor="text1"/>
                <w14:textFill>
                  <w14:solidFill>
                    <w14:schemeClr w14:val="tx1"/>
                  </w14:solidFill>
                </w14:textFill>
              </w:rPr>
              <w:t>土地利用类型</w:t>
            </w:r>
          </w:p>
        </w:tc>
        <w:tc>
          <w:tcPr>
            <w:tcW w:w="3113" w:type="dxa"/>
            <w:vAlign w:val="center"/>
          </w:tcPr>
          <w:p w14:paraId="7AAFF7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农田</w:t>
            </w:r>
          </w:p>
        </w:tc>
      </w:tr>
      <w:tr w14:paraId="56A7F3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414" w:type="dxa"/>
            <w:gridSpan w:val="2"/>
            <w:vAlign w:val="center"/>
          </w:tcPr>
          <w:p w14:paraId="2EEC6E2E">
            <w:pPr>
              <w:pStyle w:val="28"/>
              <w:rPr>
                <w:color w:val="000000" w:themeColor="text1"/>
                <w14:textFill>
                  <w14:solidFill>
                    <w14:schemeClr w14:val="tx1"/>
                  </w14:solidFill>
                </w14:textFill>
              </w:rPr>
            </w:pPr>
            <w:r>
              <w:rPr>
                <w:color w:val="000000" w:themeColor="text1"/>
                <w14:textFill>
                  <w14:solidFill>
                    <w14:schemeClr w14:val="tx1"/>
                  </w14:solidFill>
                </w14:textFill>
              </w:rPr>
              <w:t>区域湿度条件</w:t>
            </w:r>
          </w:p>
        </w:tc>
        <w:tc>
          <w:tcPr>
            <w:tcW w:w="3113" w:type="dxa"/>
            <w:vAlign w:val="center"/>
          </w:tcPr>
          <w:p w14:paraId="3F4BB693">
            <w:pPr>
              <w:pStyle w:val="28"/>
              <w:rPr>
                <w:color w:val="000000" w:themeColor="text1"/>
                <w14:textFill>
                  <w14:solidFill>
                    <w14:schemeClr w14:val="tx1"/>
                  </w14:solidFill>
                </w14:textFill>
              </w:rPr>
            </w:pPr>
            <w:r>
              <w:rPr>
                <w:color w:val="000000" w:themeColor="text1"/>
                <w14:textFill>
                  <w14:solidFill>
                    <w14:schemeClr w14:val="tx1"/>
                  </w14:solidFill>
                </w14:textFill>
              </w:rPr>
              <w:t>潮湿</w:t>
            </w:r>
          </w:p>
        </w:tc>
      </w:tr>
      <w:tr w14:paraId="36A8B6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restart"/>
            <w:vAlign w:val="center"/>
          </w:tcPr>
          <w:p w14:paraId="043193A2">
            <w:pPr>
              <w:pStyle w:val="28"/>
              <w:rPr>
                <w:color w:val="000000" w:themeColor="text1"/>
                <w14:textFill>
                  <w14:solidFill>
                    <w14:schemeClr w14:val="tx1"/>
                  </w14:solidFill>
                </w14:textFill>
              </w:rPr>
            </w:pPr>
            <w:r>
              <w:rPr>
                <w:color w:val="000000" w:themeColor="text1"/>
                <w14:textFill>
                  <w14:solidFill>
                    <w14:schemeClr w14:val="tx1"/>
                  </w14:solidFill>
                </w14:textFill>
              </w:rPr>
              <w:t>是否考虑地形</w:t>
            </w:r>
          </w:p>
        </w:tc>
        <w:tc>
          <w:tcPr>
            <w:tcW w:w="3144" w:type="dxa"/>
            <w:vAlign w:val="center"/>
          </w:tcPr>
          <w:p w14:paraId="7CF95FD3">
            <w:pPr>
              <w:pStyle w:val="28"/>
              <w:rPr>
                <w:color w:val="000000" w:themeColor="text1"/>
                <w14:textFill>
                  <w14:solidFill>
                    <w14:schemeClr w14:val="tx1"/>
                  </w14:solidFill>
                </w14:textFill>
              </w:rPr>
            </w:pPr>
            <w:r>
              <w:rPr>
                <w:color w:val="000000" w:themeColor="text1"/>
                <w14:textFill>
                  <w14:solidFill>
                    <w14:schemeClr w14:val="tx1"/>
                  </w14:solidFill>
                </w14:textFill>
              </w:rPr>
              <w:t>考虑地形</w:t>
            </w:r>
          </w:p>
        </w:tc>
        <w:tc>
          <w:tcPr>
            <w:tcW w:w="3113" w:type="dxa"/>
            <w:vAlign w:val="center"/>
          </w:tcPr>
          <w:p w14:paraId="05DE27C7">
            <w:pPr>
              <w:pStyle w:val="28"/>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6F888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continue"/>
            <w:vAlign w:val="center"/>
          </w:tcPr>
          <w:p w14:paraId="01613DEE">
            <w:pPr>
              <w:pStyle w:val="28"/>
              <w:rPr>
                <w:color w:val="000000" w:themeColor="text1"/>
                <w14:textFill>
                  <w14:solidFill>
                    <w14:schemeClr w14:val="tx1"/>
                  </w14:solidFill>
                </w14:textFill>
              </w:rPr>
            </w:pPr>
          </w:p>
        </w:tc>
        <w:tc>
          <w:tcPr>
            <w:tcW w:w="3144" w:type="dxa"/>
            <w:vAlign w:val="center"/>
          </w:tcPr>
          <w:p w14:paraId="0A9190AE">
            <w:pPr>
              <w:pStyle w:val="28"/>
              <w:rPr>
                <w:color w:val="000000" w:themeColor="text1"/>
                <w14:textFill>
                  <w14:solidFill>
                    <w14:schemeClr w14:val="tx1"/>
                  </w14:solidFill>
                </w14:textFill>
              </w:rPr>
            </w:pPr>
            <w:r>
              <w:rPr>
                <w:color w:val="000000" w:themeColor="text1"/>
                <w14:textFill>
                  <w14:solidFill>
                    <w14:schemeClr w14:val="tx1"/>
                  </w14:solidFill>
                </w14:textFill>
              </w:rPr>
              <w:t>地形数据分辨率</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ascii="宋体" w:hAnsi="宋体" w:cs="宋体"/>
                <w:color w:val="000000" w:themeColor="text1"/>
                <w14:textFill>
                  <w14:solidFill>
                    <w14:schemeClr w14:val="tx1"/>
                  </w14:solidFill>
                </w14:textFill>
              </w:rPr>
              <w:t>)</w:t>
            </w:r>
          </w:p>
        </w:tc>
        <w:tc>
          <w:tcPr>
            <w:tcW w:w="3113" w:type="dxa"/>
            <w:vAlign w:val="center"/>
          </w:tcPr>
          <w:p w14:paraId="0D68260D">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r>
      <w:tr w14:paraId="7D7A21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restart"/>
            <w:vAlign w:val="center"/>
          </w:tcPr>
          <w:p w14:paraId="62BA54CB">
            <w:pPr>
              <w:pStyle w:val="28"/>
              <w:rPr>
                <w:color w:val="000000" w:themeColor="text1"/>
                <w14:textFill>
                  <w14:solidFill>
                    <w14:schemeClr w14:val="tx1"/>
                  </w14:solidFill>
                </w14:textFill>
              </w:rPr>
            </w:pPr>
            <w:r>
              <w:rPr>
                <w:color w:val="000000" w:themeColor="text1"/>
                <w14:textFill>
                  <w14:solidFill>
                    <w14:schemeClr w14:val="tx1"/>
                  </w14:solidFill>
                </w14:textFill>
              </w:rPr>
              <w:t>是否考虑岸线熏烟</w:t>
            </w:r>
          </w:p>
        </w:tc>
        <w:tc>
          <w:tcPr>
            <w:tcW w:w="3144" w:type="dxa"/>
            <w:vAlign w:val="center"/>
          </w:tcPr>
          <w:p w14:paraId="2153E4DC">
            <w:pPr>
              <w:pStyle w:val="28"/>
              <w:rPr>
                <w:color w:val="000000" w:themeColor="text1"/>
                <w14:textFill>
                  <w14:solidFill>
                    <w14:schemeClr w14:val="tx1"/>
                  </w14:solidFill>
                </w14:textFill>
              </w:rPr>
            </w:pPr>
            <w:r>
              <w:rPr>
                <w:color w:val="000000" w:themeColor="text1"/>
                <w14:textFill>
                  <w14:solidFill>
                    <w14:schemeClr w14:val="tx1"/>
                  </w14:solidFill>
                </w14:textFill>
              </w:rPr>
              <w:t>考虑岸线熏烟</w:t>
            </w:r>
          </w:p>
        </w:tc>
        <w:tc>
          <w:tcPr>
            <w:tcW w:w="3113" w:type="dxa"/>
            <w:vAlign w:val="center"/>
          </w:tcPr>
          <w:p w14:paraId="2A7FA217">
            <w:pPr>
              <w:pStyle w:val="28"/>
              <w:rPr>
                <w:color w:val="000000" w:themeColor="text1"/>
                <w14:textFill>
                  <w14:solidFill>
                    <w14:schemeClr w14:val="tx1"/>
                  </w14:solidFill>
                </w14:textFill>
              </w:rPr>
            </w:pPr>
            <w:r>
              <w:rPr>
                <w:color w:val="000000" w:themeColor="text1"/>
                <w14:textFill>
                  <w14:solidFill>
                    <w14:schemeClr w14:val="tx1"/>
                  </w14:solidFill>
                </w14:textFill>
              </w:rPr>
              <w:t>否</w:t>
            </w:r>
          </w:p>
        </w:tc>
      </w:tr>
      <w:tr w14:paraId="453AD0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continue"/>
            <w:vAlign w:val="center"/>
          </w:tcPr>
          <w:p w14:paraId="51716556">
            <w:pPr>
              <w:pStyle w:val="28"/>
              <w:rPr>
                <w:color w:val="000000" w:themeColor="text1"/>
                <w14:textFill>
                  <w14:solidFill>
                    <w14:schemeClr w14:val="tx1"/>
                  </w14:solidFill>
                </w14:textFill>
              </w:rPr>
            </w:pPr>
          </w:p>
        </w:tc>
        <w:tc>
          <w:tcPr>
            <w:tcW w:w="3144" w:type="dxa"/>
            <w:vAlign w:val="center"/>
          </w:tcPr>
          <w:p w14:paraId="0649767A">
            <w:pPr>
              <w:pStyle w:val="28"/>
              <w:rPr>
                <w:color w:val="000000" w:themeColor="text1"/>
                <w14:textFill>
                  <w14:solidFill>
                    <w14:schemeClr w14:val="tx1"/>
                  </w14:solidFill>
                </w14:textFill>
              </w:rPr>
            </w:pPr>
            <w:r>
              <w:rPr>
                <w:color w:val="000000" w:themeColor="text1"/>
                <w14:textFill>
                  <w14:solidFill>
                    <w14:schemeClr w14:val="tx1"/>
                  </w14:solidFill>
                </w14:textFill>
              </w:rPr>
              <w:t>岸线距离/m</w:t>
            </w:r>
          </w:p>
        </w:tc>
        <w:tc>
          <w:tcPr>
            <w:tcW w:w="3113" w:type="dxa"/>
            <w:vAlign w:val="center"/>
          </w:tcPr>
          <w:p w14:paraId="4B52DED1">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386FC9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270" w:type="dxa"/>
            <w:vMerge w:val="continue"/>
            <w:vAlign w:val="center"/>
          </w:tcPr>
          <w:p w14:paraId="7C4EE0B7">
            <w:pPr>
              <w:pStyle w:val="28"/>
              <w:rPr>
                <w:color w:val="000000" w:themeColor="text1"/>
                <w14:textFill>
                  <w14:solidFill>
                    <w14:schemeClr w14:val="tx1"/>
                  </w14:solidFill>
                </w14:textFill>
              </w:rPr>
            </w:pPr>
          </w:p>
        </w:tc>
        <w:tc>
          <w:tcPr>
            <w:tcW w:w="3144" w:type="dxa"/>
            <w:vAlign w:val="center"/>
          </w:tcPr>
          <w:p w14:paraId="790FDA2B">
            <w:pPr>
              <w:pStyle w:val="28"/>
              <w:rPr>
                <w:color w:val="000000" w:themeColor="text1"/>
                <w14:textFill>
                  <w14:solidFill>
                    <w14:schemeClr w14:val="tx1"/>
                  </w14:solidFill>
                </w14:textFill>
              </w:rPr>
            </w:pPr>
            <w:r>
              <w:rPr>
                <w:color w:val="000000" w:themeColor="text1"/>
                <w14:textFill>
                  <w14:solidFill>
                    <w14:schemeClr w14:val="tx1"/>
                  </w14:solidFill>
                </w14:textFill>
              </w:rPr>
              <w:t>岸线方向/°</w:t>
            </w:r>
          </w:p>
        </w:tc>
        <w:tc>
          <w:tcPr>
            <w:tcW w:w="3113" w:type="dxa"/>
            <w:vAlign w:val="center"/>
          </w:tcPr>
          <w:p w14:paraId="7031900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3393A15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6、评价等级确定</w:t>
      </w:r>
    </w:p>
    <w:p w14:paraId="41A1DA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根据《环境影响评价技术导则大气环境》（</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）中附录</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推荐模型</w:t>
      </w:r>
      <w:r>
        <w:rPr>
          <w:color w:val="000000" w:themeColor="text1"/>
          <w14:textFill>
            <w14:solidFill>
              <w14:schemeClr w14:val="tx1"/>
            </w14:solidFill>
          </w14:textFill>
        </w:rPr>
        <w:t>AERSCREEN</w:t>
      </w:r>
      <w:r>
        <w:rPr>
          <w:rFonts w:hint="eastAsia"/>
          <w:color w:val="000000" w:themeColor="text1"/>
          <w14:textFill>
            <w14:solidFill>
              <w14:schemeClr w14:val="tx1"/>
            </w14:solidFill>
          </w14:textFill>
        </w:rPr>
        <w:t>模型进行估算，污染物的</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估算结果判定本项目大气评价等级，如表</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6。</w:t>
      </w:r>
    </w:p>
    <w:p w14:paraId="795993A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 xml:space="preserve">6  </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预测和计算结果一览表</w:t>
      </w:r>
    </w:p>
    <w:tbl>
      <w:tblPr>
        <w:tblStyle w:val="2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47"/>
        <w:gridCol w:w="1208"/>
        <w:gridCol w:w="1943"/>
        <w:gridCol w:w="1556"/>
        <w:gridCol w:w="1154"/>
        <w:gridCol w:w="1211"/>
      </w:tblGrid>
      <w:tr w14:paraId="3007EE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57" w:hRule="atLeast"/>
        </w:trPr>
        <w:tc>
          <w:tcPr>
            <w:tcW w:w="849" w:type="pct"/>
            <w:vAlign w:val="center"/>
          </w:tcPr>
          <w:p w14:paraId="7C81BB9D">
            <w:pPr>
              <w:pStyle w:val="28"/>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709" w:type="pct"/>
            <w:vAlign w:val="center"/>
          </w:tcPr>
          <w:p w14:paraId="1807695A">
            <w:pPr>
              <w:pStyle w:val="28"/>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1140" w:type="pct"/>
            <w:vAlign w:val="center"/>
          </w:tcPr>
          <w:p w14:paraId="6F616A26">
            <w:pPr>
              <w:pStyle w:val="28"/>
              <w:rPr>
                <w:color w:val="000000" w:themeColor="text1"/>
                <w14:textFill>
                  <w14:solidFill>
                    <w14:schemeClr w14:val="tx1"/>
                  </w14:solidFill>
                </w14:textFill>
              </w:rPr>
            </w:pPr>
            <w:r>
              <w:rPr>
                <w:color w:val="000000" w:themeColor="text1"/>
                <w14:textFill>
                  <w14:solidFill>
                    <w14:schemeClr w14:val="tx1"/>
                  </w14:solidFill>
                </w14:textFill>
              </w:rPr>
              <w:t>评价标准(μg/m³)</w:t>
            </w:r>
          </w:p>
        </w:tc>
        <w:tc>
          <w:tcPr>
            <w:tcW w:w="913" w:type="pct"/>
            <w:vAlign w:val="center"/>
          </w:tcPr>
          <w:p w14:paraId="07322673">
            <w:pPr>
              <w:pStyle w:val="28"/>
              <w:rPr>
                <w:color w:val="000000" w:themeColor="text1"/>
                <w14:textFill>
                  <w14:solidFill>
                    <w14:schemeClr w14:val="tx1"/>
                  </w14:solidFill>
                </w14:textFill>
              </w:rPr>
            </w:pPr>
            <w:r>
              <w:rPr>
                <w:color w:val="000000" w:themeColor="text1"/>
                <w14:textFill>
                  <w14:solidFill>
                    <w14:schemeClr w14:val="tx1"/>
                  </w14:solidFill>
                </w14:textFill>
              </w:rPr>
              <w:t>Cmax(μg/m³)</w:t>
            </w:r>
          </w:p>
        </w:tc>
        <w:tc>
          <w:tcPr>
            <w:tcW w:w="677" w:type="pct"/>
            <w:vAlign w:val="center"/>
          </w:tcPr>
          <w:p w14:paraId="29F9B9F5">
            <w:pPr>
              <w:pStyle w:val="28"/>
              <w:rPr>
                <w:color w:val="000000" w:themeColor="text1"/>
                <w14:textFill>
                  <w14:solidFill>
                    <w14:schemeClr w14:val="tx1"/>
                  </w14:solidFill>
                </w14:textFill>
              </w:rPr>
            </w:pPr>
            <w:r>
              <w:rPr>
                <w:color w:val="000000" w:themeColor="text1"/>
                <w14:textFill>
                  <w14:solidFill>
                    <w14:schemeClr w14:val="tx1"/>
                  </w14:solidFill>
                </w14:textFill>
              </w:rPr>
              <w:t>Pmax(%)</w:t>
            </w:r>
          </w:p>
        </w:tc>
        <w:tc>
          <w:tcPr>
            <w:tcW w:w="710" w:type="pct"/>
            <w:vAlign w:val="center"/>
          </w:tcPr>
          <w:p w14:paraId="6C5FBDF9">
            <w:pPr>
              <w:pStyle w:val="28"/>
              <w:rPr>
                <w:color w:val="000000" w:themeColor="text1"/>
                <w14:textFill>
                  <w14:solidFill>
                    <w14:schemeClr w14:val="tx1"/>
                  </w14:solidFill>
                </w14:textFill>
              </w:rPr>
            </w:pPr>
            <w:r>
              <w:rPr>
                <w:color w:val="000000" w:themeColor="text1"/>
                <w14:textFill>
                  <w14:solidFill>
                    <w14:schemeClr w14:val="tx1"/>
                  </w14:solidFill>
                </w14:textFill>
              </w:rPr>
              <w:t>D10%(m)</w:t>
            </w:r>
          </w:p>
        </w:tc>
      </w:tr>
      <w:tr w14:paraId="5246F0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 w:hRule="atLeast"/>
        </w:trPr>
        <w:tc>
          <w:tcPr>
            <w:tcW w:w="849" w:type="pct"/>
            <w:vAlign w:val="center"/>
          </w:tcPr>
          <w:p w14:paraId="3B5DED06">
            <w:pPr>
              <w:pStyle w:val="28"/>
              <w:rPr>
                <w:color w:val="000000" w:themeColor="text1"/>
                <w14:textFill>
                  <w14:solidFill>
                    <w14:schemeClr w14:val="tx1"/>
                  </w14:solidFill>
                </w14:textFill>
              </w:rPr>
            </w:pPr>
            <w:r>
              <w:rPr>
                <w:color w:val="000000" w:themeColor="text1"/>
                <w14:textFill>
                  <w14:solidFill>
                    <w14:schemeClr w14:val="tx1"/>
                  </w14:solidFill>
                </w14:textFill>
              </w:rPr>
              <w:t>DA001</w:t>
            </w:r>
          </w:p>
        </w:tc>
        <w:tc>
          <w:tcPr>
            <w:tcW w:w="709" w:type="pct"/>
            <w:vAlign w:val="center"/>
          </w:tcPr>
          <w:p w14:paraId="1D5AD367">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140" w:type="pct"/>
            <w:vAlign w:val="center"/>
          </w:tcPr>
          <w:p w14:paraId="406CD0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360.0</w:t>
            </w:r>
          </w:p>
        </w:tc>
        <w:tc>
          <w:tcPr>
            <w:tcW w:w="913" w:type="pct"/>
            <w:shd w:val="clear" w:color="auto" w:fill="auto"/>
            <w:vAlign w:val="center"/>
          </w:tcPr>
          <w:p w14:paraId="297B9D00">
            <w:pPr>
              <w:pStyle w:val="28"/>
              <w:rPr>
                <w:color w:val="000000" w:themeColor="text1"/>
                <w14:textFill>
                  <w14:solidFill>
                    <w14:schemeClr w14:val="tx1"/>
                  </w14:solidFill>
                </w14:textFill>
              </w:rPr>
            </w:pPr>
            <w:r>
              <w:rPr>
                <w:color w:val="000000" w:themeColor="text1"/>
                <w14:textFill>
                  <w14:solidFill>
                    <w14:schemeClr w14:val="tx1"/>
                  </w14:solidFill>
                </w14:textFill>
              </w:rPr>
              <w:t>34.8520</w:t>
            </w:r>
          </w:p>
        </w:tc>
        <w:tc>
          <w:tcPr>
            <w:tcW w:w="677" w:type="pct"/>
            <w:shd w:val="clear" w:color="auto" w:fill="auto"/>
            <w:vAlign w:val="center"/>
          </w:tcPr>
          <w:p w14:paraId="0642E1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9.68</w:t>
            </w:r>
          </w:p>
        </w:tc>
        <w:tc>
          <w:tcPr>
            <w:tcW w:w="710" w:type="pct"/>
            <w:vAlign w:val="center"/>
          </w:tcPr>
          <w:p w14:paraId="4ED1661B">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1BC5C8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 w:hRule="atLeast"/>
        </w:trPr>
        <w:tc>
          <w:tcPr>
            <w:tcW w:w="849" w:type="pct"/>
            <w:vAlign w:val="center"/>
          </w:tcPr>
          <w:p w14:paraId="068AFE27">
            <w:pPr>
              <w:pStyle w:val="28"/>
              <w:rPr>
                <w:color w:val="000000" w:themeColor="text1"/>
                <w14:textFill>
                  <w14:solidFill>
                    <w14:schemeClr w14:val="tx1"/>
                  </w14:solidFill>
                </w14:textFill>
              </w:rPr>
            </w:pPr>
            <w:r>
              <w:rPr>
                <w:color w:val="000000" w:themeColor="text1"/>
                <w14:textFill>
                  <w14:solidFill>
                    <w14:schemeClr w14:val="tx1"/>
                  </w14:solidFill>
                </w14:textFill>
              </w:rPr>
              <w:t>DA001</w:t>
            </w:r>
          </w:p>
        </w:tc>
        <w:tc>
          <w:tcPr>
            <w:tcW w:w="709" w:type="pct"/>
            <w:vAlign w:val="center"/>
          </w:tcPr>
          <w:p w14:paraId="1D44DC96">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140" w:type="pct"/>
            <w:vAlign w:val="center"/>
          </w:tcPr>
          <w:p w14:paraId="75CF25BB">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913" w:type="pct"/>
            <w:shd w:val="clear" w:color="auto" w:fill="auto"/>
            <w:vAlign w:val="center"/>
          </w:tcPr>
          <w:p w14:paraId="26E75C77">
            <w:pPr>
              <w:pStyle w:val="28"/>
              <w:rPr>
                <w:color w:val="000000" w:themeColor="text1"/>
                <w14:textFill>
                  <w14:solidFill>
                    <w14:schemeClr w14:val="tx1"/>
                  </w14:solidFill>
                </w14:textFill>
              </w:rPr>
            </w:pPr>
            <w:r>
              <w:rPr>
                <w:color w:val="000000" w:themeColor="text1"/>
                <w14:textFill>
                  <w14:solidFill>
                    <w14:schemeClr w14:val="tx1"/>
                  </w14:solidFill>
                </w14:textFill>
              </w:rPr>
              <w:t>0.3851</w:t>
            </w:r>
          </w:p>
        </w:tc>
        <w:tc>
          <w:tcPr>
            <w:tcW w:w="677" w:type="pct"/>
            <w:shd w:val="clear" w:color="auto" w:fill="auto"/>
            <w:vAlign w:val="center"/>
          </w:tcPr>
          <w:p w14:paraId="14D2F981">
            <w:pPr>
              <w:pStyle w:val="28"/>
              <w:rPr>
                <w:color w:val="000000" w:themeColor="text1"/>
                <w14:textFill>
                  <w14:solidFill>
                    <w14:schemeClr w14:val="tx1"/>
                  </w14:solidFill>
                </w14:textFill>
              </w:rPr>
            </w:pPr>
            <w:r>
              <w:rPr>
                <w:color w:val="000000" w:themeColor="text1"/>
                <w14:textFill>
                  <w14:solidFill>
                    <w14:schemeClr w14:val="tx1"/>
                  </w14:solidFill>
                </w14:textFill>
              </w:rPr>
              <w:t>3.85</w:t>
            </w:r>
          </w:p>
        </w:tc>
        <w:tc>
          <w:tcPr>
            <w:tcW w:w="710" w:type="pct"/>
            <w:vAlign w:val="center"/>
          </w:tcPr>
          <w:p w14:paraId="7CBA8D2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64FA27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 w:hRule="atLeast"/>
        </w:trPr>
        <w:tc>
          <w:tcPr>
            <w:tcW w:w="849" w:type="pct"/>
            <w:vAlign w:val="center"/>
          </w:tcPr>
          <w:p w14:paraId="0DBC7831">
            <w:pPr>
              <w:pStyle w:val="28"/>
              <w:rPr>
                <w:color w:val="000000" w:themeColor="text1"/>
                <w14:textFill>
                  <w14:solidFill>
                    <w14:schemeClr w14:val="tx1"/>
                  </w14:solidFill>
                </w14:textFill>
              </w:rPr>
            </w:pPr>
            <w:r>
              <w:rPr>
                <w:color w:val="000000" w:themeColor="text1"/>
                <w14:textFill>
                  <w14:solidFill>
                    <w14:schemeClr w14:val="tx1"/>
                  </w14:solidFill>
                </w14:textFill>
              </w:rPr>
              <w:t>DA001</w:t>
            </w:r>
          </w:p>
        </w:tc>
        <w:tc>
          <w:tcPr>
            <w:tcW w:w="709" w:type="pct"/>
            <w:vAlign w:val="center"/>
          </w:tcPr>
          <w:p w14:paraId="125BA0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w:t>
            </w:r>
          </w:p>
        </w:tc>
        <w:tc>
          <w:tcPr>
            <w:tcW w:w="1140" w:type="pct"/>
            <w:vAlign w:val="center"/>
          </w:tcPr>
          <w:p w14:paraId="603A90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1200.0</w:t>
            </w:r>
          </w:p>
        </w:tc>
        <w:tc>
          <w:tcPr>
            <w:tcW w:w="913" w:type="pct"/>
            <w:shd w:val="clear" w:color="auto" w:fill="auto"/>
            <w:vAlign w:val="center"/>
          </w:tcPr>
          <w:p w14:paraId="41C55802">
            <w:pPr>
              <w:pStyle w:val="28"/>
              <w:rPr>
                <w:color w:val="000000" w:themeColor="text1"/>
                <w14:textFill>
                  <w14:solidFill>
                    <w14:schemeClr w14:val="tx1"/>
                  </w14:solidFill>
                </w14:textFill>
              </w:rPr>
            </w:pPr>
            <w:r>
              <w:rPr>
                <w:color w:val="000000" w:themeColor="text1"/>
                <w14:textFill>
                  <w14:solidFill>
                    <w14:schemeClr w14:val="tx1"/>
                  </w14:solidFill>
                </w14:textFill>
              </w:rPr>
              <w:t>77.0210</w:t>
            </w:r>
          </w:p>
        </w:tc>
        <w:tc>
          <w:tcPr>
            <w:tcW w:w="677" w:type="pct"/>
            <w:shd w:val="clear" w:color="auto" w:fill="auto"/>
            <w:vAlign w:val="center"/>
          </w:tcPr>
          <w:p w14:paraId="4ACE2DB3">
            <w:pPr>
              <w:pStyle w:val="28"/>
              <w:rPr>
                <w:color w:val="000000" w:themeColor="text1"/>
                <w14:textFill>
                  <w14:solidFill>
                    <w14:schemeClr w14:val="tx1"/>
                  </w14:solidFill>
                </w14:textFill>
              </w:rPr>
            </w:pPr>
            <w:r>
              <w:rPr>
                <w:color w:val="000000" w:themeColor="text1"/>
                <w14:textFill>
                  <w14:solidFill>
                    <w14:schemeClr w14:val="tx1"/>
                  </w14:solidFill>
                </w14:textFill>
              </w:rPr>
              <w:t>6.42</w:t>
            </w:r>
          </w:p>
        </w:tc>
        <w:tc>
          <w:tcPr>
            <w:tcW w:w="710" w:type="pct"/>
            <w:vAlign w:val="center"/>
          </w:tcPr>
          <w:p w14:paraId="62BC18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EF768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 w:hRule="atLeast"/>
        </w:trPr>
        <w:tc>
          <w:tcPr>
            <w:tcW w:w="849" w:type="pct"/>
            <w:vAlign w:val="center"/>
          </w:tcPr>
          <w:p w14:paraId="6BCF6563">
            <w:pPr>
              <w:pStyle w:val="28"/>
              <w:rPr>
                <w:color w:val="000000" w:themeColor="text1"/>
                <w14:textFill>
                  <w14:solidFill>
                    <w14:schemeClr w14:val="tx1"/>
                  </w14:solidFill>
                </w14:textFill>
              </w:rPr>
            </w:pPr>
            <w:r>
              <w:rPr>
                <w:color w:val="000000" w:themeColor="text1"/>
                <w14:textFill>
                  <w14:solidFill>
                    <w14:schemeClr w14:val="tx1"/>
                  </w14:solidFill>
                </w14:textFill>
              </w:rPr>
              <w:t>矩形面源</w:t>
            </w:r>
          </w:p>
        </w:tc>
        <w:tc>
          <w:tcPr>
            <w:tcW w:w="709" w:type="pct"/>
            <w:vAlign w:val="center"/>
          </w:tcPr>
          <w:p w14:paraId="0E718A9E">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140" w:type="pct"/>
            <w:vAlign w:val="center"/>
          </w:tcPr>
          <w:p w14:paraId="34DF886B">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913" w:type="pct"/>
            <w:shd w:val="clear" w:color="auto" w:fill="auto"/>
            <w:vAlign w:val="center"/>
          </w:tcPr>
          <w:p w14:paraId="7E815379">
            <w:pPr>
              <w:pStyle w:val="28"/>
              <w:rPr>
                <w:color w:val="000000" w:themeColor="text1"/>
                <w14:textFill>
                  <w14:solidFill>
                    <w14:schemeClr w14:val="tx1"/>
                  </w14:solidFill>
                </w14:textFill>
              </w:rPr>
            </w:pPr>
            <w:r>
              <w:rPr>
                <w:color w:val="000000" w:themeColor="text1"/>
                <w14:textFill>
                  <w14:solidFill>
                    <w14:schemeClr w14:val="tx1"/>
                  </w14:solidFill>
                </w14:textFill>
              </w:rPr>
              <w:t>0.7926</w:t>
            </w:r>
          </w:p>
        </w:tc>
        <w:tc>
          <w:tcPr>
            <w:tcW w:w="677" w:type="pct"/>
            <w:shd w:val="clear" w:color="auto" w:fill="auto"/>
            <w:vAlign w:val="center"/>
          </w:tcPr>
          <w:p w14:paraId="426C4AA8">
            <w:pPr>
              <w:pStyle w:val="28"/>
              <w:rPr>
                <w:color w:val="000000" w:themeColor="text1"/>
                <w14:textFill>
                  <w14:solidFill>
                    <w14:schemeClr w14:val="tx1"/>
                  </w14:solidFill>
                </w14:textFill>
              </w:rPr>
            </w:pPr>
            <w:r>
              <w:rPr>
                <w:color w:val="000000" w:themeColor="text1"/>
                <w14:textFill>
                  <w14:solidFill>
                    <w14:schemeClr w14:val="tx1"/>
                  </w14:solidFill>
                </w14:textFill>
              </w:rPr>
              <w:t>7.93</w:t>
            </w:r>
          </w:p>
        </w:tc>
        <w:tc>
          <w:tcPr>
            <w:tcW w:w="710" w:type="pct"/>
            <w:vAlign w:val="center"/>
          </w:tcPr>
          <w:p w14:paraId="4F78F90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247A5F59">
      <w:pPr>
        <w:spacing w:line="240" w:lineRule="auto"/>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【注】评价标准一般选用GB3095中1h平均质量浓度的二级浓度限值，</w:t>
      </w:r>
      <w:r>
        <w:rPr>
          <w:i/>
          <w:iCs/>
          <w:color w:val="000000" w:themeColor="text1"/>
          <w:sz w:val="21"/>
          <w:szCs w:val="21"/>
          <w14:textFill>
            <w14:solidFill>
              <w14:schemeClr w14:val="tx1"/>
            </w14:solidFill>
          </w14:textFill>
        </w:rPr>
        <w:t>PM</w:t>
      </w:r>
      <w:r>
        <w:rPr>
          <w:i/>
          <w:iCs/>
          <w:color w:val="000000" w:themeColor="text1"/>
          <w:sz w:val="21"/>
          <w:szCs w:val="21"/>
          <w:vertAlign w:val="subscript"/>
          <w14:textFill>
            <w14:solidFill>
              <w14:schemeClr w14:val="tx1"/>
            </w14:solidFill>
          </w14:textFill>
        </w:rPr>
        <w:t>10</w:t>
      </w:r>
      <w:r>
        <w:rPr>
          <w:rFonts w:hint="eastAsia"/>
          <w:i/>
          <w:iCs/>
          <w:color w:val="000000" w:themeColor="text1"/>
          <w:sz w:val="21"/>
          <w:szCs w:val="21"/>
          <w14:textFill>
            <w14:solidFill>
              <w14:schemeClr w14:val="tx1"/>
            </w14:solidFill>
          </w14:textFill>
        </w:rPr>
        <w:t>只有日平均质量浓度120</w:t>
      </w:r>
      <w:r>
        <w:rPr>
          <w:i/>
          <w:iCs/>
          <w:color w:val="000000" w:themeColor="text1"/>
          <w:sz w:val="21"/>
          <w:szCs w:val="21"/>
          <w14:textFill>
            <w14:solidFill>
              <w14:schemeClr w14:val="tx1"/>
            </w14:solidFill>
          </w14:textFill>
        </w:rPr>
        <w:t>μg/m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，按3倍折算成1h平均质量浓度，即为360</w:t>
      </w:r>
      <w:r>
        <w:rPr>
          <w:i/>
          <w:iCs/>
          <w:color w:val="000000" w:themeColor="text1"/>
          <w:sz w:val="21"/>
          <w:szCs w:val="21"/>
          <w14:textFill>
            <w14:solidFill>
              <w14:schemeClr w14:val="tx1"/>
            </w14:solidFill>
          </w14:textFill>
        </w:rPr>
        <w:t>μg/m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，TVOC只有8h平均质量浓度600</w:t>
      </w:r>
      <w:r>
        <w:rPr>
          <w:i/>
          <w:iCs/>
          <w:color w:val="000000" w:themeColor="text1"/>
          <w:sz w:val="21"/>
          <w:szCs w:val="21"/>
          <w14:textFill>
            <w14:solidFill>
              <w14:schemeClr w14:val="tx1"/>
            </w14:solidFill>
          </w14:textFill>
        </w:rPr>
        <w:t>μg/m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，按2倍折算成1h平均质量浓度，即为1200</w:t>
      </w:r>
      <w:r>
        <w:rPr>
          <w:i/>
          <w:iCs/>
          <w:color w:val="000000" w:themeColor="text1"/>
          <w:sz w:val="21"/>
          <w:szCs w:val="21"/>
          <w14:textFill>
            <w14:solidFill>
              <w14:schemeClr w14:val="tx1"/>
            </w14:solidFill>
          </w14:textFill>
        </w:rPr>
        <w:t>μg/m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w:t>
      </w:r>
    </w:p>
    <w:p w14:paraId="05A8AB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本项目Pmax最大值出现为点源排放的PM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Pmax值为9.68%。根据《环境影响评价技术导则 大气环境》（HJ2.2-2018）分级判据，确定本项目大气环境影响评价工作等级为二级。</w:t>
      </w:r>
    </w:p>
    <w:p w14:paraId="32D4BD55">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1.7.1.2 地表水环境</w:t>
      </w:r>
    </w:p>
    <w:p w14:paraId="26702D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本项目废水主要是纯水制备废水、测试器具清洗废水、冷却水循环系统定期排污水、生活污水、车间拖把清洁废水。</w:t>
      </w:r>
    </w:p>
    <w:p w14:paraId="388067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本项目废水经处理达标后排入市政污水管网，接入玉溪市污水处理厂处理。根据《环境影响评价技术导则地表水环境》(HJ2.3-2018)表1，本项目地表水评价等级为三级B。</w:t>
      </w:r>
    </w:p>
    <w:p w14:paraId="3112D77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1.7-7  </w:t>
      </w:r>
      <w:r>
        <w:rPr>
          <w:color w:val="000000" w:themeColor="text1"/>
          <w14:textFill>
            <w14:solidFill>
              <w14:schemeClr w14:val="tx1"/>
            </w14:solidFill>
          </w14:textFill>
        </w:rPr>
        <w:t>水污染影响型建设项目评价等级判定表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43"/>
        <w:gridCol w:w="5295"/>
      </w:tblGrid>
      <w:tr w14:paraId="4611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Merge w:val="restart"/>
            <w:vAlign w:val="center"/>
          </w:tcPr>
          <w:p w14:paraId="3AE087E9">
            <w:pPr>
              <w:pStyle w:val="28"/>
              <w:rPr>
                <w:b/>
                <w:color w:val="000000" w:themeColor="text1"/>
                <w14:textFill>
                  <w14:solidFill>
                    <w14:schemeClr w14:val="tx1"/>
                  </w14:solidFill>
                </w14:textFill>
              </w:rPr>
            </w:pPr>
            <w:r>
              <w:rPr>
                <w:b/>
                <w:color w:val="000000" w:themeColor="text1"/>
                <w14:textFill>
                  <w14:solidFill>
                    <w14:schemeClr w14:val="tx1"/>
                  </w14:solidFill>
                </w14:textFill>
              </w:rPr>
              <w:t>评价等级</w:t>
            </w:r>
          </w:p>
        </w:tc>
        <w:tc>
          <w:tcPr>
            <w:tcW w:w="7138" w:type="dxa"/>
            <w:gridSpan w:val="2"/>
            <w:vAlign w:val="center"/>
          </w:tcPr>
          <w:p w14:paraId="52CAB868">
            <w:pPr>
              <w:pStyle w:val="28"/>
              <w:rPr>
                <w:b/>
                <w:color w:val="000000" w:themeColor="text1"/>
                <w14:textFill>
                  <w14:solidFill>
                    <w14:schemeClr w14:val="tx1"/>
                  </w14:solidFill>
                </w14:textFill>
              </w:rPr>
            </w:pPr>
            <w:r>
              <w:rPr>
                <w:b/>
                <w:color w:val="000000" w:themeColor="text1"/>
                <w14:textFill>
                  <w14:solidFill>
                    <w14:schemeClr w14:val="tx1"/>
                  </w14:solidFill>
                </w14:textFill>
              </w:rPr>
              <w:t>判定依据</w:t>
            </w:r>
          </w:p>
        </w:tc>
      </w:tr>
      <w:tr w14:paraId="5ABC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Merge w:val="continue"/>
            <w:vAlign w:val="center"/>
          </w:tcPr>
          <w:p w14:paraId="1F0C9AE9">
            <w:pPr>
              <w:pStyle w:val="28"/>
              <w:rPr>
                <w:b/>
                <w:color w:val="000000" w:themeColor="text1"/>
                <w14:textFill>
                  <w14:solidFill>
                    <w14:schemeClr w14:val="tx1"/>
                  </w14:solidFill>
                </w14:textFill>
              </w:rPr>
            </w:pPr>
          </w:p>
        </w:tc>
        <w:tc>
          <w:tcPr>
            <w:tcW w:w="1843" w:type="dxa"/>
            <w:vAlign w:val="center"/>
          </w:tcPr>
          <w:p w14:paraId="419FAA92">
            <w:pPr>
              <w:pStyle w:val="28"/>
              <w:rPr>
                <w:b/>
                <w:color w:val="000000" w:themeColor="text1"/>
                <w14:textFill>
                  <w14:solidFill>
                    <w14:schemeClr w14:val="tx1"/>
                  </w14:solidFill>
                </w14:textFill>
              </w:rPr>
            </w:pPr>
            <w:r>
              <w:rPr>
                <w:b/>
                <w:color w:val="000000" w:themeColor="text1"/>
                <w14:textFill>
                  <w14:solidFill>
                    <w14:schemeClr w14:val="tx1"/>
                  </w14:solidFill>
                </w14:textFill>
              </w:rPr>
              <w:t>排放方式</w:t>
            </w:r>
          </w:p>
        </w:tc>
        <w:tc>
          <w:tcPr>
            <w:tcW w:w="5295" w:type="dxa"/>
            <w:vAlign w:val="center"/>
          </w:tcPr>
          <w:p w14:paraId="255F7949">
            <w:pPr>
              <w:pStyle w:val="28"/>
              <w:rPr>
                <w:b/>
                <w:color w:val="000000" w:themeColor="text1"/>
                <w14:textFill>
                  <w14:solidFill>
                    <w14:schemeClr w14:val="tx1"/>
                  </w14:solidFill>
                </w14:textFill>
              </w:rPr>
            </w:pPr>
            <w:r>
              <w:rPr>
                <w:b/>
                <w:color w:val="000000" w:themeColor="text1"/>
                <w14:textFill>
                  <w14:solidFill>
                    <w14:schemeClr w14:val="tx1"/>
                  </w14:solidFill>
                </w14:textFill>
              </w:rPr>
              <w:t>废水排放量Q/（</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b/>
                <w:color w:val="000000" w:themeColor="text1"/>
                <w14:textFill>
                  <w14:solidFill>
                    <w14:schemeClr w14:val="tx1"/>
                  </w14:solidFill>
                </w14:textFill>
              </w:rPr>
              <w:t>/d）；水污染物当量数W/（量纲一）</w:t>
            </w:r>
          </w:p>
        </w:tc>
      </w:tr>
      <w:tr w14:paraId="0539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14:paraId="10AADBC9">
            <w:pPr>
              <w:pStyle w:val="28"/>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843" w:type="dxa"/>
            <w:vAlign w:val="center"/>
          </w:tcPr>
          <w:p w14:paraId="05BE6A44">
            <w:pPr>
              <w:pStyle w:val="28"/>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5295" w:type="dxa"/>
            <w:vAlign w:val="center"/>
          </w:tcPr>
          <w:p w14:paraId="74FF67AD">
            <w:pPr>
              <w:pStyle w:val="28"/>
              <w:rPr>
                <w:color w:val="000000" w:themeColor="text1"/>
                <w14:textFill>
                  <w14:solidFill>
                    <w14:schemeClr w14:val="tx1"/>
                  </w14:solidFill>
                </w14:textFill>
              </w:rPr>
            </w:pPr>
            <w:r>
              <w:rPr>
                <w:bCs/>
                <w:color w:val="000000" w:themeColor="text1"/>
                <w14:textFill>
                  <w14:solidFill>
                    <w14:schemeClr w14:val="tx1"/>
                  </w14:solidFill>
                </w14:textFill>
              </w:rPr>
              <w:t>Q≥20000或W≥6000000</w:t>
            </w:r>
          </w:p>
        </w:tc>
      </w:tr>
      <w:tr w14:paraId="0CB1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14:paraId="009E02F5">
            <w:pPr>
              <w:pStyle w:val="28"/>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843" w:type="dxa"/>
            <w:vAlign w:val="center"/>
          </w:tcPr>
          <w:p w14:paraId="48E42E4C">
            <w:pPr>
              <w:pStyle w:val="28"/>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5295" w:type="dxa"/>
            <w:vAlign w:val="center"/>
          </w:tcPr>
          <w:p w14:paraId="74D0E369">
            <w:pPr>
              <w:pStyle w:val="28"/>
              <w:rPr>
                <w:color w:val="000000" w:themeColor="text1"/>
                <w14:textFill>
                  <w14:solidFill>
                    <w14:schemeClr w14:val="tx1"/>
                  </w14:solidFill>
                </w14:textFill>
              </w:rPr>
            </w:pPr>
            <w:r>
              <w:rPr>
                <w:color w:val="000000" w:themeColor="text1"/>
                <w14:textFill>
                  <w14:solidFill>
                    <w14:schemeClr w14:val="tx1"/>
                  </w14:solidFill>
                </w14:textFill>
              </w:rPr>
              <w:t>其他</w:t>
            </w:r>
          </w:p>
        </w:tc>
      </w:tr>
      <w:tr w14:paraId="14B0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14:paraId="0647E0DB">
            <w:pPr>
              <w:pStyle w:val="28"/>
              <w:rPr>
                <w:color w:val="000000" w:themeColor="text1"/>
                <w14:textFill>
                  <w14:solidFill>
                    <w14:schemeClr w14:val="tx1"/>
                  </w14:solidFill>
                </w14:textFill>
              </w:rPr>
            </w:pPr>
            <w:r>
              <w:rPr>
                <w:color w:val="000000" w:themeColor="text1"/>
                <w14:textFill>
                  <w14:solidFill>
                    <w14:schemeClr w14:val="tx1"/>
                  </w14:solidFill>
                </w14:textFill>
              </w:rPr>
              <w:t>三级A</w:t>
            </w:r>
          </w:p>
        </w:tc>
        <w:tc>
          <w:tcPr>
            <w:tcW w:w="1843" w:type="dxa"/>
            <w:vAlign w:val="center"/>
          </w:tcPr>
          <w:p w14:paraId="0E89F29A">
            <w:pPr>
              <w:pStyle w:val="28"/>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5295" w:type="dxa"/>
            <w:vAlign w:val="center"/>
          </w:tcPr>
          <w:p w14:paraId="5D2CA488">
            <w:pPr>
              <w:pStyle w:val="28"/>
              <w:rPr>
                <w:color w:val="000000" w:themeColor="text1"/>
                <w14:textFill>
                  <w14:solidFill>
                    <w14:schemeClr w14:val="tx1"/>
                  </w14:solidFill>
                </w14:textFill>
              </w:rPr>
            </w:pPr>
            <w:r>
              <w:rPr>
                <w:color w:val="000000" w:themeColor="text1"/>
                <w14:textFill>
                  <w14:solidFill>
                    <w14:schemeClr w14:val="tx1"/>
                  </w14:solidFill>
                </w14:textFill>
              </w:rPr>
              <w:t>Q&lt;200且W&lt;6000</w:t>
            </w:r>
          </w:p>
        </w:tc>
      </w:tr>
      <w:tr w14:paraId="50BA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14:paraId="612D717A">
            <w:pPr>
              <w:pStyle w:val="28"/>
              <w:rPr>
                <w:color w:val="000000" w:themeColor="text1"/>
                <w14:textFill>
                  <w14:solidFill>
                    <w14:schemeClr w14:val="tx1"/>
                  </w14:solidFill>
                </w14:textFill>
              </w:rPr>
            </w:pPr>
            <w:r>
              <w:rPr>
                <w:color w:val="000000" w:themeColor="text1"/>
                <w14:textFill>
                  <w14:solidFill>
                    <w14:schemeClr w14:val="tx1"/>
                  </w14:solidFill>
                </w14:textFill>
              </w:rPr>
              <w:t>三级B</w:t>
            </w:r>
          </w:p>
        </w:tc>
        <w:tc>
          <w:tcPr>
            <w:tcW w:w="1843" w:type="dxa"/>
            <w:vAlign w:val="center"/>
          </w:tcPr>
          <w:p w14:paraId="27672FD6">
            <w:pPr>
              <w:pStyle w:val="28"/>
              <w:rPr>
                <w:color w:val="000000" w:themeColor="text1"/>
                <w14:textFill>
                  <w14:solidFill>
                    <w14:schemeClr w14:val="tx1"/>
                  </w14:solidFill>
                </w14:textFill>
              </w:rPr>
            </w:pPr>
            <w:r>
              <w:rPr>
                <w:color w:val="000000" w:themeColor="text1"/>
                <w14:textFill>
                  <w14:solidFill>
                    <w14:schemeClr w14:val="tx1"/>
                  </w14:solidFill>
                </w14:textFill>
              </w:rPr>
              <w:t>间接排放</w:t>
            </w:r>
          </w:p>
        </w:tc>
        <w:tc>
          <w:tcPr>
            <w:tcW w:w="5295" w:type="dxa"/>
            <w:vAlign w:val="center"/>
          </w:tcPr>
          <w:p w14:paraId="3CA2E86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1521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3"/>
            <w:vAlign w:val="center"/>
          </w:tcPr>
          <w:p w14:paraId="2083013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5CD2E07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14:paraId="20FB141F">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14:paraId="5B3FB4A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注4：建设项目直接排放第一类污染物的，其评价等级为一级；建设项目直接排放的污染物为受纳水体超标因子的，评价等级不低于二级。</w:t>
            </w:r>
          </w:p>
          <w:p w14:paraId="3601C71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14:paraId="7D3F196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注6：建设项目向河流、湖库排放温排水引起受纳水体水温变化超过水环境质量标准要求，且评价范围有水温敏感目标时，评价等级为一级。</w:t>
            </w:r>
          </w:p>
          <w:p w14:paraId="78BDE3F9">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注7：建设项目利用海水作为调节温度介质，排水量≥500万m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/d，评价等级为一级；排水量＜500万m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/d，评价等级为二级。</w:t>
            </w:r>
          </w:p>
          <w:p w14:paraId="27DFAEC9">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注8：仅涉及清净下水排放的，如其排放水质满足受纳水体水环境质量标准要求的，评价等级为三级A。</w:t>
            </w:r>
          </w:p>
          <w:p w14:paraId="4B411B1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注9：依托现有排放口，且对外环境未新增排放污染物的直接排放建设项目，评价等级参照间接排放，定为三级B。</w:t>
            </w:r>
          </w:p>
          <w:p w14:paraId="1BB8A1B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注10：建设项目生产工艺中有废水产生，但作为回水利用，不排放到外环境的，按三级B评价。</w:t>
            </w:r>
          </w:p>
        </w:tc>
      </w:tr>
    </w:tbl>
    <w:p w14:paraId="43B0505E">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1.7.1.3 地下水环境</w:t>
      </w:r>
    </w:p>
    <w:p w14:paraId="5E07FA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地下水环境》(HJ610-2016)中6.2.1.1提及的附录A确定，本项目行业类别属于“82、半导体材料、电子陶瓷、有机薄膜、荧光粉、贵金属粉等电子专用材料”，本项目需要编制报告书，地下水环境影响评价项目类别为</w:t>
      </w:r>
      <w:r>
        <w:rPr>
          <w:rFonts w:cs="Times New Roman"/>
          <w:color w:val="000000" w:themeColor="text1"/>
          <w14:textFill>
            <w14:solidFill>
              <w14:schemeClr w14:val="tx1"/>
            </w14:solidFill>
          </w14:textFill>
        </w:rPr>
        <w:t>Ⅳ类。Ⅳ类项</w:t>
      </w:r>
      <w:r>
        <w:rPr>
          <w:rFonts w:hint="eastAsia"/>
          <w:color w:val="000000" w:themeColor="text1"/>
          <w14:textFill>
            <w14:solidFill>
              <w14:schemeClr w14:val="tx1"/>
            </w14:solidFill>
          </w14:textFill>
        </w:rPr>
        <w:t>目不开展地下水环境影响评价。</w:t>
      </w:r>
    </w:p>
    <w:p w14:paraId="7330E76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1.7.1.4 声环境</w:t>
      </w:r>
    </w:p>
    <w:p w14:paraId="362932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对照《环境影响评价技术导则 声环境》(HJ2.4-2021)中的有关规定“建设项目所处的声环境功能区为GB3096规定的3类、4类地区，或建设项目建设前后评价范围内的敏感目标噪声级增高量在3dB(A)以下(不含3dB(A))，且受影响人口数量变化不大时，按三级评价。”项目所在地为3类声功能区，周边主要为园区企业、村庄及耕地，且项目建设前后周边敏感点噪声级增加量在3dB(A)以下，因此，确定本项目声环境影响评价工作等级为三级。</w:t>
      </w:r>
    </w:p>
    <w:p w14:paraId="659495D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1.7.1.5 土壤环境</w:t>
      </w:r>
    </w:p>
    <w:p w14:paraId="1E22C2C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土壤环境(试行)》(HJ964-2018)附录A，本项目属于电子专用材料制造，本项目土壤环境影响评价项目行业类别参照半导体材料，土壤环境影响评价项目类别为</w:t>
      </w:r>
      <w:r>
        <w:rPr>
          <w:rFonts w:cs="Times New Roman"/>
          <w:color w:val="000000" w:themeColor="text1"/>
          <w14:textFill>
            <w14:solidFill>
              <w14:schemeClr w14:val="tx1"/>
            </w14:solidFill>
          </w14:textFill>
        </w:rPr>
        <w:t>Ⅱ类</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本项目占地面积约</w:t>
      </w:r>
      <w:r>
        <w:rPr>
          <w:rFonts w:hint="eastAsia"/>
          <w:color w:val="000000" w:themeColor="text1"/>
          <w14:textFill>
            <w14:solidFill>
              <w14:schemeClr w14:val="tx1"/>
            </w14:solidFill>
          </w14:textFill>
        </w:rPr>
        <w:t>2250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，规模为</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型</w:t>
      </w:r>
      <w:r>
        <w:rPr>
          <w:rFonts w:hint="eastAsia" w:ascii="宋体" w:hAnsi="宋体" w:cs="宋体"/>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36961791">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表1.7-8 污染影响型敏感程度分级表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7452"/>
      </w:tblGrid>
      <w:tr w14:paraId="7D8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Align w:val="center"/>
          </w:tcPr>
          <w:p w14:paraId="3712EB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敏感程度</w:t>
            </w:r>
          </w:p>
        </w:tc>
        <w:tc>
          <w:tcPr>
            <w:tcW w:w="4371" w:type="pct"/>
            <w:vAlign w:val="center"/>
          </w:tcPr>
          <w:p w14:paraId="6BCEF4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判别依据</w:t>
            </w:r>
          </w:p>
        </w:tc>
      </w:tr>
      <w:tr w14:paraId="07D2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Align w:val="center"/>
          </w:tcPr>
          <w:p w14:paraId="08943D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敏感</w:t>
            </w:r>
          </w:p>
        </w:tc>
        <w:tc>
          <w:tcPr>
            <w:tcW w:w="4371" w:type="pct"/>
            <w:vAlign w:val="center"/>
          </w:tcPr>
          <w:p w14:paraId="39F85B45">
            <w:pPr>
              <w:pStyle w:val="28"/>
              <w:rPr>
                <w:color w:val="000000" w:themeColor="text1"/>
                <w14:textFill>
                  <w14:solidFill>
                    <w14:schemeClr w14:val="tx1"/>
                  </w14:solidFill>
                </w14:textFill>
              </w:rPr>
            </w:pPr>
            <w:r>
              <w:rPr>
                <w:color w:val="000000" w:themeColor="text1"/>
                <w14:textFill>
                  <w14:solidFill>
                    <w14:schemeClr w14:val="tx1"/>
                  </w14:solidFill>
                </w14:textFill>
              </w:rPr>
              <w:t>建设项目周边存在耕地、园地、牧草地、饮用水水源地或居民区、学校、医院、疗养院、养老院等土壤环境敏感目标的</w:t>
            </w:r>
          </w:p>
        </w:tc>
      </w:tr>
      <w:tr w14:paraId="6530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Align w:val="center"/>
          </w:tcPr>
          <w:p w14:paraId="27915C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较敏感</w:t>
            </w:r>
          </w:p>
        </w:tc>
        <w:tc>
          <w:tcPr>
            <w:tcW w:w="4371" w:type="pct"/>
            <w:vAlign w:val="center"/>
          </w:tcPr>
          <w:p w14:paraId="0EA82F6C">
            <w:pPr>
              <w:pStyle w:val="28"/>
              <w:rPr>
                <w:color w:val="000000" w:themeColor="text1"/>
                <w14:textFill>
                  <w14:solidFill>
                    <w14:schemeClr w14:val="tx1"/>
                  </w14:solidFill>
                </w14:textFill>
              </w:rPr>
            </w:pPr>
            <w:r>
              <w:rPr>
                <w:color w:val="000000" w:themeColor="text1"/>
                <w14:textFill>
                  <w14:solidFill>
                    <w14:schemeClr w14:val="tx1"/>
                  </w14:solidFill>
                </w14:textFill>
              </w:rPr>
              <w:t>建设项目周边存在其他土壤环境敏感目标的</w:t>
            </w:r>
          </w:p>
        </w:tc>
      </w:tr>
      <w:tr w14:paraId="6F4C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Align w:val="center"/>
          </w:tcPr>
          <w:p w14:paraId="7E36BE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不敏感</w:t>
            </w:r>
          </w:p>
        </w:tc>
        <w:tc>
          <w:tcPr>
            <w:tcW w:w="4371" w:type="pct"/>
            <w:vAlign w:val="center"/>
          </w:tcPr>
          <w:p w14:paraId="153D64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其他情况</w:t>
            </w:r>
          </w:p>
        </w:tc>
      </w:tr>
    </w:tbl>
    <w:p w14:paraId="6504F2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根据现场踏勘，建设项目周边存在耕地，敏感程度判定为敏感。根据</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环境影响</w:t>
      </w:r>
      <w:r>
        <w:rPr>
          <w:rFonts w:hAnsi="宋体"/>
          <w:color w:val="000000" w:themeColor="text1"/>
          <w14:textFill>
            <w14:solidFill>
              <w14:schemeClr w14:val="tx1"/>
            </w14:solidFill>
          </w14:textFill>
        </w:rPr>
        <w:t>评价技术导则</w:t>
      </w:r>
      <w:r>
        <w:rPr>
          <w:rFonts w:hint="eastAsia" w:hAnsi="宋体"/>
          <w:color w:val="000000" w:themeColor="text1"/>
          <w14:textFill>
            <w14:solidFill>
              <w14:schemeClr w14:val="tx1"/>
            </w14:solidFill>
          </w14:textFill>
        </w:rPr>
        <w:t xml:space="preserve"> 土壤环境（试行）</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HJ</w:t>
      </w:r>
      <w:r>
        <w:rPr>
          <w:rFonts w:hint="eastAsia" w:hAnsi="宋体"/>
          <w:color w:val="000000" w:themeColor="text1"/>
          <w14:textFill>
            <w14:solidFill>
              <w14:schemeClr w14:val="tx1"/>
            </w14:solidFill>
          </w14:textFill>
        </w:rPr>
        <w:t>964-2018）</w:t>
      </w:r>
      <w:r>
        <w:rPr>
          <w:rFonts w:hint="eastAsia"/>
          <w:color w:val="000000" w:themeColor="text1"/>
          <w14:textFill>
            <w14:solidFill>
              <w14:schemeClr w14:val="tx1"/>
            </w14:solidFill>
          </w14:textFill>
        </w:rPr>
        <w:t>中表4“污染影响型评价工作等级划分表”评价，本项目土壤评价等级为二级。</w:t>
      </w:r>
    </w:p>
    <w:p w14:paraId="09DF4BA4">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1.7-9 污染影响型评价工作等级划分表</w:t>
      </w:r>
    </w:p>
    <w:tbl>
      <w:tblPr>
        <w:tblStyle w:val="21"/>
        <w:tblW w:w="82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95"/>
        <w:gridCol w:w="699"/>
        <w:gridCol w:w="699"/>
        <w:gridCol w:w="700"/>
        <w:gridCol w:w="699"/>
        <w:gridCol w:w="699"/>
        <w:gridCol w:w="699"/>
        <w:gridCol w:w="699"/>
        <w:gridCol w:w="699"/>
        <w:gridCol w:w="710"/>
      </w:tblGrid>
      <w:tr w14:paraId="445BE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995"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665962A">
            <w:pPr>
              <w:pStyle w:val="28"/>
              <w:rPr>
                <w:color w:val="000000" w:themeColor="text1"/>
                <w:sz w:val="18"/>
                <w:szCs w:val="1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527685</wp:posOffset>
                      </wp:positionH>
                      <wp:positionV relativeFrom="paragraph">
                        <wp:posOffset>21590</wp:posOffset>
                      </wp:positionV>
                      <wp:extent cx="743585" cy="625475"/>
                      <wp:effectExtent l="3810" t="5080" r="14605" b="17145"/>
                      <wp:wrapNone/>
                      <wp:docPr id="41" name="直接连接符 41"/>
                      <wp:cNvGraphicFramePr/>
                      <a:graphic xmlns:a="http://schemas.openxmlformats.org/drawingml/2006/main">
                        <a:graphicData uri="http://schemas.microsoft.com/office/word/2010/wordprocessingShape">
                          <wps:wsp>
                            <wps:cNvCnPr/>
                            <wps:spPr>
                              <a:xfrm flipH="1" flipV="1">
                                <a:off x="1736090" y="2711450"/>
                                <a:ext cx="743585" cy="62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41.55pt;margin-top:1.7pt;height:49.25pt;width:58.55pt;z-index:251677696;mso-width-relative:page;mso-height-relative:page;" filled="f" stroked="t" coordsize="21600,21600" o:gfxdata="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hHhPYAAAACAEAAA8AAAAAAAAAAQAgAAAAIgAAAGRycy9k&#10;b3ducmV2LnhtbFBLAQIUABQAAAAIAIdO4kBlzjdhAgIAANgDAAAOAAAAAAAAAAEAIAAAACcBAABk&#10;cnMvZTJvRG9jLnhtbFBLBQYAAAAABgAGAFkBAACbBQAAAAA=&#10;">
                      <v:fill on="f" focussize="0,0"/>
                      <v:stroke weight="1pt" color="#000000 [3200]" miterlimit="8" joinstyle="miter"/>
                      <v:imagedata o:title=""/>
                      <o:lock v:ext="edit" aspectratio="f"/>
                    </v:line>
                  </w:pict>
                </mc:Fallback>
              </mc:AlternateContent>
            </w:r>
            <w:r>
              <w:rPr>
                <w:rFonts w:hint="eastAsia"/>
                <w:color w:val="000000" w:themeColor="text1"/>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占地规模</w:t>
            </w:r>
          </w:p>
          <w:p w14:paraId="123E9CF5">
            <w:pPr>
              <w:pStyle w:val="28"/>
              <w:ind w:firstLine="180" w:firstLineChars="10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-7620</wp:posOffset>
                      </wp:positionH>
                      <wp:positionV relativeFrom="paragraph">
                        <wp:posOffset>137160</wp:posOffset>
                      </wp:positionV>
                      <wp:extent cx="1254125" cy="299085"/>
                      <wp:effectExtent l="1270" t="6350" r="1905" b="18415"/>
                      <wp:wrapNone/>
                      <wp:docPr id="6" name="直接连接符 6"/>
                      <wp:cNvGraphicFramePr/>
                      <a:graphic xmlns:a="http://schemas.openxmlformats.org/drawingml/2006/main">
                        <a:graphicData uri="http://schemas.microsoft.com/office/word/2010/wordprocessingShape">
                          <wps:wsp>
                            <wps:cNvCnPr/>
                            <wps:spPr>
                              <a:xfrm flipH="1" flipV="1">
                                <a:off x="1132205" y="3038475"/>
                                <a:ext cx="1254125" cy="299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0.6pt;margin-top:10.8pt;height:23.55pt;width:98.75pt;z-index:251678720;mso-width-relative:page;mso-height-relative:page;" filled="f" stroked="t" coordsize="21600,21600" o:gfxdata="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Htg5TZAAAACAEAAA8AAAAAAAAAAQAgAAAAIgAAAGRycy9k&#10;b3ducmV2LnhtbFBLAQIUABQAAAAIAIdO4kB840HtAQIAANcDAAAOAAAAAAAAAAEAIAAAACgBAABk&#10;cnMvZTJvRG9jLnhtbFBLBQYAAAAABgAGAFkBAACbBQAAAAA=&#10;">
                      <v:fill on="f" focussize="0,0"/>
                      <v:stroke weight="1pt" color="#000000 [3200]" miterlimit="8" joinstyle="miter"/>
                      <v:imagedata o:title=""/>
                      <o:lock v:ext="edit" aspectratio="f"/>
                    </v:line>
                  </w:pict>
                </mc:Fallback>
              </mc:AlternateContent>
            </w:r>
            <w:r>
              <w:rPr>
                <w:rFonts w:hint="eastAsia"/>
                <w:color w:val="000000" w:themeColor="text1"/>
                <w:sz w:val="18"/>
                <w:szCs w:val="18"/>
                <w14:textFill>
                  <w14:solidFill>
                    <w14:schemeClr w14:val="tx1"/>
                  </w14:solidFill>
                </w14:textFill>
              </w:rPr>
              <w:t>评价工作等级</w:t>
            </w:r>
          </w:p>
          <w:p w14:paraId="0718125D">
            <w:pPr>
              <w:pStyle w:val="28"/>
              <w:jc w:val="both"/>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敏感程度</w:t>
            </w:r>
          </w:p>
        </w:tc>
        <w:tc>
          <w:tcPr>
            <w:tcW w:w="2098"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1852578">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Ⅰ类</w:t>
            </w:r>
          </w:p>
        </w:tc>
        <w:tc>
          <w:tcPr>
            <w:tcW w:w="2097"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BFB4277">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Ⅱ类</w:t>
            </w:r>
          </w:p>
        </w:tc>
        <w:tc>
          <w:tcPr>
            <w:tcW w:w="2108"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13188D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Ⅲ类</w:t>
            </w:r>
          </w:p>
        </w:tc>
      </w:tr>
      <w:tr w14:paraId="3890F2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95"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3CCB906">
            <w:pPr>
              <w:pStyle w:val="28"/>
              <w:rPr>
                <w:color w:val="000000" w:themeColor="text1"/>
                <w14:textFill>
                  <w14:solidFill>
                    <w14:schemeClr w14:val="tx1"/>
                  </w14:solidFill>
                </w14:textFill>
              </w:rPr>
            </w:pP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FE2E1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DFBD3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700" w:type="dxa"/>
            <w:tcBorders>
              <w:top w:val="single" w:color="auto" w:sz="4" w:space="0"/>
              <w:left w:val="single" w:color="auto" w:sz="4" w:space="0"/>
              <w:bottom w:val="single" w:color="auto" w:sz="4" w:space="0"/>
              <w:right w:val="single" w:color="auto" w:sz="4" w:space="0"/>
              <w:tl2br w:val="nil"/>
              <w:tr2bl w:val="nil"/>
            </w:tcBorders>
            <w:vAlign w:val="center"/>
          </w:tcPr>
          <w:p w14:paraId="30F650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48A68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CDB24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E254B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7DADD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27DEC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53DF4C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w:t>
            </w:r>
          </w:p>
        </w:tc>
      </w:tr>
      <w:tr w14:paraId="084A2A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vAlign w:val="center"/>
          </w:tcPr>
          <w:p w14:paraId="2BB945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敏感</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DAF54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4A42BC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700" w:type="dxa"/>
            <w:tcBorders>
              <w:top w:val="single" w:color="auto" w:sz="4" w:space="0"/>
              <w:left w:val="single" w:color="auto" w:sz="4" w:space="0"/>
              <w:bottom w:val="single" w:color="auto" w:sz="4" w:space="0"/>
              <w:right w:val="single" w:color="auto" w:sz="4" w:space="0"/>
              <w:tl2br w:val="nil"/>
              <w:tr2bl w:val="nil"/>
            </w:tcBorders>
            <w:vAlign w:val="center"/>
          </w:tcPr>
          <w:p w14:paraId="7D55F8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662B60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912AD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4C91EC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153945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13146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A5CE1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5BDAF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03A03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较</w:t>
            </w:r>
            <w:r>
              <w:rPr>
                <w:color w:val="000000" w:themeColor="text1"/>
                <w14:textFill>
                  <w14:solidFill>
                    <w14:schemeClr w14:val="tx1"/>
                  </w14:solidFill>
                </w14:textFill>
              </w:rPr>
              <w:t>敏感</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CA1C2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4C04B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169C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E8927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EC8D5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9B10E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87951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132B9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71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1FD42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8B2EF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A4E79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不敏感</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F9FA6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ABE0B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7D13B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E40A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78691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0805D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7878E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6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6750A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1BB3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10E37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298" w:type="dxa"/>
            <w:gridSpan w:val="10"/>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397C932">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注：“-”表示可不开展土壤环境影响评价工作</w:t>
            </w:r>
          </w:p>
        </w:tc>
      </w:tr>
    </w:tbl>
    <w:p w14:paraId="38D4627B">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1.7.1.6 生态环境</w:t>
      </w:r>
    </w:p>
    <w:p w14:paraId="46D2DD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生态影响》（HJ19-2022）：6.1.8位于已批准规划环评的产业园区内且符合规划环评要求、不涉及生态敏感区的污染影响类建设项目，可不确定评价等级，进行生态影响简单分析。</w:t>
      </w:r>
    </w:p>
    <w:p w14:paraId="228E28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技术产业开发区核心区九龙地块，项目租用云南捷辰包装材料有限公司已建成的生产厂房进行建设，不新增占地，项目所在区域生态环境一般，不涉及生态敏感区，可不确定评价等级，进行简单分析。</w:t>
      </w:r>
    </w:p>
    <w:p w14:paraId="42BE733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1.7.1.7 环境风险</w:t>
      </w:r>
    </w:p>
    <w:p w14:paraId="1F55FB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依据《建设项目环境风险评价技术导则》（HJ169-2018）规定，项目环境风险评价等级根据项目涉及的物质及工艺系统危险性和所在地的环境敏感性确定环境风险潜势，按照下表确定评价工作等级。</w:t>
      </w:r>
    </w:p>
    <w:p w14:paraId="408C791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1、P的分级确定</w:t>
      </w:r>
    </w:p>
    <w:p w14:paraId="680F162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（1）Q值判定</w:t>
      </w:r>
    </w:p>
    <w:p w14:paraId="25D13D4B">
      <w:pPr>
        <w:ind w:firstLine="480"/>
        <w:rPr>
          <w:rFonts w:ascii="宋体" w:hAnsi="Calibri"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根据《建设项目环境风险评价技术导则》（</w:t>
      </w:r>
      <w:r>
        <w:rPr>
          <w:color w:val="000000" w:themeColor="text1"/>
          <w14:textFill>
            <w14:solidFill>
              <w14:schemeClr w14:val="tx1"/>
            </w14:solidFill>
          </w14:textFill>
        </w:rPr>
        <w:t>HJ 169-2018</w:t>
      </w: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，危险物质数量</w:t>
      </w:r>
      <w:r>
        <w:rPr>
          <w:rFonts w:hint="eastAsia" w:ascii="宋体" w:hAnsi="Calibri" w:cs="宋体"/>
          <w:color w:val="000000" w:themeColor="text1"/>
          <w:kern w:val="0"/>
          <w14:textFill>
            <w14:solidFill>
              <w14:schemeClr w14:val="tx1"/>
            </w14:solidFill>
          </w14:textFill>
        </w:rPr>
        <w:t>与临界量的比值（</w:t>
      </w:r>
      <w:r>
        <w:rPr>
          <w:color w:val="000000" w:themeColor="text1"/>
          <w:kern w:val="0"/>
          <w14:textFill>
            <w14:solidFill>
              <w14:schemeClr w14:val="tx1"/>
            </w14:solidFill>
          </w14:textFill>
        </w:rPr>
        <w:t>Q</w:t>
      </w:r>
      <w:r>
        <w:rPr>
          <w:rFonts w:hint="eastAsia" w:ascii="宋体" w:hAnsi="Calibri" w:cs="宋体"/>
          <w:color w:val="000000" w:themeColor="text1"/>
          <w:kern w:val="0"/>
          <w14:textFill>
            <w14:solidFill>
              <w14:schemeClr w14:val="tx1"/>
            </w14:solidFill>
          </w14:textFill>
        </w:rPr>
        <w:t>）如下：</w:t>
      </w:r>
    </w:p>
    <w:p w14:paraId="672934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当只涉及一种危险物质时，计算该物质总量与临界量的比值，即为</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w:t>
      </w:r>
    </w:p>
    <w:p w14:paraId="32CBF1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当存在多种危险物质时，按照下列公示计算物质总量与临界量的比值（</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w:t>
      </w:r>
    </w:p>
    <w:p w14:paraId="55099534">
      <w:pPr>
        <w:ind w:firstLine="480"/>
        <w:jc w:val="center"/>
        <w:rPr>
          <w:color w:val="000000" w:themeColor="text1"/>
          <w14:textFill>
            <w14:solidFill>
              <w14:schemeClr w14:val="tx1"/>
            </w14:solidFill>
          </w14:textFill>
        </w:rPr>
      </w:pPr>
      <m:oMathPara>
        <m:oMath>
          <m:r>
            <m:rPr>
              <m:sty m:val="p"/>
            </m:rPr>
            <w:rPr>
              <w:rFonts w:ascii="Cambria Math" w:hAnsi="Cambria Math"/>
              <w:color w:val="000000" w:themeColor="text1"/>
              <w14:textFill>
                <w14:solidFill>
                  <w14:schemeClr w14:val="tx1"/>
                </w14:solidFill>
              </w14:textFill>
            </w:rPr>
            <m:t>Q=</m:t>
          </m:r>
          <m:f>
            <m:fPr>
              <m:ctrlPr>
                <w:rPr>
                  <w:rFonts w:ascii="Cambria Math" w:hAnsi="Cambria Math"/>
                  <w:color w:val="000000" w:themeColor="text1"/>
                  <w14:textFill>
                    <w14:solidFill>
                      <w14:schemeClr w14:val="tx1"/>
                    </w14:solidFill>
                  </w14:textFill>
                </w:rPr>
              </m:ctrlPr>
            </m:fPr>
            <m:num>
              <m:sSub>
                <m:sSubPr>
                  <m:ctrlPr>
                    <w:rPr>
                      <w:rFonts w:ascii="Cambria Math" w:hAnsi="Cambria Math"/>
                      <w:color w:val="000000" w:themeColor="text1"/>
                      <w14:textFill>
                        <w14:solidFill>
                          <w14:schemeClr w14:val="tx1"/>
                        </w14:solidFill>
                      </w14:textFill>
                    </w:rPr>
                  </m:ctrlPr>
                </m:sSubPr>
                <m:e>
                  <m:r>
                    <m:rPr>
                      <m:sty m:val="p"/>
                    </m:rPr>
                    <w:rPr>
                      <w:rFonts w:hint="eastAsia"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num>
            <m:den>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num>
            <m:den>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num>
            <m:den>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den>
          </m:f>
        </m:oMath>
      </m:oMathPara>
    </w:p>
    <w:p w14:paraId="6BADCC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2</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n</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每种危险物质最大存在总量（</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p>
    <w:p w14:paraId="05873D19">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sz w:val="16"/>
          <w:szCs w:val="16"/>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2</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n</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每种物质的临界量（</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p>
    <w:p w14:paraId="303FAC0B">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当＜</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时，该项目环境风险潜势划为</w:t>
      </w:r>
      <w:r>
        <w:rPr>
          <w:rFonts w:hint="eastAsia" w:hAnsi="宋体"/>
          <w:color w:val="000000" w:themeColor="text1"/>
          <w14:textFill>
            <w14:solidFill>
              <w14:schemeClr w14:val="tx1"/>
            </w14:solidFill>
          </w14:textFill>
        </w:rPr>
        <w:t>Ⅰ</w:t>
      </w:r>
      <w:r>
        <w:rPr>
          <w:rFonts w:hint="eastAsia"/>
          <w:color w:val="000000" w:themeColor="text1"/>
          <w14:textFill>
            <w14:solidFill>
              <w14:schemeClr w14:val="tx1"/>
            </w14:solidFill>
          </w14:textFill>
        </w:rPr>
        <w:t>。</w:t>
      </w:r>
    </w:p>
    <w:p w14:paraId="15B7F22C">
      <w:pPr>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当</w:t>
      </w:r>
      <w:r>
        <w:rPr>
          <w:color w:val="000000" w:themeColor="text1"/>
          <w14:textFill>
            <w14:solidFill>
              <w14:schemeClr w14:val="tx1"/>
            </w14:solidFill>
          </w14:textFill>
        </w:rPr>
        <w:t>Q≥1</w:t>
      </w:r>
      <w:r>
        <w:rPr>
          <w:rFonts w:hint="eastAsia"/>
          <w:color w:val="000000" w:themeColor="text1"/>
          <w14:textFill>
            <w14:solidFill>
              <w14:schemeClr w14:val="tx1"/>
            </w14:solidFill>
          </w14:textFill>
        </w:rPr>
        <w:t>时，将</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值划分为：（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Q≥100</w:t>
      </w:r>
      <w:r>
        <w:rPr>
          <w:rFonts w:hint="eastAsia"/>
          <w:color w:val="000000" w:themeColor="text1"/>
          <w14:textFill>
            <w14:solidFill>
              <w14:schemeClr w14:val="tx1"/>
            </w14:solidFill>
          </w14:textFill>
        </w:rPr>
        <w:t>。</w:t>
      </w:r>
    </w:p>
    <w:p w14:paraId="4ED7F1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《建设项目环境风险评价技术导则》（HJ169-2018）中附录B重点关注的危险物质及临界量清单列出的风险物质，</w:t>
      </w:r>
      <w:r>
        <w:rPr>
          <w:rFonts w:hint="eastAsia"/>
          <w:color w:val="000000" w:themeColor="text1"/>
          <w14:textFill>
            <w14:solidFill>
              <w14:schemeClr w14:val="tx1"/>
            </w14:solidFill>
          </w14:textFill>
        </w:rPr>
        <w:t>本项目涉及的突发环境事件风险物质Q值计算详见下表。</w:t>
      </w:r>
    </w:p>
    <w:p w14:paraId="4D6315EA">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 xml:space="preserve"> 项目突发环境事件风险物质Q值确定表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957"/>
        <w:gridCol w:w="1439"/>
        <w:gridCol w:w="1103"/>
        <w:gridCol w:w="651"/>
        <w:gridCol w:w="1480"/>
        <w:gridCol w:w="1238"/>
      </w:tblGrid>
      <w:tr w14:paraId="69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2" w:type="pct"/>
            <w:vMerge w:val="restart"/>
            <w:vAlign w:val="center"/>
          </w:tcPr>
          <w:p w14:paraId="6D4C9B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148" w:type="pct"/>
            <w:vMerge w:val="restart"/>
            <w:vAlign w:val="center"/>
          </w:tcPr>
          <w:p w14:paraId="2F0219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危险物质名称</w:t>
            </w:r>
          </w:p>
        </w:tc>
        <w:tc>
          <w:tcPr>
            <w:tcW w:w="844" w:type="pct"/>
            <w:vMerge w:val="restart"/>
            <w:shd w:val="clear" w:color="auto" w:fill="auto"/>
            <w:vAlign w:val="center"/>
          </w:tcPr>
          <w:p w14:paraId="7EAAAA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储存位置</w:t>
            </w:r>
          </w:p>
        </w:tc>
        <w:tc>
          <w:tcPr>
            <w:tcW w:w="647" w:type="pct"/>
            <w:vMerge w:val="restart"/>
            <w:shd w:val="clear" w:color="auto" w:fill="auto"/>
            <w:vAlign w:val="center"/>
          </w:tcPr>
          <w:p w14:paraId="744A19E5">
            <w:pPr>
              <w:pStyle w:val="28"/>
              <w:rPr>
                <w:color w:val="000000" w:themeColor="text1"/>
                <w14:textFill>
                  <w14:solidFill>
                    <w14:schemeClr w14:val="tx1"/>
                  </w14:solidFill>
                </w14:textFill>
              </w:rPr>
            </w:pPr>
            <w:r>
              <w:rPr>
                <w:color w:val="000000" w:themeColor="text1"/>
                <w14:textFill>
                  <w14:solidFill>
                    <w14:schemeClr w14:val="tx1"/>
                  </w14:solidFill>
                </w14:textFill>
              </w:rPr>
              <w:t>最大储存量qn/t</w:t>
            </w:r>
          </w:p>
        </w:tc>
        <w:tc>
          <w:tcPr>
            <w:tcW w:w="1250" w:type="pct"/>
            <w:gridSpan w:val="2"/>
            <w:shd w:val="clear" w:color="auto" w:fill="auto"/>
            <w:vAlign w:val="center"/>
          </w:tcPr>
          <w:p w14:paraId="59D0657E">
            <w:pPr>
              <w:pStyle w:val="28"/>
              <w:rPr>
                <w:color w:val="000000" w:themeColor="text1"/>
                <w14:textFill>
                  <w14:solidFill>
                    <w14:schemeClr w14:val="tx1"/>
                  </w14:solidFill>
                </w14:textFill>
              </w:rPr>
            </w:pPr>
            <w:r>
              <w:rPr>
                <w:color w:val="000000" w:themeColor="text1"/>
                <w14:textFill>
                  <w14:solidFill>
                    <w14:schemeClr w14:val="tx1"/>
                  </w14:solidFill>
                </w14:textFill>
              </w:rPr>
              <w:t>临界量</w:t>
            </w:r>
          </w:p>
        </w:tc>
        <w:tc>
          <w:tcPr>
            <w:tcW w:w="726" w:type="pct"/>
            <w:vMerge w:val="restart"/>
            <w:shd w:val="clear" w:color="auto" w:fill="auto"/>
            <w:vAlign w:val="center"/>
          </w:tcPr>
          <w:p w14:paraId="2AD283FE">
            <w:pPr>
              <w:pStyle w:val="28"/>
              <w:rPr>
                <w:color w:val="000000" w:themeColor="text1"/>
                <w14:textFill>
                  <w14:solidFill>
                    <w14:schemeClr w14:val="tx1"/>
                  </w14:solidFill>
                </w14:textFill>
              </w:rPr>
            </w:pPr>
            <w:r>
              <w:rPr>
                <w:color w:val="000000" w:themeColor="text1"/>
                <w14:textFill>
                  <w14:solidFill>
                    <w14:schemeClr w14:val="tx1"/>
                  </w14:solidFill>
                </w14:textFill>
              </w:rPr>
              <w:t>Q值qn/Qn</w:t>
            </w:r>
          </w:p>
        </w:tc>
      </w:tr>
      <w:tr w14:paraId="48EE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2" w:type="pct"/>
            <w:vMerge w:val="continue"/>
            <w:vAlign w:val="center"/>
          </w:tcPr>
          <w:p w14:paraId="4F2FCB08">
            <w:pPr>
              <w:pStyle w:val="28"/>
              <w:rPr>
                <w:color w:val="000000" w:themeColor="text1"/>
                <w14:textFill>
                  <w14:solidFill>
                    <w14:schemeClr w14:val="tx1"/>
                  </w14:solidFill>
                </w14:textFill>
              </w:rPr>
            </w:pPr>
          </w:p>
        </w:tc>
        <w:tc>
          <w:tcPr>
            <w:tcW w:w="1148" w:type="pct"/>
            <w:vMerge w:val="continue"/>
            <w:vAlign w:val="center"/>
          </w:tcPr>
          <w:p w14:paraId="778CC1ED">
            <w:pPr>
              <w:pStyle w:val="28"/>
              <w:rPr>
                <w:color w:val="000000" w:themeColor="text1"/>
                <w14:textFill>
                  <w14:solidFill>
                    <w14:schemeClr w14:val="tx1"/>
                  </w14:solidFill>
                </w14:textFill>
              </w:rPr>
            </w:pPr>
          </w:p>
        </w:tc>
        <w:tc>
          <w:tcPr>
            <w:tcW w:w="844" w:type="pct"/>
            <w:vMerge w:val="continue"/>
            <w:shd w:val="clear" w:color="auto" w:fill="auto"/>
            <w:vAlign w:val="center"/>
          </w:tcPr>
          <w:p w14:paraId="6DF8A0FF">
            <w:pPr>
              <w:pStyle w:val="28"/>
              <w:rPr>
                <w:color w:val="000000" w:themeColor="text1"/>
                <w14:textFill>
                  <w14:solidFill>
                    <w14:schemeClr w14:val="tx1"/>
                  </w14:solidFill>
                </w14:textFill>
              </w:rPr>
            </w:pPr>
          </w:p>
        </w:tc>
        <w:tc>
          <w:tcPr>
            <w:tcW w:w="647" w:type="pct"/>
            <w:vMerge w:val="continue"/>
            <w:shd w:val="clear" w:color="auto" w:fill="auto"/>
            <w:vAlign w:val="center"/>
          </w:tcPr>
          <w:p w14:paraId="7645593C">
            <w:pPr>
              <w:pStyle w:val="28"/>
              <w:rPr>
                <w:color w:val="000000" w:themeColor="text1"/>
                <w14:textFill>
                  <w14:solidFill>
                    <w14:schemeClr w14:val="tx1"/>
                  </w14:solidFill>
                </w14:textFill>
              </w:rPr>
            </w:pPr>
          </w:p>
        </w:tc>
        <w:tc>
          <w:tcPr>
            <w:tcW w:w="382" w:type="pct"/>
            <w:shd w:val="clear" w:color="auto" w:fill="auto"/>
            <w:vAlign w:val="center"/>
          </w:tcPr>
          <w:p w14:paraId="5D7D43B6">
            <w:pPr>
              <w:pStyle w:val="28"/>
              <w:rPr>
                <w:color w:val="000000" w:themeColor="text1"/>
                <w14:textFill>
                  <w14:solidFill>
                    <w14:schemeClr w14:val="tx1"/>
                  </w14:solidFill>
                </w14:textFill>
              </w:rPr>
            </w:pPr>
            <w:r>
              <w:rPr>
                <w:color w:val="000000" w:themeColor="text1"/>
                <w14:textFill>
                  <w14:solidFill>
                    <w14:schemeClr w14:val="tx1"/>
                  </w14:solidFill>
                </w14:textFill>
              </w:rPr>
              <w:t>Qn/t</w:t>
            </w:r>
          </w:p>
        </w:tc>
        <w:tc>
          <w:tcPr>
            <w:tcW w:w="868" w:type="pct"/>
            <w:shd w:val="clear" w:color="auto" w:fill="auto"/>
            <w:vAlign w:val="center"/>
          </w:tcPr>
          <w:p w14:paraId="299B93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依据</w:t>
            </w:r>
          </w:p>
        </w:tc>
        <w:tc>
          <w:tcPr>
            <w:tcW w:w="726" w:type="pct"/>
            <w:vMerge w:val="continue"/>
            <w:shd w:val="clear" w:color="auto" w:fill="auto"/>
            <w:vAlign w:val="center"/>
          </w:tcPr>
          <w:p w14:paraId="5068360C">
            <w:pPr>
              <w:pStyle w:val="28"/>
              <w:rPr>
                <w:color w:val="000000" w:themeColor="text1"/>
                <w14:textFill>
                  <w14:solidFill>
                    <w14:schemeClr w14:val="tx1"/>
                  </w14:solidFill>
                </w14:textFill>
              </w:rPr>
            </w:pPr>
          </w:p>
        </w:tc>
      </w:tr>
      <w:tr w14:paraId="2633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7B2AC2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48" w:type="pct"/>
            <w:vAlign w:val="center"/>
          </w:tcPr>
          <w:p w14:paraId="327952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五硫化二磷</w:t>
            </w:r>
          </w:p>
        </w:tc>
        <w:tc>
          <w:tcPr>
            <w:tcW w:w="844" w:type="pct"/>
            <w:vAlign w:val="center"/>
          </w:tcPr>
          <w:p w14:paraId="735D46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w:t>
            </w:r>
          </w:p>
        </w:tc>
        <w:tc>
          <w:tcPr>
            <w:tcW w:w="647" w:type="pct"/>
            <w:vAlign w:val="center"/>
          </w:tcPr>
          <w:p w14:paraId="5C6ED0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0.517</w:t>
            </w:r>
          </w:p>
        </w:tc>
        <w:tc>
          <w:tcPr>
            <w:tcW w:w="382" w:type="pct"/>
            <w:vAlign w:val="center"/>
          </w:tcPr>
          <w:p w14:paraId="2232EF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868" w:type="pct"/>
            <w:shd w:val="clear" w:color="auto" w:fill="auto"/>
            <w:vAlign w:val="center"/>
          </w:tcPr>
          <w:p w14:paraId="171FE070">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表B.1</w:t>
            </w:r>
          </w:p>
        </w:tc>
        <w:tc>
          <w:tcPr>
            <w:tcW w:w="726" w:type="pct"/>
            <w:shd w:val="clear" w:color="auto" w:fill="auto"/>
            <w:vAlign w:val="center"/>
          </w:tcPr>
          <w:p w14:paraId="3CF1E036">
            <w:pPr>
              <w:pStyle w:val="28"/>
              <w:tabs>
                <w:tab w:val="left" w:pos="353"/>
                <w:tab w:val="center" w:pos="758"/>
              </w:tabs>
              <w:rPr>
                <w:color w:val="000000" w:themeColor="text1"/>
                <w14:textFill>
                  <w14:solidFill>
                    <w14:schemeClr w14:val="tx1"/>
                  </w14:solidFill>
                </w14:textFill>
              </w:rPr>
            </w:pPr>
            <w:r>
              <w:rPr>
                <w:rFonts w:hint="eastAsia"/>
                <w:color w:val="000000" w:themeColor="text1"/>
                <w14:textFill>
                  <w14:solidFill>
                    <w14:schemeClr w14:val="tx1"/>
                  </w14:solidFill>
                </w14:textFill>
              </w:rPr>
              <w:t>0.2068</w:t>
            </w:r>
          </w:p>
        </w:tc>
      </w:tr>
      <w:tr w14:paraId="6529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82" w:type="pct"/>
            <w:vAlign w:val="center"/>
          </w:tcPr>
          <w:p w14:paraId="1775C1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148" w:type="pct"/>
            <w:vAlign w:val="center"/>
          </w:tcPr>
          <w:p w14:paraId="1B9E43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w:t>
            </w:r>
          </w:p>
          <w:p w14:paraId="218B60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（环己烷）</w:t>
            </w:r>
          </w:p>
        </w:tc>
        <w:tc>
          <w:tcPr>
            <w:tcW w:w="844" w:type="pct"/>
            <w:vAlign w:val="center"/>
          </w:tcPr>
          <w:p w14:paraId="7B11BC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w:t>
            </w:r>
          </w:p>
        </w:tc>
        <w:tc>
          <w:tcPr>
            <w:tcW w:w="647" w:type="pct"/>
            <w:vAlign w:val="center"/>
          </w:tcPr>
          <w:p w14:paraId="728630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382" w:type="pct"/>
            <w:vAlign w:val="center"/>
          </w:tcPr>
          <w:p w14:paraId="2106AC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68" w:type="pct"/>
            <w:shd w:val="clear" w:color="auto" w:fill="auto"/>
            <w:vAlign w:val="center"/>
          </w:tcPr>
          <w:p w14:paraId="181F03DF">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表B.1</w:t>
            </w:r>
          </w:p>
        </w:tc>
        <w:tc>
          <w:tcPr>
            <w:tcW w:w="726" w:type="pct"/>
            <w:shd w:val="clear" w:color="auto" w:fill="auto"/>
            <w:vAlign w:val="center"/>
          </w:tcPr>
          <w:p w14:paraId="78E430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0.267</w:t>
            </w:r>
          </w:p>
        </w:tc>
      </w:tr>
      <w:tr w14:paraId="528E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82" w:type="pct"/>
            <w:vAlign w:val="center"/>
          </w:tcPr>
          <w:p w14:paraId="15E1F2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48" w:type="pct"/>
            <w:vAlign w:val="center"/>
          </w:tcPr>
          <w:p w14:paraId="181571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w:t>
            </w:r>
          </w:p>
          <w:p w14:paraId="09B8FF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（正庚烷）</w:t>
            </w:r>
          </w:p>
        </w:tc>
        <w:tc>
          <w:tcPr>
            <w:tcW w:w="844" w:type="pct"/>
            <w:vAlign w:val="center"/>
          </w:tcPr>
          <w:p w14:paraId="193499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w:t>
            </w:r>
          </w:p>
        </w:tc>
        <w:tc>
          <w:tcPr>
            <w:tcW w:w="647" w:type="pct"/>
            <w:vAlign w:val="center"/>
          </w:tcPr>
          <w:p w14:paraId="11DEDE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382" w:type="pct"/>
            <w:vAlign w:val="center"/>
          </w:tcPr>
          <w:p w14:paraId="2E157E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68" w:type="pct"/>
            <w:shd w:val="clear" w:color="auto" w:fill="auto"/>
            <w:vAlign w:val="center"/>
          </w:tcPr>
          <w:p w14:paraId="09A54756">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表B.2</w:t>
            </w:r>
          </w:p>
        </w:tc>
        <w:tc>
          <w:tcPr>
            <w:tcW w:w="726" w:type="pct"/>
            <w:shd w:val="clear" w:color="auto" w:fill="auto"/>
            <w:vAlign w:val="center"/>
          </w:tcPr>
          <w:p w14:paraId="24AE6C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0.0267</w:t>
            </w:r>
          </w:p>
        </w:tc>
      </w:tr>
      <w:tr w14:paraId="2D67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82" w:type="pct"/>
            <w:vAlign w:val="center"/>
          </w:tcPr>
          <w:p w14:paraId="339AEC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148" w:type="pct"/>
            <w:vAlign w:val="center"/>
          </w:tcPr>
          <w:p w14:paraId="5966F2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导热油</w:t>
            </w:r>
          </w:p>
        </w:tc>
        <w:tc>
          <w:tcPr>
            <w:tcW w:w="844" w:type="pct"/>
            <w:vAlign w:val="center"/>
          </w:tcPr>
          <w:p w14:paraId="5D5EC9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647" w:type="pct"/>
            <w:vAlign w:val="center"/>
          </w:tcPr>
          <w:p w14:paraId="1857F7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382" w:type="pct"/>
            <w:vAlign w:val="center"/>
          </w:tcPr>
          <w:p w14:paraId="01C269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868" w:type="pct"/>
            <w:shd w:val="clear" w:color="auto" w:fill="auto"/>
            <w:vAlign w:val="center"/>
          </w:tcPr>
          <w:p w14:paraId="1A664533">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表B.1</w:t>
            </w:r>
          </w:p>
        </w:tc>
        <w:tc>
          <w:tcPr>
            <w:tcW w:w="726" w:type="pct"/>
            <w:shd w:val="clear" w:color="auto" w:fill="auto"/>
            <w:vAlign w:val="center"/>
          </w:tcPr>
          <w:p w14:paraId="60796D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0.000024</w:t>
            </w:r>
          </w:p>
        </w:tc>
      </w:tr>
      <w:tr w14:paraId="1F62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02199B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48" w:type="pct"/>
            <w:vAlign w:val="center"/>
          </w:tcPr>
          <w:p w14:paraId="2B6F8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p w14:paraId="70E840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（环己烷）</w:t>
            </w:r>
          </w:p>
        </w:tc>
        <w:tc>
          <w:tcPr>
            <w:tcW w:w="844" w:type="pct"/>
            <w:vAlign w:val="center"/>
          </w:tcPr>
          <w:p w14:paraId="1900AF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647" w:type="pct"/>
            <w:shd w:val="clear" w:color="auto" w:fill="auto"/>
            <w:vAlign w:val="center"/>
          </w:tcPr>
          <w:p w14:paraId="4A6117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382" w:type="pct"/>
            <w:shd w:val="clear" w:color="auto" w:fill="auto"/>
            <w:vAlign w:val="center"/>
          </w:tcPr>
          <w:p w14:paraId="09C03F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68" w:type="pct"/>
            <w:shd w:val="clear" w:color="auto" w:fill="auto"/>
            <w:vAlign w:val="center"/>
          </w:tcPr>
          <w:p w14:paraId="2F5793A9">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表B.1</w:t>
            </w:r>
          </w:p>
        </w:tc>
        <w:tc>
          <w:tcPr>
            <w:tcW w:w="726" w:type="pct"/>
            <w:shd w:val="clear" w:color="auto" w:fill="auto"/>
            <w:vAlign w:val="center"/>
          </w:tcPr>
          <w:p w14:paraId="4DC87C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0.267</w:t>
            </w:r>
          </w:p>
        </w:tc>
      </w:tr>
      <w:tr w14:paraId="5AB2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11E0F0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148" w:type="pct"/>
            <w:vAlign w:val="center"/>
          </w:tcPr>
          <w:p w14:paraId="7D7450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p w14:paraId="725076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（正庚烷）</w:t>
            </w:r>
          </w:p>
        </w:tc>
        <w:tc>
          <w:tcPr>
            <w:tcW w:w="844" w:type="pct"/>
            <w:vAlign w:val="center"/>
          </w:tcPr>
          <w:p w14:paraId="13DCED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647" w:type="pct"/>
            <w:shd w:val="clear" w:color="auto" w:fill="auto"/>
            <w:vAlign w:val="center"/>
          </w:tcPr>
          <w:p w14:paraId="1D7DD1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382" w:type="pct"/>
            <w:shd w:val="clear" w:color="auto" w:fill="auto"/>
            <w:vAlign w:val="center"/>
          </w:tcPr>
          <w:p w14:paraId="7EDBF3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68" w:type="pct"/>
            <w:shd w:val="clear" w:color="auto" w:fill="auto"/>
            <w:vAlign w:val="center"/>
          </w:tcPr>
          <w:p w14:paraId="571645BB">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表B.1</w:t>
            </w:r>
          </w:p>
        </w:tc>
        <w:tc>
          <w:tcPr>
            <w:tcW w:w="726" w:type="pct"/>
            <w:shd w:val="clear" w:color="auto" w:fill="auto"/>
            <w:vAlign w:val="center"/>
          </w:tcPr>
          <w:p w14:paraId="0C7E0C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0.0267</w:t>
            </w:r>
          </w:p>
        </w:tc>
      </w:tr>
      <w:tr w14:paraId="5396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0861CF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148" w:type="pct"/>
            <w:vAlign w:val="center"/>
          </w:tcPr>
          <w:p w14:paraId="44C79F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w:t>
            </w:r>
          </w:p>
        </w:tc>
        <w:tc>
          <w:tcPr>
            <w:tcW w:w="844" w:type="pct"/>
            <w:vAlign w:val="center"/>
          </w:tcPr>
          <w:p w14:paraId="58A3EA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647" w:type="pct"/>
            <w:shd w:val="clear" w:color="auto" w:fill="auto"/>
            <w:vAlign w:val="center"/>
          </w:tcPr>
          <w:p w14:paraId="429ADD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2" w:type="pct"/>
            <w:shd w:val="clear" w:color="auto" w:fill="auto"/>
            <w:vAlign w:val="center"/>
          </w:tcPr>
          <w:p w14:paraId="165DED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68" w:type="pct"/>
            <w:shd w:val="clear" w:color="auto" w:fill="auto"/>
            <w:vAlign w:val="center"/>
          </w:tcPr>
          <w:p w14:paraId="73365DF4">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表B.2</w:t>
            </w:r>
          </w:p>
        </w:tc>
        <w:tc>
          <w:tcPr>
            <w:tcW w:w="726" w:type="pct"/>
            <w:shd w:val="clear" w:color="auto" w:fill="auto"/>
            <w:vAlign w:val="center"/>
          </w:tcPr>
          <w:p w14:paraId="62CD54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14:paraId="5B94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1E48F0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148" w:type="pct"/>
            <w:vAlign w:val="center"/>
          </w:tcPr>
          <w:p w14:paraId="4582D4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喷淋塔定期排污废液</w:t>
            </w:r>
          </w:p>
        </w:tc>
        <w:tc>
          <w:tcPr>
            <w:tcW w:w="844" w:type="pct"/>
            <w:vAlign w:val="center"/>
          </w:tcPr>
          <w:p w14:paraId="051E01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647" w:type="pct"/>
            <w:shd w:val="clear" w:color="auto" w:fill="auto"/>
            <w:vAlign w:val="center"/>
          </w:tcPr>
          <w:p w14:paraId="1CBC31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2" w:type="pct"/>
            <w:shd w:val="clear" w:color="auto" w:fill="auto"/>
            <w:vAlign w:val="center"/>
          </w:tcPr>
          <w:p w14:paraId="18E607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68" w:type="pct"/>
            <w:shd w:val="clear" w:color="auto" w:fill="auto"/>
            <w:vAlign w:val="center"/>
          </w:tcPr>
          <w:p w14:paraId="1B372853">
            <w:pPr>
              <w:pStyle w:val="28"/>
              <w:rPr>
                <w:color w:val="000000" w:themeColor="text1"/>
                <w14:textFill>
                  <w14:solidFill>
                    <w14:schemeClr w14:val="tx1"/>
                  </w14:solidFill>
                </w14:textFill>
              </w:rPr>
            </w:pPr>
            <w:r>
              <w:rPr>
                <w:color w:val="000000" w:themeColor="text1"/>
                <w14:textFill>
                  <w14:solidFill>
                    <w14:schemeClr w14:val="tx1"/>
                  </w14:solidFill>
                </w14:textFill>
              </w:rPr>
              <w:t>附录B</w:t>
            </w:r>
            <w:r>
              <w:rPr>
                <w:rFonts w:hint="eastAsia"/>
                <w:color w:val="000000" w:themeColor="text1"/>
                <w14:textFill>
                  <w14:solidFill>
                    <w14:schemeClr w14:val="tx1"/>
                  </w14:solidFill>
                </w14:textFill>
              </w:rPr>
              <w:t>表B.2</w:t>
            </w:r>
          </w:p>
        </w:tc>
        <w:tc>
          <w:tcPr>
            <w:tcW w:w="726" w:type="pct"/>
            <w:shd w:val="clear" w:color="auto" w:fill="auto"/>
            <w:vAlign w:val="center"/>
          </w:tcPr>
          <w:p w14:paraId="5EFC3D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14:paraId="34B3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02F7D1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48" w:type="pct"/>
            <w:vAlign w:val="center"/>
          </w:tcPr>
          <w:p w14:paraId="783B8A7D">
            <w:pPr>
              <w:pStyle w:val="28"/>
              <w:rPr>
                <w:color w:val="000000" w:themeColor="text1"/>
                <w14:textFill>
                  <w14:solidFill>
                    <w14:schemeClr w14:val="tx1"/>
                  </w14:solidFill>
                </w14:textFill>
              </w:rPr>
            </w:pPr>
          </w:p>
        </w:tc>
        <w:tc>
          <w:tcPr>
            <w:tcW w:w="844" w:type="pct"/>
            <w:vAlign w:val="center"/>
          </w:tcPr>
          <w:p w14:paraId="1F3CD0E1">
            <w:pPr>
              <w:pStyle w:val="28"/>
              <w:rPr>
                <w:color w:val="000000" w:themeColor="text1"/>
                <w14:textFill>
                  <w14:solidFill>
                    <w14:schemeClr w14:val="tx1"/>
                  </w14:solidFill>
                </w14:textFill>
              </w:rPr>
            </w:pPr>
          </w:p>
        </w:tc>
        <w:tc>
          <w:tcPr>
            <w:tcW w:w="647" w:type="pct"/>
            <w:vAlign w:val="center"/>
          </w:tcPr>
          <w:p w14:paraId="7B260EB1">
            <w:pPr>
              <w:pStyle w:val="28"/>
              <w:rPr>
                <w:color w:val="000000" w:themeColor="text1"/>
                <w14:textFill>
                  <w14:solidFill>
                    <w14:schemeClr w14:val="tx1"/>
                  </w14:solidFill>
                </w14:textFill>
              </w:rPr>
            </w:pPr>
          </w:p>
        </w:tc>
        <w:tc>
          <w:tcPr>
            <w:tcW w:w="382" w:type="pct"/>
            <w:vAlign w:val="center"/>
          </w:tcPr>
          <w:p w14:paraId="7E0E9D06">
            <w:pPr>
              <w:pStyle w:val="28"/>
              <w:rPr>
                <w:color w:val="000000" w:themeColor="text1"/>
                <w14:textFill>
                  <w14:solidFill>
                    <w14:schemeClr w14:val="tx1"/>
                  </w14:solidFill>
                </w14:textFill>
              </w:rPr>
            </w:pPr>
          </w:p>
        </w:tc>
        <w:tc>
          <w:tcPr>
            <w:tcW w:w="868" w:type="pct"/>
            <w:shd w:val="clear" w:color="auto" w:fill="auto"/>
            <w:vAlign w:val="center"/>
          </w:tcPr>
          <w:p w14:paraId="11AAF1C8">
            <w:pPr>
              <w:pStyle w:val="28"/>
              <w:rPr>
                <w:color w:val="000000" w:themeColor="text1"/>
                <w14:textFill>
                  <w14:solidFill>
                    <w14:schemeClr w14:val="tx1"/>
                  </w14:solidFill>
                </w14:textFill>
              </w:rPr>
            </w:pPr>
          </w:p>
        </w:tc>
        <w:tc>
          <w:tcPr>
            <w:tcW w:w="726" w:type="pct"/>
            <w:shd w:val="clear" w:color="auto" w:fill="auto"/>
            <w:vAlign w:val="center"/>
          </w:tcPr>
          <w:p w14:paraId="660A50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0.814224</w:t>
            </w:r>
          </w:p>
        </w:tc>
      </w:tr>
    </w:tbl>
    <w:p w14:paraId="771EE8E4">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注：（1）经与建设单位了解，有机溶剂种类较多，各种类的使用量无法提供，因此环己烷、正庚烷的最大存在量按有机溶剂全部为环己烷、正庚烷考虑。</w:t>
      </w:r>
    </w:p>
    <w:p w14:paraId="77D967B7">
      <w:pPr>
        <w:spacing w:line="240" w:lineRule="auto"/>
        <w:rPr>
          <w:i/>
          <w:iCs/>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（2）根据《建设项目环境风险评价技术导则》（HJ 169-2018）附录B，液氮未被列入重点关注的危险物质及临界量表中，但根据《危险化学品目录（2022版）》，液氮属于危险化学品，</w:t>
      </w:r>
      <w:r>
        <w:rPr>
          <w:color w:val="000000" w:themeColor="text1"/>
          <w:sz w:val="21"/>
          <w14:textFill>
            <w14:solidFill>
              <w14:schemeClr w14:val="tx1"/>
            </w14:solidFill>
          </w14:textFill>
        </w:rPr>
        <w:t>液氮仅具有加压气体物理危险特性，其爆炸主要是对设施产生危害，属于安全生产范畴，不属于环评当中的环境风险的范畴</w:t>
      </w:r>
      <w:r>
        <w:rPr>
          <w:rFonts w:hint="eastAsia"/>
          <w:i/>
          <w:iCs/>
          <w:color w:val="000000" w:themeColor="text1"/>
          <w:sz w:val="21"/>
          <w14:textFill>
            <w14:solidFill>
              <w14:schemeClr w14:val="tx1"/>
            </w14:solidFill>
          </w14:textFill>
        </w:rPr>
        <w:t>。</w:t>
      </w:r>
    </w:p>
    <w:p w14:paraId="28ECD9A2">
      <w:pPr>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（3）砂磨机碱洗废碱液、喷淋塔定期排污废液属于危险废物，根据《建设项目环境风险评价技术导则》（HJ 169-2018）附录B，属于危害水环境的物质，推荐临界量为100t。</w:t>
      </w:r>
    </w:p>
    <w:p w14:paraId="6A6CBF1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由上表可知，本项目风险物质最大储存量低于临界量，总Q值=0.814224&lt;1。根据《建设项目环境风险评价技术导则》（HJ/T 169-2018）附录C，直接判定本项目环境风险潜势为 I，故本评价仅对本项目环境风险做简单分析。</w:t>
      </w:r>
    </w:p>
    <w:p w14:paraId="4CE24C0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（2）所属行业及生产工艺特点（M）</w:t>
      </w:r>
    </w:p>
    <w:p w14:paraId="208AD1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w:t>
      </w:r>
      <w:r>
        <w:rPr>
          <w:color w:val="000000" w:themeColor="text1"/>
          <w14:textFill>
            <w14:solidFill>
              <w14:schemeClr w14:val="tx1"/>
            </w14:solidFill>
          </w14:textFill>
        </w:rPr>
        <w:t>HJ 169-2018</w:t>
      </w: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.1评估生产工艺情况。将（M）划分为（1）M＞20；（2）10＜M≤20；（3）5＜M≤10；（4）M=5，分别以M1、M2、M3、M4表示。</w:t>
      </w:r>
    </w:p>
    <w:p w14:paraId="08902CB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 xml:space="preserve"> 本公司生产工艺（M）</w:t>
      </w:r>
    </w:p>
    <w:tbl>
      <w:tblPr>
        <w:tblStyle w:val="2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3362"/>
        <w:gridCol w:w="1083"/>
        <w:gridCol w:w="2840"/>
        <w:gridCol w:w="465"/>
      </w:tblGrid>
      <w:tr w14:paraId="735A50B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3" w:type="pct"/>
            <w:vMerge w:val="restart"/>
            <w:tcBorders>
              <w:top w:val="single" w:color="auto" w:sz="2" w:space="0"/>
              <w:left w:val="single" w:color="auto" w:sz="2" w:space="0"/>
              <w:bottom w:val="single" w:color="auto" w:sz="2" w:space="0"/>
              <w:right w:val="single" w:color="auto" w:sz="2" w:space="0"/>
            </w:tcBorders>
            <w:vAlign w:val="center"/>
          </w:tcPr>
          <w:p w14:paraId="1E1144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行业</w:t>
            </w:r>
          </w:p>
        </w:tc>
        <w:tc>
          <w:tcPr>
            <w:tcW w:w="2607" w:type="pct"/>
            <w:gridSpan w:val="2"/>
            <w:tcBorders>
              <w:top w:val="single" w:color="auto" w:sz="2" w:space="0"/>
              <w:left w:val="single" w:color="auto" w:sz="2" w:space="0"/>
              <w:bottom w:val="single" w:color="auto" w:sz="2" w:space="0"/>
              <w:right w:val="single" w:color="auto" w:sz="2" w:space="0"/>
            </w:tcBorders>
            <w:vAlign w:val="center"/>
          </w:tcPr>
          <w:p w14:paraId="176D58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.1行业及生产工艺（M）判定依据</w:t>
            </w:r>
          </w:p>
        </w:tc>
        <w:tc>
          <w:tcPr>
            <w:tcW w:w="1939" w:type="pct"/>
            <w:gridSpan w:val="2"/>
            <w:tcBorders>
              <w:top w:val="single" w:color="auto" w:sz="2" w:space="0"/>
              <w:left w:val="single" w:color="auto" w:sz="2" w:space="0"/>
              <w:bottom w:val="single" w:color="auto" w:sz="2" w:space="0"/>
              <w:right w:val="single" w:color="auto" w:sz="2" w:space="0"/>
            </w:tcBorders>
            <w:vAlign w:val="center"/>
          </w:tcPr>
          <w:p w14:paraId="58EC11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项目情况及分值</w:t>
            </w:r>
          </w:p>
        </w:tc>
      </w:tr>
      <w:tr w14:paraId="3FEE31B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3" w:type="pct"/>
            <w:vMerge w:val="continue"/>
            <w:tcBorders>
              <w:top w:val="single" w:color="auto" w:sz="2" w:space="0"/>
              <w:left w:val="single" w:color="auto" w:sz="2" w:space="0"/>
              <w:bottom w:val="single" w:color="auto" w:sz="2" w:space="0"/>
              <w:right w:val="single" w:color="auto" w:sz="2" w:space="0"/>
            </w:tcBorders>
            <w:vAlign w:val="center"/>
          </w:tcPr>
          <w:p w14:paraId="6AD776FC">
            <w:pPr>
              <w:ind w:firstLine="480"/>
              <w:rPr>
                <w:color w:val="000000" w:themeColor="text1"/>
                <w14:textFill>
                  <w14:solidFill>
                    <w14:schemeClr w14:val="tx1"/>
                  </w14:solidFill>
                </w14:textFill>
              </w:rPr>
            </w:pPr>
          </w:p>
        </w:tc>
        <w:tc>
          <w:tcPr>
            <w:tcW w:w="1972" w:type="pct"/>
            <w:tcBorders>
              <w:top w:val="single" w:color="auto" w:sz="2" w:space="0"/>
              <w:left w:val="single" w:color="auto" w:sz="2" w:space="0"/>
              <w:bottom w:val="single" w:color="auto" w:sz="2" w:space="0"/>
              <w:right w:val="single" w:color="auto" w:sz="2" w:space="0"/>
            </w:tcBorders>
            <w:vAlign w:val="center"/>
          </w:tcPr>
          <w:p w14:paraId="66FCA1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评估依据</w:t>
            </w:r>
          </w:p>
        </w:tc>
        <w:tc>
          <w:tcPr>
            <w:tcW w:w="634" w:type="pct"/>
            <w:tcBorders>
              <w:top w:val="single" w:color="auto" w:sz="2" w:space="0"/>
              <w:left w:val="single" w:color="auto" w:sz="2" w:space="0"/>
              <w:bottom w:val="single" w:color="auto" w:sz="2" w:space="0"/>
              <w:right w:val="single" w:color="auto" w:sz="2" w:space="0"/>
            </w:tcBorders>
            <w:vAlign w:val="center"/>
          </w:tcPr>
          <w:p w14:paraId="04BF15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分值</w:t>
            </w:r>
          </w:p>
        </w:tc>
        <w:tc>
          <w:tcPr>
            <w:tcW w:w="1666" w:type="pct"/>
            <w:tcBorders>
              <w:top w:val="single" w:color="auto" w:sz="2" w:space="0"/>
              <w:left w:val="single" w:color="auto" w:sz="2" w:space="0"/>
              <w:bottom w:val="single" w:color="auto" w:sz="2" w:space="0"/>
              <w:right w:val="single" w:color="auto" w:sz="2" w:space="0"/>
            </w:tcBorders>
            <w:vAlign w:val="center"/>
          </w:tcPr>
          <w:p w14:paraId="31A9DD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272" w:type="pct"/>
            <w:tcBorders>
              <w:top w:val="single" w:color="auto" w:sz="2" w:space="0"/>
              <w:left w:val="single" w:color="auto" w:sz="2" w:space="0"/>
              <w:bottom w:val="single" w:color="auto" w:sz="2" w:space="0"/>
              <w:right w:val="single" w:color="auto" w:sz="2" w:space="0"/>
            </w:tcBorders>
            <w:vAlign w:val="center"/>
          </w:tcPr>
          <w:p w14:paraId="5C9E4C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分值</w:t>
            </w:r>
          </w:p>
        </w:tc>
      </w:tr>
      <w:tr w14:paraId="0A5250E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3" w:type="pct"/>
            <w:vMerge w:val="restart"/>
            <w:tcBorders>
              <w:top w:val="single" w:color="auto" w:sz="2" w:space="0"/>
              <w:left w:val="single" w:color="auto" w:sz="2" w:space="0"/>
              <w:bottom w:val="single" w:color="auto" w:sz="2" w:space="0"/>
              <w:right w:val="single" w:color="auto" w:sz="2" w:space="0"/>
            </w:tcBorders>
            <w:vAlign w:val="center"/>
          </w:tcPr>
          <w:p w14:paraId="2FF573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石化、化工、医药、轻工、化纤、有色冶炼等</w:t>
            </w:r>
          </w:p>
        </w:tc>
        <w:tc>
          <w:tcPr>
            <w:tcW w:w="1972" w:type="pct"/>
            <w:tcBorders>
              <w:top w:val="single" w:color="auto" w:sz="2" w:space="0"/>
              <w:left w:val="single" w:color="auto" w:sz="2" w:space="0"/>
              <w:bottom w:val="single" w:color="auto" w:sz="2" w:space="0"/>
              <w:right w:val="single" w:color="auto" w:sz="2" w:space="0"/>
            </w:tcBorders>
            <w:vAlign w:val="center"/>
          </w:tcPr>
          <w:p w14:paraId="766B15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涉及光气及光气化工艺、电解工艺（氯碱）、氯化工艺、硝化工艺、合成氨工艺、裂解（裂化）工艺、氟化工艺、加氢工艺、重氨化工艺、氧化工艺、过氧化工艺、氨基酸化工艺、磺化工艺、聚合工艺、烷基化工艺、新型煤化工艺、电石生产工艺、偶氮化工艺</w:t>
            </w:r>
          </w:p>
        </w:tc>
        <w:tc>
          <w:tcPr>
            <w:tcW w:w="634" w:type="pct"/>
            <w:tcBorders>
              <w:top w:val="single" w:color="auto" w:sz="2" w:space="0"/>
              <w:left w:val="single" w:color="auto" w:sz="2" w:space="0"/>
              <w:bottom w:val="single" w:color="auto" w:sz="2" w:space="0"/>
              <w:right w:val="single" w:color="auto" w:sz="2" w:space="0"/>
            </w:tcBorders>
            <w:vAlign w:val="center"/>
          </w:tcPr>
          <w:p w14:paraId="052B0A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10/每套</w:t>
            </w:r>
          </w:p>
        </w:tc>
        <w:tc>
          <w:tcPr>
            <w:tcW w:w="1666" w:type="pct"/>
            <w:tcBorders>
              <w:top w:val="single" w:color="auto" w:sz="2" w:space="0"/>
              <w:left w:val="single" w:color="auto" w:sz="2" w:space="0"/>
              <w:bottom w:val="single" w:color="auto" w:sz="2" w:space="0"/>
              <w:right w:val="single" w:color="auto" w:sz="2" w:space="0"/>
            </w:tcBorders>
            <w:vAlign w:val="center"/>
          </w:tcPr>
          <w:p w14:paraId="5F4EFC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不涉及 </w:t>
            </w:r>
          </w:p>
        </w:tc>
        <w:tc>
          <w:tcPr>
            <w:tcW w:w="272" w:type="pct"/>
            <w:tcBorders>
              <w:top w:val="single" w:color="auto" w:sz="2" w:space="0"/>
              <w:left w:val="single" w:color="auto" w:sz="2" w:space="0"/>
              <w:bottom w:val="single" w:color="auto" w:sz="2" w:space="0"/>
              <w:right w:val="single" w:color="auto" w:sz="2" w:space="0"/>
            </w:tcBorders>
            <w:vAlign w:val="center"/>
          </w:tcPr>
          <w:p w14:paraId="7444B14A">
            <w:pPr>
              <w:pStyle w:val="28"/>
              <w:rPr>
                <w:rFonts w:ascii="仿宋" w:hAnsi="仿宋" w:eastAsia="仿宋" w:cs="仿宋"/>
                <w:color w:val="000000" w:themeColor="text1"/>
                <w:spacing w:val="1"/>
                <w:szCs w:val="28"/>
                <w14:textFill>
                  <w14:solidFill>
                    <w14:schemeClr w14:val="tx1"/>
                  </w14:solidFill>
                </w14:textFill>
              </w:rPr>
            </w:pPr>
            <w:r>
              <w:rPr>
                <w:rFonts w:hint="eastAsia"/>
                <w:color w:val="000000" w:themeColor="text1"/>
                <w14:textFill>
                  <w14:solidFill>
                    <w14:schemeClr w14:val="tx1"/>
                  </w14:solidFill>
                </w14:textFill>
              </w:rPr>
              <w:t>/</w:t>
            </w:r>
          </w:p>
        </w:tc>
      </w:tr>
      <w:tr w14:paraId="5A44C9C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top w:val="single" w:color="auto" w:sz="2" w:space="0"/>
              <w:left w:val="single" w:color="auto" w:sz="2" w:space="0"/>
              <w:bottom w:val="single" w:color="auto" w:sz="2" w:space="0"/>
              <w:right w:val="single" w:color="auto" w:sz="2" w:space="0"/>
            </w:tcBorders>
            <w:vAlign w:val="center"/>
          </w:tcPr>
          <w:p w14:paraId="12F692D9">
            <w:pPr>
              <w:ind w:firstLine="480"/>
              <w:rPr>
                <w:color w:val="000000" w:themeColor="text1"/>
                <w14:textFill>
                  <w14:solidFill>
                    <w14:schemeClr w14:val="tx1"/>
                  </w14:solidFill>
                </w14:textFill>
              </w:rPr>
            </w:pPr>
          </w:p>
        </w:tc>
        <w:tc>
          <w:tcPr>
            <w:tcW w:w="1972" w:type="pct"/>
            <w:tcBorders>
              <w:top w:val="single" w:color="auto" w:sz="2" w:space="0"/>
              <w:left w:val="single" w:color="auto" w:sz="2" w:space="0"/>
              <w:bottom w:val="single" w:color="auto" w:sz="2" w:space="0"/>
              <w:right w:val="single" w:color="auto" w:sz="2" w:space="0"/>
            </w:tcBorders>
            <w:vAlign w:val="center"/>
          </w:tcPr>
          <w:p w14:paraId="186C5C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无机酸制酸工艺、焦化工艺</w:t>
            </w:r>
          </w:p>
        </w:tc>
        <w:tc>
          <w:tcPr>
            <w:tcW w:w="634" w:type="pct"/>
            <w:tcBorders>
              <w:top w:val="single" w:color="auto" w:sz="2" w:space="0"/>
              <w:left w:val="single" w:color="auto" w:sz="2" w:space="0"/>
              <w:bottom w:val="single" w:color="auto" w:sz="2" w:space="0"/>
              <w:right w:val="single" w:color="auto" w:sz="2" w:space="0"/>
            </w:tcBorders>
            <w:vAlign w:val="center"/>
          </w:tcPr>
          <w:p w14:paraId="101296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5/套</w:t>
            </w:r>
          </w:p>
        </w:tc>
        <w:tc>
          <w:tcPr>
            <w:tcW w:w="1666" w:type="pct"/>
            <w:tcBorders>
              <w:top w:val="single" w:color="auto" w:sz="2" w:space="0"/>
              <w:left w:val="single" w:color="auto" w:sz="2" w:space="0"/>
              <w:bottom w:val="single" w:color="auto" w:sz="2" w:space="0"/>
              <w:right w:val="single" w:color="auto" w:sz="2" w:space="0"/>
            </w:tcBorders>
            <w:vAlign w:val="center"/>
          </w:tcPr>
          <w:p w14:paraId="3411D0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272" w:type="pct"/>
            <w:tcBorders>
              <w:top w:val="single" w:color="auto" w:sz="2" w:space="0"/>
              <w:left w:val="single" w:color="auto" w:sz="2" w:space="0"/>
              <w:bottom w:val="single" w:color="auto" w:sz="2" w:space="0"/>
              <w:right w:val="single" w:color="auto" w:sz="2" w:space="0"/>
            </w:tcBorders>
            <w:vAlign w:val="center"/>
          </w:tcPr>
          <w:p w14:paraId="2A74B4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DB3099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3" w:type="pct"/>
            <w:vMerge w:val="continue"/>
            <w:tcBorders>
              <w:top w:val="single" w:color="auto" w:sz="2" w:space="0"/>
              <w:left w:val="single" w:color="auto" w:sz="2" w:space="0"/>
              <w:bottom w:val="single" w:color="auto" w:sz="2" w:space="0"/>
              <w:right w:val="single" w:color="auto" w:sz="2" w:space="0"/>
            </w:tcBorders>
            <w:vAlign w:val="center"/>
          </w:tcPr>
          <w:p w14:paraId="1BFD010E">
            <w:pPr>
              <w:ind w:firstLine="480"/>
              <w:rPr>
                <w:color w:val="000000" w:themeColor="text1"/>
                <w14:textFill>
                  <w14:solidFill>
                    <w14:schemeClr w14:val="tx1"/>
                  </w14:solidFill>
                </w14:textFill>
              </w:rPr>
            </w:pPr>
          </w:p>
        </w:tc>
        <w:tc>
          <w:tcPr>
            <w:tcW w:w="1972" w:type="pct"/>
            <w:tcBorders>
              <w:top w:val="single" w:color="auto" w:sz="2" w:space="0"/>
              <w:left w:val="single" w:color="auto" w:sz="2" w:space="0"/>
              <w:bottom w:val="single" w:color="auto" w:sz="2" w:space="0"/>
              <w:right w:val="single" w:color="auto" w:sz="2" w:space="0"/>
            </w:tcBorders>
            <w:vAlign w:val="center"/>
          </w:tcPr>
          <w:p w14:paraId="541E26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其他高温或高压，且涉及危险物质的工艺过程</w:t>
            </w:r>
            <w:r>
              <w:rPr>
                <w:rFonts w:hint="eastAsia"/>
                <w:color w:val="000000" w:themeColor="text1"/>
                <w:vertAlign w:val="superscript"/>
                <w14:textFill>
                  <w14:solidFill>
                    <w14:schemeClr w14:val="tx1"/>
                  </w14:solidFill>
                </w14:textFill>
              </w:rPr>
              <w:t>a</w:t>
            </w:r>
            <w:r>
              <w:rPr>
                <w:rFonts w:hint="eastAsia"/>
                <w:color w:val="000000" w:themeColor="text1"/>
                <w14:textFill>
                  <w14:solidFill>
                    <w14:schemeClr w14:val="tx1"/>
                  </w14:solidFill>
                </w14:textFill>
              </w:rPr>
              <w:t>、危险物质贮存罐</w:t>
            </w:r>
          </w:p>
        </w:tc>
        <w:tc>
          <w:tcPr>
            <w:tcW w:w="634" w:type="pct"/>
            <w:tcBorders>
              <w:top w:val="single" w:color="auto" w:sz="2" w:space="0"/>
              <w:left w:val="single" w:color="auto" w:sz="2" w:space="0"/>
              <w:bottom w:val="single" w:color="auto" w:sz="2" w:space="0"/>
              <w:right w:val="single" w:color="auto" w:sz="2" w:space="0"/>
            </w:tcBorders>
            <w:vAlign w:val="center"/>
          </w:tcPr>
          <w:p w14:paraId="23C8AF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5/套</w:t>
            </w:r>
          </w:p>
          <w:p w14:paraId="650204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（罐区）</w:t>
            </w:r>
          </w:p>
        </w:tc>
        <w:tc>
          <w:tcPr>
            <w:tcW w:w="1666" w:type="pct"/>
            <w:tcBorders>
              <w:top w:val="single" w:color="auto" w:sz="2" w:space="0"/>
              <w:left w:val="single" w:color="auto" w:sz="2" w:space="0"/>
              <w:bottom w:val="single" w:color="auto" w:sz="2" w:space="0"/>
              <w:right w:val="single" w:color="auto" w:sz="2" w:space="0"/>
            </w:tcBorders>
            <w:vAlign w:val="center"/>
          </w:tcPr>
          <w:p w14:paraId="197D94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272" w:type="pct"/>
            <w:tcBorders>
              <w:top w:val="single" w:color="auto" w:sz="2" w:space="0"/>
              <w:left w:val="single" w:color="auto" w:sz="2" w:space="0"/>
              <w:bottom w:val="single" w:color="auto" w:sz="2" w:space="0"/>
              <w:right w:val="single" w:color="auto" w:sz="2" w:space="0"/>
            </w:tcBorders>
            <w:vAlign w:val="center"/>
          </w:tcPr>
          <w:p w14:paraId="01AFBB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9AA68B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3" w:type="pct"/>
            <w:tcBorders>
              <w:top w:val="single" w:color="auto" w:sz="2" w:space="0"/>
              <w:left w:val="single" w:color="auto" w:sz="2" w:space="0"/>
              <w:bottom w:val="single" w:color="auto" w:sz="2" w:space="0"/>
              <w:right w:val="single" w:color="auto" w:sz="2" w:space="0"/>
            </w:tcBorders>
            <w:vAlign w:val="center"/>
          </w:tcPr>
          <w:p w14:paraId="6883D1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1972" w:type="pct"/>
            <w:tcBorders>
              <w:top w:val="single" w:color="auto" w:sz="2" w:space="0"/>
              <w:left w:val="single" w:color="auto" w:sz="2" w:space="0"/>
              <w:bottom w:val="single" w:color="auto" w:sz="2" w:space="0"/>
              <w:right w:val="single" w:color="auto" w:sz="2" w:space="0"/>
            </w:tcBorders>
            <w:vAlign w:val="center"/>
          </w:tcPr>
          <w:p w14:paraId="241878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涉及危险物质使用、贮存的项目</w:t>
            </w:r>
          </w:p>
        </w:tc>
        <w:tc>
          <w:tcPr>
            <w:tcW w:w="634" w:type="pct"/>
            <w:tcBorders>
              <w:top w:val="single" w:color="auto" w:sz="2" w:space="0"/>
              <w:left w:val="single" w:color="auto" w:sz="2" w:space="0"/>
              <w:bottom w:val="single" w:color="auto" w:sz="2" w:space="0"/>
              <w:right w:val="single" w:color="auto" w:sz="2" w:space="0"/>
            </w:tcBorders>
            <w:vAlign w:val="center"/>
          </w:tcPr>
          <w:p w14:paraId="59E375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666" w:type="pct"/>
            <w:tcBorders>
              <w:top w:val="single" w:color="auto" w:sz="2" w:space="0"/>
              <w:left w:val="single" w:color="auto" w:sz="2" w:space="0"/>
              <w:bottom w:val="single" w:color="auto" w:sz="2" w:space="0"/>
              <w:right w:val="single" w:color="auto" w:sz="2" w:space="0"/>
            </w:tcBorders>
            <w:vAlign w:val="center"/>
          </w:tcPr>
          <w:p w14:paraId="090AED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本项目涉及的危险物质主要是五硫化二磷、有机溶剂（环己烷）、导热油、废有机溶剂（环己烷）</w:t>
            </w:r>
          </w:p>
        </w:tc>
        <w:tc>
          <w:tcPr>
            <w:tcW w:w="272" w:type="pct"/>
            <w:tcBorders>
              <w:top w:val="single" w:color="auto" w:sz="2" w:space="0"/>
              <w:left w:val="single" w:color="auto" w:sz="2" w:space="0"/>
              <w:bottom w:val="single" w:color="auto" w:sz="2" w:space="0"/>
              <w:right w:val="single" w:color="auto" w:sz="2" w:space="0"/>
            </w:tcBorders>
            <w:vAlign w:val="center"/>
          </w:tcPr>
          <w:p w14:paraId="034002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3FDF60E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53" w:type="pct"/>
            <w:tcBorders>
              <w:top w:val="single" w:color="auto" w:sz="2" w:space="0"/>
              <w:left w:val="single" w:color="auto" w:sz="2" w:space="0"/>
              <w:bottom w:val="single" w:color="auto" w:sz="2" w:space="0"/>
              <w:right w:val="single" w:color="auto" w:sz="2" w:space="0"/>
            </w:tcBorders>
            <w:vAlign w:val="center"/>
          </w:tcPr>
          <w:p w14:paraId="298103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1972" w:type="pct"/>
            <w:tcBorders>
              <w:top w:val="single" w:color="auto" w:sz="2" w:space="0"/>
              <w:left w:val="single" w:color="auto" w:sz="2" w:space="0"/>
              <w:bottom w:val="single" w:color="auto" w:sz="2" w:space="0"/>
              <w:right w:val="single" w:color="auto" w:sz="2" w:space="0"/>
            </w:tcBorders>
            <w:vAlign w:val="center"/>
          </w:tcPr>
          <w:p w14:paraId="5575610D">
            <w:pPr>
              <w:ind w:firstLine="480"/>
              <w:rPr>
                <w:color w:val="000000" w:themeColor="text1"/>
                <w14:textFill>
                  <w14:solidFill>
                    <w14:schemeClr w14:val="tx1"/>
                  </w14:solidFill>
                </w14:textFill>
              </w:rPr>
            </w:pPr>
          </w:p>
        </w:tc>
        <w:tc>
          <w:tcPr>
            <w:tcW w:w="634" w:type="pct"/>
            <w:tcBorders>
              <w:top w:val="single" w:color="auto" w:sz="2" w:space="0"/>
              <w:left w:val="single" w:color="auto" w:sz="2" w:space="0"/>
              <w:bottom w:val="single" w:color="auto" w:sz="2" w:space="0"/>
              <w:right w:val="single" w:color="auto" w:sz="2" w:space="0"/>
            </w:tcBorders>
            <w:vAlign w:val="center"/>
          </w:tcPr>
          <w:p w14:paraId="13190B96">
            <w:pPr>
              <w:ind w:firstLine="480"/>
              <w:rPr>
                <w:color w:val="000000" w:themeColor="text1"/>
                <w14:textFill>
                  <w14:solidFill>
                    <w14:schemeClr w14:val="tx1"/>
                  </w14:solidFill>
                </w14:textFill>
              </w:rPr>
            </w:pPr>
          </w:p>
        </w:tc>
        <w:tc>
          <w:tcPr>
            <w:tcW w:w="1666" w:type="pct"/>
            <w:tcBorders>
              <w:top w:val="single" w:color="auto" w:sz="2" w:space="0"/>
              <w:left w:val="single" w:color="auto" w:sz="2" w:space="0"/>
              <w:bottom w:val="single" w:color="auto" w:sz="2" w:space="0"/>
              <w:right w:val="single" w:color="auto" w:sz="2" w:space="0"/>
            </w:tcBorders>
            <w:vAlign w:val="center"/>
          </w:tcPr>
          <w:p w14:paraId="42DE477E">
            <w:pPr>
              <w:ind w:firstLine="480"/>
              <w:rPr>
                <w:color w:val="000000" w:themeColor="text1"/>
                <w14:textFill>
                  <w14:solidFill>
                    <w14:schemeClr w14:val="tx1"/>
                  </w14:solidFill>
                </w14:textFill>
              </w:rPr>
            </w:pPr>
          </w:p>
        </w:tc>
        <w:tc>
          <w:tcPr>
            <w:tcW w:w="272" w:type="pct"/>
            <w:tcBorders>
              <w:top w:val="single" w:color="auto" w:sz="2" w:space="0"/>
              <w:left w:val="single" w:color="auto" w:sz="2" w:space="0"/>
              <w:bottom w:val="single" w:color="auto" w:sz="2" w:space="0"/>
              <w:right w:val="single" w:color="auto" w:sz="2" w:space="0"/>
            </w:tcBorders>
            <w:vAlign w:val="center"/>
          </w:tcPr>
          <w:p w14:paraId="646989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bl>
    <w:p w14:paraId="7794C438">
      <w:pPr>
        <w:spacing w:line="240" w:lineRule="auto"/>
        <w:ind w:firstLine="361"/>
        <w:rPr>
          <w:b/>
          <w:bCs/>
          <w:i/>
          <w:iCs/>
          <w:color w:val="000000" w:themeColor="text1"/>
          <w:sz w:val="18"/>
          <w:szCs w:val="18"/>
          <w14:textFill>
            <w14:solidFill>
              <w14:schemeClr w14:val="tx1"/>
            </w14:solidFill>
          </w14:textFill>
        </w:rPr>
      </w:pPr>
      <w:r>
        <w:rPr>
          <w:rFonts w:hint="eastAsia"/>
          <w:b/>
          <w:bCs/>
          <w:i/>
          <w:iCs/>
          <w:color w:val="000000" w:themeColor="text1"/>
          <w:sz w:val="18"/>
          <w:szCs w:val="18"/>
          <w14:textFill>
            <w14:solidFill>
              <w14:schemeClr w14:val="tx1"/>
            </w14:solidFill>
          </w14:textFill>
        </w:rPr>
        <w:t>注：</w:t>
      </w:r>
      <w:r>
        <w:rPr>
          <w:rFonts w:hint="eastAsia"/>
          <w:b/>
          <w:bCs/>
          <w:i/>
          <w:iCs/>
          <w:color w:val="000000" w:themeColor="text1"/>
          <w:sz w:val="18"/>
          <w:szCs w:val="18"/>
          <w:vertAlign w:val="superscript"/>
          <w14:textFill>
            <w14:solidFill>
              <w14:schemeClr w14:val="tx1"/>
            </w14:solidFill>
          </w14:textFill>
        </w:rPr>
        <w:t>a</w:t>
      </w:r>
      <w:r>
        <w:rPr>
          <w:rFonts w:hint="eastAsia"/>
          <w:b/>
          <w:bCs/>
          <w:i/>
          <w:iCs/>
          <w:color w:val="000000" w:themeColor="text1"/>
          <w:sz w:val="18"/>
          <w:szCs w:val="18"/>
          <w14:textFill>
            <w14:solidFill>
              <w14:schemeClr w14:val="tx1"/>
            </w14:solidFill>
          </w14:textFill>
        </w:rPr>
        <w:t>高温指工艺温度&gt;300℃，高压指压力容器的设计压力(P)&gt;10.0MPa；</w:t>
      </w:r>
    </w:p>
    <w:p w14:paraId="21389DCB">
      <w:pPr>
        <w:spacing w:line="240" w:lineRule="auto"/>
        <w:ind w:firstLine="723" w:firstLineChars="400"/>
        <w:rPr>
          <w:b/>
          <w:bCs/>
          <w:i/>
          <w:iCs/>
          <w:color w:val="000000" w:themeColor="text1"/>
          <w:sz w:val="18"/>
          <w:szCs w:val="18"/>
          <w14:textFill>
            <w14:solidFill>
              <w14:schemeClr w14:val="tx1"/>
            </w14:solidFill>
          </w14:textFill>
        </w:rPr>
      </w:pPr>
      <w:r>
        <w:rPr>
          <w:rFonts w:hint="eastAsia"/>
          <w:b/>
          <w:bCs/>
          <w:i/>
          <w:iCs/>
          <w:color w:val="000000" w:themeColor="text1"/>
          <w:sz w:val="18"/>
          <w:szCs w:val="18"/>
          <w:vertAlign w:val="superscript"/>
          <w14:textFill>
            <w14:solidFill>
              <w14:schemeClr w14:val="tx1"/>
            </w14:solidFill>
          </w14:textFill>
        </w:rPr>
        <w:t>b</w:t>
      </w:r>
      <w:r>
        <w:rPr>
          <w:rFonts w:hint="eastAsia"/>
          <w:b/>
          <w:bCs/>
          <w:i/>
          <w:iCs/>
          <w:color w:val="000000" w:themeColor="text1"/>
          <w:sz w:val="18"/>
          <w:szCs w:val="18"/>
          <w14:textFill>
            <w14:solidFill>
              <w14:schemeClr w14:val="tx1"/>
            </w14:solidFill>
          </w14:textFill>
        </w:rPr>
        <w:t>长输管道运输项目应按站场、管线分段进行评价。</w:t>
      </w:r>
    </w:p>
    <w:p w14:paraId="140A3B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综上，全厂（M）为5，以M4表示。</w:t>
      </w:r>
    </w:p>
    <w:p w14:paraId="679B830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（3）危险物质及工艺系统危险性（P）分级</w:t>
      </w:r>
    </w:p>
    <w:p w14:paraId="53FDEE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根据危险物质数量与临界量比值（Q）和行业及生产工艺（M）确定P的分级，分级依据如下：</w:t>
      </w:r>
    </w:p>
    <w:p w14:paraId="3E05EDA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P的分级依据</w:t>
      </w:r>
    </w:p>
    <w:tbl>
      <w:tblPr>
        <w:tblStyle w:val="21"/>
        <w:tblW w:w="852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1419"/>
        <w:gridCol w:w="1701"/>
        <w:gridCol w:w="1607"/>
        <w:gridCol w:w="1704"/>
      </w:tblGrid>
      <w:tr w14:paraId="38ACE32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1" w:type="dxa"/>
            <w:vMerge w:val="restart"/>
            <w:tcBorders>
              <w:top w:val="single" w:color="auto" w:sz="2" w:space="0"/>
              <w:left w:val="single" w:color="auto" w:sz="2" w:space="0"/>
              <w:bottom w:val="single" w:color="auto" w:sz="2" w:space="0"/>
              <w:right w:val="single" w:color="auto" w:sz="2" w:space="0"/>
            </w:tcBorders>
            <w:vAlign w:val="center"/>
          </w:tcPr>
          <w:p w14:paraId="047B57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危险物质数量与临界量比值（Q）</w:t>
            </w:r>
          </w:p>
        </w:tc>
        <w:tc>
          <w:tcPr>
            <w:tcW w:w="6431" w:type="dxa"/>
            <w:gridSpan w:val="4"/>
            <w:tcBorders>
              <w:top w:val="single" w:color="auto" w:sz="2" w:space="0"/>
              <w:left w:val="single" w:color="auto" w:sz="2" w:space="0"/>
              <w:bottom w:val="single" w:color="auto" w:sz="2" w:space="0"/>
              <w:right w:val="single" w:color="auto" w:sz="2" w:space="0"/>
            </w:tcBorders>
            <w:vAlign w:val="center"/>
          </w:tcPr>
          <w:p w14:paraId="0ACEC0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危险物质及工艺系统危险性（P）</w:t>
            </w:r>
          </w:p>
        </w:tc>
      </w:tr>
      <w:tr w14:paraId="0C10544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1" w:type="dxa"/>
            <w:vMerge w:val="continue"/>
            <w:tcBorders>
              <w:top w:val="single" w:color="auto" w:sz="2" w:space="0"/>
              <w:left w:val="single" w:color="auto" w:sz="2" w:space="0"/>
              <w:bottom w:val="single" w:color="auto" w:sz="2" w:space="0"/>
              <w:right w:val="single" w:color="auto" w:sz="2" w:space="0"/>
            </w:tcBorders>
            <w:vAlign w:val="center"/>
          </w:tcPr>
          <w:p w14:paraId="5B9398CC">
            <w:pPr>
              <w:ind w:firstLine="480"/>
              <w:rPr>
                <w:color w:val="000000" w:themeColor="text1"/>
                <w14:textFill>
                  <w14:solidFill>
                    <w14:schemeClr w14:val="tx1"/>
                  </w14:solidFill>
                </w14:textFill>
              </w:rPr>
            </w:pPr>
          </w:p>
        </w:tc>
        <w:tc>
          <w:tcPr>
            <w:tcW w:w="1419" w:type="dxa"/>
            <w:tcBorders>
              <w:top w:val="single" w:color="auto" w:sz="2" w:space="0"/>
              <w:left w:val="single" w:color="auto" w:sz="2" w:space="0"/>
              <w:bottom w:val="single" w:color="auto" w:sz="2" w:space="0"/>
              <w:right w:val="single" w:color="auto" w:sz="2" w:space="0"/>
            </w:tcBorders>
            <w:vAlign w:val="center"/>
          </w:tcPr>
          <w:p w14:paraId="4859C2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M1</w:t>
            </w:r>
          </w:p>
        </w:tc>
        <w:tc>
          <w:tcPr>
            <w:tcW w:w="1701" w:type="dxa"/>
            <w:tcBorders>
              <w:top w:val="single" w:color="auto" w:sz="2" w:space="0"/>
              <w:left w:val="single" w:color="auto" w:sz="2" w:space="0"/>
              <w:bottom w:val="single" w:color="auto" w:sz="2" w:space="0"/>
              <w:right w:val="single" w:color="auto" w:sz="2" w:space="0"/>
            </w:tcBorders>
            <w:vAlign w:val="center"/>
          </w:tcPr>
          <w:p w14:paraId="36855E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M2</w:t>
            </w:r>
          </w:p>
        </w:tc>
        <w:tc>
          <w:tcPr>
            <w:tcW w:w="1607" w:type="dxa"/>
            <w:tcBorders>
              <w:top w:val="single" w:color="auto" w:sz="2" w:space="0"/>
              <w:left w:val="single" w:color="auto" w:sz="2" w:space="0"/>
              <w:bottom w:val="single" w:color="auto" w:sz="2" w:space="0"/>
              <w:right w:val="single" w:color="auto" w:sz="2" w:space="0"/>
            </w:tcBorders>
            <w:vAlign w:val="center"/>
          </w:tcPr>
          <w:p w14:paraId="358007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M3</w:t>
            </w:r>
          </w:p>
        </w:tc>
        <w:tc>
          <w:tcPr>
            <w:tcW w:w="1704" w:type="dxa"/>
            <w:tcBorders>
              <w:top w:val="single" w:color="auto" w:sz="2" w:space="0"/>
              <w:left w:val="single" w:color="auto" w:sz="2" w:space="0"/>
              <w:bottom w:val="single" w:color="auto" w:sz="2" w:space="0"/>
              <w:right w:val="single" w:color="auto" w:sz="2" w:space="0"/>
            </w:tcBorders>
            <w:vAlign w:val="center"/>
          </w:tcPr>
          <w:p w14:paraId="0B9FC9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M4</w:t>
            </w:r>
          </w:p>
        </w:tc>
      </w:tr>
      <w:tr w14:paraId="7FF1B40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1" w:type="dxa"/>
            <w:tcBorders>
              <w:top w:val="single" w:color="auto" w:sz="2" w:space="0"/>
              <w:left w:val="single" w:color="auto" w:sz="2" w:space="0"/>
              <w:bottom w:val="single" w:color="auto" w:sz="2" w:space="0"/>
              <w:right w:val="single" w:color="auto" w:sz="2" w:space="0"/>
            </w:tcBorders>
            <w:vAlign w:val="center"/>
          </w:tcPr>
          <w:p w14:paraId="697D8F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Q≥100</w:t>
            </w:r>
          </w:p>
        </w:tc>
        <w:tc>
          <w:tcPr>
            <w:tcW w:w="1419" w:type="dxa"/>
            <w:tcBorders>
              <w:top w:val="single" w:color="auto" w:sz="2" w:space="0"/>
              <w:left w:val="single" w:color="auto" w:sz="2" w:space="0"/>
              <w:bottom w:val="single" w:color="auto" w:sz="2" w:space="0"/>
              <w:right w:val="single" w:color="auto" w:sz="2" w:space="0"/>
            </w:tcBorders>
            <w:vAlign w:val="center"/>
          </w:tcPr>
          <w:p w14:paraId="1105F9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P1</w:t>
            </w:r>
          </w:p>
        </w:tc>
        <w:tc>
          <w:tcPr>
            <w:tcW w:w="1701" w:type="dxa"/>
            <w:tcBorders>
              <w:top w:val="single" w:color="auto" w:sz="2" w:space="0"/>
              <w:left w:val="single" w:color="auto" w:sz="2" w:space="0"/>
              <w:bottom w:val="single" w:color="auto" w:sz="2" w:space="0"/>
              <w:right w:val="single" w:color="auto" w:sz="2" w:space="0"/>
            </w:tcBorders>
            <w:vAlign w:val="center"/>
          </w:tcPr>
          <w:p w14:paraId="2D4E89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P1</w:t>
            </w:r>
          </w:p>
        </w:tc>
        <w:tc>
          <w:tcPr>
            <w:tcW w:w="1607" w:type="dxa"/>
            <w:tcBorders>
              <w:top w:val="single" w:color="auto" w:sz="2" w:space="0"/>
              <w:left w:val="single" w:color="auto" w:sz="2" w:space="0"/>
              <w:bottom w:val="single" w:color="auto" w:sz="2" w:space="0"/>
              <w:right w:val="single" w:color="auto" w:sz="2" w:space="0"/>
            </w:tcBorders>
            <w:vAlign w:val="center"/>
          </w:tcPr>
          <w:p w14:paraId="38EC3F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P2</w:t>
            </w:r>
          </w:p>
        </w:tc>
        <w:tc>
          <w:tcPr>
            <w:tcW w:w="1704" w:type="dxa"/>
            <w:tcBorders>
              <w:top w:val="single" w:color="auto" w:sz="2" w:space="0"/>
              <w:left w:val="single" w:color="auto" w:sz="2" w:space="0"/>
              <w:bottom w:val="single" w:color="auto" w:sz="2" w:space="0"/>
              <w:right w:val="single" w:color="auto" w:sz="2" w:space="0"/>
            </w:tcBorders>
            <w:vAlign w:val="center"/>
          </w:tcPr>
          <w:p w14:paraId="5A5EBF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P3</w:t>
            </w:r>
          </w:p>
        </w:tc>
      </w:tr>
      <w:tr w14:paraId="47736DB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1" w:type="dxa"/>
            <w:tcBorders>
              <w:top w:val="single" w:color="auto" w:sz="2" w:space="0"/>
              <w:left w:val="single" w:color="auto" w:sz="2" w:space="0"/>
              <w:bottom w:val="single" w:color="auto" w:sz="2" w:space="0"/>
              <w:right w:val="single" w:color="auto" w:sz="2" w:space="0"/>
            </w:tcBorders>
            <w:vAlign w:val="center"/>
          </w:tcPr>
          <w:p w14:paraId="769366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10≤Q＜100</w:t>
            </w:r>
          </w:p>
        </w:tc>
        <w:tc>
          <w:tcPr>
            <w:tcW w:w="1419" w:type="dxa"/>
            <w:tcBorders>
              <w:top w:val="single" w:color="auto" w:sz="2" w:space="0"/>
              <w:left w:val="single" w:color="auto" w:sz="2" w:space="0"/>
              <w:bottom w:val="single" w:color="auto" w:sz="2" w:space="0"/>
              <w:right w:val="single" w:color="auto" w:sz="2" w:space="0"/>
            </w:tcBorders>
            <w:vAlign w:val="center"/>
          </w:tcPr>
          <w:p w14:paraId="0FD3EC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P1</w:t>
            </w:r>
          </w:p>
        </w:tc>
        <w:tc>
          <w:tcPr>
            <w:tcW w:w="1701" w:type="dxa"/>
            <w:tcBorders>
              <w:top w:val="single" w:color="auto" w:sz="2" w:space="0"/>
              <w:left w:val="single" w:color="auto" w:sz="2" w:space="0"/>
              <w:bottom w:val="single" w:color="auto" w:sz="2" w:space="0"/>
              <w:right w:val="single" w:color="auto" w:sz="2" w:space="0"/>
            </w:tcBorders>
            <w:vAlign w:val="center"/>
          </w:tcPr>
          <w:p w14:paraId="5024BA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P2</w:t>
            </w:r>
          </w:p>
        </w:tc>
        <w:tc>
          <w:tcPr>
            <w:tcW w:w="1607" w:type="dxa"/>
            <w:tcBorders>
              <w:top w:val="single" w:color="auto" w:sz="2" w:space="0"/>
              <w:left w:val="single" w:color="auto" w:sz="2" w:space="0"/>
              <w:bottom w:val="single" w:color="auto" w:sz="2" w:space="0"/>
              <w:right w:val="single" w:color="auto" w:sz="2" w:space="0"/>
            </w:tcBorders>
            <w:vAlign w:val="center"/>
          </w:tcPr>
          <w:p w14:paraId="2C0620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P3</w:t>
            </w:r>
          </w:p>
        </w:tc>
        <w:tc>
          <w:tcPr>
            <w:tcW w:w="1704" w:type="dxa"/>
            <w:tcBorders>
              <w:top w:val="single" w:color="auto" w:sz="2" w:space="0"/>
              <w:left w:val="single" w:color="auto" w:sz="2" w:space="0"/>
              <w:bottom w:val="single" w:color="auto" w:sz="2" w:space="0"/>
              <w:right w:val="single" w:color="auto" w:sz="2" w:space="0"/>
            </w:tcBorders>
            <w:vAlign w:val="center"/>
          </w:tcPr>
          <w:p w14:paraId="0227AF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P4</w:t>
            </w:r>
          </w:p>
        </w:tc>
      </w:tr>
      <w:tr w14:paraId="1AC080C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1" w:type="dxa"/>
            <w:tcBorders>
              <w:top w:val="single" w:color="auto" w:sz="2" w:space="0"/>
              <w:left w:val="single" w:color="auto" w:sz="2" w:space="0"/>
              <w:bottom w:val="single" w:color="auto" w:sz="2" w:space="0"/>
              <w:right w:val="single" w:color="auto" w:sz="2" w:space="0"/>
            </w:tcBorders>
            <w:vAlign w:val="center"/>
          </w:tcPr>
          <w:p w14:paraId="324530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1≤Q＜10</w:t>
            </w:r>
          </w:p>
        </w:tc>
        <w:tc>
          <w:tcPr>
            <w:tcW w:w="1419" w:type="dxa"/>
            <w:tcBorders>
              <w:top w:val="single" w:color="auto" w:sz="2" w:space="0"/>
              <w:left w:val="single" w:color="auto" w:sz="2" w:space="0"/>
              <w:bottom w:val="single" w:color="auto" w:sz="2" w:space="0"/>
              <w:right w:val="single" w:color="auto" w:sz="2" w:space="0"/>
            </w:tcBorders>
            <w:vAlign w:val="center"/>
          </w:tcPr>
          <w:p w14:paraId="236429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P2</w:t>
            </w:r>
          </w:p>
        </w:tc>
        <w:tc>
          <w:tcPr>
            <w:tcW w:w="1701" w:type="dxa"/>
            <w:tcBorders>
              <w:top w:val="single" w:color="auto" w:sz="2" w:space="0"/>
              <w:left w:val="single" w:color="auto" w:sz="2" w:space="0"/>
              <w:bottom w:val="single" w:color="auto" w:sz="2" w:space="0"/>
              <w:right w:val="single" w:color="auto" w:sz="2" w:space="0"/>
            </w:tcBorders>
            <w:vAlign w:val="center"/>
          </w:tcPr>
          <w:p w14:paraId="549048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P3</w:t>
            </w:r>
          </w:p>
        </w:tc>
        <w:tc>
          <w:tcPr>
            <w:tcW w:w="1607" w:type="dxa"/>
            <w:tcBorders>
              <w:top w:val="single" w:color="auto" w:sz="2" w:space="0"/>
              <w:left w:val="single" w:color="auto" w:sz="2" w:space="0"/>
              <w:bottom w:val="single" w:color="auto" w:sz="2" w:space="0"/>
              <w:right w:val="single" w:color="auto" w:sz="2" w:space="0"/>
            </w:tcBorders>
            <w:vAlign w:val="center"/>
          </w:tcPr>
          <w:p w14:paraId="3E2840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P4</w:t>
            </w:r>
          </w:p>
        </w:tc>
        <w:tc>
          <w:tcPr>
            <w:tcW w:w="1704" w:type="dxa"/>
            <w:tcBorders>
              <w:top w:val="single" w:color="auto" w:sz="2" w:space="0"/>
              <w:left w:val="single" w:color="auto" w:sz="2" w:space="0"/>
              <w:bottom w:val="single" w:color="auto" w:sz="2" w:space="0"/>
              <w:right w:val="single" w:color="auto" w:sz="2" w:space="0"/>
            </w:tcBorders>
            <w:vAlign w:val="center"/>
          </w:tcPr>
          <w:p w14:paraId="293CC0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P4</w:t>
            </w:r>
          </w:p>
        </w:tc>
      </w:tr>
    </w:tbl>
    <w:p w14:paraId="66195A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本项目Q值为</w:t>
      </w:r>
      <w:bookmarkStart w:id="19" w:name="_Hlk226623227"/>
      <w:r>
        <w:rPr>
          <w:rFonts w:hint="eastAsia"/>
          <w:color w:val="000000" w:themeColor="text1"/>
          <w14:textFill>
            <w14:solidFill>
              <w14:schemeClr w14:val="tx1"/>
            </w14:solidFill>
          </w14:textFill>
        </w:rPr>
        <w:t>0.814224</w:t>
      </w:r>
      <w:bookmarkEnd w:id="19"/>
      <w:r>
        <w:rPr>
          <w:rFonts w:hint="eastAsia"/>
          <w:color w:val="000000" w:themeColor="text1"/>
          <w14:textFill>
            <w14:solidFill>
              <w14:schemeClr w14:val="tx1"/>
            </w14:solidFill>
          </w14:textFill>
        </w:rPr>
        <w:t>＜1，行业及生产工艺特点为M4，对照上表判定本项目危险物质及工艺系统危险性较低。</w:t>
      </w:r>
    </w:p>
    <w:p w14:paraId="75C3753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2、E的分级确定</w:t>
      </w:r>
    </w:p>
    <w:p w14:paraId="6673D33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（1）大气环境敏感程度（E）分级判定</w:t>
      </w:r>
    </w:p>
    <w:p w14:paraId="047B77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依据环境敏感目标环境敏感性及人口密度划分环境风险受体的敏感性，划定为三中类型：E1为环境高度敏感区，E2为环境中度敏感区，E3为环境低度敏感区。</w:t>
      </w:r>
    </w:p>
    <w:p w14:paraId="0F9691D3">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大气环境敏感程度分级</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92"/>
        <w:gridCol w:w="7728"/>
      </w:tblGrid>
      <w:tr w14:paraId="5026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14:paraId="1E64F4CA">
            <w:pPr>
              <w:pStyle w:val="28"/>
              <w:rPr>
                <w:color w:val="000000" w:themeColor="text1"/>
                <w14:textFill>
                  <w14:solidFill>
                    <w14:schemeClr w14:val="tx1"/>
                  </w14:solidFill>
                </w14:textFill>
              </w:rPr>
            </w:pPr>
            <w:r>
              <w:rPr>
                <w:color w:val="000000" w:themeColor="text1"/>
                <w14:textFill>
                  <w14:solidFill>
                    <w14:schemeClr w14:val="tx1"/>
                  </w14:solidFill>
                </w14:textFill>
              </w:rPr>
              <w:t>分级</w:t>
            </w:r>
          </w:p>
        </w:tc>
        <w:tc>
          <w:tcPr>
            <w:tcW w:w="7728" w:type="dxa"/>
            <w:tcBorders>
              <w:top w:val="single" w:color="auto" w:sz="4" w:space="0"/>
              <w:left w:val="single" w:color="auto" w:sz="4" w:space="0"/>
              <w:bottom w:val="single" w:color="auto" w:sz="4" w:space="0"/>
              <w:right w:val="single" w:color="auto" w:sz="4" w:space="0"/>
            </w:tcBorders>
            <w:vAlign w:val="center"/>
          </w:tcPr>
          <w:p w14:paraId="220FB882">
            <w:pPr>
              <w:pStyle w:val="28"/>
              <w:rPr>
                <w:color w:val="000000" w:themeColor="text1"/>
                <w14:textFill>
                  <w14:solidFill>
                    <w14:schemeClr w14:val="tx1"/>
                  </w14:solidFill>
                </w14:textFill>
              </w:rPr>
            </w:pPr>
            <w:r>
              <w:rPr>
                <w:color w:val="000000" w:themeColor="text1"/>
                <w14:textFill>
                  <w14:solidFill>
                    <w14:schemeClr w14:val="tx1"/>
                  </w14:solidFill>
                </w14:textFill>
              </w:rPr>
              <w:t>大气环境敏感性</w:t>
            </w:r>
          </w:p>
        </w:tc>
      </w:tr>
      <w:tr w14:paraId="6E86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14:paraId="6287C343">
            <w:pPr>
              <w:pStyle w:val="28"/>
              <w:rPr>
                <w:color w:val="000000" w:themeColor="text1"/>
                <w14:textFill>
                  <w14:solidFill>
                    <w14:schemeClr w14:val="tx1"/>
                  </w14:solidFill>
                </w14:textFill>
              </w:rPr>
            </w:pPr>
            <w:r>
              <w:rPr>
                <w:color w:val="000000" w:themeColor="text1"/>
                <w14:textFill>
                  <w14:solidFill>
                    <w14:schemeClr w14:val="tx1"/>
                  </w14:solidFill>
                </w14:textFill>
              </w:rPr>
              <w:t>E1</w:t>
            </w:r>
          </w:p>
        </w:tc>
        <w:tc>
          <w:tcPr>
            <w:tcW w:w="7728" w:type="dxa"/>
            <w:tcBorders>
              <w:top w:val="single" w:color="auto" w:sz="4" w:space="0"/>
              <w:left w:val="single" w:color="auto" w:sz="4" w:space="0"/>
              <w:bottom w:val="single" w:color="auto" w:sz="4" w:space="0"/>
              <w:right w:val="single" w:color="auto" w:sz="4" w:space="0"/>
            </w:tcBorders>
            <w:vAlign w:val="center"/>
          </w:tcPr>
          <w:p w14:paraId="0D5AC6B9">
            <w:pPr>
              <w:pStyle w:val="28"/>
              <w:rPr>
                <w:color w:val="000000" w:themeColor="text1"/>
                <w14:textFill>
                  <w14:solidFill>
                    <w14:schemeClr w14:val="tx1"/>
                  </w14:solidFill>
                </w14:textFill>
              </w:rPr>
            </w:pPr>
            <w:r>
              <w:rPr>
                <w:color w:val="000000" w:themeColor="text1"/>
                <w14:textFill>
                  <w14:solidFill>
                    <w14:schemeClr w14:val="tx1"/>
                  </w14:solidFill>
                </w14:textFill>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523B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14:paraId="31F02D28">
            <w:pPr>
              <w:pStyle w:val="28"/>
              <w:rPr>
                <w:color w:val="000000" w:themeColor="text1"/>
                <w14:textFill>
                  <w14:solidFill>
                    <w14:schemeClr w14:val="tx1"/>
                  </w14:solidFill>
                </w14:textFill>
              </w:rPr>
            </w:pPr>
            <w:r>
              <w:rPr>
                <w:color w:val="000000" w:themeColor="text1"/>
                <w14:textFill>
                  <w14:solidFill>
                    <w14:schemeClr w14:val="tx1"/>
                  </w14:solidFill>
                </w14:textFill>
              </w:rPr>
              <w:t>E2</w:t>
            </w:r>
          </w:p>
        </w:tc>
        <w:tc>
          <w:tcPr>
            <w:tcW w:w="7728" w:type="dxa"/>
            <w:tcBorders>
              <w:top w:val="single" w:color="auto" w:sz="4" w:space="0"/>
              <w:left w:val="single" w:color="auto" w:sz="4" w:space="0"/>
              <w:bottom w:val="single" w:color="auto" w:sz="4" w:space="0"/>
              <w:right w:val="single" w:color="auto" w:sz="4" w:space="0"/>
            </w:tcBorders>
            <w:vAlign w:val="center"/>
          </w:tcPr>
          <w:p w14:paraId="660112CC">
            <w:pPr>
              <w:pStyle w:val="28"/>
              <w:rPr>
                <w:color w:val="000000" w:themeColor="text1"/>
                <w14:textFill>
                  <w14:solidFill>
                    <w14:schemeClr w14:val="tx1"/>
                  </w14:solidFill>
                </w14:textFill>
              </w:rPr>
            </w:pPr>
            <w:r>
              <w:rPr>
                <w:color w:val="000000" w:themeColor="text1"/>
                <w14:textFill>
                  <w14:solidFill>
                    <w14:schemeClr w14:val="tx1"/>
                  </w14:solidFill>
                </w14:textFill>
              </w:rPr>
              <w:t>周边5km范围内居住区、医疗卫生、文化教育、科研、行政办公等机构人口总数大于1万人，小于5万人；或周边500m范围内人口总数大于500人，小于1000人；油气、化学品输送管线管段周边 200m范围内，每千米管段人口数大于100人，小于200人</w:t>
            </w:r>
          </w:p>
        </w:tc>
      </w:tr>
      <w:tr w14:paraId="1533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14:paraId="3EDFB013">
            <w:pPr>
              <w:pStyle w:val="28"/>
              <w:rPr>
                <w:color w:val="000000" w:themeColor="text1"/>
                <w14:textFill>
                  <w14:solidFill>
                    <w14:schemeClr w14:val="tx1"/>
                  </w14:solidFill>
                </w14:textFill>
              </w:rPr>
            </w:pPr>
            <w:r>
              <w:rPr>
                <w:color w:val="000000" w:themeColor="text1"/>
                <w14:textFill>
                  <w14:solidFill>
                    <w14:schemeClr w14:val="tx1"/>
                  </w14:solidFill>
                </w14:textFill>
              </w:rPr>
              <w:t>E3</w:t>
            </w:r>
          </w:p>
        </w:tc>
        <w:tc>
          <w:tcPr>
            <w:tcW w:w="7728" w:type="dxa"/>
            <w:tcBorders>
              <w:top w:val="single" w:color="auto" w:sz="4" w:space="0"/>
              <w:left w:val="single" w:color="auto" w:sz="4" w:space="0"/>
              <w:bottom w:val="single" w:color="auto" w:sz="4" w:space="0"/>
              <w:right w:val="single" w:color="auto" w:sz="4" w:space="0"/>
            </w:tcBorders>
            <w:vAlign w:val="center"/>
          </w:tcPr>
          <w:p w14:paraId="267297BB">
            <w:pPr>
              <w:pStyle w:val="28"/>
              <w:rPr>
                <w:color w:val="000000" w:themeColor="text1"/>
                <w14:textFill>
                  <w14:solidFill>
                    <w14:schemeClr w14:val="tx1"/>
                  </w14:solidFill>
                </w14:textFill>
              </w:rPr>
            </w:pPr>
            <w:r>
              <w:rPr>
                <w:color w:val="000000" w:themeColor="text1"/>
                <w14:textFill>
                  <w14:solidFill>
                    <w14:schemeClr w14:val="tx1"/>
                  </w14:solidFill>
                </w14:textFill>
              </w:rPr>
              <w:t>周边5km范围内居住区、医疗卫生、文化教育、科研、行政办公等机构人口总数小于1万人；或周边500m范围内人口总数小于500人；油气、化学品输送管线管段周边200m范围内，每千米管段人口数小于100人</w:t>
            </w:r>
          </w:p>
        </w:tc>
      </w:tr>
    </w:tbl>
    <w:p w14:paraId="774FCC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项目周边</w:t>
      </w:r>
      <w:r>
        <w:rPr>
          <w:color w:val="000000" w:themeColor="text1"/>
          <w14:textFill>
            <w14:solidFill>
              <w14:schemeClr w14:val="tx1"/>
            </w14:solidFill>
          </w14:textFill>
        </w:rPr>
        <w:t>5km范围内居住区、医疗卫生、文化教育、科研、行政办公等机构人口总数</w:t>
      </w:r>
      <w:r>
        <w:rPr>
          <w:rFonts w:hint="eastAsia"/>
          <w:color w:val="000000" w:themeColor="text1"/>
          <w14:textFill>
            <w14:solidFill>
              <w14:schemeClr w14:val="tx1"/>
            </w14:solidFill>
          </w14:textFill>
        </w:rPr>
        <w:t>44050</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，小于5万人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500m范围内涉及大莲池、莲池村、高家屯、陆家屯、中莲池、南莲幼儿园、莲池小学约6962人。对照《建设项目环境风险评价技术导则》（</w:t>
      </w:r>
      <w:r>
        <w:rPr>
          <w:color w:val="000000" w:themeColor="text1"/>
          <w14:textFill>
            <w14:solidFill>
              <w14:schemeClr w14:val="tx1"/>
            </w14:solidFill>
          </w14:textFill>
        </w:rPr>
        <w:t>HJ 169-2018</w:t>
      </w:r>
      <w:r>
        <w:rPr>
          <w:rFonts w:hint="eastAsia"/>
          <w:color w:val="000000" w:themeColor="text1"/>
          <w14:textFill>
            <w14:solidFill>
              <w14:schemeClr w14:val="tx1"/>
            </w14:solidFill>
          </w14:textFill>
        </w:rPr>
        <w:t>）附录中</w:t>
      </w:r>
      <w:r>
        <w:rPr>
          <w:color w:val="000000" w:themeColor="text1"/>
          <w14:textFill>
            <w14:solidFill>
              <w14:schemeClr w14:val="tx1"/>
            </w14:solidFill>
          </w14:textFill>
        </w:rPr>
        <w:t>表 D.1</w:t>
      </w:r>
      <w:r>
        <w:rPr>
          <w:rFonts w:hint="eastAsia"/>
          <w:color w:val="000000" w:themeColor="text1"/>
          <w14:textFill>
            <w14:solidFill>
              <w14:schemeClr w14:val="tx1"/>
            </w14:solidFill>
          </w14:textFill>
        </w:rPr>
        <w:t>，项目大气环境环境敏感程度为E1。</w:t>
      </w:r>
    </w:p>
    <w:p w14:paraId="4B56CB8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（2）地表水环境敏感程度</w:t>
      </w:r>
    </w:p>
    <w:p w14:paraId="5BC9F2A5">
      <w:pPr>
        <w:ind w:firstLine="480"/>
        <w:rPr>
          <w:color w:val="000000" w:themeColor="text1"/>
          <w14:textFill>
            <w14:solidFill>
              <w14:schemeClr w14:val="tx1"/>
            </w14:solidFill>
          </w14:textFill>
        </w:rPr>
      </w:pPr>
      <w:r>
        <w:rPr>
          <w:color w:val="000000" w:themeColor="text1"/>
          <w14:textFill>
            <w14:solidFill>
              <w14:schemeClr w14:val="tx1"/>
            </w14:solidFill>
          </w14:textFill>
        </w:rPr>
        <w:t>依据事故情况下危险物质泄漏到水体的排放点受纳地表水体功能敏感性，与下游环境敏感目标情况，共分为三种类型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E1 为环境高度敏感区，E2 为环境中度敏感区，E3 为环境低度敏感区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分级原则见表</w:t>
      </w:r>
      <w:r>
        <w:rPr>
          <w:rFonts w:hint="eastAsia"/>
          <w:color w:val="000000" w:themeColor="text1"/>
          <w14:textFill>
            <w14:solidFill>
              <w14:schemeClr w14:val="tx1"/>
            </w14:solidFill>
          </w14:textFill>
        </w:rPr>
        <w:t>1.7-1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。其中地表水功能敏感性分区和环境敏感目标分级分别见表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和表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p>
    <w:p w14:paraId="6D6E9B86">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地表水环境敏感程度分级</w:t>
      </w:r>
    </w:p>
    <w:tbl>
      <w:tblPr>
        <w:tblStyle w:val="21"/>
        <w:tblW w:w="5000" w:type="pct"/>
        <w:jc w:val="center"/>
        <w:tblLayout w:type="fixed"/>
        <w:tblCellMar>
          <w:top w:w="0" w:type="dxa"/>
          <w:left w:w="0" w:type="dxa"/>
          <w:bottom w:w="0" w:type="dxa"/>
          <w:right w:w="0" w:type="dxa"/>
        </w:tblCellMar>
      </w:tblPr>
      <w:tblGrid>
        <w:gridCol w:w="2468"/>
        <w:gridCol w:w="1872"/>
        <w:gridCol w:w="2057"/>
        <w:gridCol w:w="1929"/>
      </w:tblGrid>
      <w:tr w14:paraId="74CD30DF">
        <w:tblPrEx>
          <w:tblCellMar>
            <w:top w:w="0" w:type="dxa"/>
            <w:left w:w="0" w:type="dxa"/>
            <w:bottom w:w="0" w:type="dxa"/>
            <w:right w:w="0" w:type="dxa"/>
          </w:tblCellMar>
        </w:tblPrEx>
        <w:trPr>
          <w:trHeight w:val="20" w:hRule="atLeast"/>
          <w:jc w:val="center"/>
        </w:trPr>
        <w:tc>
          <w:tcPr>
            <w:tcW w:w="2722" w:type="dxa"/>
            <w:vMerge w:val="restart"/>
            <w:tcBorders>
              <w:top w:val="single" w:color="000000" w:sz="8" w:space="0"/>
              <w:left w:val="single" w:color="000000" w:sz="8" w:space="0"/>
              <w:bottom w:val="single" w:color="000000" w:sz="4" w:space="0"/>
              <w:right w:val="single" w:color="000000" w:sz="4" w:space="0"/>
            </w:tcBorders>
            <w:vAlign w:val="center"/>
          </w:tcPr>
          <w:p w14:paraId="47515F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环境敏感目标</w:t>
            </w:r>
          </w:p>
        </w:tc>
        <w:tc>
          <w:tcPr>
            <w:tcW w:w="6458" w:type="dxa"/>
            <w:gridSpan w:val="3"/>
            <w:tcBorders>
              <w:top w:val="single" w:color="000000" w:sz="8" w:space="0"/>
              <w:left w:val="single" w:color="000000" w:sz="4" w:space="0"/>
              <w:bottom w:val="single" w:color="000000" w:sz="4" w:space="0"/>
              <w:right w:val="single" w:color="000000" w:sz="8" w:space="0"/>
            </w:tcBorders>
            <w:vAlign w:val="center"/>
          </w:tcPr>
          <w:p w14:paraId="17DC2D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地表水功能敏感性</w:t>
            </w:r>
          </w:p>
        </w:tc>
      </w:tr>
      <w:tr w14:paraId="21E87732">
        <w:tblPrEx>
          <w:tblCellMar>
            <w:top w:w="0" w:type="dxa"/>
            <w:left w:w="0" w:type="dxa"/>
            <w:bottom w:w="0" w:type="dxa"/>
            <w:right w:w="0" w:type="dxa"/>
          </w:tblCellMar>
        </w:tblPrEx>
        <w:trPr>
          <w:trHeight w:val="20" w:hRule="atLeast"/>
          <w:jc w:val="center"/>
        </w:trPr>
        <w:tc>
          <w:tcPr>
            <w:tcW w:w="2722" w:type="dxa"/>
            <w:vMerge w:val="continue"/>
            <w:tcBorders>
              <w:top w:val="single" w:color="000000" w:sz="8" w:space="0"/>
              <w:left w:val="single" w:color="000000" w:sz="8" w:space="0"/>
              <w:bottom w:val="single" w:color="000000" w:sz="4" w:space="0"/>
              <w:right w:val="single" w:color="000000" w:sz="4" w:space="0"/>
            </w:tcBorders>
            <w:vAlign w:val="center"/>
          </w:tcPr>
          <w:p w14:paraId="7ED8DE5C">
            <w:pPr>
              <w:pStyle w:val="28"/>
              <w:rPr>
                <w:color w:val="000000" w:themeColor="text1"/>
                <w14:textFill>
                  <w14:solidFill>
                    <w14:schemeClr w14:val="tx1"/>
                  </w14:solidFill>
                </w14:textFill>
              </w:rPr>
            </w:pPr>
          </w:p>
        </w:tc>
        <w:tc>
          <w:tcPr>
            <w:tcW w:w="2064" w:type="dxa"/>
            <w:tcBorders>
              <w:top w:val="single" w:color="000000" w:sz="4" w:space="0"/>
              <w:left w:val="single" w:color="000000" w:sz="4" w:space="0"/>
              <w:bottom w:val="single" w:color="000000" w:sz="4" w:space="0"/>
              <w:right w:val="single" w:color="000000" w:sz="4" w:space="0"/>
            </w:tcBorders>
            <w:vAlign w:val="center"/>
          </w:tcPr>
          <w:p w14:paraId="60D759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F1</w:t>
            </w:r>
          </w:p>
        </w:tc>
        <w:tc>
          <w:tcPr>
            <w:tcW w:w="2268" w:type="dxa"/>
            <w:tcBorders>
              <w:top w:val="single" w:color="000000" w:sz="4" w:space="0"/>
              <w:left w:val="single" w:color="000000" w:sz="4" w:space="0"/>
              <w:bottom w:val="single" w:color="000000" w:sz="4" w:space="0"/>
              <w:right w:val="single" w:color="000000" w:sz="4" w:space="0"/>
            </w:tcBorders>
            <w:vAlign w:val="center"/>
          </w:tcPr>
          <w:p w14:paraId="408985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F2</w:t>
            </w:r>
          </w:p>
        </w:tc>
        <w:tc>
          <w:tcPr>
            <w:tcW w:w="2126" w:type="dxa"/>
            <w:tcBorders>
              <w:top w:val="single" w:color="000000" w:sz="4" w:space="0"/>
              <w:left w:val="single" w:color="000000" w:sz="4" w:space="0"/>
              <w:bottom w:val="single" w:color="000000" w:sz="4" w:space="0"/>
              <w:right w:val="single" w:color="000000" w:sz="8" w:space="0"/>
            </w:tcBorders>
            <w:vAlign w:val="center"/>
          </w:tcPr>
          <w:p w14:paraId="76CFED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F3</w:t>
            </w:r>
          </w:p>
        </w:tc>
      </w:tr>
      <w:tr w14:paraId="1C73B03E">
        <w:tblPrEx>
          <w:tblCellMar>
            <w:top w:w="0" w:type="dxa"/>
            <w:left w:w="0" w:type="dxa"/>
            <w:bottom w:w="0" w:type="dxa"/>
            <w:right w:w="0" w:type="dxa"/>
          </w:tblCellMar>
        </w:tblPrEx>
        <w:trPr>
          <w:trHeight w:val="20" w:hRule="atLeast"/>
          <w:jc w:val="center"/>
        </w:trPr>
        <w:tc>
          <w:tcPr>
            <w:tcW w:w="2722" w:type="dxa"/>
            <w:tcBorders>
              <w:top w:val="single" w:color="000000" w:sz="4" w:space="0"/>
              <w:left w:val="single" w:color="000000" w:sz="8" w:space="0"/>
              <w:bottom w:val="single" w:color="000000" w:sz="4" w:space="0"/>
              <w:right w:val="single" w:color="000000" w:sz="4" w:space="0"/>
            </w:tcBorders>
            <w:vAlign w:val="center"/>
          </w:tcPr>
          <w:p w14:paraId="6E316C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S1</w:t>
            </w:r>
          </w:p>
        </w:tc>
        <w:tc>
          <w:tcPr>
            <w:tcW w:w="2064" w:type="dxa"/>
            <w:tcBorders>
              <w:top w:val="single" w:color="000000" w:sz="4" w:space="0"/>
              <w:left w:val="single" w:color="000000" w:sz="4" w:space="0"/>
              <w:bottom w:val="single" w:color="000000" w:sz="4" w:space="0"/>
              <w:right w:val="single" w:color="000000" w:sz="4" w:space="0"/>
            </w:tcBorders>
            <w:vAlign w:val="center"/>
          </w:tcPr>
          <w:p w14:paraId="7921A1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2268" w:type="dxa"/>
            <w:tcBorders>
              <w:top w:val="single" w:color="000000" w:sz="4" w:space="0"/>
              <w:left w:val="single" w:color="000000" w:sz="4" w:space="0"/>
              <w:bottom w:val="single" w:color="000000" w:sz="4" w:space="0"/>
              <w:right w:val="single" w:color="000000" w:sz="4" w:space="0"/>
            </w:tcBorders>
            <w:vAlign w:val="center"/>
          </w:tcPr>
          <w:p w14:paraId="1A33ED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2126" w:type="dxa"/>
            <w:tcBorders>
              <w:top w:val="single" w:color="000000" w:sz="4" w:space="0"/>
              <w:left w:val="single" w:color="000000" w:sz="4" w:space="0"/>
              <w:bottom w:val="single" w:color="000000" w:sz="4" w:space="0"/>
              <w:right w:val="single" w:color="000000" w:sz="8" w:space="0"/>
            </w:tcBorders>
            <w:vAlign w:val="center"/>
          </w:tcPr>
          <w:p w14:paraId="55363A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r>
      <w:tr w14:paraId="1001DAC2">
        <w:tblPrEx>
          <w:tblCellMar>
            <w:top w:w="0" w:type="dxa"/>
            <w:left w:w="0" w:type="dxa"/>
            <w:bottom w:w="0" w:type="dxa"/>
            <w:right w:w="0" w:type="dxa"/>
          </w:tblCellMar>
        </w:tblPrEx>
        <w:trPr>
          <w:trHeight w:val="20" w:hRule="atLeast"/>
          <w:jc w:val="center"/>
        </w:trPr>
        <w:tc>
          <w:tcPr>
            <w:tcW w:w="2722" w:type="dxa"/>
            <w:tcBorders>
              <w:top w:val="single" w:color="000000" w:sz="4" w:space="0"/>
              <w:left w:val="single" w:color="000000" w:sz="8" w:space="0"/>
              <w:bottom w:val="single" w:color="000000" w:sz="4" w:space="0"/>
              <w:right w:val="single" w:color="000000" w:sz="4" w:space="0"/>
            </w:tcBorders>
            <w:vAlign w:val="center"/>
          </w:tcPr>
          <w:p w14:paraId="1D3D03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S2</w:t>
            </w:r>
          </w:p>
        </w:tc>
        <w:tc>
          <w:tcPr>
            <w:tcW w:w="2064" w:type="dxa"/>
            <w:tcBorders>
              <w:top w:val="single" w:color="000000" w:sz="4" w:space="0"/>
              <w:left w:val="single" w:color="000000" w:sz="4" w:space="0"/>
              <w:bottom w:val="single" w:color="000000" w:sz="4" w:space="0"/>
              <w:right w:val="single" w:color="000000" w:sz="4" w:space="0"/>
            </w:tcBorders>
            <w:vAlign w:val="center"/>
          </w:tcPr>
          <w:p w14:paraId="48ADE3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2268" w:type="dxa"/>
            <w:tcBorders>
              <w:top w:val="single" w:color="000000" w:sz="4" w:space="0"/>
              <w:left w:val="single" w:color="000000" w:sz="4" w:space="0"/>
              <w:bottom w:val="single" w:color="000000" w:sz="4" w:space="0"/>
              <w:right w:val="single" w:color="000000" w:sz="4" w:space="0"/>
            </w:tcBorders>
            <w:vAlign w:val="center"/>
          </w:tcPr>
          <w:p w14:paraId="51F210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c>
          <w:tcPr>
            <w:tcW w:w="2126" w:type="dxa"/>
            <w:tcBorders>
              <w:top w:val="single" w:color="000000" w:sz="4" w:space="0"/>
              <w:left w:val="single" w:color="000000" w:sz="4" w:space="0"/>
              <w:bottom w:val="single" w:color="000000" w:sz="4" w:space="0"/>
              <w:right w:val="single" w:color="000000" w:sz="8" w:space="0"/>
            </w:tcBorders>
            <w:vAlign w:val="center"/>
          </w:tcPr>
          <w:p w14:paraId="4E5E3A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E3</w:t>
            </w:r>
          </w:p>
        </w:tc>
      </w:tr>
      <w:tr w14:paraId="5C4DC8BD">
        <w:tblPrEx>
          <w:tblCellMar>
            <w:top w:w="0" w:type="dxa"/>
            <w:left w:w="0" w:type="dxa"/>
            <w:bottom w:w="0" w:type="dxa"/>
            <w:right w:w="0" w:type="dxa"/>
          </w:tblCellMar>
        </w:tblPrEx>
        <w:trPr>
          <w:trHeight w:val="20" w:hRule="atLeast"/>
          <w:jc w:val="center"/>
        </w:trPr>
        <w:tc>
          <w:tcPr>
            <w:tcW w:w="2722" w:type="dxa"/>
            <w:tcBorders>
              <w:top w:val="single" w:color="000000" w:sz="4" w:space="0"/>
              <w:left w:val="single" w:color="000000" w:sz="8" w:space="0"/>
              <w:bottom w:val="single" w:color="000000" w:sz="8" w:space="0"/>
              <w:right w:val="single" w:color="000000" w:sz="4" w:space="0"/>
            </w:tcBorders>
            <w:vAlign w:val="center"/>
          </w:tcPr>
          <w:p w14:paraId="3231FE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S3</w:t>
            </w:r>
          </w:p>
        </w:tc>
        <w:tc>
          <w:tcPr>
            <w:tcW w:w="2064" w:type="dxa"/>
            <w:tcBorders>
              <w:top w:val="single" w:color="000000" w:sz="4" w:space="0"/>
              <w:left w:val="single" w:color="000000" w:sz="4" w:space="0"/>
              <w:bottom w:val="single" w:color="000000" w:sz="8" w:space="0"/>
              <w:right w:val="single" w:color="000000" w:sz="4" w:space="0"/>
            </w:tcBorders>
            <w:vAlign w:val="center"/>
          </w:tcPr>
          <w:p w14:paraId="4301F1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2268" w:type="dxa"/>
            <w:tcBorders>
              <w:top w:val="single" w:color="000000" w:sz="4" w:space="0"/>
              <w:left w:val="single" w:color="000000" w:sz="4" w:space="0"/>
              <w:bottom w:val="single" w:color="000000" w:sz="8" w:space="0"/>
              <w:right w:val="single" w:color="000000" w:sz="4" w:space="0"/>
            </w:tcBorders>
            <w:vAlign w:val="center"/>
          </w:tcPr>
          <w:p w14:paraId="3CA62F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c>
          <w:tcPr>
            <w:tcW w:w="2126" w:type="dxa"/>
            <w:tcBorders>
              <w:top w:val="single" w:color="000000" w:sz="4" w:space="0"/>
              <w:left w:val="single" w:color="000000" w:sz="4" w:space="0"/>
              <w:bottom w:val="single" w:color="000000" w:sz="8" w:space="0"/>
              <w:right w:val="single" w:color="000000" w:sz="8" w:space="0"/>
            </w:tcBorders>
            <w:vAlign w:val="center"/>
          </w:tcPr>
          <w:p w14:paraId="4E8195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E3</w:t>
            </w:r>
          </w:p>
        </w:tc>
      </w:tr>
    </w:tbl>
    <w:p w14:paraId="2F1AF49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地表水功能敏感性分区</w:t>
      </w:r>
    </w:p>
    <w:tbl>
      <w:tblPr>
        <w:tblStyle w:val="21"/>
        <w:tblW w:w="4998" w:type="pct"/>
        <w:jc w:val="center"/>
        <w:tblLayout w:type="autofit"/>
        <w:tblCellMar>
          <w:top w:w="0" w:type="dxa"/>
          <w:left w:w="57" w:type="dxa"/>
          <w:bottom w:w="0" w:type="dxa"/>
          <w:right w:w="57" w:type="dxa"/>
        </w:tblCellMar>
      </w:tblPr>
      <w:tblGrid>
        <w:gridCol w:w="1167"/>
        <w:gridCol w:w="7250"/>
      </w:tblGrid>
      <w:tr w14:paraId="60CD78E2">
        <w:tblPrEx>
          <w:tblCellMar>
            <w:top w:w="0" w:type="dxa"/>
            <w:left w:w="57" w:type="dxa"/>
            <w:bottom w:w="0" w:type="dxa"/>
            <w:right w:w="57" w:type="dxa"/>
          </w:tblCellMar>
        </w:tblPrEx>
        <w:trPr>
          <w:trHeight w:val="20" w:hRule="atLeast"/>
          <w:jc w:val="center"/>
        </w:trPr>
        <w:tc>
          <w:tcPr>
            <w:tcW w:w="693" w:type="pct"/>
            <w:tcBorders>
              <w:top w:val="single" w:color="000000" w:sz="8" w:space="0"/>
              <w:left w:val="single" w:color="000000" w:sz="8" w:space="0"/>
              <w:bottom w:val="single" w:color="000000" w:sz="4" w:space="0"/>
              <w:right w:val="single" w:color="000000" w:sz="4" w:space="0"/>
            </w:tcBorders>
            <w:vAlign w:val="center"/>
          </w:tcPr>
          <w:p w14:paraId="38254C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敏感性</w:t>
            </w:r>
          </w:p>
        </w:tc>
        <w:tc>
          <w:tcPr>
            <w:tcW w:w="4306" w:type="pct"/>
            <w:tcBorders>
              <w:top w:val="single" w:color="000000" w:sz="8" w:space="0"/>
              <w:left w:val="single" w:color="000000" w:sz="4" w:space="0"/>
              <w:bottom w:val="single" w:color="000000" w:sz="4" w:space="0"/>
              <w:right w:val="single" w:color="000000" w:sz="8" w:space="0"/>
            </w:tcBorders>
            <w:vAlign w:val="center"/>
          </w:tcPr>
          <w:p w14:paraId="0A00EE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地表水环境敏感特征</w:t>
            </w:r>
          </w:p>
        </w:tc>
      </w:tr>
      <w:tr w14:paraId="3F4B0ADB">
        <w:tblPrEx>
          <w:tblCellMar>
            <w:top w:w="0" w:type="dxa"/>
            <w:left w:w="57" w:type="dxa"/>
            <w:bottom w:w="0" w:type="dxa"/>
            <w:right w:w="57" w:type="dxa"/>
          </w:tblCellMar>
        </w:tblPrEx>
        <w:trPr>
          <w:trHeight w:val="885" w:hRule="atLeast"/>
          <w:jc w:val="center"/>
        </w:trPr>
        <w:tc>
          <w:tcPr>
            <w:tcW w:w="693" w:type="pct"/>
            <w:tcBorders>
              <w:top w:val="single" w:color="000000" w:sz="4" w:space="0"/>
              <w:left w:val="single" w:color="000000" w:sz="8" w:space="0"/>
              <w:bottom w:val="single" w:color="000000" w:sz="4" w:space="0"/>
              <w:right w:val="single" w:color="000000" w:sz="4" w:space="0"/>
            </w:tcBorders>
            <w:vAlign w:val="center"/>
          </w:tcPr>
          <w:p w14:paraId="45A35D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敏感 F1</w:t>
            </w:r>
          </w:p>
        </w:tc>
        <w:tc>
          <w:tcPr>
            <w:tcW w:w="4306" w:type="pct"/>
            <w:tcBorders>
              <w:top w:val="single" w:color="000000" w:sz="4" w:space="0"/>
              <w:left w:val="single" w:color="000000" w:sz="4" w:space="0"/>
              <w:bottom w:val="single" w:color="000000" w:sz="4" w:space="0"/>
              <w:right w:val="single" w:color="000000" w:sz="8" w:space="0"/>
            </w:tcBorders>
            <w:vAlign w:val="center"/>
          </w:tcPr>
          <w:p w14:paraId="27388B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排放点进入地表水水域环境功能为</w:t>
            </w:r>
            <w:r>
              <w:rPr>
                <w:rFonts w:cs="Times New Roman"/>
                <w:color w:val="000000" w:themeColor="text1"/>
                <w14:textFill>
                  <w14:solidFill>
                    <w14:schemeClr w14:val="tx1"/>
                  </w14:solidFill>
                </w14:textFill>
              </w:rPr>
              <w:t>Ⅱ</w:t>
            </w:r>
            <w:r>
              <w:rPr>
                <w:rFonts w:hint="eastAsia"/>
                <w:color w:val="000000" w:themeColor="text1"/>
                <w14:textFill>
                  <w14:solidFill>
                    <w14:schemeClr w14:val="tx1"/>
                  </w14:solidFill>
                </w14:textFill>
              </w:rPr>
              <w:t>类及以上，或海水水质分类第一类；或以发生事故时，危险物质泄漏到水体的排放点算起，排放进入受纳河流最大流速时，24h流经范围内涉跨国界的</w:t>
            </w:r>
          </w:p>
        </w:tc>
      </w:tr>
      <w:tr w14:paraId="115DF2A8">
        <w:tblPrEx>
          <w:tblCellMar>
            <w:top w:w="0" w:type="dxa"/>
            <w:left w:w="57" w:type="dxa"/>
            <w:bottom w:w="0" w:type="dxa"/>
            <w:right w:w="57" w:type="dxa"/>
          </w:tblCellMar>
        </w:tblPrEx>
        <w:trPr>
          <w:trHeight w:val="20" w:hRule="atLeast"/>
          <w:jc w:val="center"/>
        </w:trPr>
        <w:tc>
          <w:tcPr>
            <w:tcW w:w="693" w:type="pct"/>
            <w:tcBorders>
              <w:top w:val="single" w:color="000000" w:sz="4" w:space="0"/>
              <w:left w:val="single" w:color="000000" w:sz="8" w:space="0"/>
              <w:bottom w:val="single" w:color="000000" w:sz="4" w:space="0"/>
              <w:right w:val="single" w:color="000000" w:sz="4" w:space="0"/>
            </w:tcBorders>
            <w:vAlign w:val="center"/>
          </w:tcPr>
          <w:p w14:paraId="3CEC36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较敏感 F2</w:t>
            </w:r>
          </w:p>
        </w:tc>
        <w:tc>
          <w:tcPr>
            <w:tcW w:w="4306" w:type="pct"/>
            <w:tcBorders>
              <w:top w:val="single" w:color="000000" w:sz="4" w:space="0"/>
              <w:left w:val="single" w:color="000000" w:sz="4" w:space="0"/>
              <w:bottom w:val="single" w:color="000000" w:sz="4" w:space="0"/>
              <w:right w:val="single" w:color="000000" w:sz="8" w:space="0"/>
            </w:tcBorders>
            <w:vAlign w:val="center"/>
          </w:tcPr>
          <w:p w14:paraId="4D069A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排放点进入地表水水域环境功能为</w:t>
            </w:r>
            <w:r>
              <w:rPr>
                <w:rFonts w:cs="Times New Roman"/>
                <w:color w:val="000000" w:themeColor="text1"/>
                <w14:textFill>
                  <w14:solidFill>
                    <w14:schemeClr w14:val="tx1"/>
                  </w14:solidFill>
                </w14:textFill>
              </w:rPr>
              <w:t>Ⅲ</w:t>
            </w:r>
            <w:r>
              <w:rPr>
                <w:rFonts w:hint="eastAsia"/>
                <w:color w:val="000000" w:themeColor="text1"/>
                <w14:textFill>
                  <w14:solidFill>
                    <w14:schemeClr w14:val="tx1"/>
                  </w14:solidFill>
                </w14:textFill>
              </w:rPr>
              <w:t>类，或海水水质分类第二类；或以发生事故时，危险物质泄漏到水体的排放点算起，排放进入受纳河流最大流速时，24h流经范围内涉跨省界的</w:t>
            </w:r>
          </w:p>
        </w:tc>
      </w:tr>
      <w:tr w14:paraId="3EDA5F69">
        <w:tblPrEx>
          <w:tblCellMar>
            <w:top w:w="0" w:type="dxa"/>
            <w:left w:w="57" w:type="dxa"/>
            <w:bottom w:w="0" w:type="dxa"/>
            <w:right w:w="57" w:type="dxa"/>
          </w:tblCellMar>
        </w:tblPrEx>
        <w:trPr>
          <w:trHeight w:val="20" w:hRule="atLeast"/>
          <w:jc w:val="center"/>
        </w:trPr>
        <w:tc>
          <w:tcPr>
            <w:tcW w:w="693" w:type="pct"/>
            <w:tcBorders>
              <w:top w:val="single" w:color="000000" w:sz="4" w:space="0"/>
              <w:left w:val="single" w:color="000000" w:sz="8" w:space="0"/>
              <w:bottom w:val="single" w:color="000000" w:sz="8" w:space="0"/>
              <w:right w:val="single" w:color="000000" w:sz="4" w:space="0"/>
            </w:tcBorders>
            <w:vAlign w:val="center"/>
          </w:tcPr>
          <w:p w14:paraId="5C32C1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低敏感 F3</w:t>
            </w:r>
          </w:p>
        </w:tc>
        <w:tc>
          <w:tcPr>
            <w:tcW w:w="4306" w:type="pct"/>
            <w:tcBorders>
              <w:top w:val="single" w:color="000000" w:sz="4" w:space="0"/>
              <w:left w:val="single" w:color="000000" w:sz="4" w:space="0"/>
              <w:bottom w:val="single" w:color="000000" w:sz="8" w:space="0"/>
              <w:right w:val="single" w:color="000000" w:sz="8" w:space="0"/>
            </w:tcBorders>
            <w:vAlign w:val="center"/>
          </w:tcPr>
          <w:p w14:paraId="2247FD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上述地区之外的其他地区</w:t>
            </w:r>
          </w:p>
        </w:tc>
      </w:tr>
    </w:tbl>
    <w:p w14:paraId="5A8B0906">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表1.7-1</w:t>
      </w:r>
      <w:r>
        <w:rPr>
          <w:rFonts w:hint="eastAsia"/>
          <w:color w:val="000000" w:themeColor="text1"/>
          <w:lang w:val="en-US" w:eastAsia="zh-CN"/>
          <w14:textFill>
            <w14:solidFill>
              <w14:schemeClr w14:val="tx1"/>
            </w14:solidFill>
          </w14:textFill>
        </w:rPr>
        <w:t xml:space="preserve">6 </w:t>
      </w:r>
      <w:r>
        <w:rPr>
          <w:rFonts w:hint="eastAsia"/>
          <w:color w:val="000000" w:themeColor="text1"/>
          <w14:textFill>
            <w14:solidFill>
              <w14:schemeClr w14:val="tx1"/>
            </w14:solidFill>
          </w14:textFill>
        </w:rPr>
        <w:t xml:space="preserve"> 环境敏感目标分级</w:t>
      </w:r>
    </w:p>
    <w:tbl>
      <w:tblPr>
        <w:tblStyle w:val="21"/>
        <w:tblW w:w="5000" w:type="pct"/>
        <w:jc w:val="center"/>
        <w:tblLayout w:type="fixed"/>
        <w:tblCellMar>
          <w:top w:w="0" w:type="dxa"/>
          <w:left w:w="57" w:type="dxa"/>
          <w:bottom w:w="0" w:type="dxa"/>
          <w:right w:w="57" w:type="dxa"/>
        </w:tblCellMar>
      </w:tblPr>
      <w:tblGrid>
        <w:gridCol w:w="1097"/>
        <w:gridCol w:w="7323"/>
      </w:tblGrid>
      <w:tr w14:paraId="6F9EDD55">
        <w:tblPrEx>
          <w:tblCellMar>
            <w:top w:w="0" w:type="dxa"/>
            <w:left w:w="57" w:type="dxa"/>
            <w:bottom w:w="0" w:type="dxa"/>
            <w:right w:w="57" w:type="dxa"/>
          </w:tblCellMar>
        </w:tblPrEx>
        <w:trPr>
          <w:trHeight w:val="20" w:hRule="atLeast"/>
          <w:jc w:val="center"/>
        </w:trPr>
        <w:tc>
          <w:tcPr>
            <w:tcW w:w="1187" w:type="dxa"/>
            <w:tcBorders>
              <w:top w:val="single" w:color="000000" w:sz="8" w:space="0"/>
              <w:left w:val="single" w:color="000000" w:sz="8" w:space="0"/>
              <w:bottom w:val="single" w:color="000000" w:sz="4" w:space="0"/>
              <w:right w:val="single" w:color="000000" w:sz="4" w:space="0"/>
            </w:tcBorders>
            <w:vAlign w:val="center"/>
          </w:tcPr>
          <w:p w14:paraId="22E608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分级</w:t>
            </w:r>
          </w:p>
        </w:tc>
        <w:tc>
          <w:tcPr>
            <w:tcW w:w="7993" w:type="dxa"/>
            <w:tcBorders>
              <w:top w:val="single" w:color="000000" w:sz="8" w:space="0"/>
              <w:left w:val="single" w:color="000000" w:sz="4" w:space="0"/>
              <w:bottom w:val="single" w:color="000000" w:sz="4" w:space="0"/>
              <w:right w:val="single" w:color="000000" w:sz="8" w:space="0"/>
            </w:tcBorders>
            <w:vAlign w:val="center"/>
          </w:tcPr>
          <w:p w14:paraId="6DEB1C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环境敏感目标</w:t>
            </w:r>
          </w:p>
        </w:tc>
      </w:tr>
      <w:tr w14:paraId="58A6A1B7">
        <w:tblPrEx>
          <w:tblCellMar>
            <w:top w:w="0" w:type="dxa"/>
            <w:left w:w="57" w:type="dxa"/>
            <w:bottom w:w="0" w:type="dxa"/>
            <w:right w:w="57" w:type="dxa"/>
          </w:tblCellMar>
        </w:tblPrEx>
        <w:trPr>
          <w:trHeight w:val="20" w:hRule="atLeast"/>
          <w:jc w:val="center"/>
        </w:trPr>
        <w:tc>
          <w:tcPr>
            <w:tcW w:w="1187" w:type="dxa"/>
            <w:tcBorders>
              <w:top w:val="single" w:color="000000" w:sz="4" w:space="0"/>
              <w:left w:val="single" w:color="000000" w:sz="8" w:space="0"/>
              <w:bottom w:val="single" w:color="000000" w:sz="4" w:space="0"/>
              <w:right w:val="single" w:color="000000" w:sz="4" w:space="0"/>
            </w:tcBorders>
            <w:vAlign w:val="center"/>
          </w:tcPr>
          <w:p w14:paraId="3C9DE6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S1</w:t>
            </w:r>
          </w:p>
        </w:tc>
        <w:tc>
          <w:tcPr>
            <w:tcW w:w="7993" w:type="dxa"/>
            <w:tcBorders>
              <w:top w:val="single" w:color="000000" w:sz="4" w:space="0"/>
              <w:left w:val="single" w:color="000000" w:sz="4" w:space="0"/>
              <w:bottom w:val="single" w:color="000000" w:sz="4" w:space="0"/>
              <w:right w:val="single" w:color="000000" w:sz="8" w:space="0"/>
            </w:tcBorders>
            <w:vAlign w:val="center"/>
          </w:tcPr>
          <w:p w14:paraId="10B05B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FD920BC">
        <w:tblPrEx>
          <w:tblCellMar>
            <w:top w:w="0" w:type="dxa"/>
            <w:left w:w="57" w:type="dxa"/>
            <w:bottom w:w="0" w:type="dxa"/>
            <w:right w:w="57" w:type="dxa"/>
          </w:tblCellMar>
        </w:tblPrEx>
        <w:trPr>
          <w:trHeight w:val="20" w:hRule="atLeast"/>
          <w:jc w:val="center"/>
        </w:trPr>
        <w:tc>
          <w:tcPr>
            <w:tcW w:w="1187" w:type="dxa"/>
            <w:tcBorders>
              <w:top w:val="single" w:color="000000" w:sz="4" w:space="0"/>
              <w:left w:val="single" w:color="000000" w:sz="8" w:space="0"/>
              <w:bottom w:val="single" w:color="000000" w:sz="4" w:space="0"/>
              <w:right w:val="single" w:color="000000" w:sz="4" w:space="0"/>
            </w:tcBorders>
            <w:vAlign w:val="center"/>
          </w:tcPr>
          <w:p w14:paraId="0B96D7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S2</w:t>
            </w:r>
          </w:p>
        </w:tc>
        <w:tc>
          <w:tcPr>
            <w:tcW w:w="7993" w:type="dxa"/>
            <w:tcBorders>
              <w:top w:val="single" w:color="000000" w:sz="4" w:space="0"/>
              <w:left w:val="single" w:color="000000" w:sz="4" w:space="0"/>
              <w:bottom w:val="single" w:color="000000" w:sz="4" w:space="0"/>
              <w:right w:val="single" w:color="000000" w:sz="8" w:space="0"/>
            </w:tcBorders>
            <w:vAlign w:val="center"/>
          </w:tcPr>
          <w:p w14:paraId="34D80F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3EF590A8">
        <w:tblPrEx>
          <w:tblCellMar>
            <w:top w:w="0" w:type="dxa"/>
            <w:left w:w="57" w:type="dxa"/>
            <w:bottom w:w="0" w:type="dxa"/>
            <w:right w:w="57" w:type="dxa"/>
          </w:tblCellMar>
        </w:tblPrEx>
        <w:trPr>
          <w:trHeight w:val="20" w:hRule="atLeast"/>
          <w:jc w:val="center"/>
        </w:trPr>
        <w:tc>
          <w:tcPr>
            <w:tcW w:w="1187" w:type="dxa"/>
            <w:tcBorders>
              <w:top w:val="single" w:color="000000" w:sz="4" w:space="0"/>
              <w:left w:val="single" w:color="000000" w:sz="8" w:space="0"/>
              <w:bottom w:val="single" w:color="000000" w:sz="8" w:space="0"/>
              <w:right w:val="single" w:color="000000" w:sz="4" w:space="0"/>
            </w:tcBorders>
            <w:vAlign w:val="center"/>
          </w:tcPr>
          <w:p w14:paraId="27C9B2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S3</w:t>
            </w:r>
          </w:p>
        </w:tc>
        <w:tc>
          <w:tcPr>
            <w:tcW w:w="7993" w:type="dxa"/>
            <w:tcBorders>
              <w:top w:val="single" w:color="000000" w:sz="4" w:space="0"/>
              <w:left w:val="single" w:color="000000" w:sz="4" w:space="0"/>
              <w:bottom w:val="single" w:color="000000" w:sz="8" w:space="0"/>
              <w:right w:val="single" w:color="000000" w:sz="8" w:space="0"/>
            </w:tcBorders>
            <w:vAlign w:val="center"/>
          </w:tcPr>
          <w:p w14:paraId="7FE2E8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排放点下游（顺水流向）10km范围、近岸海域一个潮周期水质点可能达到的最大水平距离的两倍范围内无上述类型1和类型2包括的敏感保护目标</w:t>
            </w:r>
          </w:p>
        </w:tc>
      </w:tr>
    </w:tbl>
    <w:p w14:paraId="6DBB64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对照《建设项目环境风险评价技术导则》（</w:t>
      </w:r>
      <w:r>
        <w:rPr>
          <w:color w:val="000000" w:themeColor="text1"/>
          <w14:textFill>
            <w14:solidFill>
              <w14:schemeClr w14:val="tx1"/>
            </w14:solidFill>
          </w14:textFill>
        </w:rPr>
        <w:t>HJ 169-2018</w:t>
      </w:r>
      <w:r>
        <w:rPr>
          <w:rFonts w:hint="eastAsia"/>
          <w:color w:val="000000" w:themeColor="text1"/>
          <w14:textFill>
            <w14:solidFill>
              <w14:schemeClr w14:val="tx1"/>
            </w14:solidFill>
          </w14:textFill>
        </w:rPr>
        <w:t>）附录D中的表</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表D.</w:t>
      </w:r>
      <w:r>
        <w:rPr>
          <w:rFonts w:hint="eastAsia"/>
          <w:color w:val="000000" w:themeColor="text1"/>
          <w14:textFill>
            <w14:solidFill>
              <w14:schemeClr w14:val="tx1"/>
            </w14:solidFill>
          </w14:textFill>
        </w:rPr>
        <w:t>3和</w:t>
      </w:r>
      <w:r>
        <w:rPr>
          <w:color w:val="000000" w:themeColor="text1"/>
          <w14:textFill>
            <w14:solidFill>
              <w14:schemeClr w14:val="tx1"/>
            </w14:solidFill>
          </w14:textFill>
        </w:rPr>
        <w:t>表D.</w:t>
      </w:r>
      <w:r>
        <w:rPr>
          <w:rFonts w:hint="eastAsia"/>
          <w:color w:val="000000" w:themeColor="text1"/>
          <w14:textFill>
            <w14:solidFill>
              <w14:schemeClr w14:val="tx1"/>
            </w14:solidFill>
          </w14:textFill>
        </w:rPr>
        <w:t>4，地表径流受纳水体为老西河（位于项目东面655m处），最终汇入玉溪大河。根据《云南省水功能区划》（</w:t>
      </w:r>
      <w:r>
        <w:rPr>
          <w:rFonts w:hint="eastAsia"/>
          <w:color w:val="000000" w:themeColor="text1"/>
          <w:lang w:eastAsia="zh-CN"/>
          <w14:textFill>
            <w14:solidFill>
              <w14:schemeClr w14:val="tx1"/>
            </w14:solidFill>
          </w14:textFill>
        </w:rPr>
        <w:t>2014年修订</w:t>
      </w:r>
      <w:r>
        <w:rPr>
          <w:rFonts w:hint="eastAsia"/>
          <w:color w:val="000000" w:themeColor="text1"/>
          <w14:textFill>
            <w14:solidFill>
              <w14:schemeClr w14:val="tx1"/>
            </w14:solidFill>
          </w14:textFill>
        </w:rPr>
        <w:t>），水环境功能为景观、农业用水，2030年玉溪大河水质目标为</w:t>
      </w:r>
      <w:r>
        <w:rPr>
          <w:rFonts w:cs="Times New Roman"/>
          <w:color w:val="000000" w:themeColor="text1"/>
          <w14:textFill>
            <w14:solidFill>
              <w14:schemeClr w14:val="tx1"/>
            </w14:solidFill>
          </w14:textFill>
        </w:rPr>
        <w:t>Ⅲ</w:t>
      </w:r>
      <w:r>
        <w:rPr>
          <w:rFonts w:hint="eastAsia"/>
          <w:color w:val="000000" w:themeColor="text1"/>
          <w14:textFill>
            <w14:solidFill>
              <w14:schemeClr w14:val="tx1"/>
            </w14:solidFill>
          </w14:textFill>
        </w:rPr>
        <w:t>类，执行《地表水环境质量标准》（GB3838-2002）中Ⅲ类标准，因此</w:t>
      </w:r>
      <w:r>
        <w:rPr>
          <w:color w:val="000000" w:themeColor="text1"/>
          <w14:textFill>
            <w14:solidFill>
              <w14:schemeClr w14:val="tx1"/>
            </w14:solidFill>
          </w14:textFill>
        </w:rPr>
        <w:t>地表水功能敏感性分区</w:t>
      </w:r>
      <w:r>
        <w:rPr>
          <w:rFonts w:hint="eastAsia"/>
          <w:color w:val="000000" w:themeColor="text1"/>
          <w14:textFill>
            <w14:solidFill>
              <w14:schemeClr w14:val="tx1"/>
            </w14:solidFill>
          </w14:textFill>
        </w:rPr>
        <w:t>为F2。</w:t>
      </w:r>
    </w:p>
    <w:p w14:paraId="491CE2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发生事故时，危险物质泄漏到内陆水体的排放点下游（顺水流向）10km范围内不涉及上表中类型1和类型2包括的敏感保护目标，</w:t>
      </w:r>
      <w:r>
        <w:rPr>
          <w:color w:val="000000" w:themeColor="text1"/>
          <w14:textFill>
            <w14:solidFill>
              <w14:schemeClr w14:val="tx1"/>
            </w14:solidFill>
          </w14:textFill>
        </w:rPr>
        <w:t>环境敏感目标分级</w:t>
      </w:r>
      <w:r>
        <w:rPr>
          <w:rFonts w:hint="eastAsia"/>
          <w:color w:val="000000" w:themeColor="text1"/>
          <w14:textFill>
            <w14:solidFill>
              <w14:schemeClr w14:val="tx1"/>
            </w14:solidFill>
          </w14:textFill>
        </w:rPr>
        <w:t>为S3。</w:t>
      </w:r>
    </w:p>
    <w:p w14:paraId="742528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w:t>
      </w:r>
      <w:r>
        <w:rPr>
          <w:color w:val="000000" w:themeColor="text1"/>
          <w14:textFill>
            <w14:solidFill>
              <w14:schemeClr w14:val="tx1"/>
            </w14:solidFill>
          </w14:textFill>
        </w:rPr>
        <w:t>地表水环境敏感程度</w:t>
      </w:r>
      <w:r>
        <w:rPr>
          <w:rFonts w:hint="eastAsia"/>
          <w:color w:val="000000" w:themeColor="text1"/>
          <w14:textFill>
            <w14:solidFill>
              <w14:schemeClr w14:val="tx1"/>
            </w14:solidFill>
          </w14:textFill>
        </w:rPr>
        <w:t>分级E2。</w:t>
      </w:r>
    </w:p>
    <w:p w14:paraId="5091CBD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（3）地下水环境敏感程度</w:t>
      </w:r>
    </w:p>
    <w:p w14:paraId="0444F110">
      <w:pPr>
        <w:ind w:firstLine="480"/>
        <w:rPr>
          <w:color w:val="000000" w:themeColor="text1"/>
          <w:spacing w:val="-3"/>
          <w14:textFill>
            <w14:solidFill>
              <w14:schemeClr w14:val="tx1"/>
            </w14:solidFill>
          </w14:textFill>
        </w:rPr>
      </w:pPr>
      <w:r>
        <w:rPr>
          <w:color w:val="000000" w:themeColor="text1"/>
          <w14:textFill>
            <w14:solidFill>
              <w14:schemeClr w14:val="tx1"/>
            </w14:solidFill>
          </w14:textFill>
        </w:rPr>
        <w:t>依据地下水功能敏感性与包气带防污性能，共分为三种类型，</w:t>
      </w:r>
      <w:r>
        <w:rPr>
          <w:rFonts w:eastAsia="Times New Roman"/>
          <w:color w:val="000000" w:themeColor="text1"/>
          <w14:textFill>
            <w14:solidFill>
              <w14:schemeClr w14:val="tx1"/>
            </w14:solidFill>
          </w14:textFill>
        </w:rPr>
        <w:t>E1</w:t>
      </w:r>
      <w:r>
        <w:rPr>
          <w:color w:val="000000" w:themeColor="text1"/>
          <w14:textFill>
            <w14:solidFill>
              <w14:schemeClr w14:val="tx1"/>
            </w14:solidFill>
          </w14:textFill>
        </w:rPr>
        <w:t>为环境高度敏感区，</w:t>
      </w:r>
      <w:r>
        <w:rPr>
          <w:rFonts w:eastAsia="Times New Roman"/>
          <w:color w:val="000000" w:themeColor="text1"/>
          <w14:textFill>
            <w14:solidFill>
              <w14:schemeClr w14:val="tx1"/>
            </w14:solidFill>
          </w14:textFill>
        </w:rPr>
        <w:t>E2</w:t>
      </w:r>
      <w:r>
        <w:rPr>
          <w:rFonts w:eastAsia="Times New Roman"/>
          <w:color w:val="000000" w:themeColor="text1"/>
          <w:spacing w:val="-14"/>
          <w14:textFill>
            <w14:solidFill>
              <w14:schemeClr w14:val="tx1"/>
            </w14:solidFill>
          </w14:textFill>
        </w:rPr>
        <w:t xml:space="preserve"> </w:t>
      </w:r>
      <w:r>
        <w:rPr>
          <w:color w:val="000000" w:themeColor="text1"/>
          <w14:textFill>
            <w14:solidFill>
              <w14:schemeClr w14:val="tx1"/>
            </w14:solidFill>
          </w14:textFill>
        </w:rPr>
        <w:t>为环</w:t>
      </w:r>
      <w:r>
        <w:rPr>
          <w:color w:val="000000" w:themeColor="text1"/>
          <w:spacing w:val="-4"/>
          <w14:textFill>
            <w14:solidFill>
              <w14:schemeClr w14:val="tx1"/>
            </w14:solidFill>
          </w14:textFill>
        </w:rPr>
        <w:t>境中度敏感区，</w:t>
      </w:r>
      <w:r>
        <w:rPr>
          <w:rFonts w:eastAsia="Times New Roman"/>
          <w:color w:val="000000" w:themeColor="text1"/>
          <w:spacing w:val="-4"/>
          <w14:textFill>
            <w14:solidFill>
              <w14:schemeClr w14:val="tx1"/>
            </w14:solidFill>
          </w14:textFill>
        </w:rPr>
        <w:t>E3</w:t>
      </w:r>
      <w:r>
        <w:rPr>
          <w:color w:val="000000" w:themeColor="text1"/>
          <w:spacing w:val="-3"/>
          <w14:textFill>
            <w14:solidFill>
              <w14:schemeClr w14:val="tx1"/>
            </w14:solidFill>
          </w14:textFill>
        </w:rPr>
        <w:t>为环境低度敏感区</w:t>
      </w:r>
      <w:r>
        <w:rPr>
          <w:rFonts w:hint="eastAsia"/>
          <w:color w:val="000000" w:themeColor="text1"/>
          <w:spacing w:val="-3"/>
          <w14:textFill>
            <w14:solidFill>
              <w14:schemeClr w14:val="tx1"/>
            </w14:solidFill>
          </w14:textFill>
        </w:rPr>
        <w:t>。</w:t>
      </w:r>
    </w:p>
    <w:p w14:paraId="63E0A802">
      <w:pPr>
        <w:ind w:firstLine="480"/>
        <w:rPr>
          <w:rFonts w:eastAsia="仿宋"/>
          <w:color w:val="000000" w:themeColor="text1"/>
          <w:szCs w:val="20"/>
          <w14:textFill>
            <w14:solidFill>
              <w14:schemeClr w14:val="tx1"/>
            </w14:solidFill>
          </w14:textFill>
        </w:rPr>
      </w:pPr>
      <w:r>
        <w:rPr>
          <w:color w:val="000000" w:themeColor="text1"/>
          <w14:textFill>
            <w14:solidFill>
              <w14:schemeClr w14:val="tx1"/>
            </w14:solidFill>
          </w14:textFill>
        </w:rPr>
        <w:t>分级原则见表</w:t>
      </w:r>
      <w:r>
        <w:rPr>
          <w:rFonts w:hint="eastAsia"/>
          <w:color w:val="000000" w:themeColor="text1"/>
          <w14:textFill>
            <w14:solidFill>
              <w14:schemeClr w14:val="tx1"/>
            </w14:solidFill>
          </w14:textFill>
        </w:rPr>
        <w:t>1.7-1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。其中地下水功能敏感性分区和包气带防污性能分级分别见表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和表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。当同一建设项目涉及两个G分区或D分级及以上时，取相对高值。</w:t>
      </w:r>
    </w:p>
    <w:p w14:paraId="3C9A5395">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地下水环境敏感程度分级</w:t>
      </w:r>
    </w:p>
    <w:tbl>
      <w:tblPr>
        <w:tblStyle w:val="21"/>
        <w:tblW w:w="5000" w:type="pct"/>
        <w:jc w:val="center"/>
        <w:tblLayout w:type="fixed"/>
        <w:tblCellMar>
          <w:top w:w="0" w:type="dxa"/>
          <w:left w:w="0" w:type="dxa"/>
          <w:bottom w:w="0" w:type="dxa"/>
          <w:right w:w="0" w:type="dxa"/>
        </w:tblCellMar>
      </w:tblPr>
      <w:tblGrid>
        <w:gridCol w:w="2679"/>
        <w:gridCol w:w="1490"/>
        <w:gridCol w:w="2078"/>
        <w:gridCol w:w="2079"/>
      </w:tblGrid>
      <w:tr w14:paraId="0457309A">
        <w:tblPrEx>
          <w:tblCellMar>
            <w:top w:w="0" w:type="dxa"/>
            <w:left w:w="0" w:type="dxa"/>
            <w:bottom w:w="0" w:type="dxa"/>
            <w:right w:w="0" w:type="dxa"/>
          </w:tblCellMar>
        </w:tblPrEx>
        <w:trPr>
          <w:trHeight w:val="20" w:hRule="atLeast"/>
          <w:jc w:val="center"/>
        </w:trPr>
        <w:tc>
          <w:tcPr>
            <w:tcW w:w="2959" w:type="dxa"/>
            <w:vMerge w:val="restart"/>
            <w:tcBorders>
              <w:top w:val="single" w:color="000000" w:sz="8" w:space="0"/>
              <w:left w:val="single" w:color="000000" w:sz="8" w:space="0"/>
              <w:bottom w:val="single" w:color="000000" w:sz="4" w:space="0"/>
              <w:right w:val="single" w:color="000000" w:sz="4" w:space="0"/>
            </w:tcBorders>
            <w:vAlign w:val="center"/>
          </w:tcPr>
          <w:p w14:paraId="07854277">
            <w:pPr>
              <w:pStyle w:val="28"/>
              <w:rPr>
                <w:color w:val="000000" w:themeColor="text1"/>
                <w14:textFill>
                  <w14:solidFill>
                    <w14:schemeClr w14:val="tx1"/>
                  </w14:solidFill>
                </w14:textFill>
              </w:rPr>
            </w:pPr>
            <w:r>
              <w:rPr>
                <w:color w:val="000000" w:themeColor="text1"/>
                <w14:textFill>
                  <w14:solidFill>
                    <w14:schemeClr w14:val="tx1"/>
                  </w14:solidFill>
                </w14:textFill>
              </w:rPr>
              <w:t>包气带防污性能</w:t>
            </w:r>
          </w:p>
        </w:tc>
        <w:tc>
          <w:tcPr>
            <w:tcW w:w="6236" w:type="dxa"/>
            <w:gridSpan w:val="3"/>
            <w:tcBorders>
              <w:top w:val="single" w:color="000000" w:sz="8" w:space="0"/>
              <w:left w:val="single" w:color="000000" w:sz="4" w:space="0"/>
              <w:bottom w:val="single" w:color="000000" w:sz="4" w:space="0"/>
              <w:right w:val="single" w:color="000000" w:sz="8" w:space="0"/>
            </w:tcBorders>
            <w:vAlign w:val="center"/>
          </w:tcPr>
          <w:p w14:paraId="1E537FB6">
            <w:pPr>
              <w:pStyle w:val="28"/>
              <w:rPr>
                <w:color w:val="000000" w:themeColor="text1"/>
                <w14:textFill>
                  <w14:solidFill>
                    <w14:schemeClr w14:val="tx1"/>
                  </w14:solidFill>
                </w14:textFill>
              </w:rPr>
            </w:pPr>
            <w:r>
              <w:rPr>
                <w:color w:val="000000" w:themeColor="text1"/>
                <w14:textFill>
                  <w14:solidFill>
                    <w14:schemeClr w14:val="tx1"/>
                  </w14:solidFill>
                </w14:textFill>
              </w:rPr>
              <w:t>地下水功能敏感性</w:t>
            </w:r>
          </w:p>
        </w:tc>
      </w:tr>
      <w:tr w14:paraId="64F8D5BE">
        <w:tblPrEx>
          <w:tblCellMar>
            <w:top w:w="0" w:type="dxa"/>
            <w:left w:w="0" w:type="dxa"/>
            <w:bottom w:w="0" w:type="dxa"/>
            <w:right w:w="0" w:type="dxa"/>
          </w:tblCellMar>
        </w:tblPrEx>
        <w:trPr>
          <w:trHeight w:val="20" w:hRule="atLeast"/>
          <w:jc w:val="center"/>
        </w:trPr>
        <w:tc>
          <w:tcPr>
            <w:tcW w:w="2959" w:type="dxa"/>
            <w:vMerge w:val="continue"/>
            <w:tcBorders>
              <w:top w:val="single" w:color="000000" w:sz="8" w:space="0"/>
              <w:left w:val="single" w:color="000000" w:sz="8" w:space="0"/>
              <w:bottom w:val="single" w:color="000000" w:sz="4" w:space="0"/>
              <w:right w:val="single" w:color="000000" w:sz="4" w:space="0"/>
            </w:tcBorders>
            <w:vAlign w:val="center"/>
          </w:tcPr>
          <w:p w14:paraId="1FF0425D">
            <w:pPr>
              <w:pStyle w:val="28"/>
              <w:rPr>
                <w:color w:val="000000" w:themeColor="text1"/>
                <w14:textFill>
                  <w14:solidFill>
                    <w14:schemeClr w14:val="tx1"/>
                  </w14:solidFill>
                </w14:textFill>
              </w:rPr>
            </w:pPr>
          </w:p>
        </w:tc>
        <w:tc>
          <w:tcPr>
            <w:tcW w:w="1645" w:type="dxa"/>
            <w:tcBorders>
              <w:top w:val="single" w:color="000000" w:sz="4" w:space="0"/>
              <w:left w:val="single" w:color="000000" w:sz="4" w:space="0"/>
              <w:bottom w:val="single" w:color="000000" w:sz="4" w:space="0"/>
              <w:right w:val="single" w:color="000000" w:sz="4" w:space="0"/>
            </w:tcBorders>
            <w:vAlign w:val="center"/>
          </w:tcPr>
          <w:p w14:paraId="5F2EA906">
            <w:pPr>
              <w:pStyle w:val="28"/>
              <w:rPr>
                <w:color w:val="000000" w:themeColor="text1"/>
                <w14:textFill>
                  <w14:solidFill>
                    <w14:schemeClr w14:val="tx1"/>
                  </w14:solidFill>
                </w14:textFill>
              </w:rPr>
            </w:pPr>
            <w:r>
              <w:rPr>
                <w:color w:val="000000" w:themeColor="text1"/>
                <w14:textFill>
                  <w14:solidFill>
                    <w14:schemeClr w14:val="tx1"/>
                  </w14:solidFill>
                </w14:textFill>
              </w:rPr>
              <w:t>G1</w:t>
            </w:r>
          </w:p>
        </w:tc>
        <w:tc>
          <w:tcPr>
            <w:tcW w:w="2295" w:type="dxa"/>
            <w:tcBorders>
              <w:top w:val="single" w:color="000000" w:sz="4" w:space="0"/>
              <w:left w:val="single" w:color="000000" w:sz="4" w:space="0"/>
              <w:bottom w:val="single" w:color="000000" w:sz="4" w:space="0"/>
              <w:right w:val="single" w:color="000000" w:sz="4" w:space="0"/>
            </w:tcBorders>
            <w:vAlign w:val="center"/>
          </w:tcPr>
          <w:p w14:paraId="1C1730B6">
            <w:pPr>
              <w:pStyle w:val="28"/>
              <w:rPr>
                <w:color w:val="000000" w:themeColor="text1"/>
                <w14:textFill>
                  <w14:solidFill>
                    <w14:schemeClr w14:val="tx1"/>
                  </w14:solidFill>
                </w14:textFill>
              </w:rPr>
            </w:pPr>
            <w:r>
              <w:rPr>
                <w:color w:val="000000" w:themeColor="text1"/>
                <w14:textFill>
                  <w14:solidFill>
                    <w14:schemeClr w14:val="tx1"/>
                  </w14:solidFill>
                </w14:textFill>
              </w:rPr>
              <w:t>G2</w:t>
            </w:r>
          </w:p>
        </w:tc>
        <w:tc>
          <w:tcPr>
            <w:tcW w:w="2296" w:type="dxa"/>
            <w:tcBorders>
              <w:top w:val="single" w:color="000000" w:sz="4" w:space="0"/>
              <w:left w:val="single" w:color="000000" w:sz="4" w:space="0"/>
              <w:bottom w:val="single" w:color="000000" w:sz="4" w:space="0"/>
              <w:right w:val="single" w:color="000000" w:sz="8" w:space="0"/>
            </w:tcBorders>
            <w:vAlign w:val="center"/>
          </w:tcPr>
          <w:p w14:paraId="40B46E50">
            <w:pPr>
              <w:pStyle w:val="28"/>
              <w:rPr>
                <w:color w:val="000000" w:themeColor="text1"/>
                <w14:textFill>
                  <w14:solidFill>
                    <w14:schemeClr w14:val="tx1"/>
                  </w14:solidFill>
                </w14:textFill>
              </w:rPr>
            </w:pPr>
            <w:r>
              <w:rPr>
                <w:color w:val="000000" w:themeColor="text1"/>
                <w14:textFill>
                  <w14:solidFill>
                    <w14:schemeClr w14:val="tx1"/>
                  </w14:solidFill>
                </w14:textFill>
              </w:rPr>
              <w:t>G3</w:t>
            </w:r>
          </w:p>
        </w:tc>
      </w:tr>
      <w:tr w14:paraId="595021D2">
        <w:tblPrEx>
          <w:tblCellMar>
            <w:top w:w="0" w:type="dxa"/>
            <w:left w:w="0" w:type="dxa"/>
            <w:bottom w:w="0" w:type="dxa"/>
            <w:right w:w="0" w:type="dxa"/>
          </w:tblCellMar>
        </w:tblPrEx>
        <w:trPr>
          <w:trHeight w:val="20" w:hRule="atLeast"/>
          <w:jc w:val="center"/>
        </w:trPr>
        <w:tc>
          <w:tcPr>
            <w:tcW w:w="2959" w:type="dxa"/>
            <w:tcBorders>
              <w:top w:val="single" w:color="000000" w:sz="4" w:space="0"/>
              <w:left w:val="single" w:color="000000" w:sz="8" w:space="0"/>
              <w:bottom w:val="single" w:color="000000" w:sz="4" w:space="0"/>
              <w:right w:val="single" w:color="000000" w:sz="4" w:space="0"/>
            </w:tcBorders>
            <w:vAlign w:val="center"/>
          </w:tcPr>
          <w:p w14:paraId="392CBC55">
            <w:pPr>
              <w:pStyle w:val="28"/>
              <w:rPr>
                <w:color w:val="000000" w:themeColor="text1"/>
                <w14:textFill>
                  <w14:solidFill>
                    <w14:schemeClr w14:val="tx1"/>
                  </w14:solidFill>
                </w14:textFill>
              </w:rPr>
            </w:pPr>
            <w:r>
              <w:rPr>
                <w:color w:val="000000" w:themeColor="text1"/>
                <w14:textFill>
                  <w14:solidFill>
                    <w14:schemeClr w14:val="tx1"/>
                  </w14:solidFill>
                </w14:textFill>
              </w:rPr>
              <w:t>D1</w:t>
            </w:r>
          </w:p>
        </w:tc>
        <w:tc>
          <w:tcPr>
            <w:tcW w:w="1645" w:type="dxa"/>
            <w:tcBorders>
              <w:top w:val="single" w:color="000000" w:sz="4" w:space="0"/>
              <w:left w:val="single" w:color="000000" w:sz="4" w:space="0"/>
              <w:bottom w:val="single" w:color="000000" w:sz="4" w:space="0"/>
              <w:right w:val="single" w:color="000000" w:sz="4" w:space="0"/>
            </w:tcBorders>
            <w:vAlign w:val="center"/>
          </w:tcPr>
          <w:p w14:paraId="0441C859">
            <w:pPr>
              <w:pStyle w:val="28"/>
              <w:rPr>
                <w:color w:val="000000" w:themeColor="text1"/>
                <w14:textFill>
                  <w14:solidFill>
                    <w14:schemeClr w14:val="tx1"/>
                  </w14:solidFill>
                </w14:textFill>
              </w:rPr>
            </w:pPr>
            <w:r>
              <w:rPr>
                <w:color w:val="000000" w:themeColor="text1"/>
                <w14:textFill>
                  <w14:solidFill>
                    <w14:schemeClr w14:val="tx1"/>
                  </w14:solidFill>
                </w14:textFill>
              </w:rPr>
              <w:t>E1</w:t>
            </w:r>
          </w:p>
        </w:tc>
        <w:tc>
          <w:tcPr>
            <w:tcW w:w="2295" w:type="dxa"/>
            <w:tcBorders>
              <w:top w:val="single" w:color="000000" w:sz="4" w:space="0"/>
              <w:left w:val="single" w:color="000000" w:sz="4" w:space="0"/>
              <w:bottom w:val="single" w:color="000000" w:sz="4" w:space="0"/>
              <w:right w:val="single" w:color="000000" w:sz="4" w:space="0"/>
            </w:tcBorders>
            <w:vAlign w:val="center"/>
          </w:tcPr>
          <w:p w14:paraId="6AAFAC09">
            <w:pPr>
              <w:pStyle w:val="28"/>
              <w:rPr>
                <w:color w:val="000000" w:themeColor="text1"/>
                <w14:textFill>
                  <w14:solidFill>
                    <w14:schemeClr w14:val="tx1"/>
                  </w14:solidFill>
                </w14:textFill>
              </w:rPr>
            </w:pPr>
            <w:r>
              <w:rPr>
                <w:color w:val="000000" w:themeColor="text1"/>
                <w14:textFill>
                  <w14:solidFill>
                    <w14:schemeClr w14:val="tx1"/>
                  </w14:solidFill>
                </w14:textFill>
              </w:rPr>
              <w:t>E1</w:t>
            </w:r>
          </w:p>
        </w:tc>
        <w:tc>
          <w:tcPr>
            <w:tcW w:w="2296" w:type="dxa"/>
            <w:tcBorders>
              <w:top w:val="single" w:color="000000" w:sz="4" w:space="0"/>
              <w:left w:val="single" w:color="000000" w:sz="4" w:space="0"/>
              <w:bottom w:val="single" w:color="000000" w:sz="4" w:space="0"/>
              <w:right w:val="single" w:color="000000" w:sz="8" w:space="0"/>
            </w:tcBorders>
            <w:vAlign w:val="center"/>
          </w:tcPr>
          <w:p w14:paraId="7067CDD4">
            <w:pPr>
              <w:pStyle w:val="28"/>
              <w:rPr>
                <w:color w:val="000000" w:themeColor="text1"/>
                <w14:textFill>
                  <w14:solidFill>
                    <w14:schemeClr w14:val="tx1"/>
                  </w14:solidFill>
                </w14:textFill>
              </w:rPr>
            </w:pPr>
            <w:r>
              <w:rPr>
                <w:color w:val="000000" w:themeColor="text1"/>
                <w14:textFill>
                  <w14:solidFill>
                    <w14:schemeClr w14:val="tx1"/>
                  </w14:solidFill>
                </w14:textFill>
              </w:rPr>
              <w:t>E2</w:t>
            </w:r>
          </w:p>
        </w:tc>
      </w:tr>
      <w:tr w14:paraId="299154F6">
        <w:tblPrEx>
          <w:tblCellMar>
            <w:top w:w="0" w:type="dxa"/>
            <w:left w:w="0" w:type="dxa"/>
            <w:bottom w:w="0" w:type="dxa"/>
            <w:right w:w="0" w:type="dxa"/>
          </w:tblCellMar>
        </w:tblPrEx>
        <w:trPr>
          <w:trHeight w:val="20" w:hRule="atLeast"/>
          <w:jc w:val="center"/>
        </w:trPr>
        <w:tc>
          <w:tcPr>
            <w:tcW w:w="2959" w:type="dxa"/>
            <w:tcBorders>
              <w:top w:val="single" w:color="000000" w:sz="4" w:space="0"/>
              <w:left w:val="single" w:color="000000" w:sz="8" w:space="0"/>
              <w:bottom w:val="single" w:color="000000" w:sz="4" w:space="0"/>
              <w:right w:val="single" w:color="000000" w:sz="4" w:space="0"/>
            </w:tcBorders>
            <w:vAlign w:val="center"/>
          </w:tcPr>
          <w:p w14:paraId="722E4D07">
            <w:pPr>
              <w:pStyle w:val="28"/>
              <w:rPr>
                <w:color w:val="000000" w:themeColor="text1"/>
                <w14:textFill>
                  <w14:solidFill>
                    <w14:schemeClr w14:val="tx1"/>
                  </w14:solidFill>
                </w14:textFill>
              </w:rPr>
            </w:pPr>
            <w:r>
              <w:rPr>
                <w:color w:val="000000" w:themeColor="text1"/>
                <w14:textFill>
                  <w14:solidFill>
                    <w14:schemeClr w14:val="tx1"/>
                  </w14:solidFill>
                </w14:textFill>
              </w:rPr>
              <w:t>D2</w:t>
            </w:r>
          </w:p>
        </w:tc>
        <w:tc>
          <w:tcPr>
            <w:tcW w:w="1645" w:type="dxa"/>
            <w:tcBorders>
              <w:top w:val="single" w:color="000000" w:sz="4" w:space="0"/>
              <w:left w:val="single" w:color="000000" w:sz="4" w:space="0"/>
              <w:bottom w:val="single" w:color="000000" w:sz="4" w:space="0"/>
              <w:right w:val="single" w:color="000000" w:sz="4" w:space="0"/>
            </w:tcBorders>
            <w:vAlign w:val="center"/>
          </w:tcPr>
          <w:p w14:paraId="754DFA47">
            <w:pPr>
              <w:pStyle w:val="28"/>
              <w:rPr>
                <w:color w:val="000000" w:themeColor="text1"/>
                <w14:textFill>
                  <w14:solidFill>
                    <w14:schemeClr w14:val="tx1"/>
                  </w14:solidFill>
                </w14:textFill>
              </w:rPr>
            </w:pPr>
            <w:r>
              <w:rPr>
                <w:color w:val="000000" w:themeColor="text1"/>
                <w14:textFill>
                  <w14:solidFill>
                    <w14:schemeClr w14:val="tx1"/>
                  </w14:solidFill>
                </w14:textFill>
              </w:rPr>
              <w:t>E1</w:t>
            </w:r>
          </w:p>
        </w:tc>
        <w:tc>
          <w:tcPr>
            <w:tcW w:w="2295" w:type="dxa"/>
            <w:tcBorders>
              <w:top w:val="single" w:color="000000" w:sz="4" w:space="0"/>
              <w:left w:val="single" w:color="000000" w:sz="4" w:space="0"/>
              <w:bottom w:val="single" w:color="000000" w:sz="4" w:space="0"/>
              <w:right w:val="single" w:color="000000" w:sz="4" w:space="0"/>
            </w:tcBorders>
            <w:vAlign w:val="center"/>
          </w:tcPr>
          <w:p w14:paraId="4B8775FF">
            <w:pPr>
              <w:pStyle w:val="28"/>
              <w:rPr>
                <w:color w:val="000000" w:themeColor="text1"/>
                <w14:textFill>
                  <w14:solidFill>
                    <w14:schemeClr w14:val="tx1"/>
                  </w14:solidFill>
                </w14:textFill>
              </w:rPr>
            </w:pPr>
            <w:r>
              <w:rPr>
                <w:color w:val="000000" w:themeColor="text1"/>
                <w14:textFill>
                  <w14:solidFill>
                    <w14:schemeClr w14:val="tx1"/>
                  </w14:solidFill>
                </w14:textFill>
              </w:rPr>
              <w:t>E2</w:t>
            </w:r>
          </w:p>
        </w:tc>
        <w:tc>
          <w:tcPr>
            <w:tcW w:w="2296" w:type="dxa"/>
            <w:tcBorders>
              <w:top w:val="single" w:color="000000" w:sz="4" w:space="0"/>
              <w:left w:val="single" w:color="000000" w:sz="4" w:space="0"/>
              <w:bottom w:val="single" w:color="000000" w:sz="4" w:space="0"/>
              <w:right w:val="single" w:color="000000" w:sz="8" w:space="0"/>
            </w:tcBorders>
            <w:vAlign w:val="center"/>
          </w:tcPr>
          <w:p w14:paraId="26C68963">
            <w:pPr>
              <w:pStyle w:val="28"/>
              <w:rPr>
                <w:color w:val="000000" w:themeColor="text1"/>
                <w14:textFill>
                  <w14:solidFill>
                    <w14:schemeClr w14:val="tx1"/>
                  </w14:solidFill>
                </w14:textFill>
              </w:rPr>
            </w:pPr>
            <w:r>
              <w:rPr>
                <w:color w:val="000000" w:themeColor="text1"/>
                <w14:textFill>
                  <w14:solidFill>
                    <w14:schemeClr w14:val="tx1"/>
                  </w14:solidFill>
                </w14:textFill>
              </w:rPr>
              <w:t>E3</w:t>
            </w:r>
          </w:p>
        </w:tc>
      </w:tr>
      <w:tr w14:paraId="2B0E2C5A">
        <w:tblPrEx>
          <w:tblCellMar>
            <w:top w:w="0" w:type="dxa"/>
            <w:left w:w="0" w:type="dxa"/>
            <w:bottom w:w="0" w:type="dxa"/>
            <w:right w:w="0" w:type="dxa"/>
          </w:tblCellMar>
        </w:tblPrEx>
        <w:trPr>
          <w:trHeight w:val="20" w:hRule="atLeast"/>
          <w:jc w:val="center"/>
        </w:trPr>
        <w:tc>
          <w:tcPr>
            <w:tcW w:w="2959" w:type="dxa"/>
            <w:tcBorders>
              <w:top w:val="single" w:color="000000" w:sz="4" w:space="0"/>
              <w:left w:val="single" w:color="000000" w:sz="8" w:space="0"/>
              <w:bottom w:val="single" w:color="000000" w:sz="8" w:space="0"/>
              <w:right w:val="single" w:color="000000" w:sz="4" w:space="0"/>
            </w:tcBorders>
            <w:vAlign w:val="center"/>
          </w:tcPr>
          <w:p w14:paraId="47752B79">
            <w:pPr>
              <w:pStyle w:val="28"/>
              <w:rPr>
                <w:color w:val="000000" w:themeColor="text1"/>
                <w14:textFill>
                  <w14:solidFill>
                    <w14:schemeClr w14:val="tx1"/>
                  </w14:solidFill>
                </w14:textFill>
              </w:rPr>
            </w:pPr>
            <w:r>
              <w:rPr>
                <w:color w:val="000000" w:themeColor="text1"/>
                <w14:textFill>
                  <w14:solidFill>
                    <w14:schemeClr w14:val="tx1"/>
                  </w14:solidFill>
                </w14:textFill>
              </w:rPr>
              <w:t>D3</w:t>
            </w:r>
          </w:p>
        </w:tc>
        <w:tc>
          <w:tcPr>
            <w:tcW w:w="1645" w:type="dxa"/>
            <w:tcBorders>
              <w:top w:val="single" w:color="000000" w:sz="4" w:space="0"/>
              <w:left w:val="single" w:color="000000" w:sz="4" w:space="0"/>
              <w:bottom w:val="single" w:color="000000" w:sz="8" w:space="0"/>
              <w:right w:val="single" w:color="000000" w:sz="4" w:space="0"/>
            </w:tcBorders>
            <w:vAlign w:val="center"/>
          </w:tcPr>
          <w:p w14:paraId="75118D15">
            <w:pPr>
              <w:pStyle w:val="28"/>
              <w:rPr>
                <w:color w:val="000000" w:themeColor="text1"/>
                <w14:textFill>
                  <w14:solidFill>
                    <w14:schemeClr w14:val="tx1"/>
                  </w14:solidFill>
                </w14:textFill>
              </w:rPr>
            </w:pPr>
            <w:r>
              <w:rPr>
                <w:color w:val="000000" w:themeColor="text1"/>
                <w14:textFill>
                  <w14:solidFill>
                    <w14:schemeClr w14:val="tx1"/>
                  </w14:solidFill>
                </w14:textFill>
              </w:rPr>
              <w:t>E2</w:t>
            </w:r>
          </w:p>
        </w:tc>
        <w:tc>
          <w:tcPr>
            <w:tcW w:w="2295" w:type="dxa"/>
            <w:tcBorders>
              <w:top w:val="single" w:color="000000" w:sz="4" w:space="0"/>
              <w:left w:val="single" w:color="000000" w:sz="4" w:space="0"/>
              <w:bottom w:val="single" w:color="000000" w:sz="8" w:space="0"/>
              <w:right w:val="single" w:color="000000" w:sz="4" w:space="0"/>
            </w:tcBorders>
            <w:vAlign w:val="center"/>
          </w:tcPr>
          <w:p w14:paraId="3D5E4D73">
            <w:pPr>
              <w:pStyle w:val="28"/>
              <w:rPr>
                <w:color w:val="000000" w:themeColor="text1"/>
                <w14:textFill>
                  <w14:solidFill>
                    <w14:schemeClr w14:val="tx1"/>
                  </w14:solidFill>
                </w14:textFill>
              </w:rPr>
            </w:pPr>
            <w:r>
              <w:rPr>
                <w:color w:val="000000" w:themeColor="text1"/>
                <w14:textFill>
                  <w14:solidFill>
                    <w14:schemeClr w14:val="tx1"/>
                  </w14:solidFill>
                </w14:textFill>
              </w:rPr>
              <w:t>E3</w:t>
            </w:r>
          </w:p>
        </w:tc>
        <w:tc>
          <w:tcPr>
            <w:tcW w:w="2296" w:type="dxa"/>
            <w:tcBorders>
              <w:top w:val="single" w:color="000000" w:sz="4" w:space="0"/>
              <w:left w:val="single" w:color="000000" w:sz="4" w:space="0"/>
              <w:bottom w:val="single" w:color="000000" w:sz="8" w:space="0"/>
              <w:right w:val="single" w:color="000000" w:sz="8" w:space="0"/>
            </w:tcBorders>
            <w:vAlign w:val="center"/>
          </w:tcPr>
          <w:p w14:paraId="65CE0121">
            <w:pPr>
              <w:pStyle w:val="28"/>
              <w:rPr>
                <w:color w:val="000000" w:themeColor="text1"/>
                <w14:textFill>
                  <w14:solidFill>
                    <w14:schemeClr w14:val="tx1"/>
                  </w14:solidFill>
                </w14:textFill>
              </w:rPr>
            </w:pPr>
            <w:r>
              <w:rPr>
                <w:color w:val="000000" w:themeColor="text1"/>
                <w14:textFill>
                  <w14:solidFill>
                    <w14:schemeClr w14:val="tx1"/>
                  </w14:solidFill>
                </w14:textFill>
              </w:rPr>
              <w:t>E3</w:t>
            </w:r>
          </w:p>
        </w:tc>
      </w:tr>
    </w:tbl>
    <w:p w14:paraId="59C8389C">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地下水功能敏感性分区 </w:t>
      </w:r>
    </w:p>
    <w:tbl>
      <w:tblPr>
        <w:tblStyle w:val="21"/>
        <w:tblW w:w="5000" w:type="pct"/>
        <w:jc w:val="center"/>
        <w:tblLayout w:type="fixed"/>
        <w:tblCellMar>
          <w:top w:w="0" w:type="dxa"/>
          <w:left w:w="0" w:type="dxa"/>
          <w:bottom w:w="0" w:type="dxa"/>
          <w:right w:w="0" w:type="dxa"/>
        </w:tblCellMar>
      </w:tblPr>
      <w:tblGrid>
        <w:gridCol w:w="1187"/>
        <w:gridCol w:w="7233"/>
      </w:tblGrid>
      <w:tr w14:paraId="15587A32">
        <w:tblPrEx>
          <w:tblCellMar>
            <w:top w:w="0" w:type="dxa"/>
            <w:left w:w="0" w:type="dxa"/>
            <w:bottom w:w="0" w:type="dxa"/>
            <w:right w:w="0" w:type="dxa"/>
          </w:tblCellMar>
        </w:tblPrEx>
        <w:trPr>
          <w:trHeight w:val="20" w:hRule="atLeast"/>
          <w:jc w:val="center"/>
        </w:trPr>
        <w:tc>
          <w:tcPr>
            <w:tcW w:w="1285" w:type="dxa"/>
            <w:tcBorders>
              <w:top w:val="single" w:color="000000" w:sz="8" w:space="0"/>
              <w:left w:val="single" w:color="000000" w:sz="8" w:space="0"/>
              <w:bottom w:val="single" w:color="000000" w:sz="4" w:space="0"/>
              <w:right w:val="single" w:color="000000" w:sz="4" w:space="0"/>
            </w:tcBorders>
            <w:tcMar>
              <w:top w:w="0" w:type="dxa"/>
              <w:left w:w="57" w:type="dxa"/>
              <w:bottom w:w="0" w:type="dxa"/>
              <w:right w:w="57" w:type="dxa"/>
            </w:tcMar>
            <w:vAlign w:val="center"/>
          </w:tcPr>
          <w:p w14:paraId="7130902F">
            <w:pPr>
              <w:pStyle w:val="28"/>
              <w:rPr>
                <w:color w:val="000000" w:themeColor="text1"/>
                <w14:textFill>
                  <w14:solidFill>
                    <w14:schemeClr w14:val="tx1"/>
                  </w14:solidFill>
                </w14:textFill>
              </w:rPr>
            </w:pPr>
            <w:r>
              <w:rPr>
                <w:color w:val="000000" w:themeColor="text1"/>
                <w14:textFill>
                  <w14:solidFill>
                    <w14:schemeClr w14:val="tx1"/>
                  </w14:solidFill>
                </w14:textFill>
              </w:rPr>
              <w:t>敏感性</w:t>
            </w:r>
          </w:p>
        </w:tc>
        <w:tc>
          <w:tcPr>
            <w:tcW w:w="7895" w:type="dxa"/>
            <w:tcBorders>
              <w:top w:val="single" w:color="000000" w:sz="8" w:space="0"/>
              <w:left w:val="single" w:color="000000" w:sz="4" w:space="0"/>
              <w:bottom w:val="single" w:color="000000" w:sz="4" w:space="0"/>
              <w:right w:val="single" w:color="000000" w:sz="8" w:space="0"/>
            </w:tcBorders>
            <w:tcMar>
              <w:top w:w="0" w:type="dxa"/>
              <w:left w:w="57" w:type="dxa"/>
              <w:bottom w:w="0" w:type="dxa"/>
              <w:right w:w="57" w:type="dxa"/>
            </w:tcMar>
            <w:vAlign w:val="center"/>
          </w:tcPr>
          <w:p w14:paraId="6F186145">
            <w:pPr>
              <w:pStyle w:val="28"/>
              <w:rPr>
                <w:color w:val="000000" w:themeColor="text1"/>
                <w14:textFill>
                  <w14:solidFill>
                    <w14:schemeClr w14:val="tx1"/>
                  </w14:solidFill>
                </w14:textFill>
              </w:rPr>
            </w:pPr>
            <w:r>
              <w:rPr>
                <w:color w:val="000000" w:themeColor="text1"/>
                <w14:textFill>
                  <w14:solidFill>
                    <w14:schemeClr w14:val="tx1"/>
                  </w14:solidFill>
                </w14:textFill>
              </w:rPr>
              <w:t>地下水环境敏感特征</w:t>
            </w:r>
          </w:p>
        </w:tc>
      </w:tr>
      <w:tr w14:paraId="58266C6D">
        <w:tblPrEx>
          <w:tblCellMar>
            <w:top w:w="0" w:type="dxa"/>
            <w:left w:w="0" w:type="dxa"/>
            <w:bottom w:w="0" w:type="dxa"/>
            <w:right w:w="0" w:type="dxa"/>
          </w:tblCellMar>
        </w:tblPrEx>
        <w:trPr>
          <w:trHeight w:val="20" w:hRule="atLeast"/>
          <w:jc w:val="center"/>
        </w:trPr>
        <w:tc>
          <w:tcPr>
            <w:tcW w:w="1285" w:type="dxa"/>
            <w:tcBorders>
              <w:top w:val="single" w:color="000000" w:sz="4" w:space="0"/>
              <w:left w:val="single" w:color="000000" w:sz="8" w:space="0"/>
              <w:bottom w:val="single" w:color="000000" w:sz="4" w:space="0"/>
              <w:right w:val="single" w:color="000000" w:sz="4" w:space="0"/>
            </w:tcBorders>
            <w:tcMar>
              <w:top w:w="0" w:type="dxa"/>
              <w:left w:w="57" w:type="dxa"/>
              <w:bottom w:w="0" w:type="dxa"/>
              <w:right w:w="57" w:type="dxa"/>
            </w:tcMar>
            <w:vAlign w:val="center"/>
          </w:tcPr>
          <w:p w14:paraId="7E5499D1">
            <w:pPr>
              <w:pStyle w:val="28"/>
              <w:rPr>
                <w:color w:val="000000" w:themeColor="text1"/>
                <w14:textFill>
                  <w14:solidFill>
                    <w14:schemeClr w14:val="tx1"/>
                  </w14:solidFill>
                </w14:textFill>
              </w:rPr>
            </w:pPr>
            <w:r>
              <w:rPr>
                <w:color w:val="000000" w:themeColor="text1"/>
                <w14:textFill>
                  <w14:solidFill>
                    <w14:schemeClr w14:val="tx1"/>
                  </w14:solidFill>
                </w14:textFill>
              </w:rPr>
              <w:t>敏感G1</w:t>
            </w:r>
          </w:p>
        </w:tc>
        <w:tc>
          <w:tcPr>
            <w:tcW w:w="7895" w:type="dxa"/>
            <w:tcBorders>
              <w:top w:val="single" w:color="000000" w:sz="4" w:space="0"/>
              <w:left w:val="single" w:color="000000" w:sz="4" w:space="0"/>
              <w:bottom w:val="single" w:color="000000" w:sz="4" w:space="0"/>
              <w:right w:val="single" w:color="000000" w:sz="8" w:space="0"/>
            </w:tcBorders>
            <w:tcMar>
              <w:top w:w="0" w:type="dxa"/>
              <w:left w:w="57" w:type="dxa"/>
              <w:bottom w:w="0" w:type="dxa"/>
              <w:right w:w="57" w:type="dxa"/>
            </w:tcMar>
            <w:vAlign w:val="center"/>
          </w:tcPr>
          <w:p w14:paraId="0E9DD5F9">
            <w:pPr>
              <w:pStyle w:val="28"/>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3C94408C">
        <w:tblPrEx>
          <w:tblCellMar>
            <w:top w:w="0" w:type="dxa"/>
            <w:left w:w="0" w:type="dxa"/>
            <w:bottom w:w="0" w:type="dxa"/>
            <w:right w:w="0" w:type="dxa"/>
          </w:tblCellMar>
        </w:tblPrEx>
        <w:trPr>
          <w:trHeight w:val="20" w:hRule="atLeast"/>
          <w:jc w:val="center"/>
        </w:trPr>
        <w:tc>
          <w:tcPr>
            <w:tcW w:w="1285" w:type="dxa"/>
            <w:tcBorders>
              <w:top w:val="single" w:color="000000" w:sz="4" w:space="0"/>
              <w:left w:val="single" w:color="000000" w:sz="8" w:space="0"/>
              <w:bottom w:val="single" w:color="000000" w:sz="4" w:space="0"/>
              <w:right w:val="single" w:color="000000" w:sz="4" w:space="0"/>
            </w:tcBorders>
            <w:tcMar>
              <w:top w:w="0" w:type="dxa"/>
              <w:left w:w="57" w:type="dxa"/>
              <w:bottom w:w="0" w:type="dxa"/>
              <w:right w:w="57" w:type="dxa"/>
            </w:tcMar>
            <w:vAlign w:val="center"/>
          </w:tcPr>
          <w:p w14:paraId="551A6990">
            <w:pPr>
              <w:pStyle w:val="28"/>
              <w:rPr>
                <w:color w:val="000000" w:themeColor="text1"/>
                <w14:textFill>
                  <w14:solidFill>
                    <w14:schemeClr w14:val="tx1"/>
                  </w14:solidFill>
                </w14:textFill>
              </w:rPr>
            </w:pPr>
            <w:r>
              <w:rPr>
                <w:color w:val="000000" w:themeColor="text1"/>
                <w14:textFill>
                  <w14:solidFill>
                    <w14:schemeClr w14:val="tx1"/>
                  </w14:solidFill>
                </w14:textFill>
              </w:rPr>
              <w:t>较敏感G2</w:t>
            </w:r>
          </w:p>
        </w:tc>
        <w:tc>
          <w:tcPr>
            <w:tcW w:w="7895" w:type="dxa"/>
            <w:tcBorders>
              <w:top w:val="single" w:color="000000" w:sz="4" w:space="0"/>
              <w:left w:val="single" w:color="000000" w:sz="4" w:space="0"/>
              <w:bottom w:val="single" w:color="000000" w:sz="4" w:space="0"/>
              <w:right w:val="single" w:color="000000" w:sz="8" w:space="0"/>
            </w:tcBorders>
            <w:tcMar>
              <w:top w:w="0" w:type="dxa"/>
              <w:left w:w="57" w:type="dxa"/>
              <w:bottom w:w="0" w:type="dxa"/>
              <w:right w:w="57" w:type="dxa"/>
            </w:tcMar>
            <w:vAlign w:val="center"/>
          </w:tcPr>
          <w:p w14:paraId="71509C97">
            <w:pPr>
              <w:pStyle w:val="28"/>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 的环境敏感区*</w:t>
            </w:r>
          </w:p>
        </w:tc>
      </w:tr>
      <w:tr w14:paraId="71DB2307">
        <w:tblPrEx>
          <w:tblCellMar>
            <w:top w:w="0" w:type="dxa"/>
            <w:left w:w="0" w:type="dxa"/>
            <w:bottom w:w="0" w:type="dxa"/>
            <w:right w:w="0" w:type="dxa"/>
          </w:tblCellMar>
        </w:tblPrEx>
        <w:trPr>
          <w:trHeight w:val="20" w:hRule="atLeast"/>
          <w:jc w:val="center"/>
        </w:trPr>
        <w:tc>
          <w:tcPr>
            <w:tcW w:w="1285" w:type="dxa"/>
            <w:tcBorders>
              <w:top w:val="single" w:color="000000" w:sz="4" w:space="0"/>
              <w:left w:val="single" w:color="000000" w:sz="8" w:space="0"/>
              <w:bottom w:val="single" w:color="000000" w:sz="4" w:space="0"/>
              <w:right w:val="single" w:color="000000" w:sz="4" w:space="0"/>
            </w:tcBorders>
            <w:tcMar>
              <w:top w:w="0" w:type="dxa"/>
              <w:left w:w="57" w:type="dxa"/>
              <w:bottom w:w="0" w:type="dxa"/>
              <w:right w:w="57" w:type="dxa"/>
            </w:tcMar>
            <w:vAlign w:val="center"/>
          </w:tcPr>
          <w:p w14:paraId="1E7CFFB9">
            <w:pPr>
              <w:pStyle w:val="28"/>
              <w:rPr>
                <w:color w:val="000000" w:themeColor="text1"/>
                <w14:textFill>
                  <w14:solidFill>
                    <w14:schemeClr w14:val="tx1"/>
                  </w14:solidFill>
                </w14:textFill>
              </w:rPr>
            </w:pPr>
            <w:r>
              <w:rPr>
                <w:color w:val="000000" w:themeColor="text1"/>
                <w14:textFill>
                  <w14:solidFill>
                    <w14:schemeClr w14:val="tx1"/>
                  </w14:solidFill>
                </w14:textFill>
              </w:rPr>
              <w:t>不敏感G3</w:t>
            </w:r>
          </w:p>
        </w:tc>
        <w:tc>
          <w:tcPr>
            <w:tcW w:w="7895" w:type="dxa"/>
            <w:tcBorders>
              <w:top w:val="single" w:color="000000" w:sz="4" w:space="0"/>
              <w:left w:val="single" w:color="000000" w:sz="4" w:space="0"/>
              <w:bottom w:val="single" w:color="000000" w:sz="4" w:space="0"/>
              <w:right w:val="single" w:color="000000" w:sz="8" w:space="0"/>
            </w:tcBorders>
            <w:tcMar>
              <w:top w:w="0" w:type="dxa"/>
              <w:left w:w="57" w:type="dxa"/>
              <w:bottom w:w="0" w:type="dxa"/>
              <w:right w:w="57" w:type="dxa"/>
            </w:tcMar>
            <w:vAlign w:val="center"/>
          </w:tcPr>
          <w:p w14:paraId="3C6B0CE9">
            <w:pPr>
              <w:pStyle w:val="28"/>
              <w:rPr>
                <w:color w:val="000000" w:themeColor="text1"/>
                <w14:textFill>
                  <w14:solidFill>
                    <w14:schemeClr w14:val="tx1"/>
                  </w14:solidFill>
                </w14:textFill>
              </w:rPr>
            </w:pPr>
            <w:r>
              <w:rPr>
                <w:color w:val="000000" w:themeColor="text1"/>
                <w14:textFill>
                  <w14:solidFill>
                    <w14:schemeClr w14:val="tx1"/>
                  </w14:solidFill>
                </w14:textFill>
              </w:rPr>
              <w:t>上述地区之外的其他地区</w:t>
            </w:r>
          </w:p>
        </w:tc>
      </w:tr>
    </w:tbl>
    <w:p w14:paraId="7EDBC251">
      <w:pPr>
        <w:ind w:firstLine="361"/>
        <w:rPr>
          <w:b/>
          <w:bCs/>
          <w:i/>
          <w:iCs/>
          <w:color w:val="000000" w:themeColor="text1"/>
          <w:sz w:val="18"/>
          <w:szCs w:val="18"/>
          <w14:textFill>
            <w14:solidFill>
              <w14:schemeClr w14:val="tx1"/>
            </w14:solidFill>
          </w14:textFill>
        </w:rPr>
      </w:pPr>
      <w:r>
        <w:rPr>
          <w:b/>
          <w:bCs/>
          <w:i/>
          <w:iCs/>
          <w:color w:val="000000" w:themeColor="text1"/>
          <w:sz w:val="18"/>
          <w:szCs w:val="18"/>
          <w14:textFill>
            <w14:solidFill>
              <w14:schemeClr w14:val="tx1"/>
            </w14:solidFill>
          </w14:textFill>
        </w:rPr>
        <w:t>*注：“环境敏感区”是指《建设项目环境影响评价分类管理名录》中所界定的涉及地下水的环境敏感区。</w:t>
      </w:r>
    </w:p>
    <w:p w14:paraId="4FBAAA84">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1.7-</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 xml:space="preserve">  包气带防污性能分级</w:t>
      </w:r>
    </w:p>
    <w:tbl>
      <w:tblPr>
        <w:tblStyle w:val="21"/>
        <w:tblW w:w="5000" w:type="pct"/>
        <w:jc w:val="center"/>
        <w:tblLayout w:type="fixed"/>
        <w:tblCellMar>
          <w:top w:w="0" w:type="dxa"/>
          <w:left w:w="0" w:type="dxa"/>
          <w:bottom w:w="0" w:type="dxa"/>
          <w:right w:w="0" w:type="dxa"/>
        </w:tblCellMar>
      </w:tblPr>
      <w:tblGrid>
        <w:gridCol w:w="1170"/>
        <w:gridCol w:w="7156"/>
      </w:tblGrid>
      <w:tr w14:paraId="4D376483">
        <w:tblPrEx>
          <w:tblCellMar>
            <w:top w:w="0" w:type="dxa"/>
            <w:left w:w="0" w:type="dxa"/>
            <w:bottom w:w="0" w:type="dxa"/>
            <w:right w:w="0" w:type="dxa"/>
          </w:tblCellMar>
        </w:tblPrEx>
        <w:trPr>
          <w:trHeight w:val="20" w:hRule="atLeast"/>
          <w:jc w:val="center"/>
        </w:trPr>
        <w:tc>
          <w:tcPr>
            <w:tcW w:w="1287" w:type="dxa"/>
            <w:tcBorders>
              <w:top w:val="single" w:color="000000" w:sz="8" w:space="0"/>
              <w:left w:val="single" w:color="000000" w:sz="8" w:space="0"/>
              <w:bottom w:val="single" w:color="000000" w:sz="4" w:space="0"/>
              <w:right w:val="single" w:color="000000" w:sz="4" w:space="0"/>
            </w:tcBorders>
            <w:vAlign w:val="center"/>
          </w:tcPr>
          <w:p w14:paraId="472C64FE">
            <w:pPr>
              <w:pStyle w:val="28"/>
              <w:rPr>
                <w:color w:val="000000" w:themeColor="text1"/>
                <w14:textFill>
                  <w14:solidFill>
                    <w14:schemeClr w14:val="tx1"/>
                  </w14:solidFill>
                </w14:textFill>
              </w:rPr>
            </w:pPr>
            <w:r>
              <w:rPr>
                <w:color w:val="000000" w:themeColor="text1"/>
                <w14:textFill>
                  <w14:solidFill>
                    <w14:schemeClr w14:val="tx1"/>
                  </w14:solidFill>
                </w14:textFill>
              </w:rPr>
              <w:t>分级</w:t>
            </w:r>
          </w:p>
        </w:tc>
        <w:tc>
          <w:tcPr>
            <w:tcW w:w="7893" w:type="dxa"/>
            <w:tcBorders>
              <w:top w:val="single" w:color="000000" w:sz="8" w:space="0"/>
              <w:left w:val="single" w:color="000000" w:sz="4" w:space="0"/>
              <w:bottom w:val="single" w:color="000000" w:sz="4" w:space="0"/>
              <w:right w:val="single" w:color="000000" w:sz="8" w:space="0"/>
            </w:tcBorders>
            <w:vAlign w:val="center"/>
          </w:tcPr>
          <w:p w14:paraId="0D2B325A">
            <w:pPr>
              <w:pStyle w:val="28"/>
              <w:rPr>
                <w:color w:val="000000" w:themeColor="text1"/>
                <w14:textFill>
                  <w14:solidFill>
                    <w14:schemeClr w14:val="tx1"/>
                  </w14:solidFill>
                </w14:textFill>
              </w:rPr>
            </w:pPr>
            <w:r>
              <w:rPr>
                <w:color w:val="000000" w:themeColor="text1"/>
                <w14:textFill>
                  <w14:solidFill>
                    <w14:schemeClr w14:val="tx1"/>
                  </w14:solidFill>
                </w14:textFill>
              </w:rPr>
              <w:t>包气带岩土的渗透性能</w:t>
            </w:r>
          </w:p>
        </w:tc>
      </w:tr>
      <w:tr w14:paraId="401B9A71">
        <w:tblPrEx>
          <w:tblCellMar>
            <w:top w:w="0" w:type="dxa"/>
            <w:left w:w="0" w:type="dxa"/>
            <w:bottom w:w="0" w:type="dxa"/>
            <w:right w:w="0" w:type="dxa"/>
          </w:tblCellMar>
        </w:tblPrEx>
        <w:trPr>
          <w:trHeight w:val="20" w:hRule="atLeast"/>
          <w:jc w:val="center"/>
        </w:trPr>
        <w:tc>
          <w:tcPr>
            <w:tcW w:w="1287" w:type="dxa"/>
            <w:tcBorders>
              <w:top w:val="single" w:color="000000" w:sz="4" w:space="0"/>
              <w:left w:val="single" w:color="000000" w:sz="8" w:space="0"/>
              <w:bottom w:val="single" w:color="000000" w:sz="4" w:space="0"/>
              <w:right w:val="single" w:color="000000" w:sz="4" w:space="0"/>
            </w:tcBorders>
            <w:vAlign w:val="center"/>
          </w:tcPr>
          <w:p w14:paraId="6117C9CF">
            <w:pPr>
              <w:pStyle w:val="28"/>
              <w:rPr>
                <w:color w:val="000000" w:themeColor="text1"/>
                <w14:textFill>
                  <w14:solidFill>
                    <w14:schemeClr w14:val="tx1"/>
                  </w14:solidFill>
                </w14:textFill>
              </w:rPr>
            </w:pPr>
            <w:r>
              <w:rPr>
                <w:color w:val="000000" w:themeColor="text1"/>
                <w14:textFill>
                  <w14:solidFill>
                    <w14:schemeClr w14:val="tx1"/>
                  </w14:solidFill>
                </w14:textFill>
              </w:rPr>
              <w:t>D3</w:t>
            </w:r>
          </w:p>
        </w:tc>
        <w:tc>
          <w:tcPr>
            <w:tcW w:w="7893" w:type="dxa"/>
            <w:tcBorders>
              <w:top w:val="single" w:color="000000" w:sz="4" w:space="0"/>
              <w:left w:val="single" w:color="000000" w:sz="4" w:space="0"/>
              <w:bottom w:val="single" w:color="000000" w:sz="4" w:space="0"/>
              <w:right w:val="single" w:color="000000" w:sz="8" w:space="0"/>
            </w:tcBorders>
            <w:vAlign w:val="center"/>
          </w:tcPr>
          <w:p w14:paraId="68A5EA54">
            <w:pPr>
              <w:pStyle w:val="28"/>
              <w:rPr>
                <w:color w:val="000000" w:themeColor="text1"/>
                <w14:textFill>
                  <w14:solidFill>
                    <w14:schemeClr w14:val="tx1"/>
                  </w14:solidFill>
                </w14:textFill>
              </w:rPr>
            </w:pPr>
            <w:r>
              <w:rPr>
                <w:color w:val="000000" w:themeColor="text1"/>
                <w14:textFill>
                  <w14:solidFill>
                    <w14:schemeClr w14:val="tx1"/>
                  </w14:solidFill>
                </w14:textFill>
              </w:rPr>
              <w:t>Mb≥1.0m，K≤1.0×10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cm/s，且分布连续、稳定</w:t>
            </w:r>
          </w:p>
        </w:tc>
      </w:tr>
      <w:tr w14:paraId="5CC15E7A">
        <w:tblPrEx>
          <w:tblCellMar>
            <w:top w:w="0" w:type="dxa"/>
            <w:left w:w="0" w:type="dxa"/>
            <w:bottom w:w="0" w:type="dxa"/>
            <w:right w:w="0" w:type="dxa"/>
          </w:tblCellMar>
        </w:tblPrEx>
        <w:trPr>
          <w:trHeight w:val="20" w:hRule="atLeast"/>
          <w:jc w:val="center"/>
        </w:trPr>
        <w:tc>
          <w:tcPr>
            <w:tcW w:w="1287" w:type="dxa"/>
            <w:tcBorders>
              <w:top w:val="single" w:color="000000" w:sz="4" w:space="0"/>
              <w:left w:val="single" w:color="000000" w:sz="8" w:space="0"/>
              <w:bottom w:val="single" w:color="000000" w:sz="4" w:space="0"/>
              <w:right w:val="single" w:color="000000" w:sz="4" w:space="0"/>
            </w:tcBorders>
            <w:vAlign w:val="center"/>
          </w:tcPr>
          <w:p w14:paraId="7E00B98A">
            <w:pPr>
              <w:pStyle w:val="28"/>
              <w:rPr>
                <w:color w:val="000000" w:themeColor="text1"/>
                <w14:textFill>
                  <w14:solidFill>
                    <w14:schemeClr w14:val="tx1"/>
                  </w14:solidFill>
                </w14:textFill>
              </w:rPr>
            </w:pPr>
            <w:r>
              <w:rPr>
                <w:color w:val="000000" w:themeColor="text1"/>
                <w14:textFill>
                  <w14:solidFill>
                    <w14:schemeClr w14:val="tx1"/>
                  </w14:solidFill>
                </w14:textFill>
              </w:rPr>
              <w:t>D2</w:t>
            </w:r>
          </w:p>
        </w:tc>
        <w:tc>
          <w:tcPr>
            <w:tcW w:w="7893" w:type="dxa"/>
            <w:tcBorders>
              <w:top w:val="single" w:color="000000" w:sz="4" w:space="0"/>
              <w:left w:val="single" w:color="000000" w:sz="4" w:space="0"/>
              <w:bottom w:val="single" w:color="000000" w:sz="4" w:space="0"/>
              <w:right w:val="single" w:color="000000" w:sz="8" w:space="0"/>
            </w:tcBorders>
            <w:vAlign w:val="center"/>
          </w:tcPr>
          <w:p w14:paraId="7CDAD0D3">
            <w:pPr>
              <w:pStyle w:val="28"/>
              <w:rPr>
                <w:color w:val="000000" w:themeColor="text1"/>
                <w14:textFill>
                  <w14:solidFill>
                    <w14:schemeClr w14:val="tx1"/>
                  </w14:solidFill>
                </w14:textFill>
              </w:rPr>
            </w:pPr>
            <w:r>
              <w:rPr>
                <w:color w:val="000000" w:themeColor="text1"/>
                <w14:textFill>
                  <w14:solidFill>
                    <w14:schemeClr w14:val="tx1"/>
                  </w14:solidFill>
                </w14:textFill>
              </w:rPr>
              <w:t>0.5m≤Mb&lt;1.0m，K≤1.0×10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cm/s，且分布连续、稳定</w:t>
            </w:r>
          </w:p>
          <w:p w14:paraId="718A2BDB">
            <w:pPr>
              <w:pStyle w:val="28"/>
              <w:rPr>
                <w:color w:val="000000" w:themeColor="text1"/>
                <w14:textFill>
                  <w14:solidFill>
                    <w14:schemeClr w14:val="tx1"/>
                  </w14:solidFill>
                </w14:textFill>
              </w:rPr>
            </w:pPr>
            <w:r>
              <w:rPr>
                <w:color w:val="000000" w:themeColor="text1"/>
                <w14:textFill>
                  <w14:solidFill>
                    <w14:schemeClr w14:val="tx1"/>
                  </w14:solidFill>
                </w14:textFill>
              </w:rPr>
              <w:t>Mb≥1.0m，1.0×10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cm/s&lt;K≤1.0×10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cm/s，且分布连续、稳定</w:t>
            </w:r>
          </w:p>
        </w:tc>
      </w:tr>
      <w:tr w14:paraId="244FBFD4">
        <w:tblPrEx>
          <w:tblCellMar>
            <w:top w:w="0" w:type="dxa"/>
            <w:left w:w="0" w:type="dxa"/>
            <w:bottom w:w="0" w:type="dxa"/>
            <w:right w:w="0" w:type="dxa"/>
          </w:tblCellMar>
        </w:tblPrEx>
        <w:trPr>
          <w:trHeight w:val="20" w:hRule="atLeast"/>
          <w:jc w:val="center"/>
        </w:trPr>
        <w:tc>
          <w:tcPr>
            <w:tcW w:w="1287" w:type="dxa"/>
            <w:tcBorders>
              <w:top w:val="single" w:color="000000" w:sz="4" w:space="0"/>
              <w:left w:val="single" w:color="000000" w:sz="8" w:space="0"/>
              <w:bottom w:val="single" w:color="000000" w:sz="4" w:space="0"/>
              <w:right w:val="single" w:color="000000" w:sz="4" w:space="0"/>
            </w:tcBorders>
            <w:vAlign w:val="center"/>
          </w:tcPr>
          <w:p w14:paraId="01525A25">
            <w:pPr>
              <w:pStyle w:val="28"/>
              <w:rPr>
                <w:color w:val="000000" w:themeColor="text1"/>
                <w14:textFill>
                  <w14:solidFill>
                    <w14:schemeClr w14:val="tx1"/>
                  </w14:solidFill>
                </w14:textFill>
              </w:rPr>
            </w:pPr>
            <w:r>
              <w:rPr>
                <w:color w:val="000000" w:themeColor="text1"/>
                <w14:textFill>
                  <w14:solidFill>
                    <w14:schemeClr w14:val="tx1"/>
                  </w14:solidFill>
                </w14:textFill>
              </w:rPr>
              <w:t>D1</w:t>
            </w:r>
          </w:p>
        </w:tc>
        <w:tc>
          <w:tcPr>
            <w:tcW w:w="7893" w:type="dxa"/>
            <w:tcBorders>
              <w:top w:val="single" w:color="000000" w:sz="4" w:space="0"/>
              <w:left w:val="single" w:color="000000" w:sz="4" w:space="0"/>
              <w:bottom w:val="single" w:color="000000" w:sz="4" w:space="0"/>
              <w:right w:val="single" w:color="000000" w:sz="8" w:space="0"/>
            </w:tcBorders>
            <w:vAlign w:val="center"/>
          </w:tcPr>
          <w:p w14:paraId="4F58FF87">
            <w:pPr>
              <w:pStyle w:val="28"/>
              <w:rPr>
                <w:color w:val="000000" w:themeColor="text1"/>
                <w14:textFill>
                  <w14:solidFill>
                    <w14:schemeClr w14:val="tx1"/>
                  </w14:solidFill>
                </w14:textFill>
              </w:rPr>
            </w:pPr>
            <w:r>
              <w:rPr>
                <w:color w:val="000000" w:themeColor="text1"/>
                <w14:textFill>
                  <w14:solidFill>
                    <w14:schemeClr w14:val="tx1"/>
                  </w14:solidFill>
                </w14:textFill>
              </w:rPr>
              <w:t>岩（土）层不满足上述“D2”和“D3”条件</w:t>
            </w:r>
          </w:p>
        </w:tc>
      </w:tr>
    </w:tbl>
    <w:p w14:paraId="227EE888">
      <w:pPr>
        <w:ind w:firstLine="48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注：Mb为岩土层单层厚度。K为渗透系数。</w:t>
      </w:r>
    </w:p>
    <w:p w14:paraId="79AB6BF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项目区不涉及</w:t>
      </w:r>
      <w:r>
        <w:rPr>
          <w:color w:val="000000" w:themeColor="text1"/>
          <w14:textFill>
            <w14:solidFill>
              <w14:schemeClr w14:val="tx1"/>
            </w14:solidFill>
          </w14:textFill>
        </w:rPr>
        <w:t>集中式饮用水水源保护区</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以外的补给径流区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未划定准保护区的集中式饮用水水源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分散式饮用水水源地</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特殊地下水资源</w:t>
      </w:r>
      <w:r>
        <w:rPr>
          <w:rFonts w:hint="eastAsia"/>
          <w:color w:val="000000" w:themeColor="text1"/>
          <w14:textFill>
            <w14:solidFill>
              <w14:schemeClr w14:val="tx1"/>
            </w14:solidFill>
          </w14:textFill>
        </w:rPr>
        <w:t>等，本项目</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水功能敏感性分区</w:t>
      </w:r>
      <w:r>
        <w:rPr>
          <w:rFonts w:hint="eastAsia"/>
          <w:color w:val="000000" w:themeColor="text1"/>
          <w14:textFill>
            <w14:solidFill>
              <w14:schemeClr w14:val="tx1"/>
            </w14:solidFill>
          </w14:textFill>
        </w:rPr>
        <w:t>为G3。</w:t>
      </w:r>
    </w:p>
    <w:p w14:paraId="4058E1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根据规划环评中的水文地质调查资料，项目区包气带岩土的渗透性系数10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＜K＜10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cm/s，岩土层单层厚 1～4m，因此</w:t>
      </w:r>
      <w:r>
        <w:rPr>
          <w:color w:val="000000" w:themeColor="text1"/>
          <w14:textFill>
            <w14:solidFill>
              <w14:schemeClr w14:val="tx1"/>
            </w14:solidFill>
          </w14:textFill>
        </w:rPr>
        <w:t>包气带防污性能分级</w:t>
      </w:r>
      <w:r>
        <w:rPr>
          <w:rFonts w:hint="eastAsia"/>
          <w:color w:val="000000" w:themeColor="text1"/>
          <w14:textFill>
            <w14:solidFill>
              <w14:schemeClr w14:val="tx1"/>
            </w14:solidFill>
          </w14:textFill>
        </w:rPr>
        <w:t>为D2。</w:t>
      </w:r>
    </w:p>
    <w:p w14:paraId="2CDA78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水环境敏感程度</w:t>
      </w:r>
      <w:r>
        <w:rPr>
          <w:rFonts w:hint="eastAsia"/>
          <w:color w:val="000000" w:themeColor="text1"/>
          <w14:textFill>
            <w14:solidFill>
              <w14:schemeClr w14:val="tx1"/>
            </w14:solidFill>
          </w14:textFill>
        </w:rPr>
        <w:t>分级E3。</w:t>
      </w:r>
    </w:p>
    <w:p w14:paraId="544A74A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3、建设项目环境风险潜势验证</w:t>
      </w:r>
    </w:p>
    <w:p w14:paraId="4769944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根据上述判定，本项目行业及生产工艺特点为M4，危险物质及工艺系统危险性较低，大气环境敏感程度为E1，</w:t>
      </w:r>
      <w:r>
        <w:rPr>
          <w:color w:val="000000" w:themeColor="text1"/>
          <w14:textFill>
            <w14:solidFill>
              <w14:schemeClr w14:val="tx1"/>
            </w14:solidFill>
          </w14:textFill>
        </w:rPr>
        <w:t>地表水环境敏感程度</w:t>
      </w:r>
      <w:r>
        <w:rPr>
          <w:rFonts w:hint="eastAsia"/>
          <w:color w:val="000000" w:themeColor="text1"/>
          <w14:textFill>
            <w14:solidFill>
              <w14:schemeClr w14:val="tx1"/>
            </w14:solidFill>
          </w14:textFill>
        </w:rPr>
        <w:t>分级E2，</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水环境敏感程度</w:t>
      </w:r>
      <w:r>
        <w:rPr>
          <w:rFonts w:hint="eastAsia"/>
          <w:color w:val="000000" w:themeColor="text1"/>
          <w14:textFill>
            <w14:solidFill>
              <w14:schemeClr w14:val="tx1"/>
            </w14:solidFill>
          </w14:textFill>
        </w:rPr>
        <w:t>分级E3。</w:t>
      </w:r>
    </w:p>
    <w:p w14:paraId="3869C2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本项目Q值小于1，本项目环境风险潜势为I，故本评价仅对本项目环境风险做简单分析。</w:t>
      </w:r>
    </w:p>
    <w:p w14:paraId="4C5C70BB">
      <w:pPr>
        <w:pStyle w:val="4"/>
        <w:rPr>
          <w:color w:val="000000" w:themeColor="text1"/>
          <w14:textFill>
            <w14:solidFill>
              <w14:schemeClr w14:val="tx1"/>
            </w14:solidFill>
          </w14:textFill>
        </w:rPr>
      </w:pPr>
      <w:bookmarkStart w:id="20" w:name="_Toc17107"/>
      <w:r>
        <w:rPr>
          <w:rFonts w:hint="eastAsia"/>
          <w:color w:val="000000" w:themeColor="text1"/>
          <w14:textFill>
            <w14:solidFill>
              <w14:schemeClr w14:val="tx1"/>
            </w14:solidFill>
          </w14:textFill>
        </w:rPr>
        <w:t>1.7.2 评价范围</w:t>
      </w:r>
      <w:bookmarkEnd w:id="20"/>
    </w:p>
    <w:p w14:paraId="115D92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根据本项目污染源排放情况，当地地形地貌、气象条件，敏感点分布等，以及各要素环境影响评价技术导则中关于评价范围的确定原则，确定本次评价的范围，详见表</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20，评价范围见附图1.7-1。</w:t>
      </w:r>
    </w:p>
    <w:p w14:paraId="4DC60C1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20  环境影响评价范围</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629"/>
        <w:gridCol w:w="4161"/>
      </w:tblGrid>
      <w:tr w14:paraId="0B1E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41CA17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环境因素</w:t>
            </w:r>
          </w:p>
        </w:tc>
        <w:tc>
          <w:tcPr>
            <w:tcW w:w="2629" w:type="dxa"/>
            <w:vAlign w:val="center"/>
          </w:tcPr>
          <w:p w14:paraId="00F4B1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评价等级</w:t>
            </w:r>
          </w:p>
        </w:tc>
        <w:tc>
          <w:tcPr>
            <w:tcW w:w="4161" w:type="dxa"/>
            <w:vAlign w:val="center"/>
          </w:tcPr>
          <w:p w14:paraId="464CCB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w:t>
            </w:r>
          </w:p>
        </w:tc>
      </w:tr>
      <w:tr w14:paraId="2DD5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307B43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2629" w:type="dxa"/>
            <w:vAlign w:val="center"/>
          </w:tcPr>
          <w:p w14:paraId="03D783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4161" w:type="dxa"/>
            <w:vAlign w:val="center"/>
          </w:tcPr>
          <w:p w14:paraId="7DCFF4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厂址为中心，边长5km的矩形范围</w:t>
            </w:r>
          </w:p>
        </w:tc>
      </w:tr>
      <w:tr w14:paraId="2831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053217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2629" w:type="dxa"/>
            <w:vAlign w:val="center"/>
          </w:tcPr>
          <w:p w14:paraId="6DCA87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t>B</w:t>
            </w:r>
          </w:p>
        </w:tc>
        <w:tc>
          <w:tcPr>
            <w:tcW w:w="4161" w:type="dxa"/>
            <w:vAlign w:val="center"/>
          </w:tcPr>
          <w:p w14:paraId="0DBD09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tc>
      </w:tr>
      <w:tr w14:paraId="1008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10D3B8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2629" w:type="dxa"/>
            <w:vAlign w:val="center"/>
          </w:tcPr>
          <w:p w14:paraId="256684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161" w:type="dxa"/>
            <w:vAlign w:val="center"/>
          </w:tcPr>
          <w:p w14:paraId="68FB69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E17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37634B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629" w:type="dxa"/>
            <w:vAlign w:val="center"/>
          </w:tcPr>
          <w:p w14:paraId="774840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4161" w:type="dxa"/>
            <w:vAlign w:val="center"/>
          </w:tcPr>
          <w:p w14:paraId="29DAE8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厂界外200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范围内</w:t>
            </w:r>
          </w:p>
        </w:tc>
      </w:tr>
      <w:tr w14:paraId="4FB0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7DCF8B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2629" w:type="dxa"/>
            <w:vAlign w:val="center"/>
          </w:tcPr>
          <w:p w14:paraId="1E394A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简单分析</w:t>
            </w:r>
          </w:p>
        </w:tc>
        <w:tc>
          <w:tcPr>
            <w:tcW w:w="4161" w:type="dxa"/>
            <w:vAlign w:val="center"/>
          </w:tcPr>
          <w:p w14:paraId="16F4FD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599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6" w:type="dxa"/>
            <w:vAlign w:val="center"/>
          </w:tcPr>
          <w:p w14:paraId="3F47F4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w:t>
            </w:r>
          </w:p>
        </w:tc>
        <w:tc>
          <w:tcPr>
            <w:tcW w:w="2629" w:type="dxa"/>
            <w:vAlign w:val="center"/>
          </w:tcPr>
          <w:p w14:paraId="466BB6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4161" w:type="dxa"/>
            <w:vAlign w:val="center"/>
          </w:tcPr>
          <w:p w14:paraId="2D3C83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厂界外200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范围内</w:t>
            </w:r>
          </w:p>
        </w:tc>
      </w:tr>
      <w:tr w14:paraId="3BD7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26" w:type="dxa"/>
            <w:vAlign w:val="center"/>
          </w:tcPr>
          <w:p w14:paraId="65B7CF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2629" w:type="dxa"/>
            <w:vAlign w:val="center"/>
          </w:tcPr>
          <w:p w14:paraId="57AD35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简单分析</w:t>
            </w:r>
          </w:p>
        </w:tc>
        <w:tc>
          <w:tcPr>
            <w:tcW w:w="4161" w:type="dxa"/>
            <w:vAlign w:val="center"/>
          </w:tcPr>
          <w:p w14:paraId="2AE204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3D767550">
      <w:pPr>
        <w:ind w:firstLine="0" w:firstLineChars="0"/>
        <w:rPr>
          <w:color w:val="000000" w:themeColor="text1"/>
          <w14:textFill>
            <w14:solidFill>
              <w14:schemeClr w14:val="tx1"/>
            </w14:solidFill>
          </w14:textFill>
        </w:rPr>
        <w:sectPr>
          <w:footerReference r:id="rId11" w:type="default"/>
          <w:pgSz w:w="11906" w:h="16838"/>
          <w:pgMar w:top="1440" w:right="1800" w:bottom="1440" w:left="1800" w:header="907" w:footer="992" w:gutter="0"/>
          <w:pgNumType w:start="1"/>
          <w:cols w:space="425" w:num="1"/>
          <w:docGrid w:type="lines" w:linePitch="312" w:charSpace="0"/>
        </w:sectPr>
      </w:pPr>
    </w:p>
    <w:p w14:paraId="6B4FE42B">
      <w:pPr>
        <w:pStyle w:val="3"/>
        <w:rPr>
          <w:color w:val="000000" w:themeColor="text1"/>
          <w14:textFill>
            <w14:solidFill>
              <w14:schemeClr w14:val="tx1"/>
            </w14:solidFill>
          </w14:textFill>
        </w:rPr>
      </w:pPr>
      <w:bookmarkStart w:id="21" w:name="_Toc29048"/>
      <w:r>
        <w:rPr>
          <w:rFonts w:hint="eastAsia"/>
          <w:color w:val="000000" w:themeColor="text1"/>
          <w14:textFill>
            <w14:solidFill>
              <w14:schemeClr w14:val="tx1"/>
            </w14:solidFill>
          </w14:textFill>
        </w:rPr>
        <w:t>1.8 环境保护目标</w:t>
      </w:r>
      <w:bookmarkEnd w:id="21"/>
    </w:p>
    <w:p w14:paraId="474F8A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本项目环境保护目标详见表1.8-1</w:t>
      </w:r>
    </w:p>
    <w:p w14:paraId="318C839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表1.8-1 环境保护目标一览表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40"/>
        <w:gridCol w:w="407"/>
        <w:gridCol w:w="1351"/>
        <w:gridCol w:w="1560"/>
        <w:gridCol w:w="1575"/>
        <w:gridCol w:w="1065"/>
        <w:gridCol w:w="1305"/>
        <w:gridCol w:w="690"/>
        <w:gridCol w:w="915"/>
        <w:gridCol w:w="3722"/>
      </w:tblGrid>
      <w:tr w14:paraId="497F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tcBorders>
              <w:tl2br w:val="nil"/>
              <w:tr2bl w:val="nil"/>
            </w:tcBorders>
            <w:noWrap/>
            <w:vAlign w:val="center"/>
          </w:tcPr>
          <w:p w14:paraId="76A156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314" w:type="pct"/>
            <w:gridSpan w:val="2"/>
            <w:vMerge w:val="restart"/>
            <w:tcBorders>
              <w:tl2br w:val="nil"/>
              <w:tr2bl w:val="nil"/>
            </w:tcBorders>
            <w:noWrap/>
            <w:vAlign w:val="center"/>
          </w:tcPr>
          <w:p w14:paraId="2679B4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02" w:type="pct"/>
            <w:vMerge w:val="restart"/>
            <w:tcBorders>
              <w:tl2br w:val="nil"/>
              <w:tr2bl w:val="nil"/>
            </w:tcBorders>
            <w:noWrap/>
            <w:vAlign w:val="center"/>
          </w:tcPr>
          <w:p w14:paraId="261CBF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保护目标</w:t>
            </w:r>
          </w:p>
        </w:tc>
        <w:tc>
          <w:tcPr>
            <w:tcW w:w="1165" w:type="pct"/>
            <w:gridSpan w:val="2"/>
            <w:tcBorders>
              <w:tl2br w:val="nil"/>
              <w:tr2bl w:val="nil"/>
            </w:tcBorders>
            <w:noWrap/>
            <w:vAlign w:val="center"/>
          </w:tcPr>
          <w:p w14:paraId="37F05D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坐标</w:t>
            </w:r>
          </w:p>
        </w:tc>
        <w:tc>
          <w:tcPr>
            <w:tcW w:w="1137" w:type="pct"/>
            <w:gridSpan w:val="3"/>
            <w:tcBorders>
              <w:tl2br w:val="nil"/>
              <w:tr2bl w:val="nil"/>
            </w:tcBorders>
            <w:noWrap/>
            <w:vAlign w:val="center"/>
          </w:tcPr>
          <w:p w14:paraId="1B17D2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位置关系</w:t>
            </w:r>
          </w:p>
        </w:tc>
        <w:tc>
          <w:tcPr>
            <w:tcW w:w="340" w:type="pct"/>
            <w:vMerge w:val="restart"/>
            <w:tcBorders>
              <w:tl2br w:val="nil"/>
              <w:tr2bl w:val="nil"/>
            </w:tcBorders>
            <w:noWrap/>
            <w:vAlign w:val="center"/>
          </w:tcPr>
          <w:p w14:paraId="46F415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保护对象（人）</w:t>
            </w:r>
          </w:p>
        </w:tc>
        <w:tc>
          <w:tcPr>
            <w:tcW w:w="1383" w:type="pct"/>
            <w:vMerge w:val="restart"/>
            <w:tcBorders>
              <w:tl2br w:val="nil"/>
              <w:tr2bl w:val="nil"/>
            </w:tcBorders>
            <w:noWrap/>
            <w:vAlign w:val="center"/>
          </w:tcPr>
          <w:p w14:paraId="1CE99E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保护标准</w:t>
            </w:r>
          </w:p>
        </w:tc>
      </w:tr>
      <w:tr w14:paraId="098E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47B6D47D">
            <w:pPr>
              <w:pStyle w:val="28"/>
              <w:rPr>
                <w:color w:val="000000" w:themeColor="text1"/>
                <w14:textFill>
                  <w14:solidFill>
                    <w14:schemeClr w14:val="tx1"/>
                  </w14:solidFill>
                </w14:textFill>
              </w:rPr>
            </w:pPr>
          </w:p>
        </w:tc>
        <w:tc>
          <w:tcPr>
            <w:tcW w:w="314" w:type="pct"/>
            <w:gridSpan w:val="2"/>
            <w:vMerge w:val="continue"/>
            <w:tcBorders>
              <w:tl2br w:val="nil"/>
              <w:tr2bl w:val="nil"/>
            </w:tcBorders>
            <w:noWrap/>
            <w:vAlign w:val="center"/>
          </w:tcPr>
          <w:p w14:paraId="4C02A5E9">
            <w:pPr>
              <w:pStyle w:val="28"/>
              <w:rPr>
                <w:color w:val="000000" w:themeColor="text1"/>
                <w14:textFill>
                  <w14:solidFill>
                    <w14:schemeClr w14:val="tx1"/>
                  </w14:solidFill>
                </w14:textFill>
              </w:rPr>
            </w:pPr>
          </w:p>
        </w:tc>
        <w:tc>
          <w:tcPr>
            <w:tcW w:w="502" w:type="pct"/>
            <w:vMerge w:val="continue"/>
            <w:tcBorders>
              <w:tl2br w:val="nil"/>
              <w:tr2bl w:val="nil"/>
            </w:tcBorders>
            <w:noWrap/>
            <w:vAlign w:val="center"/>
          </w:tcPr>
          <w:p w14:paraId="1CA3C811">
            <w:pPr>
              <w:pStyle w:val="28"/>
              <w:rPr>
                <w:color w:val="000000" w:themeColor="text1"/>
                <w14:textFill>
                  <w14:solidFill>
                    <w14:schemeClr w14:val="tx1"/>
                  </w14:solidFill>
                </w14:textFill>
              </w:rPr>
            </w:pPr>
          </w:p>
        </w:tc>
        <w:tc>
          <w:tcPr>
            <w:tcW w:w="580" w:type="pct"/>
            <w:tcBorders>
              <w:tl2br w:val="nil"/>
              <w:tr2bl w:val="nil"/>
            </w:tcBorders>
            <w:noWrap/>
            <w:vAlign w:val="center"/>
          </w:tcPr>
          <w:p w14:paraId="523F07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经度(°)</w:t>
            </w:r>
          </w:p>
        </w:tc>
        <w:tc>
          <w:tcPr>
            <w:tcW w:w="585" w:type="pct"/>
            <w:tcBorders>
              <w:tl2br w:val="nil"/>
              <w:tr2bl w:val="nil"/>
            </w:tcBorders>
            <w:noWrap/>
            <w:vAlign w:val="center"/>
          </w:tcPr>
          <w:p w14:paraId="57152C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纬度(°)</w:t>
            </w:r>
          </w:p>
        </w:tc>
        <w:tc>
          <w:tcPr>
            <w:tcW w:w="395" w:type="pct"/>
            <w:tcBorders>
              <w:tl2br w:val="nil"/>
              <w:tr2bl w:val="nil"/>
            </w:tcBorders>
            <w:shd w:val="clear" w:color="auto" w:fill="auto"/>
            <w:noWrap/>
            <w:vAlign w:val="center"/>
          </w:tcPr>
          <w:p w14:paraId="624A59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项目边界距离(m)</w:t>
            </w:r>
          </w:p>
        </w:tc>
        <w:tc>
          <w:tcPr>
            <w:tcW w:w="485" w:type="pct"/>
            <w:tcBorders>
              <w:tl2br w:val="nil"/>
              <w:tr2bl w:val="nil"/>
            </w:tcBorders>
            <w:shd w:val="clear" w:color="auto" w:fill="auto"/>
            <w:noWrap/>
            <w:vAlign w:val="center"/>
          </w:tcPr>
          <w:p w14:paraId="2E71FF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所在厂址厂界距离(m)</w:t>
            </w:r>
          </w:p>
        </w:tc>
        <w:tc>
          <w:tcPr>
            <w:tcW w:w="256" w:type="pct"/>
            <w:tcBorders>
              <w:tl2br w:val="nil"/>
              <w:tr2bl w:val="nil"/>
            </w:tcBorders>
            <w:shd w:val="clear" w:color="auto" w:fill="auto"/>
            <w:noWrap/>
            <w:vAlign w:val="center"/>
          </w:tcPr>
          <w:p w14:paraId="595100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方位</w:t>
            </w:r>
          </w:p>
        </w:tc>
        <w:tc>
          <w:tcPr>
            <w:tcW w:w="340" w:type="pct"/>
            <w:vMerge w:val="continue"/>
            <w:tcBorders>
              <w:tl2br w:val="nil"/>
              <w:tr2bl w:val="nil"/>
            </w:tcBorders>
            <w:noWrap/>
            <w:vAlign w:val="center"/>
          </w:tcPr>
          <w:p w14:paraId="138AD99A">
            <w:pPr>
              <w:pStyle w:val="28"/>
              <w:rPr>
                <w:color w:val="000000" w:themeColor="text1"/>
                <w14:textFill>
                  <w14:solidFill>
                    <w14:schemeClr w14:val="tx1"/>
                  </w14:solidFill>
                </w14:textFill>
              </w:rPr>
            </w:pPr>
          </w:p>
        </w:tc>
        <w:tc>
          <w:tcPr>
            <w:tcW w:w="1383" w:type="pct"/>
            <w:vMerge w:val="continue"/>
            <w:tcBorders>
              <w:tl2br w:val="nil"/>
              <w:tr2bl w:val="nil"/>
            </w:tcBorders>
            <w:noWrap/>
            <w:vAlign w:val="center"/>
          </w:tcPr>
          <w:p w14:paraId="50CAA7A9">
            <w:pPr>
              <w:pStyle w:val="28"/>
              <w:rPr>
                <w:color w:val="000000" w:themeColor="text1"/>
                <w14:textFill>
                  <w14:solidFill>
                    <w14:schemeClr w14:val="tx1"/>
                  </w14:solidFill>
                </w14:textFill>
              </w:rPr>
            </w:pPr>
          </w:p>
        </w:tc>
      </w:tr>
      <w:tr w14:paraId="2FCD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tcBorders>
              <w:tl2br w:val="nil"/>
              <w:tr2bl w:val="nil"/>
            </w:tcBorders>
            <w:noWrap/>
            <w:vAlign w:val="center"/>
          </w:tcPr>
          <w:p w14:paraId="483B25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314" w:type="pct"/>
            <w:gridSpan w:val="2"/>
            <w:tcBorders>
              <w:tl2br w:val="nil"/>
              <w:tr2bl w:val="nil"/>
            </w:tcBorders>
            <w:shd w:val="clear" w:color="auto" w:fill="auto"/>
            <w:noWrap/>
            <w:vAlign w:val="center"/>
          </w:tcPr>
          <w:p w14:paraId="2011A8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tcBorders>
              <w:tl2br w:val="nil"/>
              <w:tr2bl w:val="nil"/>
            </w:tcBorders>
            <w:shd w:val="clear" w:color="auto" w:fill="auto"/>
            <w:noWrap/>
            <w:vAlign w:val="center"/>
          </w:tcPr>
          <w:p w14:paraId="606BA8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大莲池</w:t>
            </w:r>
          </w:p>
        </w:tc>
        <w:tc>
          <w:tcPr>
            <w:tcW w:w="580" w:type="pct"/>
            <w:tcBorders>
              <w:tl2br w:val="nil"/>
              <w:tr2bl w:val="nil"/>
            </w:tcBorders>
            <w:shd w:val="clear" w:color="auto" w:fill="auto"/>
            <w:noWrap/>
            <w:vAlign w:val="center"/>
          </w:tcPr>
          <w:p w14:paraId="1D2148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102.528029</w:t>
            </w:r>
          </w:p>
        </w:tc>
        <w:tc>
          <w:tcPr>
            <w:tcW w:w="585" w:type="pct"/>
            <w:tcBorders>
              <w:tl2br w:val="nil"/>
              <w:tr2bl w:val="nil"/>
            </w:tcBorders>
            <w:shd w:val="clear" w:color="auto" w:fill="auto"/>
            <w:noWrap/>
            <w:vAlign w:val="center"/>
          </w:tcPr>
          <w:p w14:paraId="20F8A5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24.439169</w:t>
            </w:r>
          </w:p>
        </w:tc>
        <w:tc>
          <w:tcPr>
            <w:tcW w:w="395" w:type="pct"/>
            <w:tcBorders>
              <w:tl2br w:val="nil"/>
              <w:tr2bl w:val="nil"/>
            </w:tcBorders>
            <w:shd w:val="clear" w:color="auto" w:fill="auto"/>
            <w:noWrap/>
            <w:vAlign w:val="center"/>
          </w:tcPr>
          <w:p w14:paraId="7E03A8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485" w:type="pct"/>
            <w:tcBorders>
              <w:tl2br w:val="nil"/>
              <w:tr2bl w:val="nil"/>
            </w:tcBorders>
            <w:shd w:val="clear" w:color="auto" w:fill="auto"/>
            <w:noWrap/>
            <w:vAlign w:val="center"/>
          </w:tcPr>
          <w:p w14:paraId="4AEC41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256" w:type="pct"/>
            <w:tcBorders>
              <w:tl2br w:val="nil"/>
              <w:tr2bl w:val="nil"/>
            </w:tcBorders>
            <w:shd w:val="clear" w:color="auto" w:fill="auto"/>
            <w:noWrap/>
            <w:vAlign w:val="center"/>
          </w:tcPr>
          <w:p w14:paraId="6D6CEA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tcBorders>
              <w:tl2br w:val="nil"/>
              <w:tr2bl w:val="nil"/>
            </w:tcBorders>
            <w:noWrap/>
            <w:vAlign w:val="center"/>
          </w:tcPr>
          <w:p w14:paraId="065AA4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1383" w:type="pct"/>
            <w:vMerge w:val="restart"/>
            <w:tcBorders>
              <w:tl2br w:val="nil"/>
              <w:tr2bl w:val="nil"/>
            </w:tcBorders>
            <w:noWrap/>
            <w:vAlign w:val="center"/>
          </w:tcPr>
          <w:p w14:paraId="5E70FE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w:t>
            </w:r>
            <w:r>
              <w:rPr>
                <w:color w:val="000000" w:themeColor="text1"/>
                <w14:textFill>
                  <w14:solidFill>
                    <w14:schemeClr w14:val="tx1"/>
                  </w14:solidFill>
                </w14:textFill>
              </w:rPr>
              <w:t>GB3095-</w:t>
            </w:r>
            <w:r>
              <w:rPr>
                <w:rFonts w:hint="eastAsia"/>
                <w:color w:val="000000" w:themeColor="text1"/>
                <w14:textFill>
                  <w14:solidFill>
                    <w14:schemeClr w14:val="tx1"/>
                  </w14:solidFill>
                </w14:textFill>
              </w:rPr>
              <w:t>2026）过渡阶段二级标准、《环境影响评价技术导则-大气环境》（HJ 2.2-2018）附录D</w:t>
            </w:r>
          </w:p>
        </w:tc>
      </w:tr>
      <w:tr w14:paraId="6479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6BAA2882">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79E0EE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tcBorders>
              <w:tl2br w:val="nil"/>
              <w:tr2bl w:val="nil"/>
            </w:tcBorders>
            <w:shd w:val="clear" w:color="auto" w:fill="auto"/>
            <w:noWrap/>
            <w:vAlign w:val="center"/>
          </w:tcPr>
          <w:p w14:paraId="451A29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莲池村</w:t>
            </w:r>
          </w:p>
        </w:tc>
        <w:tc>
          <w:tcPr>
            <w:tcW w:w="580" w:type="pct"/>
            <w:tcBorders>
              <w:tl2br w:val="nil"/>
              <w:tr2bl w:val="nil"/>
            </w:tcBorders>
            <w:shd w:val="clear" w:color="auto" w:fill="auto"/>
            <w:noWrap/>
            <w:vAlign w:val="center"/>
          </w:tcPr>
          <w:p w14:paraId="17BC51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102.529595</w:t>
            </w:r>
          </w:p>
        </w:tc>
        <w:tc>
          <w:tcPr>
            <w:tcW w:w="585" w:type="pct"/>
            <w:tcBorders>
              <w:tl2br w:val="nil"/>
              <w:tr2bl w:val="nil"/>
            </w:tcBorders>
            <w:shd w:val="clear" w:color="auto" w:fill="auto"/>
            <w:noWrap/>
            <w:vAlign w:val="center"/>
          </w:tcPr>
          <w:p w14:paraId="2E84A6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24.437489</w:t>
            </w:r>
          </w:p>
        </w:tc>
        <w:tc>
          <w:tcPr>
            <w:tcW w:w="395" w:type="pct"/>
            <w:tcBorders>
              <w:tl2br w:val="nil"/>
              <w:tr2bl w:val="nil"/>
            </w:tcBorders>
            <w:shd w:val="clear" w:color="auto" w:fill="auto"/>
            <w:noWrap/>
            <w:vAlign w:val="center"/>
          </w:tcPr>
          <w:p w14:paraId="31F8A3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190</w:t>
            </w:r>
          </w:p>
        </w:tc>
        <w:tc>
          <w:tcPr>
            <w:tcW w:w="485" w:type="pct"/>
            <w:tcBorders>
              <w:tl2br w:val="nil"/>
              <w:tr2bl w:val="nil"/>
            </w:tcBorders>
            <w:shd w:val="clear" w:color="auto" w:fill="auto"/>
            <w:noWrap/>
            <w:vAlign w:val="center"/>
          </w:tcPr>
          <w:p w14:paraId="04F3E3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256" w:type="pct"/>
            <w:tcBorders>
              <w:tl2br w:val="nil"/>
              <w:tr2bl w:val="nil"/>
            </w:tcBorders>
            <w:shd w:val="clear" w:color="auto" w:fill="auto"/>
            <w:noWrap/>
            <w:vAlign w:val="center"/>
          </w:tcPr>
          <w:p w14:paraId="2AAA6C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tcBorders>
              <w:tl2br w:val="nil"/>
              <w:tr2bl w:val="nil"/>
            </w:tcBorders>
            <w:noWrap/>
            <w:vAlign w:val="center"/>
          </w:tcPr>
          <w:p w14:paraId="670F2F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1383" w:type="pct"/>
            <w:vMerge w:val="continue"/>
            <w:tcBorders>
              <w:tl2br w:val="nil"/>
              <w:tr2bl w:val="nil"/>
            </w:tcBorders>
            <w:noWrap/>
            <w:vAlign w:val="center"/>
          </w:tcPr>
          <w:p w14:paraId="4C90A78F">
            <w:pPr>
              <w:pStyle w:val="28"/>
              <w:rPr>
                <w:color w:val="000000" w:themeColor="text1"/>
                <w14:textFill>
                  <w14:solidFill>
                    <w14:schemeClr w14:val="tx1"/>
                  </w14:solidFill>
                </w14:textFill>
              </w:rPr>
            </w:pPr>
          </w:p>
        </w:tc>
      </w:tr>
      <w:tr w14:paraId="79F6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1157266B">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576984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2" w:type="pct"/>
            <w:tcBorders>
              <w:tl2br w:val="nil"/>
              <w:tr2bl w:val="nil"/>
            </w:tcBorders>
            <w:shd w:val="clear" w:color="auto" w:fill="auto"/>
            <w:noWrap/>
            <w:vAlign w:val="center"/>
          </w:tcPr>
          <w:p w14:paraId="061E53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高家屯</w:t>
            </w:r>
          </w:p>
        </w:tc>
        <w:tc>
          <w:tcPr>
            <w:tcW w:w="580" w:type="pct"/>
            <w:tcBorders>
              <w:tl2br w:val="nil"/>
              <w:tr2bl w:val="nil"/>
            </w:tcBorders>
            <w:shd w:val="clear" w:color="auto" w:fill="auto"/>
            <w:noWrap/>
            <w:vAlign w:val="center"/>
          </w:tcPr>
          <w:p w14:paraId="546F19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102.525818</w:t>
            </w:r>
          </w:p>
        </w:tc>
        <w:tc>
          <w:tcPr>
            <w:tcW w:w="585" w:type="pct"/>
            <w:tcBorders>
              <w:tl2br w:val="nil"/>
              <w:tr2bl w:val="nil"/>
            </w:tcBorders>
            <w:shd w:val="clear" w:color="auto" w:fill="auto"/>
            <w:noWrap/>
            <w:vAlign w:val="center"/>
          </w:tcPr>
          <w:p w14:paraId="4536E8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24.433719</w:t>
            </w:r>
          </w:p>
        </w:tc>
        <w:tc>
          <w:tcPr>
            <w:tcW w:w="395" w:type="pct"/>
            <w:tcBorders>
              <w:tl2br w:val="nil"/>
              <w:tr2bl w:val="nil"/>
            </w:tcBorders>
            <w:shd w:val="clear" w:color="auto" w:fill="auto"/>
            <w:noWrap/>
            <w:vAlign w:val="center"/>
          </w:tcPr>
          <w:p w14:paraId="668B7D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240</w:t>
            </w:r>
          </w:p>
        </w:tc>
        <w:tc>
          <w:tcPr>
            <w:tcW w:w="485" w:type="pct"/>
            <w:tcBorders>
              <w:tl2br w:val="nil"/>
              <w:tr2bl w:val="nil"/>
            </w:tcBorders>
            <w:shd w:val="clear" w:color="auto" w:fill="auto"/>
            <w:noWrap/>
            <w:vAlign w:val="center"/>
          </w:tcPr>
          <w:p w14:paraId="72E2BD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56" w:type="pct"/>
            <w:tcBorders>
              <w:tl2br w:val="nil"/>
              <w:tr2bl w:val="nil"/>
            </w:tcBorders>
            <w:shd w:val="clear" w:color="auto" w:fill="auto"/>
            <w:noWrap/>
            <w:vAlign w:val="center"/>
          </w:tcPr>
          <w:p w14:paraId="106594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tcBorders>
              <w:tl2br w:val="nil"/>
              <w:tr2bl w:val="nil"/>
            </w:tcBorders>
            <w:noWrap/>
            <w:vAlign w:val="center"/>
          </w:tcPr>
          <w:p w14:paraId="23F0CF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950</w:t>
            </w:r>
          </w:p>
        </w:tc>
        <w:tc>
          <w:tcPr>
            <w:tcW w:w="1383" w:type="pct"/>
            <w:vMerge w:val="continue"/>
            <w:tcBorders>
              <w:tl2br w:val="nil"/>
              <w:tr2bl w:val="nil"/>
            </w:tcBorders>
            <w:noWrap/>
            <w:vAlign w:val="center"/>
          </w:tcPr>
          <w:p w14:paraId="68615B3E">
            <w:pPr>
              <w:pStyle w:val="28"/>
              <w:rPr>
                <w:color w:val="000000" w:themeColor="text1"/>
                <w14:textFill>
                  <w14:solidFill>
                    <w14:schemeClr w14:val="tx1"/>
                  </w14:solidFill>
                </w14:textFill>
              </w:rPr>
            </w:pPr>
          </w:p>
        </w:tc>
      </w:tr>
      <w:tr w14:paraId="250D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768D37E6">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22A67C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02" w:type="pct"/>
            <w:tcBorders>
              <w:tl2br w:val="nil"/>
              <w:tr2bl w:val="nil"/>
            </w:tcBorders>
            <w:shd w:val="clear" w:color="auto" w:fill="auto"/>
            <w:noWrap/>
            <w:vAlign w:val="center"/>
          </w:tcPr>
          <w:p w14:paraId="67F1BE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陆家屯</w:t>
            </w:r>
          </w:p>
        </w:tc>
        <w:tc>
          <w:tcPr>
            <w:tcW w:w="580" w:type="pct"/>
            <w:tcBorders>
              <w:tl2br w:val="nil"/>
              <w:tr2bl w:val="nil"/>
            </w:tcBorders>
            <w:shd w:val="clear" w:color="auto" w:fill="auto"/>
            <w:noWrap/>
            <w:vAlign w:val="center"/>
          </w:tcPr>
          <w:p w14:paraId="401A0B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102.523158</w:t>
            </w:r>
          </w:p>
        </w:tc>
        <w:tc>
          <w:tcPr>
            <w:tcW w:w="585" w:type="pct"/>
            <w:tcBorders>
              <w:tl2br w:val="nil"/>
              <w:tr2bl w:val="nil"/>
            </w:tcBorders>
            <w:shd w:val="clear" w:color="auto" w:fill="auto"/>
            <w:noWrap/>
            <w:vAlign w:val="center"/>
          </w:tcPr>
          <w:p w14:paraId="42384C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24.434227</w:t>
            </w:r>
          </w:p>
        </w:tc>
        <w:tc>
          <w:tcPr>
            <w:tcW w:w="395" w:type="pct"/>
            <w:tcBorders>
              <w:tl2br w:val="nil"/>
              <w:tr2bl w:val="nil"/>
            </w:tcBorders>
            <w:shd w:val="clear" w:color="auto" w:fill="auto"/>
            <w:noWrap/>
            <w:vAlign w:val="center"/>
          </w:tcPr>
          <w:p w14:paraId="04D8AF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350</w:t>
            </w:r>
          </w:p>
        </w:tc>
        <w:tc>
          <w:tcPr>
            <w:tcW w:w="485" w:type="pct"/>
            <w:tcBorders>
              <w:tl2br w:val="nil"/>
              <w:tr2bl w:val="nil"/>
            </w:tcBorders>
            <w:shd w:val="clear" w:color="auto" w:fill="auto"/>
            <w:noWrap/>
            <w:vAlign w:val="center"/>
          </w:tcPr>
          <w:p w14:paraId="5DAF95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145</w:t>
            </w:r>
          </w:p>
        </w:tc>
        <w:tc>
          <w:tcPr>
            <w:tcW w:w="256" w:type="pct"/>
            <w:tcBorders>
              <w:tl2br w:val="nil"/>
              <w:tr2bl w:val="nil"/>
            </w:tcBorders>
            <w:shd w:val="clear" w:color="auto" w:fill="auto"/>
            <w:noWrap/>
            <w:vAlign w:val="center"/>
          </w:tcPr>
          <w:p w14:paraId="07BFEA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tcBorders>
              <w:tl2br w:val="nil"/>
              <w:tr2bl w:val="nil"/>
            </w:tcBorders>
            <w:noWrap/>
            <w:vAlign w:val="center"/>
          </w:tcPr>
          <w:p w14:paraId="688F33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1050</w:t>
            </w:r>
          </w:p>
        </w:tc>
        <w:tc>
          <w:tcPr>
            <w:tcW w:w="1383" w:type="pct"/>
            <w:vMerge w:val="continue"/>
            <w:tcBorders>
              <w:tl2br w:val="nil"/>
              <w:tr2bl w:val="nil"/>
            </w:tcBorders>
            <w:noWrap/>
            <w:vAlign w:val="center"/>
          </w:tcPr>
          <w:p w14:paraId="58ADF7F0">
            <w:pPr>
              <w:pStyle w:val="28"/>
              <w:rPr>
                <w:color w:val="000000" w:themeColor="text1"/>
                <w14:textFill>
                  <w14:solidFill>
                    <w14:schemeClr w14:val="tx1"/>
                  </w14:solidFill>
                </w14:textFill>
              </w:rPr>
            </w:pPr>
          </w:p>
        </w:tc>
      </w:tr>
      <w:tr w14:paraId="3FA9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16317E27">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03C16B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02" w:type="pct"/>
            <w:tcBorders>
              <w:tl2br w:val="nil"/>
              <w:tr2bl w:val="nil"/>
            </w:tcBorders>
            <w:shd w:val="clear" w:color="auto" w:fill="auto"/>
            <w:noWrap/>
            <w:vAlign w:val="center"/>
          </w:tcPr>
          <w:p w14:paraId="2E4B6B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中莲池</w:t>
            </w:r>
          </w:p>
        </w:tc>
        <w:tc>
          <w:tcPr>
            <w:tcW w:w="580" w:type="pct"/>
            <w:tcBorders>
              <w:tl2br w:val="nil"/>
              <w:tr2bl w:val="nil"/>
            </w:tcBorders>
            <w:shd w:val="clear" w:color="auto" w:fill="auto"/>
            <w:noWrap/>
            <w:vAlign w:val="center"/>
          </w:tcPr>
          <w:p w14:paraId="1E7100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102.52981</w:t>
            </w:r>
          </w:p>
        </w:tc>
        <w:tc>
          <w:tcPr>
            <w:tcW w:w="585" w:type="pct"/>
            <w:tcBorders>
              <w:tl2br w:val="nil"/>
              <w:tr2bl w:val="nil"/>
            </w:tcBorders>
            <w:shd w:val="clear" w:color="auto" w:fill="auto"/>
            <w:noWrap/>
            <w:vAlign w:val="center"/>
          </w:tcPr>
          <w:p w14:paraId="702C72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24.441259</w:t>
            </w:r>
          </w:p>
        </w:tc>
        <w:tc>
          <w:tcPr>
            <w:tcW w:w="395" w:type="pct"/>
            <w:tcBorders>
              <w:tl2br w:val="nil"/>
              <w:tr2bl w:val="nil"/>
            </w:tcBorders>
            <w:shd w:val="clear" w:color="auto" w:fill="auto"/>
            <w:noWrap/>
            <w:vAlign w:val="center"/>
          </w:tcPr>
          <w:p w14:paraId="742546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390</w:t>
            </w:r>
          </w:p>
        </w:tc>
        <w:tc>
          <w:tcPr>
            <w:tcW w:w="485" w:type="pct"/>
            <w:tcBorders>
              <w:tl2br w:val="nil"/>
              <w:tr2bl w:val="nil"/>
            </w:tcBorders>
            <w:shd w:val="clear" w:color="auto" w:fill="auto"/>
            <w:noWrap/>
            <w:vAlign w:val="center"/>
          </w:tcPr>
          <w:p w14:paraId="21D14A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256" w:type="pct"/>
            <w:tcBorders>
              <w:tl2br w:val="nil"/>
              <w:tr2bl w:val="nil"/>
            </w:tcBorders>
            <w:shd w:val="clear" w:color="auto" w:fill="auto"/>
            <w:noWrap/>
            <w:vAlign w:val="center"/>
          </w:tcPr>
          <w:p w14:paraId="550C67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340" w:type="pct"/>
            <w:tcBorders>
              <w:tl2br w:val="nil"/>
              <w:tr2bl w:val="nil"/>
            </w:tcBorders>
            <w:noWrap/>
            <w:vAlign w:val="center"/>
          </w:tcPr>
          <w:p w14:paraId="57E946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1262</w:t>
            </w:r>
          </w:p>
        </w:tc>
        <w:tc>
          <w:tcPr>
            <w:tcW w:w="1383" w:type="pct"/>
            <w:vMerge w:val="continue"/>
            <w:tcBorders>
              <w:tl2br w:val="nil"/>
              <w:tr2bl w:val="nil"/>
            </w:tcBorders>
            <w:noWrap/>
            <w:vAlign w:val="center"/>
          </w:tcPr>
          <w:p w14:paraId="2B4CE2E9">
            <w:pPr>
              <w:pStyle w:val="28"/>
              <w:rPr>
                <w:color w:val="000000" w:themeColor="text1"/>
                <w14:textFill>
                  <w14:solidFill>
                    <w14:schemeClr w14:val="tx1"/>
                  </w14:solidFill>
                </w14:textFill>
              </w:rPr>
            </w:pPr>
          </w:p>
        </w:tc>
      </w:tr>
      <w:tr w14:paraId="628E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72505226">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0E6C68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02" w:type="pct"/>
            <w:tcBorders>
              <w:tl2br w:val="nil"/>
              <w:tr2bl w:val="nil"/>
            </w:tcBorders>
            <w:shd w:val="clear" w:color="auto" w:fill="auto"/>
            <w:noWrap/>
            <w:vAlign w:val="center"/>
          </w:tcPr>
          <w:p w14:paraId="6FFE4B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南莲幼儿园</w:t>
            </w:r>
          </w:p>
        </w:tc>
        <w:tc>
          <w:tcPr>
            <w:tcW w:w="580" w:type="pct"/>
            <w:tcBorders>
              <w:tl2br w:val="nil"/>
              <w:tr2bl w:val="nil"/>
            </w:tcBorders>
            <w:shd w:val="clear" w:color="auto" w:fill="auto"/>
            <w:noWrap/>
            <w:vAlign w:val="center"/>
          </w:tcPr>
          <w:p w14:paraId="09A660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102.531108</w:t>
            </w:r>
          </w:p>
        </w:tc>
        <w:tc>
          <w:tcPr>
            <w:tcW w:w="585" w:type="pct"/>
            <w:tcBorders>
              <w:tl2br w:val="nil"/>
              <w:tr2bl w:val="nil"/>
            </w:tcBorders>
            <w:shd w:val="clear" w:color="auto" w:fill="auto"/>
            <w:noWrap/>
            <w:vAlign w:val="center"/>
          </w:tcPr>
          <w:p w14:paraId="4EC96D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24.434901</w:t>
            </w:r>
          </w:p>
        </w:tc>
        <w:tc>
          <w:tcPr>
            <w:tcW w:w="395" w:type="pct"/>
            <w:tcBorders>
              <w:tl2br w:val="nil"/>
              <w:tr2bl w:val="nil"/>
            </w:tcBorders>
            <w:shd w:val="clear" w:color="auto" w:fill="auto"/>
            <w:noWrap/>
            <w:vAlign w:val="center"/>
          </w:tcPr>
          <w:p w14:paraId="20850B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440</w:t>
            </w:r>
          </w:p>
        </w:tc>
        <w:tc>
          <w:tcPr>
            <w:tcW w:w="485" w:type="pct"/>
            <w:tcBorders>
              <w:tl2br w:val="nil"/>
              <w:tr2bl w:val="nil"/>
            </w:tcBorders>
            <w:shd w:val="clear" w:color="auto" w:fill="auto"/>
            <w:noWrap/>
            <w:vAlign w:val="center"/>
          </w:tcPr>
          <w:p w14:paraId="28DC39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189</w:t>
            </w:r>
          </w:p>
        </w:tc>
        <w:tc>
          <w:tcPr>
            <w:tcW w:w="256" w:type="pct"/>
            <w:tcBorders>
              <w:tl2br w:val="nil"/>
              <w:tr2bl w:val="nil"/>
            </w:tcBorders>
            <w:shd w:val="clear" w:color="auto" w:fill="auto"/>
            <w:noWrap/>
            <w:vAlign w:val="center"/>
          </w:tcPr>
          <w:p w14:paraId="2B22FD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tcBorders>
              <w:tl2br w:val="nil"/>
              <w:tr2bl w:val="nil"/>
            </w:tcBorders>
            <w:noWrap/>
            <w:vAlign w:val="center"/>
          </w:tcPr>
          <w:p w14:paraId="787580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1383" w:type="pct"/>
            <w:vMerge w:val="continue"/>
            <w:tcBorders>
              <w:tl2br w:val="nil"/>
              <w:tr2bl w:val="nil"/>
            </w:tcBorders>
            <w:noWrap/>
            <w:vAlign w:val="center"/>
          </w:tcPr>
          <w:p w14:paraId="4EC47A26">
            <w:pPr>
              <w:pStyle w:val="28"/>
              <w:rPr>
                <w:color w:val="000000" w:themeColor="text1"/>
                <w14:textFill>
                  <w14:solidFill>
                    <w14:schemeClr w14:val="tx1"/>
                  </w14:solidFill>
                </w14:textFill>
              </w:rPr>
            </w:pPr>
          </w:p>
        </w:tc>
      </w:tr>
      <w:tr w14:paraId="6C26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1D0ADDED">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44F09C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502" w:type="pct"/>
            <w:tcBorders>
              <w:tl2br w:val="nil"/>
              <w:tr2bl w:val="nil"/>
            </w:tcBorders>
            <w:shd w:val="clear" w:color="auto" w:fill="auto"/>
            <w:noWrap/>
            <w:vAlign w:val="center"/>
          </w:tcPr>
          <w:p w14:paraId="5DA8E9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莲池小学</w:t>
            </w:r>
          </w:p>
        </w:tc>
        <w:tc>
          <w:tcPr>
            <w:tcW w:w="580" w:type="pct"/>
            <w:tcBorders>
              <w:tl2br w:val="nil"/>
              <w:tr2bl w:val="nil"/>
            </w:tcBorders>
            <w:shd w:val="clear" w:color="auto" w:fill="auto"/>
            <w:noWrap/>
            <w:vAlign w:val="center"/>
          </w:tcPr>
          <w:p w14:paraId="340812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102.531934</w:t>
            </w:r>
          </w:p>
        </w:tc>
        <w:tc>
          <w:tcPr>
            <w:tcW w:w="585" w:type="pct"/>
            <w:tcBorders>
              <w:tl2br w:val="nil"/>
              <w:tr2bl w:val="nil"/>
            </w:tcBorders>
            <w:shd w:val="clear" w:color="auto" w:fill="auto"/>
            <w:noWrap/>
            <w:vAlign w:val="center"/>
          </w:tcPr>
          <w:p w14:paraId="34C781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24.435692</w:t>
            </w:r>
          </w:p>
        </w:tc>
        <w:tc>
          <w:tcPr>
            <w:tcW w:w="395" w:type="pct"/>
            <w:tcBorders>
              <w:tl2br w:val="nil"/>
              <w:tr2bl w:val="nil"/>
            </w:tcBorders>
            <w:shd w:val="clear" w:color="auto" w:fill="auto"/>
            <w:noWrap/>
            <w:vAlign w:val="center"/>
          </w:tcPr>
          <w:p w14:paraId="64BFB2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485" w:type="pct"/>
            <w:tcBorders>
              <w:tl2br w:val="nil"/>
              <w:tr2bl w:val="nil"/>
            </w:tcBorders>
            <w:shd w:val="clear" w:color="auto" w:fill="auto"/>
            <w:noWrap/>
            <w:vAlign w:val="center"/>
          </w:tcPr>
          <w:p w14:paraId="6AC49D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270</w:t>
            </w:r>
          </w:p>
        </w:tc>
        <w:tc>
          <w:tcPr>
            <w:tcW w:w="256" w:type="pct"/>
            <w:tcBorders>
              <w:tl2br w:val="nil"/>
              <w:tr2bl w:val="nil"/>
            </w:tcBorders>
            <w:shd w:val="clear" w:color="auto" w:fill="auto"/>
            <w:noWrap/>
            <w:vAlign w:val="center"/>
          </w:tcPr>
          <w:p w14:paraId="2925A4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tcBorders>
              <w:tl2br w:val="nil"/>
              <w:tr2bl w:val="nil"/>
            </w:tcBorders>
            <w:noWrap/>
            <w:vAlign w:val="center"/>
          </w:tcPr>
          <w:p w14:paraId="2423BF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1383" w:type="pct"/>
            <w:vMerge w:val="continue"/>
            <w:tcBorders>
              <w:tl2br w:val="nil"/>
              <w:tr2bl w:val="nil"/>
            </w:tcBorders>
            <w:noWrap/>
            <w:vAlign w:val="center"/>
          </w:tcPr>
          <w:p w14:paraId="0A800404">
            <w:pPr>
              <w:pStyle w:val="28"/>
              <w:rPr>
                <w:color w:val="000000" w:themeColor="text1"/>
                <w14:textFill>
                  <w14:solidFill>
                    <w14:schemeClr w14:val="tx1"/>
                  </w14:solidFill>
                </w14:textFill>
              </w:rPr>
            </w:pPr>
          </w:p>
        </w:tc>
      </w:tr>
      <w:tr w14:paraId="3214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2722EC5B">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01D234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02" w:type="pct"/>
            <w:tcBorders>
              <w:tl2br w:val="nil"/>
              <w:tr2bl w:val="nil"/>
            </w:tcBorders>
            <w:shd w:val="clear" w:color="auto" w:fill="auto"/>
            <w:noWrap/>
            <w:vAlign w:val="center"/>
          </w:tcPr>
          <w:p w14:paraId="783128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小莲池</w:t>
            </w:r>
          </w:p>
        </w:tc>
        <w:tc>
          <w:tcPr>
            <w:tcW w:w="580" w:type="pct"/>
            <w:tcBorders>
              <w:tl2br w:val="nil"/>
              <w:tr2bl w:val="nil"/>
            </w:tcBorders>
            <w:shd w:val="clear" w:color="auto" w:fill="auto"/>
            <w:noWrap/>
            <w:vAlign w:val="center"/>
          </w:tcPr>
          <w:p w14:paraId="10FE36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102.529037</w:t>
            </w:r>
          </w:p>
        </w:tc>
        <w:tc>
          <w:tcPr>
            <w:tcW w:w="585" w:type="pct"/>
            <w:tcBorders>
              <w:tl2br w:val="nil"/>
              <w:tr2bl w:val="nil"/>
            </w:tcBorders>
            <w:shd w:val="clear" w:color="auto" w:fill="auto"/>
            <w:noWrap/>
            <w:vAlign w:val="center"/>
          </w:tcPr>
          <w:p w14:paraId="036B52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24.444189</w:t>
            </w:r>
          </w:p>
        </w:tc>
        <w:tc>
          <w:tcPr>
            <w:tcW w:w="395" w:type="pct"/>
            <w:tcBorders>
              <w:tl2br w:val="nil"/>
              <w:tr2bl w:val="nil"/>
            </w:tcBorders>
            <w:shd w:val="clear" w:color="auto" w:fill="auto"/>
            <w:noWrap/>
            <w:vAlign w:val="center"/>
          </w:tcPr>
          <w:p w14:paraId="47594A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650</w:t>
            </w:r>
          </w:p>
        </w:tc>
        <w:tc>
          <w:tcPr>
            <w:tcW w:w="485" w:type="pct"/>
            <w:tcBorders>
              <w:tl2br w:val="nil"/>
              <w:tr2bl w:val="nil"/>
            </w:tcBorders>
            <w:shd w:val="clear" w:color="auto" w:fill="auto"/>
            <w:noWrap/>
            <w:vAlign w:val="center"/>
          </w:tcPr>
          <w:p w14:paraId="07BC87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256" w:type="pct"/>
            <w:tcBorders>
              <w:tl2br w:val="nil"/>
              <w:tr2bl w:val="nil"/>
            </w:tcBorders>
            <w:shd w:val="clear" w:color="auto" w:fill="auto"/>
            <w:noWrap/>
            <w:vAlign w:val="center"/>
          </w:tcPr>
          <w:p w14:paraId="4790D7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340" w:type="pct"/>
            <w:tcBorders>
              <w:tl2br w:val="nil"/>
              <w:tr2bl w:val="nil"/>
            </w:tcBorders>
            <w:shd w:val="clear" w:color="auto" w:fill="auto"/>
            <w:noWrap/>
            <w:vAlign w:val="center"/>
          </w:tcPr>
          <w:p w14:paraId="1ABA9B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1383" w:type="pct"/>
            <w:vMerge w:val="continue"/>
            <w:tcBorders>
              <w:tl2br w:val="nil"/>
              <w:tr2bl w:val="nil"/>
            </w:tcBorders>
            <w:noWrap/>
            <w:vAlign w:val="center"/>
          </w:tcPr>
          <w:p w14:paraId="03F3912C">
            <w:pPr>
              <w:pStyle w:val="28"/>
              <w:rPr>
                <w:color w:val="000000" w:themeColor="text1"/>
                <w14:textFill>
                  <w14:solidFill>
                    <w14:schemeClr w14:val="tx1"/>
                  </w14:solidFill>
                </w14:textFill>
              </w:rPr>
            </w:pPr>
          </w:p>
        </w:tc>
      </w:tr>
      <w:tr w14:paraId="5FDB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 w:type="pct"/>
            <w:vMerge w:val="continue"/>
            <w:tcBorders>
              <w:tl2br w:val="nil"/>
              <w:tr2bl w:val="nil"/>
            </w:tcBorders>
            <w:noWrap/>
            <w:vAlign w:val="center"/>
          </w:tcPr>
          <w:p w14:paraId="6A4D2FDF">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2E3276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502" w:type="pct"/>
            <w:tcBorders>
              <w:tl2br w:val="nil"/>
              <w:tr2bl w:val="nil"/>
            </w:tcBorders>
            <w:shd w:val="clear" w:color="auto" w:fill="auto"/>
            <w:noWrap/>
            <w:vAlign w:val="center"/>
          </w:tcPr>
          <w:p w14:paraId="60ED43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麻线屯</w:t>
            </w:r>
          </w:p>
        </w:tc>
        <w:tc>
          <w:tcPr>
            <w:tcW w:w="580" w:type="pct"/>
            <w:tcBorders>
              <w:tl2br w:val="nil"/>
              <w:tr2bl w:val="nil"/>
            </w:tcBorders>
            <w:shd w:val="clear" w:color="auto" w:fill="auto"/>
            <w:noWrap/>
            <w:vAlign w:val="center"/>
          </w:tcPr>
          <w:p w14:paraId="0942FE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102.527481</w:t>
            </w:r>
          </w:p>
        </w:tc>
        <w:tc>
          <w:tcPr>
            <w:tcW w:w="585" w:type="pct"/>
            <w:tcBorders>
              <w:tl2br w:val="nil"/>
              <w:tr2bl w:val="nil"/>
            </w:tcBorders>
            <w:shd w:val="clear" w:color="auto" w:fill="auto"/>
            <w:noWrap/>
            <w:vAlign w:val="center"/>
          </w:tcPr>
          <w:p w14:paraId="6A3424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24.428454</w:t>
            </w:r>
          </w:p>
        </w:tc>
        <w:tc>
          <w:tcPr>
            <w:tcW w:w="395" w:type="pct"/>
            <w:tcBorders>
              <w:tl2br w:val="nil"/>
              <w:tr2bl w:val="nil"/>
            </w:tcBorders>
            <w:shd w:val="clear" w:color="auto" w:fill="auto"/>
            <w:noWrap/>
            <w:vAlign w:val="center"/>
          </w:tcPr>
          <w:p w14:paraId="6D7B76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1005</w:t>
            </w:r>
          </w:p>
        </w:tc>
        <w:tc>
          <w:tcPr>
            <w:tcW w:w="485" w:type="pct"/>
            <w:tcBorders>
              <w:tl2br w:val="nil"/>
              <w:tr2bl w:val="nil"/>
            </w:tcBorders>
            <w:shd w:val="clear" w:color="auto" w:fill="auto"/>
            <w:noWrap/>
            <w:vAlign w:val="center"/>
          </w:tcPr>
          <w:p w14:paraId="6DBA71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178</w:t>
            </w:r>
          </w:p>
        </w:tc>
        <w:tc>
          <w:tcPr>
            <w:tcW w:w="256" w:type="pct"/>
            <w:tcBorders>
              <w:tl2br w:val="nil"/>
              <w:tr2bl w:val="nil"/>
            </w:tcBorders>
            <w:shd w:val="clear" w:color="auto" w:fill="auto"/>
            <w:noWrap/>
            <w:vAlign w:val="center"/>
          </w:tcPr>
          <w:p w14:paraId="346F3A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tcBorders>
              <w:tl2br w:val="nil"/>
              <w:tr2bl w:val="nil"/>
            </w:tcBorders>
            <w:noWrap/>
            <w:vAlign w:val="center"/>
          </w:tcPr>
          <w:p w14:paraId="2A34BB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1303</w:t>
            </w:r>
          </w:p>
        </w:tc>
        <w:tc>
          <w:tcPr>
            <w:tcW w:w="1383" w:type="pct"/>
            <w:vMerge w:val="continue"/>
            <w:tcBorders>
              <w:tl2br w:val="nil"/>
              <w:tr2bl w:val="nil"/>
            </w:tcBorders>
            <w:noWrap/>
            <w:vAlign w:val="center"/>
          </w:tcPr>
          <w:p w14:paraId="43FD1A04">
            <w:pPr>
              <w:pStyle w:val="28"/>
              <w:rPr>
                <w:color w:val="000000" w:themeColor="text1"/>
                <w14:textFill>
                  <w14:solidFill>
                    <w14:schemeClr w14:val="tx1"/>
                  </w14:solidFill>
                </w14:textFill>
              </w:rPr>
            </w:pPr>
          </w:p>
        </w:tc>
      </w:tr>
      <w:tr w14:paraId="5691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12C176DE">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22F9E8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502" w:type="pct"/>
            <w:tcBorders>
              <w:tl2br w:val="nil"/>
              <w:tr2bl w:val="nil"/>
            </w:tcBorders>
            <w:shd w:val="clear" w:color="auto" w:fill="auto"/>
            <w:noWrap/>
            <w:vAlign w:val="center"/>
          </w:tcPr>
          <w:p w14:paraId="684A3C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大高桥</w:t>
            </w:r>
          </w:p>
        </w:tc>
        <w:tc>
          <w:tcPr>
            <w:tcW w:w="580" w:type="pct"/>
            <w:tcBorders>
              <w:tl2br w:val="nil"/>
              <w:tr2bl w:val="nil"/>
            </w:tcBorders>
            <w:shd w:val="clear" w:color="auto" w:fill="auto"/>
            <w:noWrap/>
            <w:vAlign w:val="center"/>
          </w:tcPr>
          <w:p w14:paraId="02F691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102.537266</w:t>
            </w:r>
          </w:p>
        </w:tc>
        <w:tc>
          <w:tcPr>
            <w:tcW w:w="585" w:type="pct"/>
            <w:tcBorders>
              <w:tl2br w:val="nil"/>
              <w:tr2bl w:val="nil"/>
            </w:tcBorders>
            <w:shd w:val="clear" w:color="auto" w:fill="auto"/>
            <w:noWrap/>
            <w:vAlign w:val="center"/>
          </w:tcPr>
          <w:p w14:paraId="48429A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24.438417</w:t>
            </w:r>
          </w:p>
        </w:tc>
        <w:tc>
          <w:tcPr>
            <w:tcW w:w="395" w:type="pct"/>
            <w:tcBorders>
              <w:tl2br w:val="nil"/>
              <w:tr2bl w:val="nil"/>
            </w:tcBorders>
            <w:shd w:val="clear" w:color="auto" w:fill="auto"/>
            <w:noWrap/>
            <w:vAlign w:val="center"/>
          </w:tcPr>
          <w:p w14:paraId="3E3CE7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1075</w:t>
            </w:r>
          </w:p>
        </w:tc>
        <w:tc>
          <w:tcPr>
            <w:tcW w:w="485" w:type="pct"/>
            <w:tcBorders>
              <w:tl2br w:val="nil"/>
              <w:tr2bl w:val="nil"/>
            </w:tcBorders>
            <w:shd w:val="clear" w:color="auto" w:fill="auto"/>
            <w:noWrap/>
            <w:vAlign w:val="center"/>
          </w:tcPr>
          <w:p w14:paraId="058E27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820</w:t>
            </w:r>
          </w:p>
        </w:tc>
        <w:tc>
          <w:tcPr>
            <w:tcW w:w="256" w:type="pct"/>
            <w:tcBorders>
              <w:tl2br w:val="nil"/>
              <w:tr2bl w:val="nil"/>
            </w:tcBorders>
            <w:shd w:val="clear" w:color="auto" w:fill="auto"/>
            <w:noWrap/>
            <w:vAlign w:val="center"/>
          </w:tcPr>
          <w:p w14:paraId="418581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340" w:type="pct"/>
            <w:tcBorders>
              <w:tl2br w:val="nil"/>
              <w:tr2bl w:val="nil"/>
            </w:tcBorders>
            <w:noWrap/>
            <w:vAlign w:val="center"/>
          </w:tcPr>
          <w:p w14:paraId="39B98E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1283</w:t>
            </w:r>
          </w:p>
        </w:tc>
        <w:tc>
          <w:tcPr>
            <w:tcW w:w="1383" w:type="pct"/>
            <w:vMerge w:val="continue"/>
            <w:tcBorders>
              <w:tl2br w:val="nil"/>
              <w:tr2bl w:val="nil"/>
            </w:tcBorders>
            <w:noWrap/>
            <w:vAlign w:val="center"/>
          </w:tcPr>
          <w:p w14:paraId="1EA5B803">
            <w:pPr>
              <w:pStyle w:val="28"/>
              <w:rPr>
                <w:color w:val="000000" w:themeColor="text1"/>
                <w14:textFill>
                  <w14:solidFill>
                    <w14:schemeClr w14:val="tx1"/>
                  </w14:solidFill>
                </w14:textFill>
              </w:rPr>
            </w:pPr>
          </w:p>
        </w:tc>
      </w:tr>
      <w:tr w14:paraId="4DA0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1590DAAF">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71222B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502" w:type="pct"/>
            <w:tcBorders>
              <w:tl2br w:val="nil"/>
              <w:tr2bl w:val="nil"/>
            </w:tcBorders>
            <w:shd w:val="clear" w:color="auto" w:fill="auto"/>
            <w:noWrap/>
            <w:vAlign w:val="center"/>
          </w:tcPr>
          <w:p w14:paraId="46F3D1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徐井</w:t>
            </w:r>
          </w:p>
        </w:tc>
        <w:tc>
          <w:tcPr>
            <w:tcW w:w="580" w:type="pct"/>
            <w:tcBorders>
              <w:tl2br w:val="nil"/>
              <w:tr2bl w:val="nil"/>
            </w:tcBorders>
            <w:shd w:val="clear" w:color="auto" w:fill="auto"/>
            <w:noWrap/>
            <w:vAlign w:val="center"/>
          </w:tcPr>
          <w:p w14:paraId="12BA6E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102.535035</w:t>
            </w:r>
          </w:p>
        </w:tc>
        <w:tc>
          <w:tcPr>
            <w:tcW w:w="585" w:type="pct"/>
            <w:tcBorders>
              <w:tl2br w:val="nil"/>
              <w:tr2bl w:val="nil"/>
            </w:tcBorders>
            <w:shd w:val="clear" w:color="auto" w:fill="auto"/>
            <w:noWrap/>
            <w:vAlign w:val="center"/>
          </w:tcPr>
          <w:p w14:paraId="1534D0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24.428766</w:t>
            </w:r>
          </w:p>
        </w:tc>
        <w:tc>
          <w:tcPr>
            <w:tcW w:w="395" w:type="pct"/>
            <w:tcBorders>
              <w:tl2br w:val="nil"/>
              <w:tr2bl w:val="nil"/>
            </w:tcBorders>
            <w:shd w:val="clear" w:color="auto" w:fill="auto"/>
            <w:noWrap/>
            <w:vAlign w:val="center"/>
          </w:tcPr>
          <w:p w14:paraId="26427A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1285</w:t>
            </w:r>
          </w:p>
        </w:tc>
        <w:tc>
          <w:tcPr>
            <w:tcW w:w="485" w:type="pct"/>
            <w:tcBorders>
              <w:tl2br w:val="nil"/>
              <w:tr2bl w:val="nil"/>
            </w:tcBorders>
            <w:shd w:val="clear" w:color="auto" w:fill="auto"/>
            <w:noWrap/>
            <w:vAlign w:val="center"/>
          </w:tcPr>
          <w:p w14:paraId="37022B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256" w:type="pct"/>
            <w:tcBorders>
              <w:tl2br w:val="nil"/>
              <w:tr2bl w:val="nil"/>
            </w:tcBorders>
            <w:shd w:val="clear" w:color="auto" w:fill="auto"/>
            <w:noWrap/>
            <w:vAlign w:val="center"/>
          </w:tcPr>
          <w:p w14:paraId="5F64BB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tcBorders>
              <w:tl2br w:val="nil"/>
              <w:tr2bl w:val="nil"/>
            </w:tcBorders>
            <w:noWrap/>
            <w:vAlign w:val="center"/>
          </w:tcPr>
          <w:p w14:paraId="367751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382</w:t>
            </w:r>
          </w:p>
        </w:tc>
        <w:tc>
          <w:tcPr>
            <w:tcW w:w="1383" w:type="pct"/>
            <w:vMerge w:val="continue"/>
            <w:tcBorders>
              <w:tl2br w:val="nil"/>
              <w:tr2bl w:val="nil"/>
            </w:tcBorders>
            <w:noWrap/>
            <w:vAlign w:val="center"/>
          </w:tcPr>
          <w:p w14:paraId="1A912763">
            <w:pPr>
              <w:pStyle w:val="28"/>
              <w:rPr>
                <w:color w:val="000000" w:themeColor="text1"/>
                <w14:textFill>
                  <w14:solidFill>
                    <w14:schemeClr w14:val="tx1"/>
                  </w14:solidFill>
                </w14:textFill>
              </w:rPr>
            </w:pPr>
          </w:p>
        </w:tc>
      </w:tr>
      <w:tr w14:paraId="5FBF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29AFDF4B">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5B1606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502" w:type="pct"/>
            <w:tcBorders>
              <w:tl2br w:val="nil"/>
              <w:tr2bl w:val="nil"/>
            </w:tcBorders>
            <w:shd w:val="clear" w:color="auto" w:fill="auto"/>
            <w:noWrap/>
            <w:vAlign w:val="center"/>
          </w:tcPr>
          <w:p w14:paraId="76F132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高桥村</w:t>
            </w:r>
          </w:p>
        </w:tc>
        <w:tc>
          <w:tcPr>
            <w:tcW w:w="580" w:type="pct"/>
            <w:tcBorders>
              <w:tl2br w:val="nil"/>
              <w:tr2bl w:val="nil"/>
            </w:tcBorders>
            <w:shd w:val="clear" w:color="auto" w:fill="auto"/>
            <w:noWrap/>
            <w:vAlign w:val="center"/>
          </w:tcPr>
          <w:p w14:paraId="1E246B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102.53924</w:t>
            </w:r>
          </w:p>
        </w:tc>
        <w:tc>
          <w:tcPr>
            <w:tcW w:w="585" w:type="pct"/>
            <w:tcBorders>
              <w:tl2br w:val="nil"/>
              <w:tr2bl w:val="nil"/>
            </w:tcBorders>
            <w:shd w:val="clear" w:color="auto" w:fill="auto"/>
            <w:noWrap/>
            <w:vAlign w:val="center"/>
          </w:tcPr>
          <w:p w14:paraId="763AF7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24.435721</w:t>
            </w:r>
          </w:p>
        </w:tc>
        <w:tc>
          <w:tcPr>
            <w:tcW w:w="395" w:type="pct"/>
            <w:tcBorders>
              <w:tl2br w:val="nil"/>
              <w:tr2bl w:val="nil"/>
            </w:tcBorders>
            <w:shd w:val="clear" w:color="auto" w:fill="auto"/>
            <w:noWrap/>
            <w:vAlign w:val="center"/>
          </w:tcPr>
          <w:p w14:paraId="4F3FDD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1285</w:t>
            </w:r>
          </w:p>
        </w:tc>
        <w:tc>
          <w:tcPr>
            <w:tcW w:w="485" w:type="pct"/>
            <w:tcBorders>
              <w:tl2br w:val="nil"/>
              <w:tr2bl w:val="nil"/>
            </w:tcBorders>
            <w:shd w:val="clear" w:color="auto" w:fill="auto"/>
            <w:noWrap/>
            <w:vAlign w:val="center"/>
          </w:tcPr>
          <w:p w14:paraId="15964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780</w:t>
            </w:r>
          </w:p>
        </w:tc>
        <w:tc>
          <w:tcPr>
            <w:tcW w:w="256" w:type="pct"/>
            <w:tcBorders>
              <w:tl2br w:val="nil"/>
              <w:tr2bl w:val="nil"/>
            </w:tcBorders>
            <w:shd w:val="clear" w:color="auto" w:fill="auto"/>
            <w:noWrap/>
            <w:vAlign w:val="center"/>
          </w:tcPr>
          <w:p w14:paraId="6026A2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340" w:type="pct"/>
            <w:tcBorders>
              <w:tl2br w:val="nil"/>
              <w:tr2bl w:val="nil"/>
            </w:tcBorders>
            <w:noWrap/>
            <w:vAlign w:val="center"/>
          </w:tcPr>
          <w:p w14:paraId="452E9B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3187</w:t>
            </w:r>
          </w:p>
        </w:tc>
        <w:tc>
          <w:tcPr>
            <w:tcW w:w="1383" w:type="pct"/>
            <w:vMerge w:val="continue"/>
            <w:tcBorders>
              <w:tl2br w:val="nil"/>
              <w:tr2bl w:val="nil"/>
            </w:tcBorders>
            <w:noWrap/>
            <w:vAlign w:val="center"/>
          </w:tcPr>
          <w:p w14:paraId="2804EB31">
            <w:pPr>
              <w:pStyle w:val="28"/>
              <w:rPr>
                <w:color w:val="000000" w:themeColor="text1"/>
                <w14:textFill>
                  <w14:solidFill>
                    <w14:schemeClr w14:val="tx1"/>
                  </w14:solidFill>
                </w14:textFill>
              </w:rPr>
            </w:pPr>
          </w:p>
        </w:tc>
      </w:tr>
      <w:tr w14:paraId="0055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4DD2D229">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2BD55F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502" w:type="pct"/>
            <w:tcBorders>
              <w:tl2br w:val="nil"/>
              <w:tr2bl w:val="nil"/>
            </w:tcBorders>
            <w:shd w:val="clear" w:color="auto" w:fill="auto"/>
            <w:noWrap/>
            <w:vAlign w:val="center"/>
          </w:tcPr>
          <w:p w14:paraId="33AF9F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邓家营</w:t>
            </w:r>
          </w:p>
        </w:tc>
        <w:tc>
          <w:tcPr>
            <w:tcW w:w="580" w:type="pct"/>
            <w:tcBorders>
              <w:tl2br w:val="nil"/>
              <w:tr2bl w:val="nil"/>
            </w:tcBorders>
            <w:shd w:val="clear" w:color="auto" w:fill="auto"/>
            <w:noWrap/>
            <w:vAlign w:val="center"/>
          </w:tcPr>
          <w:p w14:paraId="737F21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102.538897</w:t>
            </w:r>
          </w:p>
        </w:tc>
        <w:tc>
          <w:tcPr>
            <w:tcW w:w="585" w:type="pct"/>
            <w:tcBorders>
              <w:tl2br w:val="nil"/>
              <w:tr2bl w:val="nil"/>
            </w:tcBorders>
            <w:shd w:val="clear" w:color="auto" w:fill="auto"/>
            <w:noWrap/>
            <w:vAlign w:val="center"/>
          </w:tcPr>
          <w:p w14:paraId="6F4033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24.441464</w:t>
            </w:r>
          </w:p>
        </w:tc>
        <w:tc>
          <w:tcPr>
            <w:tcW w:w="395" w:type="pct"/>
            <w:tcBorders>
              <w:tl2br w:val="nil"/>
              <w:tr2bl w:val="nil"/>
            </w:tcBorders>
            <w:shd w:val="clear" w:color="auto" w:fill="auto"/>
            <w:noWrap/>
            <w:vAlign w:val="center"/>
          </w:tcPr>
          <w:p w14:paraId="0D13DF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1310</w:t>
            </w:r>
          </w:p>
        </w:tc>
        <w:tc>
          <w:tcPr>
            <w:tcW w:w="485" w:type="pct"/>
            <w:tcBorders>
              <w:tl2br w:val="nil"/>
              <w:tr2bl w:val="nil"/>
            </w:tcBorders>
            <w:shd w:val="clear" w:color="auto" w:fill="auto"/>
            <w:noWrap/>
            <w:vAlign w:val="center"/>
          </w:tcPr>
          <w:p w14:paraId="055B88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1115</w:t>
            </w:r>
          </w:p>
        </w:tc>
        <w:tc>
          <w:tcPr>
            <w:tcW w:w="256" w:type="pct"/>
            <w:tcBorders>
              <w:tl2br w:val="nil"/>
              <w:tr2bl w:val="nil"/>
            </w:tcBorders>
            <w:shd w:val="clear" w:color="auto" w:fill="auto"/>
            <w:noWrap/>
            <w:vAlign w:val="center"/>
          </w:tcPr>
          <w:p w14:paraId="4E7560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tcBorders>
              <w:tl2br w:val="nil"/>
              <w:tr2bl w:val="nil"/>
            </w:tcBorders>
            <w:noWrap/>
            <w:vAlign w:val="center"/>
          </w:tcPr>
          <w:p w14:paraId="07F19A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1383" w:type="pct"/>
            <w:vMerge w:val="continue"/>
            <w:tcBorders>
              <w:tl2br w:val="nil"/>
              <w:tr2bl w:val="nil"/>
            </w:tcBorders>
            <w:noWrap/>
            <w:vAlign w:val="center"/>
          </w:tcPr>
          <w:p w14:paraId="5AC2DAED">
            <w:pPr>
              <w:pStyle w:val="28"/>
              <w:rPr>
                <w:color w:val="000000" w:themeColor="text1"/>
                <w14:textFill>
                  <w14:solidFill>
                    <w14:schemeClr w14:val="tx1"/>
                  </w14:solidFill>
                </w14:textFill>
              </w:rPr>
            </w:pPr>
          </w:p>
        </w:tc>
      </w:tr>
      <w:tr w14:paraId="757E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Borders>
              <w:tl2br w:val="nil"/>
              <w:tr2bl w:val="nil"/>
            </w:tcBorders>
            <w:noWrap/>
            <w:vAlign w:val="center"/>
          </w:tcPr>
          <w:p w14:paraId="724564E5">
            <w:pPr>
              <w:pStyle w:val="28"/>
              <w:rPr>
                <w:color w:val="000000" w:themeColor="text1"/>
                <w14:textFill>
                  <w14:solidFill>
                    <w14:schemeClr w14:val="tx1"/>
                  </w14:solidFill>
                </w14:textFill>
              </w:rPr>
            </w:pPr>
          </w:p>
        </w:tc>
        <w:tc>
          <w:tcPr>
            <w:tcW w:w="314" w:type="pct"/>
            <w:gridSpan w:val="2"/>
            <w:tcBorders>
              <w:tl2br w:val="nil"/>
              <w:tr2bl w:val="nil"/>
            </w:tcBorders>
            <w:shd w:val="clear" w:color="auto" w:fill="auto"/>
            <w:noWrap/>
            <w:vAlign w:val="center"/>
          </w:tcPr>
          <w:p w14:paraId="6B3C8B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502" w:type="pct"/>
            <w:tcBorders>
              <w:tl2br w:val="nil"/>
              <w:tr2bl w:val="nil"/>
            </w:tcBorders>
            <w:shd w:val="clear" w:color="auto" w:fill="auto"/>
            <w:noWrap/>
            <w:vAlign w:val="center"/>
          </w:tcPr>
          <w:p w14:paraId="0CCDBF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刘家屯</w:t>
            </w:r>
          </w:p>
        </w:tc>
        <w:tc>
          <w:tcPr>
            <w:tcW w:w="580" w:type="pct"/>
            <w:tcBorders>
              <w:tl2br w:val="nil"/>
              <w:tr2bl w:val="nil"/>
            </w:tcBorders>
            <w:shd w:val="clear" w:color="auto" w:fill="auto"/>
            <w:noWrap/>
            <w:vAlign w:val="center"/>
          </w:tcPr>
          <w:p w14:paraId="4C45D4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102.53997</w:t>
            </w:r>
          </w:p>
        </w:tc>
        <w:tc>
          <w:tcPr>
            <w:tcW w:w="585" w:type="pct"/>
            <w:tcBorders>
              <w:tl2br w:val="nil"/>
              <w:tr2bl w:val="nil"/>
            </w:tcBorders>
            <w:shd w:val="clear" w:color="auto" w:fill="auto"/>
            <w:noWrap/>
            <w:vAlign w:val="center"/>
          </w:tcPr>
          <w:p w14:paraId="2DFDD4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24.443848</w:t>
            </w:r>
          </w:p>
        </w:tc>
        <w:tc>
          <w:tcPr>
            <w:tcW w:w="395" w:type="pct"/>
            <w:tcBorders>
              <w:tl2br w:val="nil"/>
              <w:tr2bl w:val="nil"/>
            </w:tcBorders>
            <w:shd w:val="clear" w:color="auto" w:fill="auto"/>
            <w:noWrap/>
            <w:vAlign w:val="center"/>
          </w:tcPr>
          <w:p w14:paraId="7DC6A9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1520</w:t>
            </w:r>
          </w:p>
        </w:tc>
        <w:tc>
          <w:tcPr>
            <w:tcW w:w="485" w:type="pct"/>
            <w:tcBorders>
              <w:tl2br w:val="nil"/>
              <w:tr2bl w:val="nil"/>
            </w:tcBorders>
            <w:shd w:val="clear" w:color="auto" w:fill="auto"/>
            <w:noWrap/>
            <w:vAlign w:val="center"/>
          </w:tcPr>
          <w:p w14:paraId="544AA3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1340</w:t>
            </w:r>
          </w:p>
        </w:tc>
        <w:tc>
          <w:tcPr>
            <w:tcW w:w="256" w:type="pct"/>
            <w:tcBorders>
              <w:tl2br w:val="nil"/>
              <w:tr2bl w:val="nil"/>
            </w:tcBorders>
            <w:shd w:val="clear" w:color="auto" w:fill="auto"/>
            <w:noWrap/>
            <w:vAlign w:val="center"/>
          </w:tcPr>
          <w:p w14:paraId="4953F7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tcBorders>
              <w:tl2br w:val="nil"/>
              <w:tr2bl w:val="nil"/>
            </w:tcBorders>
            <w:noWrap/>
            <w:vAlign w:val="center"/>
          </w:tcPr>
          <w:p w14:paraId="35494F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1383" w:type="pct"/>
            <w:vMerge w:val="continue"/>
            <w:tcBorders>
              <w:tl2br w:val="nil"/>
              <w:tr2bl w:val="nil"/>
            </w:tcBorders>
            <w:noWrap/>
            <w:vAlign w:val="center"/>
          </w:tcPr>
          <w:p w14:paraId="588EB337">
            <w:pPr>
              <w:pStyle w:val="28"/>
              <w:rPr>
                <w:color w:val="000000" w:themeColor="text1"/>
                <w14:textFill>
                  <w14:solidFill>
                    <w14:schemeClr w14:val="tx1"/>
                  </w14:solidFill>
                </w14:textFill>
              </w:rPr>
            </w:pPr>
          </w:p>
        </w:tc>
      </w:tr>
      <w:tr w14:paraId="476B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04935765">
            <w:pPr>
              <w:pStyle w:val="28"/>
              <w:rPr>
                <w:color w:val="000000" w:themeColor="text1"/>
                <w14:textFill>
                  <w14:solidFill>
                    <w14:schemeClr w14:val="tx1"/>
                  </w14:solidFill>
                </w14:textFill>
              </w:rPr>
            </w:pPr>
          </w:p>
        </w:tc>
        <w:tc>
          <w:tcPr>
            <w:tcW w:w="314" w:type="pct"/>
            <w:gridSpan w:val="2"/>
            <w:shd w:val="clear" w:color="auto" w:fill="auto"/>
            <w:vAlign w:val="center"/>
          </w:tcPr>
          <w:p w14:paraId="238C60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502" w:type="pct"/>
            <w:shd w:val="clear" w:color="auto" w:fill="auto"/>
            <w:vAlign w:val="center"/>
          </w:tcPr>
          <w:p w14:paraId="5B716C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下庄子</w:t>
            </w:r>
          </w:p>
        </w:tc>
        <w:tc>
          <w:tcPr>
            <w:tcW w:w="580" w:type="pct"/>
            <w:shd w:val="clear" w:color="auto" w:fill="auto"/>
            <w:vAlign w:val="center"/>
          </w:tcPr>
          <w:p w14:paraId="2951CE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102.534048</w:t>
            </w:r>
          </w:p>
        </w:tc>
        <w:tc>
          <w:tcPr>
            <w:tcW w:w="585" w:type="pct"/>
            <w:shd w:val="clear" w:color="auto" w:fill="auto"/>
            <w:vAlign w:val="center"/>
          </w:tcPr>
          <w:p w14:paraId="42625D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24.449747</w:t>
            </w:r>
          </w:p>
        </w:tc>
        <w:tc>
          <w:tcPr>
            <w:tcW w:w="395" w:type="pct"/>
            <w:shd w:val="clear" w:color="auto" w:fill="auto"/>
            <w:vAlign w:val="center"/>
          </w:tcPr>
          <w:p w14:paraId="52AF48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1555</w:t>
            </w:r>
          </w:p>
        </w:tc>
        <w:tc>
          <w:tcPr>
            <w:tcW w:w="485" w:type="pct"/>
            <w:vAlign w:val="center"/>
          </w:tcPr>
          <w:p w14:paraId="27910B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1400</w:t>
            </w:r>
          </w:p>
        </w:tc>
        <w:tc>
          <w:tcPr>
            <w:tcW w:w="256" w:type="pct"/>
            <w:vAlign w:val="center"/>
          </w:tcPr>
          <w:p w14:paraId="296DDA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7651E4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225</w:t>
            </w:r>
          </w:p>
        </w:tc>
        <w:tc>
          <w:tcPr>
            <w:tcW w:w="1383" w:type="pct"/>
            <w:vMerge w:val="continue"/>
            <w:vAlign w:val="center"/>
          </w:tcPr>
          <w:p w14:paraId="3EA7D38B">
            <w:pPr>
              <w:pStyle w:val="28"/>
              <w:rPr>
                <w:color w:val="000000" w:themeColor="text1"/>
                <w14:textFill>
                  <w14:solidFill>
                    <w14:schemeClr w14:val="tx1"/>
                  </w14:solidFill>
                </w14:textFill>
              </w:rPr>
            </w:pPr>
          </w:p>
        </w:tc>
      </w:tr>
      <w:tr w14:paraId="0694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7B8797FB">
            <w:pPr>
              <w:pStyle w:val="28"/>
              <w:rPr>
                <w:color w:val="000000" w:themeColor="text1"/>
                <w14:textFill>
                  <w14:solidFill>
                    <w14:schemeClr w14:val="tx1"/>
                  </w14:solidFill>
                </w14:textFill>
              </w:rPr>
            </w:pPr>
          </w:p>
        </w:tc>
        <w:tc>
          <w:tcPr>
            <w:tcW w:w="314" w:type="pct"/>
            <w:gridSpan w:val="2"/>
            <w:shd w:val="clear" w:color="auto" w:fill="auto"/>
            <w:vAlign w:val="center"/>
          </w:tcPr>
          <w:p w14:paraId="1BDE6D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502" w:type="pct"/>
            <w:shd w:val="clear" w:color="auto" w:fill="auto"/>
            <w:vAlign w:val="center"/>
          </w:tcPr>
          <w:p w14:paraId="3F0E13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王棋社区</w:t>
            </w:r>
          </w:p>
        </w:tc>
        <w:tc>
          <w:tcPr>
            <w:tcW w:w="580" w:type="pct"/>
            <w:shd w:val="clear" w:color="auto" w:fill="auto"/>
            <w:vAlign w:val="center"/>
          </w:tcPr>
          <w:p w14:paraId="19FFFD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102.533833</w:t>
            </w:r>
          </w:p>
        </w:tc>
        <w:tc>
          <w:tcPr>
            <w:tcW w:w="585" w:type="pct"/>
            <w:shd w:val="clear" w:color="auto" w:fill="auto"/>
            <w:vAlign w:val="center"/>
          </w:tcPr>
          <w:p w14:paraId="0CBB59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24.425015</w:t>
            </w:r>
          </w:p>
        </w:tc>
        <w:tc>
          <w:tcPr>
            <w:tcW w:w="395" w:type="pct"/>
            <w:shd w:val="clear" w:color="auto" w:fill="auto"/>
            <w:vAlign w:val="center"/>
          </w:tcPr>
          <w:p w14:paraId="0A528B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1560</w:t>
            </w:r>
          </w:p>
        </w:tc>
        <w:tc>
          <w:tcPr>
            <w:tcW w:w="485" w:type="pct"/>
            <w:vAlign w:val="center"/>
          </w:tcPr>
          <w:p w14:paraId="08BF5A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885</w:t>
            </w:r>
          </w:p>
        </w:tc>
        <w:tc>
          <w:tcPr>
            <w:tcW w:w="256" w:type="pct"/>
            <w:vAlign w:val="center"/>
          </w:tcPr>
          <w:p w14:paraId="1BB9C0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4009E5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3520</w:t>
            </w:r>
          </w:p>
        </w:tc>
        <w:tc>
          <w:tcPr>
            <w:tcW w:w="1383" w:type="pct"/>
            <w:vMerge w:val="continue"/>
            <w:vAlign w:val="center"/>
          </w:tcPr>
          <w:p w14:paraId="56BC0837">
            <w:pPr>
              <w:pStyle w:val="28"/>
              <w:rPr>
                <w:color w:val="000000" w:themeColor="text1"/>
                <w14:textFill>
                  <w14:solidFill>
                    <w14:schemeClr w14:val="tx1"/>
                  </w14:solidFill>
                </w14:textFill>
              </w:rPr>
            </w:pPr>
          </w:p>
        </w:tc>
      </w:tr>
      <w:tr w14:paraId="39EF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784DFB80">
            <w:pPr>
              <w:pStyle w:val="28"/>
              <w:rPr>
                <w:color w:val="000000" w:themeColor="text1"/>
                <w14:textFill>
                  <w14:solidFill>
                    <w14:schemeClr w14:val="tx1"/>
                  </w14:solidFill>
                </w14:textFill>
              </w:rPr>
            </w:pPr>
          </w:p>
        </w:tc>
        <w:tc>
          <w:tcPr>
            <w:tcW w:w="314" w:type="pct"/>
            <w:gridSpan w:val="2"/>
            <w:shd w:val="clear" w:color="auto" w:fill="auto"/>
            <w:vAlign w:val="center"/>
          </w:tcPr>
          <w:p w14:paraId="62B649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502" w:type="pct"/>
            <w:shd w:val="clear" w:color="auto" w:fill="auto"/>
            <w:vAlign w:val="center"/>
          </w:tcPr>
          <w:p w14:paraId="064196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黄罗屯</w:t>
            </w:r>
          </w:p>
        </w:tc>
        <w:tc>
          <w:tcPr>
            <w:tcW w:w="580" w:type="pct"/>
            <w:shd w:val="clear" w:color="auto" w:fill="auto"/>
            <w:vAlign w:val="center"/>
          </w:tcPr>
          <w:p w14:paraId="1D2739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102.538983</w:t>
            </w:r>
          </w:p>
        </w:tc>
        <w:tc>
          <w:tcPr>
            <w:tcW w:w="585" w:type="pct"/>
            <w:shd w:val="clear" w:color="auto" w:fill="auto"/>
            <w:vAlign w:val="center"/>
          </w:tcPr>
          <w:p w14:paraId="04E74A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24.447168</w:t>
            </w:r>
          </w:p>
        </w:tc>
        <w:tc>
          <w:tcPr>
            <w:tcW w:w="395" w:type="pct"/>
            <w:shd w:val="clear" w:color="auto" w:fill="auto"/>
            <w:vAlign w:val="center"/>
          </w:tcPr>
          <w:p w14:paraId="382CF8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1645</w:t>
            </w:r>
          </w:p>
        </w:tc>
        <w:tc>
          <w:tcPr>
            <w:tcW w:w="485" w:type="pct"/>
            <w:vAlign w:val="center"/>
          </w:tcPr>
          <w:p w14:paraId="0C79B5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1240</w:t>
            </w:r>
          </w:p>
        </w:tc>
        <w:tc>
          <w:tcPr>
            <w:tcW w:w="256" w:type="pct"/>
            <w:vAlign w:val="center"/>
          </w:tcPr>
          <w:p w14:paraId="304A28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27F706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3100</w:t>
            </w:r>
          </w:p>
        </w:tc>
        <w:tc>
          <w:tcPr>
            <w:tcW w:w="1383" w:type="pct"/>
            <w:vMerge w:val="continue"/>
            <w:vAlign w:val="center"/>
          </w:tcPr>
          <w:p w14:paraId="4AB5C265">
            <w:pPr>
              <w:pStyle w:val="28"/>
              <w:rPr>
                <w:color w:val="000000" w:themeColor="text1"/>
                <w14:textFill>
                  <w14:solidFill>
                    <w14:schemeClr w14:val="tx1"/>
                  </w14:solidFill>
                </w14:textFill>
              </w:rPr>
            </w:pPr>
          </w:p>
        </w:tc>
      </w:tr>
      <w:tr w14:paraId="5BA7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33B9E489">
            <w:pPr>
              <w:pStyle w:val="28"/>
              <w:rPr>
                <w:color w:val="000000" w:themeColor="text1"/>
                <w14:textFill>
                  <w14:solidFill>
                    <w14:schemeClr w14:val="tx1"/>
                  </w14:solidFill>
                </w14:textFill>
              </w:rPr>
            </w:pPr>
          </w:p>
        </w:tc>
        <w:tc>
          <w:tcPr>
            <w:tcW w:w="314" w:type="pct"/>
            <w:gridSpan w:val="2"/>
            <w:shd w:val="clear" w:color="auto" w:fill="auto"/>
            <w:vAlign w:val="center"/>
          </w:tcPr>
          <w:p w14:paraId="7D8125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502" w:type="pct"/>
            <w:shd w:val="clear" w:color="auto" w:fill="auto"/>
            <w:vAlign w:val="center"/>
          </w:tcPr>
          <w:p w14:paraId="5E772F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王左屯</w:t>
            </w:r>
          </w:p>
        </w:tc>
        <w:tc>
          <w:tcPr>
            <w:tcW w:w="580" w:type="pct"/>
            <w:shd w:val="clear" w:color="auto" w:fill="auto"/>
            <w:vAlign w:val="center"/>
          </w:tcPr>
          <w:p w14:paraId="1D7666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102.543661</w:t>
            </w:r>
          </w:p>
        </w:tc>
        <w:tc>
          <w:tcPr>
            <w:tcW w:w="585" w:type="pct"/>
            <w:shd w:val="clear" w:color="auto" w:fill="auto"/>
            <w:vAlign w:val="center"/>
          </w:tcPr>
          <w:p w14:paraId="624ACA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24.438476</w:t>
            </w:r>
          </w:p>
        </w:tc>
        <w:tc>
          <w:tcPr>
            <w:tcW w:w="395" w:type="pct"/>
            <w:shd w:val="clear" w:color="auto" w:fill="auto"/>
            <w:vAlign w:val="center"/>
          </w:tcPr>
          <w:p w14:paraId="6A4F54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1720</w:t>
            </w:r>
          </w:p>
        </w:tc>
        <w:tc>
          <w:tcPr>
            <w:tcW w:w="485" w:type="pct"/>
            <w:vAlign w:val="center"/>
          </w:tcPr>
          <w:p w14:paraId="2A0767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1480</w:t>
            </w:r>
          </w:p>
        </w:tc>
        <w:tc>
          <w:tcPr>
            <w:tcW w:w="256" w:type="pct"/>
            <w:vAlign w:val="center"/>
          </w:tcPr>
          <w:p w14:paraId="0065B4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58C2F9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2975</w:t>
            </w:r>
          </w:p>
        </w:tc>
        <w:tc>
          <w:tcPr>
            <w:tcW w:w="1383" w:type="pct"/>
            <w:vMerge w:val="continue"/>
            <w:vAlign w:val="center"/>
          </w:tcPr>
          <w:p w14:paraId="4AF2B21B">
            <w:pPr>
              <w:pStyle w:val="28"/>
              <w:rPr>
                <w:color w:val="000000" w:themeColor="text1"/>
                <w14:textFill>
                  <w14:solidFill>
                    <w14:schemeClr w14:val="tx1"/>
                  </w14:solidFill>
                </w14:textFill>
              </w:rPr>
            </w:pPr>
          </w:p>
        </w:tc>
      </w:tr>
      <w:tr w14:paraId="5FD3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53630E0">
            <w:pPr>
              <w:pStyle w:val="28"/>
              <w:rPr>
                <w:color w:val="000000" w:themeColor="text1"/>
                <w14:textFill>
                  <w14:solidFill>
                    <w14:schemeClr w14:val="tx1"/>
                  </w14:solidFill>
                </w14:textFill>
              </w:rPr>
            </w:pPr>
          </w:p>
        </w:tc>
        <w:tc>
          <w:tcPr>
            <w:tcW w:w="314" w:type="pct"/>
            <w:gridSpan w:val="2"/>
            <w:shd w:val="clear" w:color="auto" w:fill="auto"/>
            <w:vAlign w:val="center"/>
          </w:tcPr>
          <w:p w14:paraId="4AFDD6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502" w:type="pct"/>
            <w:shd w:val="clear" w:color="auto" w:fill="auto"/>
            <w:vAlign w:val="center"/>
          </w:tcPr>
          <w:p w14:paraId="0711E7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秦井</w:t>
            </w:r>
          </w:p>
        </w:tc>
        <w:tc>
          <w:tcPr>
            <w:tcW w:w="580" w:type="pct"/>
            <w:shd w:val="clear" w:color="auto" w:fill="auto"/>
            <w:vAlign w:val="center"/>
          </w:tcPr>
          <w:p w14:paraId="54DEF9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102.542244</w:t>
            </w:r>
          </w:p>
        </w:tc>
        <w:tc>
          <w:tcPr>
            <w:tcW w:w="585" w:type="pct"/>
            <w:shd w:val="clear" w:color="auto" w:fill="auto"/>
            <w:vAlign w:val="center"/>
          </w:tcPr>
          <w:p w14:paraId="090DCE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24.429587</w:t>
            </w:r>
          </w:p>
        </w:tc>
        <w:tc>
          <w:tcPr>
            <w:tcW w:w="395" w:type="pct"/>
            <w:shd w:val="clear" w:color="auto" w:fill="auto"/>
            <w:vAlign w:val="center"/>
          </w:tcPr>
          <w:p w14:paraId="71AFE1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1800</w:t>
            </w:r>
          </w:p>
        </w:tc>
        <w:tc>
          <w:tcPr>
            <w:tcW w:w="485" w:type="pct"/>
            <w:vAlign w:val="center"/>
          </w:tcPr>
          <w:p w14:paraId="1A7B39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1380</w:t>
            </w:r>
          </w:p>
        </w:tc>
        <w:tc>
          <w:tcPr>
            <w:tcW w:w="256" w:type="pct"/>
            <w:vAlign w:val="center"/>
          </w:tcPr>
          <w:p w14:paraId="03610B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3CF396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950</w:t>
            </w:r>
          </w:p>
        </w:tc>
        <w:tc>
          <w:tcPr>
            <w:tcW w:w="1383" w:type="pct"/>
            <w:vMerge w:val="continue"/>
            <w:vAlign w:val="center"/>
          </w:tcPr>
          <w:p w14:paraId="67DE8CFE">
            <w:pPr>
              <w:pStyle w:val="28"/>
              <w:rPr>
                <w:color w:val="000000" w:themeColor="text1"/>
                <w14:textFill>
                  <w14:solidFill>
                    <w14:schemeClr w14:val="tx1"/>
                  </w14:solidFill>
                </w14:textFill>
              </w:rPr>
            </w:pPr>
          </w:p>
        </w:tc>
      </w:tr>
      <w:tr w14:paraId="473A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5B2D4F27">
            <w:pPr>
              <w:pStyle w:val="28"/>
              <w:rPr>
                <w:color w:val="000000" w:themeColor="text1"/>
                <w14:textFill>
                  <w14:solidFill>
                    <w14:schemeClr w14:val="tx1"/>
                  </w14:solidFill>
                </w14:textFill>
              </w:rPr>
            </w:pPr>
          </w:p>
        </w:tc>
        <w:tc>
          <w:tcPr>
            <w:tcW w:w="314" w:type="pct"/>
            <w:gridSpan w:val="2"/>
            <w:shd w:val="clear" w:color="auto" w:fill="auto"/>
            <w:vAlign w:val="center"/>
          </w:tcPr>
          <w:p w14:paraId="744276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502" w:type="pct"/>
            <w:shd w:val="clear" w:color="auto" w:fill="auto"/>
            <w:vAlign w:val="center"/>
          </w:tcPr>
          <w:p w14:paraId="34DBB0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陈大场</w:t>
            </w:r>
          </w:p>
        </w:tc>
        <w:tc>
          <w:tcPr>
            <w:tcW w:w="580" w:type="pct"/>
            <w:shd w:val="clear" w:color="auto" w:fill="auto"/>
            <w:vAlign w:val="center"/>
          </w:tcPr>
          <w:p w14:paraId="6B099B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102.544025</w:t>
            </w:r>
          </w:p>
        </w:tc>
        <w:tc>
          <w:tcPr>
            <w:tcW w:w="585" w:type="pct"/>
            <w:shd w:val="clear" w:color="auto" w:fill="auto"/>
            <w:vAlign w:val="center"/>
          </w:tcPr>
          <w:p w14:paraId="6A99B5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24.442636</w:t>
            </w:r>
          </w:p>
        </w:tc>
        <w:tc>
          <w:tcPr>
            <w:tcW w:w="395" w:type="pct"/>
            <w:shd w:val="clear" w:color="auto" w:fill="auto"/>
            <w:vAlign w:val="center"/>
          </w:tcPr>
          <w:p w14:paraId="25C34F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1845</w:t>
            </w:r>
          </w:p>
        </w:tc>
        <w:tc>
          <w:tcPr>
            <w:tcW w:w="485" w:type="pct"/>
            <w:vAlign w:val="center"/>
          </w:tcPr>
          <w:p w14:paraId="6EB5D0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1625</w:t>
            </w:r>
          </w:p>
        </w:tc>
        <w:tc>
          <w:tcPr>
            <w:tcW w:w="256" w:type="pct"/>
            <w:vAlign w:val="center"/>
          </w:tcPr>
          <w:p w14:paraId="50DA09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57AD2D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1148</w:t>
            </w:r>
          </w:p>
        </w:tc>
        <w:tc>
          <w:tcPr>
            <w:tcW w:w="1383" w:type="pct"/>
            <w:vMerge w:val="continue"/>
            <w:vAlign w:val="center"/>
          </w:tcPr>
          <w:p w14:paraId="29A55856">
            <w:pPr>
              <w:pStyle w:val="28"/>
              <w:rPr>
                <w:color w:val="000000" w:themeColor="text1"/>
                <w14:textFill>
                  <w14:solidFill>
                    <w14:schemeClr w14:val="tx1"/>
                  </w14:solidFill>
                </w14:textFill>
              </w:rPr>
            </w:pPr>
          </w:p>
        </w:tc>
      </w:tr>
      <w:tr w14:paraId="5E75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2E146869">
            <w:pPr>
              <w:pStyle w:val="28"/>
              <w:rPr>
                <w:color w:val="000000" w:themeColor="text1"/>
                <w14:textFill>
                  <w14:solidFill>
                    <w14:schemeClr w14:val="tx1"/>
                  </w14:solidFill>
                </w14:textFill>
              </w:rPr>
            </w:pPr>
          </w:p>
        </w:tc>
        <w:tc>
          <w:tcPr>
            <w:tcW w:w="314" w:type="pct"/>
            <w:gridSpan w:val="2"/>
            <w:shd w:val="clear" w:color="auto" w:fill="auto"/>
            <w:vAlign w:val="center"/>
          </w:tcPr>
          <w:p w14:paraId="5FF65C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502" w:type="pct"/>
            <w:shd w:val="clear" w:color="auto" w:fill="auto"/>
            <w:vAlign w:val="center"/>
          </w:tcPr>
          <w:p w14:paraId="0935A1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云南民族大学应用技术学院</w:t>
            </w:r>
          </w:p>
        </w:tc>
        <w:tc>
          <w:tcPr>
            <w:tcW w:w="580" w:type="pct"/>
            <w:shd w:val="clear" w:color="auto" w:fill="auto"/>
            <w:vAlign w:val="center"/>
          </w:tcPr>
          <w:p w14:paraId="6984A2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102.516345</w:t>
            </w:r>
          </w:p>
        </w:tc>
        <w:tc>
          <w:tcPr>
            <w:tcW w:w="585" w:type="pct"/>
            <w:shd w:val="clear" w:color="auto" w:fill="auto"/>
            <w:vAlign w:val="center"/>
          </w:tcPr>
          <w:p w14:paraId="205DCC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24.422856</w:t>
            </w:r>
          </w:p>
        </w:tc>
        <w:tc>
          <w:tcPr>
            <w:tcW w:w="395" w:type="pct"/>
            <w:shd w:val="clear" w:color="auto" w:fill="auto"/>
            <w:vAlign w:val="center"/>
          </w:tcPr>
          <w:p w14:paraId="49718D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1935</w:t>
            </w:r>
          </w:p>
        </w:tc>
        <w:tc>
          <w:tcPr>
            <w:tcW w:w="485" w:type="pct"/>
            <w:vAlign w:val="center"/>
          </w:tcPr>
          <w:p w14:paraId="2EC1AD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1430</w:t>
            </w:r>
          </w:p>
        </w:tc>
        <w:tc>
          <w:tcPr>
            <w:tcW w:w="256" w:type="pct"/>
            <w:vAlign w:val="center"/>
          </w:tcPr>
          <w:p w14:paraId="245B3B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vAlign w:val="center"/>
          </w:tcPr>
          <w:p w14:paraId="5B0F71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1383" w:type="pct"/>
            <w:vMerge w:val="continue"/>
            <w:vAlign w:val="center"/>
          </w:tcPr>
          <w:p w14:paraId="7A8F1713">
            <w:pPr>
              <w:pStyle w:val="28"/>
              <w:rPr>
                <w:color w:val="000000" w:themeColor="text1"/>
                <w14:textFill>
                  <w14:solidFill>
                    <w14:schemeClr w14:val="tx1"/>
                  </w14:solidFill>
                </w14:textFill>
              </w:rPr>
            </w:pPr>
          </w:p>
        </w:tc>
      </w:tr>
      <w:tr w14:paraId="53A8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FB91470">
            <w:pPr>
              <w:pStyle w:val="28"/>
              <w:rPr>
                <w:color w:val="000000" w:themeColor="text1"/>
                <w14:textFill>
                  <w14:solidFill>
                    <w14:schemeClr w14:val="tx1"/>
                  </w14:solidFill>
                </w14:textFill>
              </w:rPr>
            </w:pPr>
          </w:p>
        </w:tc>
        <w:tc>
          <w:tcPr>
            <w:tcW w:w="314" w:type="pct"/>
            <w:gridSpan w:val="2"/>
            <w:shd w:val="clear" w:color="auto" w:fill="auto"/>
            <w:vAlign w:val="center"/>
          </w:tcPr>
          <w:p w14:paraId="0A51E0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502" w:type="pct"/>
            <w:shd w:val="clear" w:color="auto" w:fill="auto"/>
            <w:vAlign w:val="center"/>
          </w:tcPr>
          <w:p w14:paraId="022E04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龙池村</w:t>
            </w:r>
          </w:p>
        </w:tc>
        <w:tc>
          <w:tcPr>
            <w:tcW w:w="580" w:type="pct"/>
            <w:shd w:val="clear" w:color="auto" w:fill="auto"/>
            <w:vAlign w:val="center"/>
          </w:tcPr>
          <w:p w14:paraId="3A6C32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102.523233</w:t>
            </w:r>
          </w:p>
        </w:tc>
        <w:tc>
          <w:tcPr>
            <w:tcW w:w="585" w:type="pct"/>
            <w:shd w:val="clear" w:color="auto" w:fill="auto"/>
            <w:vAlign w:val="center"/>
          </w:tcPr>
          <w:p w14:paraId="63C9B5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24.419965</w:t>
            </w:r>
          </w:p>
        </w:tc>
        <w:tc>
          <w:tcPr>
            <w:tcW w:w="395" w:type="pct"/>
            <w:shd w:val="clear" w:color="auto" w:fill="auto"/>
            <w:vAlign w:val="center"/>
          </w:tcPr>
          <w:p w14:paraId="4C32D2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1970</w:t>
            </w:r>
          </w:p>
        </w:tc>
        <w:tc>
          <w:tcPr>
            <w:tcW w:w="485" w:type="pct"/>
            <w:vAlign w:val="center"/>
          </w:tcPr>
          <w:p w14:paraId="5205A9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1520</w:t>
            </w:r>
          </w:p>
        </w:tc>
        <w:tc>
          <w:tcPr>
            <w:tcW w:w="256" w:type="pct"/>
            <w:vAlign w:val="center"/>
          </w:tcPr>
          <w:p w14:paraId="54B862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vAlign w:val="center"/>
          </w:tcPr>
          <w:p w14:paraId="409FEC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420</w:t>
            </w:r>
          </w:p>
        </w:tc>
        <w:tc>
          <w:tcPr>
            <w:tcW w:w="1383" w:type="pct"/>
            <w:vMerge w:val="continue"/>
            <w:vAlign w:val="center"/>
          </w:tcPr>
          <w:p w14:paraId="5238447F">
            <w:pPr>
              <w:pStyle w:val="28"/>
              <w:rPr>
                <w:color w:val="000000" w:themeColor="text1"/>
                <w14:textFill>
                  <w14:solidFill>
                    <w14:schemeClr w14:val="tx1"/>
                  </w14:solidFill>
                </w14:textFill>
              </w:rPr>
            </w:pPr>
          </w:p>
        </w:tc>
      </w:tr>
      <w:tr w14:paraId="426B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06466138">
            <w:pPr>
              <w:pStyle w:val="28"/>
              <w:rPr>
                <w:color w:val="000000" w:themeColor="text1"/>
                <w14:textFill>
                  <w14:solidFill>
                    <w14:schemeClr w14:val="tx1"/>
                  </w14:solidFill>
                </w14:textFill>
              </w:rPr>
            </w:pPr>
          </w:p>
        </w:tc>
        <w:tc>
          <w:tcPr>
            <w:tcW w:w="314" w:type="pct"/>
            <w:gridSpan w:val="2"/>
            <w:shd w:val="clear" w:color="auto" w:fill="auto"/>
            <w:vAlign w:val="center"/>
          </w:tcPr>
          <w:p w14:paraId="550C59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502" w:type="pct"/>
            <w:shd w:val="clear" w:color="auto" w:fill="auto"/>
            <w:vAlign w:val="center"/>
          </w:tcPr>
          <w:p w14:paraId="55C586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谢井</w:t>
            </w:r>
          </w:p>
        </w:tc>
        <w:tc>
          <w:tcPr>
            <w:tcW w:w="580" w:type="pct"/>
            <w:shd w:val="clear" w:color="auto" w:fill="auto"/>
            <w:vAlign w:val="center"/>
          </w:tcPr>
          <w:p w14:paraId="15C42D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102.541686</w:t>
            </w:r>
          </w:p>
        </w:tc>
        <w:tc>
          <w:tcPr>
            <w:tcW w:w="585" w:type="pct"/>
            <w:shd w:val="clear" w:color="auto" w:fill="auto"/>
            <w:vAlign w:val="center"/>
          </w:tcPr>
          <w:p w14:paraId="220F1F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24.423921</w:t>
            </w:r>
          </w:p>
        </w:tc>
        <w:tc>
          <w:tcPr>
            <w:tcW w:w="395" w:type="pct"/>
            <w:shd w:val="clear" w:color="auto" w:fill="auto"/>
            <w:vAlign w:val="center"/>
          </w:tcPr>
          <w:p w14:paraId="3936D7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c>
          <w:tcPr>
            <w:tcW w:w="485" w:type="pct"/>
            <w:vAlign w:val="center"/>
          </w:tcPr>
          <w:p w14:paraId="191116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c>
          <w:tcPr>
            <w:tcW w:w="256" w:type="pct"/>
            <w:vAlign w:val="center"/>
          </w:tcPr>
          <w:p w14:paraId="07F7DB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4ABF79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390</w:t>
            </w:r>
          </w:p>
        </w:tc>
        <w:tc>
          <w:tcPr>
            <w:tcW w:w="1383" w:type="pct"/>
            <w:vMerge w:val="continue"/>
            <w:vAlign w:val="center"/>
          </w:tcPr>
          <w:p w14:paraId="2EAD1E2C">
            <w:pPr>
              <w:pStyle w:val="28"/>
              <w:rPr>
                <w:color w:val="000000" w:themeColor="text1"/>
                <w14:textFill>
                  <w14:solidFill>
                    <w14:schemeClr w14:val="tx1"/>
                  </w14:solidFill>
                </w14:textFill>
              </w:rPr>
            </w:pPr>
          </w:p>
        </w:tc>
      </w:tr>
      <w:tr w14:paraId="080B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5D21DEAD">
            <w:pPr>
              <w:pStyle w:val="28"/>
              <w:rPr>
                <w:color w:val="000000" w:themeColor="text1"/>
                <w14:textFill>
                  <w14:solidFill>
                    <w14:schemeClr w14:val="tx1"/>
                  </w14:solidFill>
                </w14:textFill>
              </w:rPr>
            </w:pPr>
          </w:p>
        </w:tc>
        <w:tc>
          <w:tcPr>
            <w:tcW w:w="314" w:type="pct"/>
            <w:gridSpan w:val="2"/>
            <w:shd w:val="clear" w:color="auto" w:fill="auto"/>
            <w:vAlign w:val="center"/>
          </w:tcPr>
          <w:p w14:paraId="77687A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502" w:type="pct"/>
            <w:shd w:val="clear" w:color="auto" w:fill="auto"/>
            <w:vAlign w:val="center"/>
          </w:tcPr>
          <w:p w14:paraId="7E20F6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北城街道</w:t>
            </w:r>
          </w:p>
        </w:tc>
        <w:tc>
          <w:tcPr>
            <w:tcW w:w="580" w:type="pct"/>
            <w:shd w:val="clear" w:color="auto" w:fill="auto"/>
            <w:vAlign w:val="center"/>
          </w:tcPr>
          <w:p w14:paraId="519BDD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102.547952</w:t>
            </w:r>
          </w:p>
        </w:tc>
        <w:tc>
          <w:tcPr>
            <w:tcW w:w="585" w:type="pct"/>
            <w:shd w:val="clear" w:color="auto" w:fill="auto"/>
            <w:vAlign w:val="center"/>
          </w:tcPr>
          <w:p w14:paraId="638FCF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24.430954</w:t>
            </w:r>
          </w:p>
        </w:tc>
        <w:tc>
          <w:tcPr>
            <w:tcW w:w="395" w:type="pct"/>
            <w:shd w:val="clear" w:color="auto" w:fill="auto"/>
            <w:vAlign w:val="center"/>
          </w:tcPr>
          <w:p w14:paraId="1F0FBB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2270</w:t>
            </w:r>
          </w:p>
        </w:tc>
        <w:tc>
          <w:tcPr>
            <w:tcW w:w="485" w:type="pct"/>
            <w:vAlign w:val="center"/>
          </w:tcPr>
          <w:p w14:paraId="446C8D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256" w:type="pct"/>
            <w:vAlign w:val="center"/>
          </w:tcPr>
          <w:p w14:paraId="398D56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7E3428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3075</w:t>
            </w:r>
          </w:p>
        </w:tc>
        <w:tc>
          <w:tcPr>
            <w:tcW w:w="1383" w:type="pct"/>
            <w:vMerge w:val="continue"/>
            <w:vAlign w:val="center"/>
          </w:tcPr>
          <w:p w14:paraId="32086B5B">
            <w:pPr>
              <w:pStyle w:val="28"/>
              <w:rPr>
                <w:color w:val="000000" w:themeColor="text1"/>
                <w14:textFill>
                  <w14:solidFill>
                    <w14:schemeClr w14:val="tx1"/>
                  </w14:solidFill>
                </w14:textFill>
              </w:rPr>
            </w:pPr>
          </w:p>
        </w:tc>
      </w:tr>
      <w:tr w14:paraId="3A69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350B2CA9">
            <w:pPr>
              <w:pStyle w:val="28"/>
              <w:rPr>
                <w:color w:val="000000" w:themeColor="text1"/>
                <w14:textFill>
                  <w14:solidFill>
                    <w14:schemeClr w14:val="tx1"/>
                  </w14:solidFill>
                </w14:textFill>
              </w:rPr>
            </w:pPr>
          </w:p>
        </w:tc>
        <w:tc>
          <w:tcPr>
            <w:tcW w:w="314" w:type="pct"/>
            <w:gridSpan w:val="2"/>
            <w:shd w:val="clear" w:color="auto" w:fill="auto"/>
            <w:vAlign w:val="center"/>
          </w:tcPr>
          <w:p w14:paraId="08BD27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502" w:type="pct"/>
            <w:shd w:val="clear" w:color="auto" w:fill="auto"/>
            <w:vAlign w:val="center"/>
          </w:tcPr>
          <w:p w14:paraId="5BAA37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后所村</w:t>
            </w:r>
          </w:p>
        </w:tc>
        <w:tc>
          <w:tcPr>
            <w:tcW w:w="580" w:type="pct"/>
            <w:shd w:val="clear" w:color="auto" w:fill="auto"/>
            <w:vAlign w:val="center"/>
          </w:tcPr>
          <w:p w14:paraId="2C0EF3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102.548188</w:t>
            </w:r>
          </w:p>
        </w:tc>
        <w:tc>
          <w:tcPr>
            <w:tcW w:w="585" w:type="pct"/>
            <w:shd w:val="clear" w:color="auto" w:fill="auto"/>
            <w:vAlign w:val="center"/>
          </w:tcPr>
          <w:p w14:paraId="5493A5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24.443418</w:t>
            </w:r>
          </w:p>
        </w:tc>
        <w:tc>
          <w:tcPr>
            <w:tcW w:w="395" w:type="pct"/>
            <w:shd w:val="clear" w:color="auto" w:fill="auto"/>
            <w:vAlign w:val="center"/>
          </w:tcPr>
          <w:p w14:paraId="3F4949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2275</w:t>
            </w:r>
          </w:p>
        </w:tc>
        <w:tc>
          <w:tcPr>
            <w:tcW w:w="485" w:type="pct"/>
            <w:vAlign w:val="center"/>
          </w:tcPr>
          <w:p w14:paraId="25E8A9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1940</w:t>
            </w:r>
          </w:p>
        </w:tc>
        <w:tc>
          <w:tcPr>
            <w:tcW w:w="256" w:type="pct"/>
            <w:vAlign w:val="center"/>
          </w:tcPr>
          <w:p w14:paraId="798DF7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5659CC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1020</w:t>
            </w:r>
          </w:p>
        </w:tc>
        <w:tc>
          <w:tcPr>
            <w:tcW w:w="1383" w:type="pct"/>
            <w:vMerge w:val="continue"/>
            <w:vAlign w:val="center"/>
          </w:tcPr>
          <w:p w14:paraId="4DF490F1">
            <w:pPr>
              <w:pStyle w:val="28"/>
              <w:rPr>
                <w:color w:val="000000" w:themeColor="text1"/>
                <w14:textFill>
                  <w14:solidFill>
                    <w14:schemeClr w14:val="tx1"/>
                  </w14:solidFill>
                </w14:textFill>
              </w:rPr>
            </w:pPr>
          </w:p>
        </w:tc>
      </w:tr>
      <w:tr w14:paraId="36D1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72A5875A">
            <w:pPr>
              <w:pStyle w:val="28"/>
              <w:rPr>
                <w:color w:val="000000" w:themeColor="text1"/>
                <w14:textFill>
                  <w14:solidFill>
                    <w14:schemeClr w14:val="tx1"/>
                  </w14:solidFill>
                </w14:textFill>
              </w:rPr>
            </w:pPr>
          </w:p>
        </w:tc>
        <w:tc>
          <w:tcPr>
            <w:tcW w:w="314" w:type="pct"/>
            <w:gridSpan w:val="2"/>
            <w:shd w:val="clear" w:color="auto" w:fill="auto"/>
            <w:vAlign w:val="center"/>
          </w:tcPr>
          <w:p w14:paraId="534684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502" w:type="pct"/>
            <w:shd w:val="clear" w:color="auto" w:fill="auto"/>
            <w:vAlign w:val="center"/>
          </w:tcPr>
          <w:p w14:paraId="5356FA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前所村</w:t>
            </w:r>
          </w:p>
        </w:tc>
        <w:tc>
          <w:tcPr>
            <w:tcW w:w="580" w:type="pct"/>
            <w:shd w:val="clear" w:color="auto" w:fill="auto"/>
            <w:vAlign w:val="center"/>
          </w:tcPr>
          <w:p w14:paraId="4AC931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102.549089</w:t>
            </w:r>
          </w:p>
        </w:tc>
        <w:tc>
          <w:tcPr>
            <w:tcW w:w="585" w:type="pct"/>
            <w:shd w:val="clear" w:color="auto" w:fill="auto"/>
            <w:vAlign w:val="center"/>
          </w:tcPr>
          <w:p w14:paraId="236E4D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24.439081</w:t>
            </w:r>
          </w:p>
        </w:tc>
        <w:tc>
          <w:tcPr>
            <w:tcW w:w="395" w:type="pct"/>
            <w:shd w:val="clear" w:color="auto" w:fill="auto"/>
            <w:vAlign w:val="center"/>
          </w:tcPr>
          <w:p w14:paraId="59A990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2270</w:t>
            </w:r>
          </w:p>
        </w:tc>
        <w:tc>
          <w:tcPr>
            <w:tcW w:w="485" w:type="pct"/>
            <w:vAlign w:val="center"/>
          </w:tcPr>
          <w:p w14:paraId="6F3959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2095</w:t>
            </w:r>
          </w:p>
        </w:tc>
        <w:tc>
          <w:tcPr>
            <w:tcW w:w="256" w:type="pct"/>
            <w:vAlign w:val="center"/>
          </w:tcPr>
          <w:p w14:paraId="591098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340" w:type="pct"/>
            <w:vAlign w:val="center"/>
          </w:tcPr>
          <w:p w14:paraId="6CC5EC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1130</w:t>
            </w:r>
          </w:p>
        </w:tc>
        <w:tc>
          <w:tcPr>
            <w:tcW w:w="1383" w:type="pct"/>
            <w:vMerge w:val="continue"/>
            <w:vAlign w:val="center"/>
          </w:tcPr>
          <w:p w14:paraId="0011680C">
            <w:pPr>
              <w:pStyle w:val="28"/>
              <w:rPr>
                <w:color w:val="000000" w:themeColor="text1"/>
                <w14:textFill>
                  <w14:solidFill>
                    <w14:schemeClr w14:val="tx1"/>
                  </w14:solidFill>
                </w14:textFill>
              </w:rPr>
            </w:pPr>
          </w:p>
        </w:tc>
      </w:tr>
      <w:tr w14:paraId="731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14BAFA0F">
            <w:pPr>
              <w:pStyle w:val="28"/>
              <w:rPr>
                <w:color w:val="000000" w:themeColor="text1"/>
                <w14:textFill>
                  <w14:solidFill>
                    <w14:schemeClr w14:val="tx1"/>
                  </w14:solidFill>
                </w14:textFill>
              </w:rPr>
            </w:pPr>
          </w:p>
        </w:tc>
        <w:tc>
          <w:tcPr>
            <w:tcW w:w="314" w:type="pct"/>
            <w:gridSpan w:val="2"/>
            <w:shd w:val="clear" w:color="auto" w:fill="auto"/>
            <w:vAlign w:val="center"/>
          </w:tcPr>
          <w:p w14:paraId="6417C5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502" w:type="pct"/>
            <w:shd w:val="clear" w:color="auto" w:fill="auto"/>
            <w:vAlign w:val="center"/>
          </w:tcPr>
          <w:p w14:paraId="7EFBC8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上庄子</w:t>
            </w:r>
          </w:p>
        </w:tc>
        <w:tc>
          <w:tcPr>
            <w:tcW w:w="580" w:type="pct"/>
            <w:shd w:val="clear" w:color="auto" w:fill="auto"/>
            <w:vAlign w:val="center"/>
          </w:tcPr>
          <w:p w14:paraId="1C5A9F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102.536901</w:t>
            </w:r>
          </w:p>
        </w:tc>
        <w:tc>
          <w:tcPr>
            <w:tcW w:w="585" w:type="pct"/>
            <w:shd w:val="clear" w:color="auto" w:fill="auto"/>
            <w:vAlign w:val="center"/>
          </w:tcPr>
          <w:p w14:paraId="5B9E1D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24.456076</w:t>
            </w:r>
          </w:p>
        </w:tc>
        <w:tc>
          <w:tcPr>
            <w:tcW w:w="395" w:type="pct"/>
            <w:shd w:val="clear" w:color="auto" w:fill="auto"/>
            <w:vAlign w:val="center"/>
          </w:tcPr>
          <w:p w14:paraId="5BDF5B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2310</w:t>
            </w:r>
          </w:p>
        </w:tc>
        <w:tc>
          <w:tcPr>
            <w:tcW w:w="485" w:type="pct"/>
            <w:vAlign w:val="center"/>
          </w:tcPr>
          <w:p w14:paraId="0C4A4C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2120</w:t>
            </w:r>
          </w:p>
        </w:tc>
        <w:tc>
          <w:tcPr>
            <w:tcW w:w="256" w:type="pct"/>
            <w:vAlign w:val="center"/>
          </w:tcPr>
          <w:p w14:paraId="22BD4B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530FA4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1383" w:type="pct"/>
            <w:vMerge w:val="continue"/>
            <w:vAlign w:val="center"/>
          </w:tcPr>
          <w:p w14:paraId="1A275CC2">
            <w:pPr>
              <w:pStyle w:val="28"/>
              <w:rPr>
                <w:color w:val="000000" w:themeColor="text1"/>
                <w14:textFill>
                  <w14:solidFill>
                    <w14:schemeClr w14:val="tx1"/>
                  </w14:solidFill>
                </w14:textFill>
              </w:rPr>
            </w:pPr>
          </w:p>
        </w:tc>
      </w:tr>
      <w:tr w14:paraId="2A27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69D0BF67">
            <w:pPr>
              <w:pStyle w:val="28"/>
              <w:rPr>
                <w:color w:val="000000" w:themeColor="text1"/>
                <w14:textFill>
                  <w14:solidFill>
                    <w14:schemeClr w14:val="tx1"/>
                  </w14:solidFill>
                </w14:textFill>
              </w:rPr>
            </w:pPr>
          </w:p>
        </w:tc>
        <w:tc>
          <w:tcPr>
            <w:tcW w:w="314" w:type="pct"/>
            <w:gridSpan w:val="2"/>
            <w:shd w:val="clear" w:color="auto" w:fill="auto"/>
            <w:vAlign w:val="center"/>
          </w:tcPr>
          <w:p w14:paraId="084BCA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502" w:type="pct"/>
            <w:shd w:val="clear" w:color="auto" w:fill="auto"/>
            <w:vAlign w:val="center"/>
          </w:tcPr>
          <w:p w14:paraId="5E943E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朱井</w:t>
            </w:r>
          </w:p>
        </w:tc>
        <w:tc>
          <w:tcPr>
            <w:tcW w:w="580" w:type="pct"/>
            <w:shd w:val="clear" w:color="auto" w:fill="auto"/>
            <w:vAlign w:val="center"/>
          </w:tcPr>
          <w:p w14:paraId="782227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102.542073</w:t>
            </w:r>
          </w:p>
        </w:tc>
        <w:tc>
          <w:tcPr>
            <w:tcW w:w="585" w:type="pct"/>
            <w:shd w:val="clear" w:color="auto" w:fill="auto"/>
            <w:vAlign w:val="center"/>
          </w:tcPr>
          <w:p w14:paraId="5145D9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24.420951</w:t>
            </w:r>
          </w:p>
        </w:tc>
        <w:tc>
          <w:tcPr>
            <w:tcW w:w="395" w:type="pct"/>
            <w:shd w:val="clear" w:color="auto" w:fill="auto"/>
            <w:vAlign w:val="center"/>
          </w:tcPr>
          <w:p w14:paraId="7FB953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2405</w:t>
            </w:r>
          </w:p>
        </w:tc>
        <w:tc>
          <w:tcPr>
            <w:tcW w:w="485" w:type="pct"/>
            <w:vAlign w:val="center"/>
          </w:tcPr>
          <w:p w14:paraId="794AA0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1730</w:t>
            </w:r>
          </w:p>
        </w:tc>
        <w:tc>
          <w:tcPr>
            <w:tcW w:w="256" w:type="pct"/>
            <w:vAlign w:val="center"/>
          </w:tcPr>
          <w:p w14:paraId="03C8AA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44460C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340</w:t>
            </w:r>
          </w:p>
        </w:tc>
        <w:tc>
          <w:tcPr>
            <w:tcW w:w="1383" w:type="pct"/>
            <w:vMerge w:val="continue"/>
            <w:vAlign w:val="center"/>
          </w:tcPr>
          <w:p w14:paraId="4E4AE45D">
            <w:pPr>
              <w:pStyle w:val="28"/>
              <w:rPr>
                <w:color w:val="000000" w:themeColor="text1"/>
                <w14:textFill>
                  <w14:solidFill>
                    <w14:schemeClr w14:val="tx1"/>
                  </w14:solidFill>
                </w14:textFill>
              </w:rPr>
            </w:pPr>
          </w:p>
        </w:tc>
      </w:tr>
      <w:tr w14:paraId="2CA2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ACBAC55">
            <w:pPr>
              <w:pStyle w:val="28"/>
              <w:rPr>
                <w:color w:val="000000" w:themeColor="text1"/>
                <w14:textFill>
                  <w14:solidFill>
                    <w14:schemeClr w14:val="tx1"/>
                  </w14:solidFill>
                </w14:textFill>
              </w:rPr>
            </w:pPr>
          </w:p>
        </w:tc>
        <w:tc>
          <w:tcPr>
            <w:tcW w:w="314" w:type="pct"/>
            <w:gridSpan w:val="2"/>
            <w:shd w:val="clear" w:color="auto" w:fill="auto"/>
            <w:vAlign w:val="center"/>
          </w:tcPr>
          <w:p w14:paraId="029F27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502" w:type="pct"/>
            <w:shd w:val="clear" w:color="auto" w:fill="auto"/>
            <w:vAlign w:val="center"/>
          </w:tcPr>
          <w:p w14:paraId="2EB74A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南村</w:t>
            </w:r>
          </w:p>
        </w:tc>
        <w:tc>
          <w:tcPr>
            <w:tcW w:w="580" w:type="pct"/>
            <w:shd w:val="clear" w:color="auto" w:fill="auto"/>
            <w:vAlign w:val="center"/>
          </w:tcPr>
          <w:p w14:paraId="48BE41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102.523104</w:t>
            </w:r>
          </w:p>
        </w:tc>
        <w:tc>
          <w:tcPr>
            <w:tcW w:w="585" w:type="pct"/>
            <w:shd w:val="clear" w:color="auto" w:fill="auto"/>
            <w:vAlign w:val="center"/>
          </w:tcPr>
          <w:p w14:paraId="45D6E8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24.415764</w:t>
            </w:r>
          </w:p>
        </w:tc>
        <w:tc>
          <w:tcPr>
            <w:tcW w:w="395" w:type="pct"/>
            <w:shd w:val="clear" w:color="auto" w:fill="auto"/>
            <w:vAlign w:val="center"/>
          </w:tcPr>
          <w:p w14:paraId="609549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2440</w:t>
            </w:r>
          </w:p>
        </w:tc>
        <w:tc>
          <w:tcPr>
            <w:tcW w:w="485" w:type="pct"/>
            <w:vAlign w:val="center"/>
          </w:tcPr>
          <w:p w14:paraId="51B544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1775</w:t>
            </w:r>
          </w:p>
        </w:tc>
        <w:tc>
          <w:tcPr>
            <w:tcW w:w="256" w:type="pct"/>
            <w:vAlign w:val="center"/>
          </w:tcPr>
          <w:p w14:paraId="5A2087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vAlign w:val="center"/>
          </w:tcPr>
          <w:p w14:paraId="2D0CB5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260</w:t>
            </w:r>
          </w:p>
        </w:tc>
        <w:tc>
          <w:tcPr>
            <w:tcW w:w="1383" w:type="pct"/>
            <w:vMerge w:val="continue"/>
            <w:vAlign w:val="center"/>
          </w:tcPr>
          <w:p w14:paraId="5B8C338E">
            <w:pPr>
              <w:pStyle w:val="28"/>
              <w:rPr>
                <w:color w:val="000000" w:themeColor="text1"/>
                <w14:textFill>
                  <w14:solidFill>
                    <w14:schemeClr w14:val="tx1"/>
                  </w14:solidFill>
                </w14:textFill>
              </w:rPr>
            </w:pPr>
          </w:p>
        </w:tc>
      </w:tr>
      <w:tr w14:paraId="3967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7BAA9B26">
            <w:pPr>
              <w:pStyle w:val="28"/>
              <w:rPr>
                <w:color w:val="000000" w:themeColor="text1"/>
                <w14:textFill>
                  <w14:solidFill>
                    <w14:schemeClr w14:val="tx1"/>
                  </w14:solidFill>
                </w14:textFill>
              </w:rPr>
            </w:pPr>
          </w:p>
        </w:tc>
        <w:tc>
          <w:tcPr>
            <w:tcW w:w="314" w:type="pct"/>
            <w:gridSpan w:val="2"/>
            <w:shd w:val="clear" w:color="auto" w:fill="auto"/>
            <w:vAlign w:val="center"/>
          </w:tcPr>
          <w:p w14:paraId="5B0EF5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502" w:type="pct"/>
            <w:shd w:val="clear" w:color="auto" w:fill="auto"/>
            <w:vAlign w:val="center"/>
          </w:tcPr>
          <w:p w14:paraId="67E8EF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中所</w:t>
            </w:r>
          </w:p>
        </w:tc>
        <w:tc>
          <w:tcPr>
            <w:tcW w:w="580" w:type="pct"/>
            <w:shd w:val="clear" w:color="auto" w:fill="auto"/>
            <w:vAlign w:val="center"/>
          </w:tcPr>
          <w:p w14:paraId="6E36B4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102.533146</w:t>
            </w:r>
          </w:p>
        </w:tc>
        <w:tc>
          <w:tcPr>
            <w:tcW w:w="585" w:type="pct"/>
            <w:shd w:val="clear" w:color="auto" w:fill="auto"/>
            <w:vAlign w:val="center"/>
          </w:tcPr>
          <w:p w14:paraId="43B341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24.416311</w:t>
            </w:r>
          </w:p>
        </w:tc>
        <w:tc>
          <w:tcPr>
            <w:tcW w:w="395" w:type="pct"/>
            <w:shd w:val="clear" w:color="auto" w:fill="auto"/>
            <w:vAlign w:val="center"/>
          </w:tcPr>
          <w:p w14:paraId="4ED989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2440</w:t>
            </w:r>
          </w:p>
        </w:tc>
        <w:tc>
          <w:tcPr>
            <w:tcW w:w="485" w:type="pct"/>
            <w:vAlign w:val="center"/>
          </w:tcPr>
          <w:p w14:paraId="365D95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1800</w:t>
            </w:r>
          </w:p>
        </w:tc>
        <w:tc>
          <w:tcPr>
            <w:tcW w:w="256" w:type="pct"/>
            <w:vAlign w:val="center"/>
          </w:tcPr>
          <w:p w14:paraId="0A71B9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47DBD3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370</w:t>
            </w:r>
          </w:p>
        </w:tc>
        <w:tc>
          <w:tcPr>
            <w:tcW w:w="1383" w:type="pct"/>
            <w:vMerge w:val="continue"/>
            <w:vAlign w:val="center"/>
          </w:tcPr>
          <w:p w14:paraId="57497DB1">
            <w:pPr>
              <w:pStyle w:val="28"/>
              <w:rPr>
                <w:color w:val="000000" w:themeColor="text1"/>
                <w14:textFill>
                  <w14:solidFill>
                    <w14:schemeClr w14:val="tx1"/>
                  </w14:solidFill>
                </w14:textFill>
              </w:rPr>
            </w:pPr>
          </w:p>
        </w:tc>
      </w:tr>
      <w:tr w14:paraId="2D86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5DF277DE">
            <w:pPr>
              <w:pStyle w:val="28"/>
              <w:rPr>
                <w:color w:val="000000" w:themeColor="text1"/>
                <w14:textFill>
                  <w14:solidFill>
                    <w14:schemeClr w14:val="tx1"/>
                  </w14:solidFill>
                </w14:textFill>
              </w:rPr>
            </w:pPr>
          </w:p>
        </w:tc>
        <w:tc>
          <w:tcPr>
            <w:tcW w:w="314" w:type="pct"/>
            <w:gridSpan w:val="2"/>
            <w:shd w:val="clear" w:color="auto" w:fill="auto"/>
            <w:vAlign w:val="center"/>
          </w:tcPr>
          <w:p w14:paraId="39ED76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502" w:type="pct"/>
            <w:shd w:val="clear" w:color="auto" w:fill="auto"/>
            <w:vAlign w:val="center"/>
          </w:tcPr>
          <w:p w14:paraId="65F5AF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梅园村</w:t>
            </w:r>
          </w:p>
        </w:tc>
        <w:tc>
          <w:tcPr>
            <w:tcW w:w="580" w:type="pct"/>
            <w:shd w:val="clear" w:color="auto" w:fill="auto"/>
            <w:vAlign w:val="center"/>
          </w:tcPr>
          <w:p w14:paraId="1D563E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102.541536</w:t>
            </w:r>
          </w:p>
        </w:tc>
        <w:tc>
          <w:tcPr>
            <w:tcW w:w="585" w:type="pct"/>
            <w:shd w:val="clear" w:color="auto" w:fill="auto"/>
            <w:vAlign w:val="center"/>
          </w:tcPr>
          <w:p w14:paraId="109B72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24.454982</w:t>
            </w:r>
          </w:p>
        </w:tc>
        <w:tc>
          <w:tcPr>
            <w:tcW w:w="395" w:type="pct"/>
            <w:shd w:val="clear" w:color="auto" w:fill="auto"/>
            <w:vAlign w:val="center"/>
          </w:tcPr>
          <w:p w14:paraId="368571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2450</w:t>
            </w:r>
          </w:p>
        </w:tc>
        <w:tc>
          <w:tcPr>
            <w:tcW w:w="485" w:type="pct"/>
            <w:vAlign w:val="center"/>
          </w:tcPr>
          <w:p w14:paraId="13E7D2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2270</w:t>
            </w:r>
          </w:p>
        </w:tc>
        <w:tc>
          <w:tcPr>
            <w:tcW w:w="256" w:type="pct"/>
            <w:vAlign w:val="center"/>
          </w:tcPr>
          <w:p w14:paraId="385C0D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vAlign w:val="center"/>
          </w:tcPr>
          <w:p w14:paraId="3E6D92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w:t>
            </w:r>
          </w:p>
        </w:tc>
        <w:tc>
          <w:tcPr>
            <w:tcW w:w="1383" w:type="pct"/>
            <w:vMerge w:val="continue"/>
            <w:vAlign w:val="center"/>
          </w:tcPr>
          <w:p w14:paraId="0C86E185">
            <w:pPr>
              <w:pStyle w:val="28"/>
              <w:rPr>
                <w:color w:val="000000" w:themeColor="text1"/>
                <w14:textFill>
                  <w14:solidFill>
                    <w14:schemeClr w14:val="tx1"/>
                  </w14:solidFill>
                </w14:textFill>
              </w:rPr>
            </w:pPr>
          </w:p>
        </w:tc>
      </w:tr>
      <w:tr w14:paraId="3A4E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17D55913">
            <w:pPr>
              <w:pStyle w:val="28"/>
              <w:rPr>
                <w:color w:val="000000" w:themeColor="text1"/>
                <w14:textFill>
                  <w14:solidFill>
                    <w14:schemeClr w14:val="tx1"/>
                  </w14:solidFill>
                </w14:textFill>
              </w:rPr>
            </w:pPr>
          </w:p>
        </w:tc>
        <w:tc>
          <w:tcPr>
            <w:tcW w:w="314" w:type="pct"/>
            <w:gridSpan w:val="2"/>
            <w:shd w:val="clear" w:color="auto" w:fill="auto"/>
            <w:vAlign w:val="center"/>
          </w:tcPr>
          <w:p w14:paraId="6EC6F0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502" w:type="pct"/>
            <w:shd w:val="clear" w:color="auto" w:fill="auto"/>
            <w:vAlign w:val="center"/>
          </w:tcPr>
          <w:p w14:paraId="6105BD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杜家边</w:t>
            </w:r>
          </w:p>
        </w:tc>
        <w:tc>
          <w:tcPr>
            <w:tcW w:w="580" w:type="pct"/>
            <w:shd w:val="clear" w:color="auto" w:fill="auto"/>
            <w:vAlign w:val="center"/>
          </w:tcPr>
          <w:p w14:paraId="344EAC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102.530904</w:t>
            </w:r>
          </w:p>
        </w:tc>
        <w:tc>
          <w:tcPr>
            <w:tcW w:w="585" w:type="pct"/>
            <w:shd w:val="clear" w:color="auto" w:fill="auto"/>
            <w:vAlign w:val="center"/>
          </w:tcPr>
          <w:p w14:paraId="494DB3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24.415578</w:t>
            </w:r>
          </w:p>
        </w:tc>
        <w:tc>
          <w:tcPr>
            <w:tcW w:w="395" w:type="pct"/>
            <w:shd w:val="clear" w:color="auto" w:fill="auto"/>
            <w:vAlign w:val="center"/>
          </w:tcPr>
          <w:p w14:paraId="44EA46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2470</w:t>
            </w:r>
          </w:p>
        </w:tc>
        <w:tc>
          <w:tcPr>
            <w:tcW w:w="485" w:type="pct"/>
            <w:vAlign w:val="center"/>
          </w:tcPr>
          <w:p w14:paraId="4E5667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1860</w:t>
            </w:r>
          </w:p>
        </w:tc>
        <w:tc>
          <w:tcPr>
            <w:tcW w:w="256" w:type="pct"/>
            <w:vAlign w:val="center"/>
          </w:tcPr>
          <w:p w14:paraId="6A9CA2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162279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430</w:t>
            </w:r>
          </w:p>
        </w:tc>
        <w:tc>
          <w:tcPr>
            <w:tcW w:w="1383" w:type="pct"/>
            <w:vMerge w:val="continue"/>
            <w:vAlign w:val="center"/>
          </w:tcPr>
          <w:p w14:paraId="43AC0BD4">
            <w:pPr>
              <w:pStyle w:val="28"/>
              <w:rPr>
                <w:color w:val="000000" w:themeColor="text1"/>
                <w14:textFill>
                  <w14:solidFill>
                    <w14:schemeClr w14:val="tx1"/>
                  </w14:solidFill>
                </w14:textFill>
              </w:rPr>
            </w:pPr>
          </w:p>
        </w:tc>
      </w:tr>
      <w:tr w14:paraId="385C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77665112">
            <w:pPr>
              <w:pStyle w:val="28"/>
              <w:rPr>
                <w:color w:val="000000" w:themeColor="text1"/>
                <w14:textFill>
                  <w14:solidFill>
                    <w14:schemeClr w14:val="tx1"/>
                  </w14:solidFill>
                </w14:textFill>
              </w:rPr>
            </w:pPr>
          </w:p>
        </w:tc>
        <w:tc>
          <w:tcPr>
            <w:tcW w:w="314" w:type="pct"/>
            <w:gridSpan w:val="2"/>
            <w:shd w:val="clear" w:color="auto" w:fill="auto"/>
            <w:vAlign w:val="center"/>
          </w:tcPr>
          <w:p w14:paraId="2B4109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502" w:type="pct"/>
            <w:shd w:val="clear" w:color="auto" w:fill="auto"/>
            <w:vAlign w:val="center"/>
          </w:tcPr>
          <w:p w14:paraId="792433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上龙池</w:t>
            </w:r>
          </w:p>
        </w:tc>
        <w:tc>
          <w:tcPr>
            <w:tcW w:w="580" w:type="pct"/>
            <w:shd w:val="clear" w:color="auto" w:fill="auto"/>
            <w:vAlign w:val="center"/>
          </w:tcPr>
          <w:p w14:paraId="7CD9D6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102.513234</w:t>
            </w:r>
          </w:p>
        </w:tc>
        <w:tc>
          <w:tcPr>
            <w:tcW w:w="585" w:type="pct"/>
            <w:shd w:val="clear" w:color="auto" w:fill="auto"/>
            <w:vAlign w:val="center"/>
          </w:tcPr>
          <w:p w14:paraId="4C1439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24.418851</w:t>
            </w:r>
          </w:p>
        </w:tc>
        <w:tc>
          <w:tcPr>
            <w:tcW w:w="395" w:type="pct"/>
            <w:shd w:val="clear" w:color="auto" w:fill="auto"/>
            <w:vAlign w:val="center"/>
          </w:tcPr>
          <w:p w14:paraId="3EE113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2480</w:t>
            </w:r>
          </w:p>
        </w:tc>
        <w:tc>
          <w:tcPr>
            <w:tcW w:w="485" w:type="pct"/>
            <w:vAlign w:val="center"/>
          </w:tcPr>
          <w:p w14:paraId="396CE2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1395</w:t>
            </w:r>
          </w:p>
        </w:tc>
        <w:tc>
          <w:tcPr>
            <w:tcW w:w="256" w:type="pct"/>
            <w:vAlign w:val="center"/>
          </w:tcPr>
          <w:p w14:paraId="5BA61A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vAlign w:val="center"/>
          </w:tcPr>
          <w:p w14:paraId="0E49A1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290</w:t>
            </w:r>
          </w:p>
        </w:tc>
        <w:tc>
          <w:tcPr>
            <w:tcW w:w="1383" w:type="pct"/>
            <w:vMerge w:val="continue"/>
            <w:vAlign w:val="center"/>
          </w:tcPr>
          <w:p w14:paraId="39D4EB8B">
            <w:pPr>
              <w:pStyle w:val="28"/>
              <w:rPr>
                <w:color w:val="000000" w:themeColor="text1"/>
                <w14:textFill>
                  <w14:solidFill>
                    <w14:schemeClr w14:val="tx1"/>
                  </w14:solidFill>
                </w14:textFill>
              </w:rPr>
            </w:pPr>
          </w:p>
        </w:tc>
      </w:tr>
      <w:tr w14:paraId="058E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61A512A4">
            <w:pPr>
              <w:pStyle w:val="28"/>
              <w:rPr>
                <w:color w:val="000000" w:themeColor="text1"/>
                <w14:textFill>
                  <w14:solidFill>
                    <w14:schemeClr w14:val="tx1"/>
                  </w14:solidFill>
                </w14:textFill>
              </w:rPr>
            </w:pPr>
          </w:p>
        </w:tc>
        <w:tc>
          <w:tcPr>
            <w:tcW w:w="314" w:type="pct"/>
            <w:gridSpan w:val="2"/>
            <w:shd w:val="clear" w:color="auto" w:fill="auto"/>
            <w:vAlign w:val="center"/>
          </w:tcPr>
          <w:p w14:paraId="14C90A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502" w:type="pct"/>
            <w:shd w:val="clear" w:color="auto" w:fill="auto"/>
            <w:vAlign w:val="center"/>
          </w:tcPr>
          <w:p w14:paraId="7FA2B4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小白井</w:t>
            </w:r>
          </w:p>
        </w:tc>
        <w:tc>
          <w:tcPr>
            <w:tcW w:w="580" w:type="pct"/>
            <w:shd w:val="clear" w:color="auto" w:fill="auto"/>
            <w:vAlign w:val="center"/>
          </w:tcPr>
          <w:p w14:paraId="1FFADF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102.543478</w:t>
            </w:r>
          </w:p>
        </w:tc>
        <w:tc>
          <w:tcPr>
            <w:tcW w:w="585" w:type="pct"/>
            <w:shd w:val="clear" w:color="auto" w:fill="auto"/>
            <w:vAlign w:val="center"/>
          </w:tcPr>
          <w:p w14:paraId="764E3C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24.41847</w:t>
            </w:r>
          </w:p>
        </w:tc>
        <w:tc>
          <w:tcPr>
            <w:tcW w:w="395" w:type="pct"/>
            <w:shd w:val="clear" w:color="auto" w:fill="auto"/>
            <w:vAlign w:val="center"/>
          </w:tcPr>
          <w:p w14:paraId="326AE9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2710</w:t>
            </w:r>
          </w:p>
        </w:tc>
        <w:tc>
          <w:tcPr>
            <w:tcW w:w="485" w:type="pct"/>
            <w:vAlign w:val="center"/>
          </w:tcPr>
          <w:p w14:paraId="2B984D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2290</w:t>
            </w:r>
          </w:p>
        </w:tc>
        <w:tc>
          <w:tcPr>
            <w:tcW w:w="256" w:type="pct"/>
            <w:vAlign w:val="center"/>
          </w:tcPr>
          <w:p w14:paraId="4A9263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6CF9D8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420</w:t>
            </w:r>
          </w:p>
        </w:tc>
        <w:tc>
          <w:tcPr>
            <w:tcW w:w="1383" w:type="pct"/>
            <w:vMerge w:val="continue"/>
            <w:vAlign w:val="center"/>
          </w:tcPr>
          <w:p w14:paraId="4801BBCD">
            <w:pPr>
              <w:pStyle w:val="28"/>
              <w:rPr>
                <w:color w:val="000000" w:themeColor="text1"/>
                <w14:textFill>
                  <w14:solidFill>
                    <w14:schemeClr w14:val="tx1"/>
                  </w14:solidFill>
                </w14:textFill>
              </w:rPr>
            </w:pPr>
          </w:p>
        </w:tc>
      </w:tr>
      <w:tr w14:paraId="3259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86DDB70">
            <w:pPr>
              <w:pStyle w:val="28"/>
              <w:rPr>
                <w:color w:val="000000" w:themeColor="text1"/>
                <w14:textFill>
                  <w14:solidFill>
                    <w14:schemeClr w14:val="tx1"/>
                  </w14:solidFill>
                </w14:textFill>
              </w:rPr>
            </w:pPr>
          </w:p>
        </w:tc>
        <w:tc>
          <w:tcPr>
            <w:tcW w:w="314" w:type="pct"/>
            <w:gridSpan w:val="2"/>
            <w:shd w:val="clear" w:color="auto" w:fill="auto"/>
            <w:vAlign w:val="center"/>
          </w:tcPr>
          <w:p w14:paraId="398842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502" w:type="pct"/>
            <w:shd w:val="clear" w:color="auto" w:fill="auto"/>
            <w:vAlign w:val="center"/>
          </w:tcPr>
          <w:p w14:paraId="3B7BBB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大麦地</w:t>
            </w:r>
          </w:p>
        </w:tc>
        <w:tc>
          <w:tcPr>
            <w:tcW w:w="580" w:type="pct"/>
            <w:shd w:val="clear" w:color="auto" w:fill="auto"/>
            <w:vAlign w:val="center"/>
          </w:tcPr>
          <w:p w14:paraId="14DD11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102.51053</w:t>
            </w:r>
          </w:p>
        </w:tc>
        <w:tc>
          <w:tcPr>
            <w:tcW w:w="585" w:type="pct"/>
            <w:shd w:val="clear" w:color="auto" w:fill="auto"/>
            <w:vAlign w:val="center"/>
          </w:tcPr>
          <w:p w14:paraId="7FF55A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24.415588</w:t>
            </w:r>
          </w:p>
        </w:tc>
        <w:tc>
          <w:tcPr>
            <w:tcW w:w="395" w:type="pct"/>
            <w:shd w:val="clear" w:color="auto" w:fill="auto"/>
            <w:vAlign w:val="center"/>
          </w:tcPr>
          <w:p w14:paraId="02953C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2930</w:t>
            </w:r>
          </w:p>
        </w:tc>
        <w:tc>
          <w:tcPr>
            <w:tcW w:w="485" w:type="pct"/>
            <w:vAlign w:val="center"/>
          </w:tcPr>
          <w:p w14:paraId="162318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2135</w:t>
            </w:r>
          </w:p>
        </w:tc>
        <w:tc>
          <w:tcPr>
            <w:tcW w:w="256" w:type="pct"/>
            <w:vAlign w:val="center"/>
          </w:tcPr>
          <w:p w14:paraId="323F95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vAlign w:val="center"/>
          </w:tcPr>
          <w:p w14:paraId="4C5192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970</w:t>
            </w:r>
          </w:p>
        </w:tc>
        <w:tc>
          <w:tcPr>
            <w:tcW w:w="1383" w:type="pct"/>
            <w:vMerge w:val="continue"/>
            <w:vAlign w:val="center"/>
          </w:tcPr>
          <w:p w14:paraId="70601D88">
            <w:pPr>
              <w:pStyle w:val="28"/>
              <w:rPr>
                <w:color w:val="000000" w:themeColor="text1"/>
                <w14:textFill>
                  <w14:solidFill>
                    <w14:schemeClr w14:val="tx1"/>
                  </w14:solidFill>
                </w14:textFill>
              </w:rPr>
            </w:pPr>
          </w:p>
        </w:tc>
      </w:tr>
      <w:tr w14:paraId="4E62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3C56CDC4">
            <w:pPr>
              <w:pStyle w:val="28"/>
              <w:rPr>
                <w:color w:val="000000" w:themeColor="text1"/>
                <w14:textFill>
                  <w14:solidFill>
                    <w14:schemeClr w14:val="tx1"/>
                  </w14:solidFill>
                </w14:textFill>
              </w:rPr>
            </w:pPr>
          </w:p>
        </w:tc>
        <w:tc>
          <w:tcPr>
            <w:tcW w:w="314" w:type="pct"/>
            <w:gridSpan w:val="2"/>
            <w:shd w:val="clear" w:color="auto" w:fill="auto"/>
            <w:vAlign w:val="center"/>
          </w:tcPr>
          <w:p w14:paraId="6920BA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502" w:type="pct"/>
            <w:shd w:val="clear" w:color="auto" w:fill="auto"/>
            <w:vAlign w:val="center"/>
          </w:tcPr>
          <w:p w14:paraId="27A5B2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大白井</w:t>
            </w:r>
          </w:p>
        </w:tc>
        <w:tc>
          <w:tcPr>
            <w:tcW w:w="580" w:type="pct"/>
            <w:shd w:val="clear" w:color="auto" w:fill="auto"/>
            <w:vAlign w:val="center"/>
          </w:tcPr>
          <w:p w14:paraId="1AC907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102.546547</w:t>
            </w:r>
          </w:p>
        </w:tc>
        <w:tc>
          <w:tcPr>
            <w:tcW w:w="585" w:type="pct"/>
            <w:shd w:val="clear" w:color="auto" w:fill="auto"/>
            <w:vAlign w:val="center"/>
          </w:tcPr>
          <w:p w14:paraId="2D4255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24.417434</w:t>
            </w:r>
          </w:p>
        </w:tc>
        <w:tc>
          <w:tcPr>
            <w:tcW w:w="395" w:type="pct"/>
            <w:shd w:val="clear" w:color="auto" w:fill="auto"/>
            <w:vAlign w:val="center"/>
          </w:tcPr>
          <w:p w14:paraId="64C8D6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3000</w:t>
            </w:r>
          </w:p>
        </w:tc>
        <w:tc>
          <w:tcPr>
            <w:tcW w:w="485" w:type="pct"/>
            <w:vAlign w:val="center"/>
          </w:tcPr>
          <w:p w14:paraId="403417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2550</w:t>
            </w:r>
          </w:p>
        </w:tc>
        <w:tc>
          <w:tcPr>
            <w:tcW w:w="256" w:type="pct"/>
            <w:vAlign w:val="center"/>
          </w:tcPr>
          <w:p w14:paraId="07CAEB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0EB6AD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550</w:t>
            </w:r>
          </w:p>
        </w:tc>
        <w:tc>
          <w:tcPr>
            <w:tcW w:w="1383" w:type="pct"/>
            <w:vMerge w:val="continue"/>
            <w:vAlign w:val="center"/>
          </w:tcPr>
          <w:p w14:paraId="111ADB78">
            <w:pPr>
              <w:pStyle w:val="28"/>
              <w:rPr>
                <w:color w:val="000000" w:themeColor="text1"/>
                <w14:textFill>
                  <w14:solidFill>
                    <w14:schemeClr w14:val="tx1"/>
                  </w14:solidFill>
                </w14:textFill>
              </w:rPr>
            </w:pPr>
          </w:p>
        </w:tc>
      </w:tr>
      <w:tr w14:paraId="3659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2A41A6B9">
            <w:pPr>
              <w:pStyle w:val="28"/>
              <w:rPr>
                <w:color w:val="000000" w:themeColor="text1"/>
                <w14:textFill>
                  <w14:solidFill>
                    <w14:schemeClr w14:val="tx1"/>
                  </w14:solidFill>
                </w14:textFill>
              </w:rPr>
            </w:pPr>
          </w:p>
        </w:tc>
        <w:tc>
          <w:tcPr>
            <w:tcW w:w="314" w:type="pct"/>
            <w:gridSpan w:val="2"/>
            <w:shd w:val="clear" w:color="auto" w:fill="auto"/>
            <w:vAlign w:val="center"/>
          </w:tcPr>
          <w:p w14:paraId="33A5BE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502" w:type="pct"/>
            <w:shd w:val="clear" w:color="auto" w:fill="auto"/>
            <w:vAlign w:val="center"/>
          </w:tcPr>
          <w:p w14:paraId="7878F7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康井</w:t>
            </w:r>
          </w:p>
        </w:tc>
        <w:tc>
          <w:tcPr>
            <w:tcW w:w="580" w:type="pct"/>
            <w:shd w:val="clear" w:color="auto" w:fill="auto"/>
            <w:vAlign w:val="center"/>
          </w:tcPr>
          <w:p w14:paraId="53B8F0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102.550259</w:t>
            </w:r>
          </w:p>
        </w:tc>
        <w:tc>
          <w:tcPr>
            <w:tcW w:w="585" w:type="pct"/>
            <w:shd w:val="clear" w:color="auto" w:fill="auto"/>
            <w:vAlign w:val="center"/>
          </w:tcPr>
          <w:p w14:paraId="78E9B2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24.41592</w:t>
            </w:r>
          </w:p>
        </w:tc>
        <w:tc>
          <w:tcPr>
            <w:tcW w:w="395" w:type="pct"/>
            <w:shd w:val="clear" w:color="auto" w:fill="auto"/>
            <w:vAlign w:val="center"/>
          </w:tcPr>
          <w:p w14:paraId="3869B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3380</w:t>
            </w:r>
          </w:p>
        </w:tc>
        <w:tc>
          <w:tcPr>
            <w:tcW w:w="485" w:type="pct"/>
            <w:vAlign w:val="center"/>
          </w:tcPr>
          <w:p w14:paraId="05E8A8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2960</w:t>
            </w:r>
          </w:p>
        </w:tc>
        <w:tc>
          <w:tcPr>
            <w:tcW w:w="256" w:type="pct"/>
            <w:vAlign w:val="center"/>
          </w:tcPr>
          <w:p w14:paraId="4B5AE3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vAlign w:val="center"/>
          </w:tcPr>
          <w:p w14:paraId="78DF9A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220</w:t>
            </w:r>
          </w:p>
        </w:tc>
        <w:tc>
          <w:tcPr>
            <w:tcW w:w="1383" w:type="pct"/>
            <w:vMerge w:val="continue"/>
            <w:vAlign w:val="center"/>
          </w:tcPr>
          <w:p w14:paraId="353466D2">
            <w:pPr>
              <w:pStyle w:val="28"/>
              <w:rPr>
                <w:color w:val="000000" w:themeColor="text1"/>
                <w14:textFill>
                  <w14:solidFill>
                    <w14:schemeClr w14:val="tx1"/>
                  </w14:solidFill>
                </w14:textFill>
              </w:rPr>
            </w:pPr>
          </w:p>
        </w:tc>
      </w:tr>
      <w:tr w14:paraId="0BF6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1DB86470">
            <w:pPr>
              <w:pStyle w:val="28"/>
              <w:rPr>
                <w:color w:val="000000" w:themeColor="text1"/>
                <w14:textFill>
                  <w14:solidFill>
                    <w14:schemeClr w14:val="tx1"/>
                  </w14:solidFill>
                </w14:textFill>
              </w:rPr>
            </w:pPr>
          </w:p>
        </w:tc>
        <w:tc>
          <w:tcPr>
            <w:tcW w:w="314" w:type="pct"/>
            <w:gridSpan w:val="2"/>
            <w:shd w:val="clear" w:color="auto" w:fill="auto"/>
            <w:vAlign w:val="center"/>
          </w:tcPr>
          <w:p w14:paraId="45F1E8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502" w:type="pct"/>
            <w:shd w:val="clear" w:color="auto" w:fill="auto"/>
            <w:vAlign w:val="center"/>
          </w:tcPr>
          <w:p w14:paraId="6C6F03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九龙池风景名胜区</w:t>
            </w:r>
          </w:p>
        </w:tc>
        <w:tc>
          <w:tcPr>
            <w:tcW w:w="580" w:type="pct"/>
            <w:shd w:val="clear" w:color="auto" w:fill="auto"/>
            <w:vAlign w:val="center"/>
          </w:tcPr>
          <w:p w14:paraId="79D404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102.515937</w:t>
            </w:r>
          </w:p>
        </w:tc>
        <w:tc>
          <w:tcPr>
            <w:tcW w:w="585" w:type="pct"/>
            <w:shd w:val="clear" w:color="auto" w:fill="auto"/>
            <w:vAlign w:val="center"/>
          </w:tcPr>
          <w:p w14:paraId="55BA9E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24.424947</w:t>
            </w:r>
          </w:p>
        </w:tc>
        <w:tc>
          <w:tcPr>
            <w:tcW w:w="395" w:type="pct"/>
            <w:shd w:val="clear" w:color="auto" w:fill="auto"/>
            <w:vAlign w:val="center"/>
          </w:tcPr>
          <w:p w14:paraId="73539A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1765</w:t>
            </w:r>
          </w:p>
        </w:tc>
        <w:tc>
          <w:tcPr>
            <w:tcW w:w="485" w:type="pct"/>
            <w:vAlign w:val="center"/>
          </w:tcPr>
          <w:p w14:paraId="071AE4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1575</w:t>
            </w:r>
          </w:p>
        </w:tc>
        <w:tc>
          <w:tcPr>
            <w:tcW w:w="256" w:type="pct"/>
            <w:vAlign w:val="center"/>
          </w:tcPr>
          <w:p w14:paraId="695A7B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vAlign w:val="center"/>
          </w:tcPr>
          <w:p w14:paraId="4F3A68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Align w:val="center"/>
          </w:tcPr>
          <w:p w14:paraId="0EC739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w:t>
            </w:r>
            <w:r>
              <w:rPr>
                <w:color w:val="000000" w:themeColor="text1"/>
                <w14:textFill>
                  <w14:solidFill>
                    <w14:schemeClr w14:val="tx1"/>
                  </w14:solidFill>
                </w14:textFill>
              </w:rPr>
              <w:t>GB3095-</w:t>
            </w:r>
            <w:r>
              <w:rPr>
                <w:rFonts w:hint="eastAsia"/>
                <w:color w:val="000000" w:themeColor="text1"/>
                <w14:textFill>
                  <w14:solidFill>
                    <w14:schemeClr w14:val="tx1"/>
                  </w14:solidFill>
                </w14:textFill>
              </w:rPr>
              <w:t>2026）过渡阶段</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级标准</w:t>
            </w:r>
          </w:p>
        </w:tc>
      </w:tr>
      <w:tr w14:paraId="111A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vAlign w:val="center"/>
          </w:tcPr>
          <w:p w14:paraId="79C1B6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314" w:type="pct"/>
            <w:gridSpan w:val="2"/>
            <w:shd w:val="clear" w:color="auto" w:fill="auto"/>
            <w:vAlign w:val="center"/>
          </w:tcPr>
          <w:p w14:paraId="177A9D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55EAE5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老西河</w:t>
            </w:r>
          </w:p>
        </w:tc>
        <w:tc>
          <w:tcPr>
            <w:tcW w:w="580" w:type="pct"/>
            <w:shd w:val="clear" w:color="auto" w:fill="auto"/>
            <w:vAlign w:val="center"/>
          </w:tcPr>
          <w:p w14:paraId="2F607E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23EB83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5" w:type="pct"/>
            <w:shd w:val="clear" w:color="auto" w:fill="auto"/>
            <w:vAlign w:val="center"/>
          </w:tcPr>
          <w:p w14:paraId="1D28AF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655</w:t>
            </w:r>
          </w:p>
        </w:tc>
        <w:tc>
          <w:tcPr>
            <w:tcW w:w="485" w:type="pct"/>
            <w:shd w:val="clear" w:color="auto" w:fill="auto"/>
            <w:vAlign w:val="center"/>
          </w:tcPr>
          <w:p w14:paraId="6F9A9E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550</w:t>
            </w:r>
          </w:p>
        </w:tc>
        <w:tc>
          <w:tcPr>
            <w:tcW w:w="256" w:type="pct"/>
            <w:shd w:val="clear" w:color="auto" w:fill="auto"/>
            <w:vAlign w:val="center"/>
          </w:tcPr>
          <w:p w14:paraId="3CE313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东面</w:t>
            </w:r>
          </w:p>
        </w:tc>
        <w:tc>
          <w:tcPr>
            <w:tcW w:w="340" w:type="pct"/>
            <w:shd w:val="clear" w:color="auto" w:fill="auto"/>
            <w:vAlign w:val="center"/>
          </w:tcPr>
          <w:p w14:paraId="6E6F21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Align w:val="center"/>
          </w:tcPr>
          <w:p w14:paraId="38543250">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《地表水环境质量标准》（GB3838-2002）中</w:t>
            </w:r>
            <w:r>
              <w:rPr>
                <w:rFonts w:ascii="Times New Roman" w:hAnsi="Times New Roman"/>
                <w:color w:val="000000" w:themeColor="text1"/>
                <w14:textFill>
                  <w14:solidFill>
                    <w14:schemeClr w14:val="tx1"/>
                  </w14:solidFill>
                </w14:textFill>
              </w:rPr>
              <w:t>Ⅴ</w:t>
            </w:r>
            <w:r>
              <w:rPr>
                <w:rFonts w:hint="eastAsia" w:ascii="Times New Roman" w:hAnsi="Times New Roman"/>
                <w:color w:val="000000" w:themeColor="text1"/>
                <w14:textFill>
                  <w14:solidFill>
                    <w14:schemeClr w14:val="tx1"/>
                  </w14:solidFill>
                </w14:textFill>
              </w:rPr>
              <w:t>类标准</w:t>
            </w:r>
          </w:p>
        </w:tc>
      </w:tr>
      <w:tr w14:paraId="67C1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526641F4">
            <w:pPr>
              <w:pStyle w:val="28"/>
              <w:rPr>
                <w:color w:val="000000" w:themeColor="text1"/>
                <w14:textFill>
                  <w14:solidFill>
                    <w14:schemeClr w14:val="tx1"/>
                  </w14:solidFill>
                </w14:textFill>
              </w:rPr>
            </w:pPr>
          </w:p>
        </w:tc>
        <w:tc>
          <w:tcPr>
            <w:tcW w:w="314" w:type="pct"/>
            <w:gridSpan w:val="2"/>
            <w:shd w:val="clear" w:color="auto" w:fill="auto"/>
            <w:vAlign w:val="center"/>
          </w:tcPr>
          <w:p w14:paraId="37FD10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02793B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玉溪大河</w:t>
            </w:r>
          </w:p>
        </w:tc>
        <w:tc>
          <w:tcPr>
            <w:tcW w:w="580" w:type="pct"/>
            <w:shd w:val="clear" w:color="auto" w:fill="auto"/>
            <w:vAlign w:val="center"/>
          </w:tcPr>
          <w:p w14:paraId="7FE585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234E52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5" w:type="pct"/>
            <w:shd w:val="clear" w:color="auto" w:fill="auto"/>
            <w:vAlign w:val="center"/>
          </w:tcPr>
          <w:p w14:paraId="0EB24F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7500</w:t>
            </w:r>
          </w:p>
        </w:tc>
        <w:tc>
          <w:tcPr>
            <w:tcW w:w="485" w:type="pct"/>
            <w:shd w:val="clear" w:color="auto" w:fill="auto"/>
            <w:vAlign w:val="center"/>
          </w:tcPr>
          <w:p w14:paraId="374BDC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7400</w:t>
            </w:r>
          </w:p>
        </w:tc>
        <w:tc>
          <w:tcPr>
            <w:tcW w:w="256" w:type="pct"/>
            <w:shd w:val="clear" w:color="auto" w:fill="auto"/>
            <w:vAlign w:val="center"/>
          </w:tcPr>
          <w:p w14:paraId="69B1F6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南面</w:t>
            </w:r>
          </w:p>
        </w:tc>
        <w:tc>
          <w:tcPr>
            <w:tcW w:w="340" w:type="pct"/>
            <w:shd w:val="clear" w:color="auto" w:fill="auto"/>
            <w:vAlign w:val="center"/>
          </w:tcPr>
          <w:p w14:paraId="6B482C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restart"/>
            <w:vAlign w:val="center"/>
          </w:tcPr>
          <w:p w14:paraId="4AE9006A">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《地表水环境质量标准》（GB3838-2002）中</w:t>
            </w:r>
            <w:r>
              <w:rPr>
                <w:rFonts w:ascii="Times New Roman" w:hAnsi="Times New Roman" w:cs="Times New Roman"/>
                <w:color w:val="000000" w:themeColor="text1"/>
                <w14:textFill>
                  <w14:solidFill>
                    <w14:schemeClr w14:val="tx1"/>
                  </w14:solidFill>
                </w14:textFill>
              </w:rPr>
              <w:t>Ⅲ</w:t>
            </w:r>
            <w:r>
              <w:rPr>
                <w:rFonts w:hint="eastAsia"/>
                <w:color w:val="000000" w:themeColor="text1"/>
                <w14:textFill>
                  <w14:solidFill>
                    <w14:schemeClr w14:val="tx1"/>
                  </w14:solidFill>
                </w14:textFill>
              </w:rPr>
              <w:t>类标准</w:t>
            </w:r>
          </w:p>
        </w:tc>
      </w:tr>
      <w:tr w14:paraId="021F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3858BC31">
            <w:pPr>
              <w:pStyle w:val="28"/>
              <w:rPr>
                <w:color w:val="000000" w:themeColor="text1"/>
                <w14:textFill>
                  <w14:solidFill>
                    <w14:schemeClr w14:val="tx1"/>
                  </w14:solidFill>
                </w14:textFill>
              </w:rPr>
            </w:pPr>
          </w:p>
        </w:tc>
        <w:tc>
          <w:tcPr>
            <w:tcW w:w="314" w:type="pct"/>
            <w:gridSpan w:val="2"/>
            <w:shd w:val="clear" w:color="auto" w:fill="auto"/>
            <w:vAlign w:val="center"/>
          </w:tcPr>
          <w:p w14:paraId="613CA6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2" w:type="pct"/>
            <w:shd w:val="clear" w:color="auto" w:fill="auto"/>
            <w:vAlign w:val="center"/>
          </w:tcPr>
          <w:p w14:paraId="19D587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飞井海水库</w:t>
            </w:r>
          </w:p>
        </w:tc>
        <w:tc>
          <w:tcPr>
            <w:tcW w:w="580" w:type="pct"/>
            <w:shd w:val="clear" w:color="auto" w:fill="auto"/>
            <w:vAlign w:val="center"/>
          </w:tcPr>
          <w:p w14:paraId="67119E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102.518684</w:t>
            </w:r>
          </w:p>
        </w:tc>
        <w:tc>
          <w:tcPr>
            <w:tcW w:w="585" w:type="pct"/>
            <w:shd w:val="clear" w:color="auto" w:fill="auto"/>
            <w:vAlign w:val="center"/>
          </w:tcPr>
          <w:p w14:paraId="52FA1F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24.419457</w:t>
            </w:r>
          </w:p>
        </w:tc>
        <w:tc>
          <w:tcPr>
            <w:tcW w:w="395" w:type="pct"/>
            <w:shd w:val="clear" w:color="auto" w:fill="auto"/>
            <w:vAlign w:val="center"/>
          </w:tcPr>
          <w:p w14:paraId="6EEA0C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1900</w:t>
            </w:r>
          </w:p>
        </w:tc>
        <w:tc>
          <w:tcPr>
            <w:tcW w:w="485" w:type="pct"/>
            <w:shd w:val="clear" w:color="auto" w:fill="auto"/>
            <w:vAlign w:val="center"/>
          </w:tcPr>
          <w:p w14:paraId="5D36E0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1775</w:t>
            </w:r>
          </w:p>
        </w:tc>
        <w:tc>
          <w:tcPr>
            <w:tcW w:w="256" w:type="pct"/>
            <w:shd w:val="clear" w:color="auto" w:fill="auto"/>
            <w:vAlign w:val="center"/>
          </w:tcPr>
          <w:p w14:paraId="37F6DE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shd w:val="clear" w:color="auto" w:fill="auto"/>
            <w:vAlign w:val="center"/>
          </w:tcPr>
          <w:p w14:paraId="1AB76D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continue"/>
            <w:vAlign w:val="center"/>
          </w:tcPr>
          <w:p w14:paraId="1DBF3FF9">
            <w:pPr>
              <w:pStyle w:val="38"/>
              <w:rPr>
                <w:color w:val="000000" w:themeColor="text1"/>
                <w14:textFill>
                  <w14:solidFill>
                    <w14:schemeClr w14:val="tx1"/>
                  </w14:solidFill>
                </w14:textFill>
              </w:rPr>
            </w:pPr>
          </w:p>
        </w:tc>
      </w:tr>
      <w:tr w14:paraId="7252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vAlign w:val="center"/>
          </w:tcPr>
          <w:p w14:paraId="20CC77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314" w:type="pct"/>
            <w:gridSpan w:val="2"/>
            <w:shd w:val="clear" w:color="auto" w:fill="auto"/>
            <w:vAlign w:val="center"/>
          </w:tcPr>
          <w:p w14:paraId="16180C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54A677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大莲池村民水井</w:t>
            </w:r>
          </w:p>
        </w:tc>
        <w:tc>
          <w:tcPr>
            <w:tcW w:w="580" w:type="pct"/>
            <w:shd w:val="clear" w:color="auto" w:fill="auto"/>
            <w:vAlign w:val="center"/>
          </w:tcPr>
          <w:p w14:paraId="2C68F9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102.528029</w:t>
            </w:r>
          </w:p>
        </w:tc>
        <w:tc>
          <w:tcPr>
            <w:tcW w:w="585" w:type="pct"/>
            <w:shd w:val="clear" w:color="auto" w:fill="auto"/>
            <w:vAlign w:val="center"/>
          </w:tcPr>
          <w:p w14:paraId="30FD8D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24.439169</w:t>
            </w:r>
          </w:p>
        </w:tc>
        <w:tc>
          <w:tcPr>
            <w:tcW w:w="395" w:type="pct"/>
            <w:shd w:val="clear" w:color="auto" w:fill="auto"/>
            <w:vAlign w:val="center"/>
          </w:tcPr>
          <w:p w14:paraId="71268E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485" w:type="pct"/>
            <w:shd w:val="clear" w:color="auto" w:fill="auto"/>
            <w:vAlign w:val="center"/>
          </w:tcPr>
          <w:p w14:paraId="460448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135</w:t>
            </w:r>
          </w:p>
        </w:tc>
        <w:tc>
          <w:tcPr>
            <w:tcW w:w="256" w:type="pct"/>
            <w:shd w:val="clear" w:color="auto" w:fill="auto"/>
            <w:vAlign w:val="center"/>
          </w:tcPr>
          <w:p w14:paraId="0B851F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shd w:val="clear" w:color="auto" w:fill="auto"/>
            <w:vAlign w:val="center"/>
          </w:tcPr>
          <w:p w14:paraId="3FC2EA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restart"/>
            <w:vAlign w:val="center"/>
          </w:tcPr>
          <w:p w14:paraId="55D6F48C">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《地下水质量标准》</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GB/T14848-2017</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中Ⅲ类标准</w:t>
            </w:r>
          </w:p>
        </w:tc>
      </w:tr>
      <w:tr w14:paraId="4005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01B9872E">
            <w:pPr>
              <w:pStyle w:val="28"/>
              <w:rPr>
                <w:color w:val="000000" w:themeColor="text1"/>
                <w14:textFill>
                  <w14:solidFill>
                    <w14:schemeClr w14:val="tx1"/>
                  </w14:solidFill>
                </w14:textFill>
              </w:rPr>
            </w:pPr>
          </w:p>
        </w:tc>
        <w:tc>
          <w:tcPr>
            <w:tcW w:w="314" w:type="pct"/>
            <w:gridSpan w:val="2"/>
            <w:shd w:val="clear" w:color="auto" w:fill="auto"/>
            <w:vAlign w:val="center"/>
          </w:tcPr>
          <w:p w14:paraId="757B83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56DA91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莲池村村民水井</w:t>
            </w:r>
          </w:p>
        </w:tc>
        <w:tc>
          <w:tcPr>
            <w:tcW w:w="580" w:type="pct"/>
            <w:shd w:val="clear" w:color="auto" w:fill="auto"/>
            <w:vAlign w:val="center"/>
          </w:tcPr>
          <w:p w14:paraId="4D9489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102.529595</w:t>
            </w:r>
          </w:p>
        </w:tc>
        <w:tc>
          <w:tcPr>
            <w:tcW w:w="585" w:type="pct"/>
            <w:shd w:val="clear" w:color="auto" w:fill="auto"/>
            <w:vAlign w:val="center"/>
          </w:tcPr>
          <w:p w14:paraId="1B992D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24.437489</w:t>
            </w:r>
          </w:p>
        </w:tc>
        <w:tc>
          <w:tcPr>
            <w:tcW w:w="395" w:type="pct"/>
            <w:shd w:val="clear" w:color="auto" w:fill="auto"/>
            <w:vAlign w:val="center"/>
          </w:tcPr>
          <w:p w14:paraId="2E340E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210</w:t>
            </w:r>
          </w:p>
        </w:tc>
        <w:tc>
          <w:tcPr>
            <w:tcW w:w="485" w:type="pct"/>
            <w:shd w:val="clear" w:color="auto" w:fill="auto"/>
            <w:vAlign w:val="center"/>
          </w:tcPr>
          <w:p w14:paraId="334275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140</w:t>
            </w:r>
          </w:p>
        </w:tc>
        <w:tc>
          <w:tcPr>
            <w:tcW w:w="256" w:type="pct"/>
            <w:shd w:val="clear" w:color="auto" w:fill="auto"/>
            <w:vAlign w:val="center"/>
          </w:tcPr>
          <w:p w14:paraId="599156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shd w:val="clear" w:color="auto" w:fill="auto"/>
            <w:vAlign w:val="center"/>
          </w:tcPr>
          <w:p w14:paraId="6DD6E7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continue"/>
            <w:vAlign w:val="center"/>
          </w:tcPr>
          <w:p w14:paraId="779C6615">
            <w:pPr>
              <w:pStyle w:val="38"/>
              <w:rPr>
                <w:color w:val="000000" w:themeColor="text1"/>
                <w14:textFill>
                  <w14:solidFill>
                    <w14:schemeClr w14:val="tx1"/>
                  </w14:solidFill>
                </w14:textFill>
              </w:rPr>
            </w:pPr>
          </w:p>
        </w:tc>
      </w:tr>
      <w:tr w14:paraId="64CE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39923B07">
            <w:pPr>
              <w:pStyle w:val="28"/>
              <w:rPr>
                <w:color w:val="000000" w:themeColor="text1"/>
                <w14:textFill>
                  <w14:solidFill>
                    <w14:schemeClr w14:val="tx1"/>
                  </w14:solidFill>
                </w14:textFill>
              </w:rPr>
            </w:pPr>
          </w:p>
        </w:tc>
        <w:tc>
          <w:tcPr>
            <w:tcW w:w="314" w:type="pct"/>
            <w:gridSpan w:val="2"/>
            <w:shd w:val="clear" w:color="auto" w:fill="auto"/>
            <w:vAlign w:val="center"/>
          </w:tcPr>
          <w:p w14:paraId="538FDC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2" w:type="pct"/>
            <w:shd w:val="clear" w:color="auto" w:fill="auto"/>
            <w:vAlign w:val="center"/>
          </w:tcPr>
          <w:p w14:paraId="3DD54D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高家屯村民水井</w:t>
            </w:r>
          </w:p>
        </w:tc>
        <w:tc>
          <w:tcPr>
            <w:tcW w:w="580" w:type="pct"/>
            <w:shd w:val="clear" w:color="auto" w:fill="auto"/>
            <w:vAlign w:val="center"/>
          </w:tcPr>
          <w:p w14:paraId="21AE05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102.525818</w:t>
            </w:r>
          </w:p>
        </w:tc>
        <w:tc>
          <w:tcPr>
            <w:tcW w:w="585" w:type="pct"/>
            <w:shd w:val="clear" w:color="auto" w:fill="auto"/>
            <w:vAlign w:val="center"/>
          </w:tcPr>
          <w:p w14:paraId="433FBC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24.433719</w:t>
            </w:r>
          </w:p>
        </w:tc>
        <w:tc>
          <w:tcPr>
            <w:tcW w:w="395" w:type="pct"/>
            <w:shd w:val="clear" w:color="auto" w:fill="auto"/>
            <w:vAlign w:val="center"/>
          </w:tcPr>
          <w:p w14:paraId="7D82BF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485" w:type="pct"/>
            <w:shd w:val="clear" w:color="auto" w:fill="auto"/>
            <w:vAlign w:val="center"/>
          </w:tcPr>
          <w:p w14:paraId="504BD2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256" w:type="pct"/>
            <w:shd w:val="clear" w:color="auto" w:fill="auto"/>
            <w:vAlign w:val="center"/>
          </w:tcPr>
          <w:p w14:paraId="1CD173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shd w:val="clear" w:color="auto" w:fill="auto"/>
            <w:vAlign w:val="center"/>
          </w:tcPr>
          <w:p w14:paraId="71A223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continue"/>
            <w:vAlign w:val="center"/>
          </w:tcPr>
          <w:p w14:paraId="1CA2667C">
            <w:pPr>
              <w:pStyle w:val="38"/>
              <w:rPr>
                <w:color w:val="000000" w:themeColor="text1"/>
                <w14:textFill>
                  <w14:solidFill>
                    <w14:schemeClr w14:val="tx1"/>
                  </w14:solidFill>
                </w14:textFill>
              </w:rPr>
            </w:pPr>
          </w:p>
        </w:tc>
      </w:tr>
      <w:tr w14:paraId="730E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00B96D49">
            <w:pPr>
              <w:pStyle w:val="28"/>
              <w:rPr>
                <w:color w:val="000000" w:themeColor="text1"/>
                <w14:textFill>
                  <w14:solidFill>
                    <w14:schemeClr w14:val="tx1"/>
                  </w14:solidFill>
                </w14:textFill>
              </w:rPr>
            </w:pPr>
          </w:p>
        </w:tc>
        <w:tc>
          <w:tcPr>
            <w:tcW w:w="314" w:type="pct"/>
            <w:gridSpan w:val="2"/>
            <w:shd w:val="clear" w:color="auto" w:fill="auto"/>
            <w:vAlign w:val="center"/>
          </w:tcPr>
          <w:p w14:paraId="5F603A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02" w:type="pct"/>
            <w:shd w:val="clear" w:color="auto" w:fill="auto"/>
            <w:vAlign w:val="center"/>
          </w:tcPr>
          <w:p w14:paraId="266F15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陆家屯村民水井</w:t>
            </w:r>
          </w:p>
        </w:tc>
        <w:tc>
          <w:tcPr>
            <w:tcW w:w="580" w:type="pct"/>
            <w:shd w:val="clear" w:color="auto" w:fill="auto"/>
            <w:vAlign w:val="center"/>
          </w:tcPr>
          <w:p w14:paraId="3AEE3B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102.523158</w:t>
            </w:r>
          </w:p>
        </w:tc>
        <w:tc>
          <w:tcPr>
            <w:tcW w:w="585" w:type="pct"/>
            <w:shd w:val="clear" w:color="auto" w:fill="auto"/>
            <w:vAlign w:val="center"/>
          </w:tcPr>
          <w:p w14:paraId="5755BE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24.434227</w:t>
            </w:r>
          </w:p>
        </w:tc>
        <w:tc>
          <w:tcPr>
            <w:tcW w:w="395" w:type="pct"/>
            <w:shd w:val="clear" w:color="auto" w:fill="auto"/>
            <w:vAlign w:val="center"/>
          </w:tcPr>
          <w:p w14:paraId="56E055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350</w:t>
            </w:r>
          </w:p>
        </w:tc>
        <w:tc>
          <w:tcPr>
            <w:tcW w:w="485" w:type="pct"/>
            <w:shd w:val="clear" w:color="auto" w:fill="auto"/>
            <w:vAlign w:val="center"/>
          </w:tcPr>
          <w:p w14:paraId="635B67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145</w:t>
            </w:r>
          </w:p>
        </w:tc>
        <w:tc>
          <w:tcPr>
            <w:tcW w:w="256" w:type="pct"/>
            <w:shd w:val="clear" w:color="auto" w:fill="auto"/>
            <w:vAlign w:val="center"/>
          </w:tcPr>
          <w:p w14:paraId="0B05EE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shd w:val="clear" w:color="auto" w:fill="auto"/>
            <w:vAlign w:val="center"/>
          </w:tcPr>
          <w:p w14:paraId="14A409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continue"/>
            <w:vAlign w:val="center"/>
          </w:tcPr>
          <w:p w14:paraId="094ECB3E">
            <w:pPr>
              <w:pStyle w:val="38"/>
              <w:rPr>
                <w:color w:val="000000" w:themeColor="text1"/>
                <w14:textFill>
                  <w14:solidFill>
                    <w14:schemeClr w14:val="tx1"/>
                  </w14:solidFill>
                </w14:textFill>
              </w:rPr>
            </w:pPr>
          </w:p>
        </w:tc>
      </w:tr>
      <w:tr w14:paraId="249F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vAlign w:val="center"/>
          </w:tcPr>
          <w:p w14:paraId="0C248D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314" w:type="pct"/>
            <w:gridSpan w:val="2"/>
            <w:shd w:val="clear" w:color="auto" w:fill="auto"/>
            <w:vAlign w:val="center"/>
          </w:tcPr>
          <w:p w14:paraId="716369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0DD7C8CA">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大莲池</w:t>
            </w:r>
          </w:p>
        </w:tc>
        <w:tc>
          <w:tcPr>
            <w:tcW w:w="580" w:type="pct"/>
            <w:shd w:val="clear" w:color="auto" w:fill="auto"/>
            <w:vAlign w:val="center"/>
          </w:tcPr>
          <w:p w14:paraId="2A3EA08F">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102.528029</w:t>
            </w:r>
          </w:p>
        </w:tc>
        <w:tc>
          <w:tcPr>
            <w:tcW w:w="585" w:type="pct"/>
            <w:shd w:val="clear" w:color="auto" w:fill="auto"/>
            <w:vAlign w:val="center"/>
          </w:tcPr>
          <w:p w14:paraId="3FA26A1D">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24.439169</w:t>
            </w:r>
          </w:p>
        </w:tc>
        <w:tc>
          <w:tcPr>
            <w:tcW w:w="395" w:type="pct"/>
            <w:shd w:val="clear" w:color="auto" w:fill="auto"/>
            <w:vAlign w:val="center"/>
          </w:tcPr>
          <w:p w14:paraId="54CD9E0B">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180</w:t>
            </w:r>
          </w:p>
        </w:tc>
        <w:tc>
          <w:tcPr>
            <w:tcW w:w="485" w:type="pct"/>
            <w:shd w:val="clear" w:color="auto" w:fill="auto"/>
            <w:vAlign w:val="center"/>
          </w:tcPr>
          <w:p w14:paraId="063189D2">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115</w:t>
            </w:r>
          </w:p>
        </w:tc>
        <w:tc>
          <w:tcPr>
            <w:tcW w:w="256" w:type="pct"/>
            <w:shd w:val="clear" w:color="auto" w:fill="auto"/>
            <w:vAlign w:val="center"/>
          </w:tcPr>
          <w:p w14:paraId="6F34FF15">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东北</w:t>
            </w:r>
          </w:p>
        </w:tc>
        <w:tc>
          <w:tcPr>
            <w:tcW w:w="340" w:type="pct"/>
            <w:shd w:val="clear" w:color="auto" w:fill="auto"/>
            <w:vAlign w:val="center"/>
          </w:tcPr>
          <w:p w14:paraId="5F2AC8D4">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2000</w:t>
            </w:r>
          </w:p>
        </w:tc>
        <w:tc>
          <w:tcPr>
            <w:tcW w:w="1383" w:type="pct"/>
            <w:vMerge w:val="restart"/>
            <w:vAlign w:val="center"/>
          </w:tcPr>
          <w:p w14:paraId="07676521">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《声环境质量标准》（GB3096-2008）中2类标准</w:t>
            </w:r>
          </w:p>
        </w:tc>
      </w:tr>
      <w:tr w14:paraId="6BF8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10BEF9A7">
            <w:pPr>
              <w:pStyle w:val="28"/>
              <w:rPr>
                <w:color w:val="000000" w:themeColor="text1"/>
                <w14:textFill>
                  <w14:solidFill>
                    <w14:schemeClr w14:val="tx1"/>
                  </w14:solidFill>
                </w14:textFill>
              </w:rPr>
            </w:pPr>
          </w:p>
        </w:tc>
        <w:tc>
          <w:tcPr>
            <w:tcW w:w="314" w:type="pct"/>
            <w:gridSpan w:val="2"/>
            <w:shd w:val="clear" w:color="auto" w:fill="auto"/>
            <w:vAlign w:val="center"/>
          </w:tcPr>
          <w:p w14:paraId="097C47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7FDB2590">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莲池村</w:t>
            </w:r>
          </w:p>
        </w:tc>
        <w:tc>
          <w:tcPr>
            <w:tcW w:w="580" w:type="pct"/>
            <w:shd w:val="clear" w:color="auto" w:fill="auto"/>
            <w:vAlign w:val="center"/>
          </w:tcPr>
          <w:p w14:paraId="153CF7F5">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102.529595</w:t>
            </w:r>
          </w:p>
        </w:tc>
        <w:tc>
          <w:tcPr>
            <w:tcW w:w="585" w:type="pct"/>
            <w:shd w:val="clear" w:color="auto" w:fill="auto"/>
            <w:vAlign w:val="center"/>
          </w:tcPr>
          <w:p w14:paraId="5F01222E">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24.437489</w:t>
            </w:r>
          </w:p>
        </w:tc>
        <w:tc>
          <w:tcPr>
            <w:tcW w:w="395" w:type="pct"/>
            <w:shd w:val="clear" w:color="auto" w:fill="auto"/>
            <w:vAlign w:val="center"/>
          </w:tcPr>
          <w:p w14:paraId="4989370C">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190</w:t>
            </w:r>
          </w:p>
        </w:tc>
        <w:tc>
          <w:tcPr>
            <w:tcW w:w="485" w:type="pct"/>
            <w:shd w:val="clear" w:color="auto" w:fill="auto"/>
            <w:vAlign w:val="center"/>
          </w:tcPr>
          <w:p w14:paraId="5A379523">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120</w:t>
            </w:r>
          </w:p>
        </w:tc>
        <w:tc>
          <w:tcPr>
            <w:tcW w:w="256" w:type="pct"/>
            <w:shd w:val="clear" w:color="auto" w:fill="auto"/>
            <w:vAlign w:val="center"/>
          </w:tcPr>
          <w:p w14:paraId="30119643">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东北</w:t>
            </w:r>
          </w:p>
        </w:tc>
        <w:tc>
          <w:tcPr>
            <w:tcW w:w="340" w:type="pct"/>
            <w:shd w:val="clear" w:color="auto" w:fill="auto"/>
            <w:vAlign w:val="center"/>
          </w:tcPr>
          <w:p w14:paraId="2DBE4615">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1200</w:t>
            </w:r>
          </w:p>
        </w:tc>
        <w:tc>
          <w:tcPr>
            <w:tcW w:w="1383" w:type="pct"/>
            <w:vMerge w:val="continue"/>
            <w:vAlign w:val="center"/>
          </w:tcPr>
          <w:p w14:paraId="779360E0">
            <w:pPr>
              <w:pStyle w:val="28"/>
              <w:rPr>
                <w:color w:val="000000" w:themeColor="text1"/>
                <w14:textFill>
                  <w14:solidFill>
                    <w14:schemeClr w14:val="tx1"/>
                  </w14:solidFill>
                </w14:textFill>
              </w:rPr>
            </w:pPr>
          </w:p>
        </w:tc>
      </w:tr>
      <w:tr w14:paraId="0BD3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2F3661A5">
            <w:pPr>
              <w:pStyle w:val="28"/>
              <w:rPr>
                <w:color w:val="000000" w:themeColor="text1"/>
                <w14:textFill>
                  <w14:solidFill>
                    <w14:schemeClr w14:val="tx1"/>
                  </w14:solidFill>
                </w14:textFill>
              </w:rPr>
            </w:pPr>
          </w:p>
        </w:tc>
        <w:tc>
          <w:tcPr>
            <w:tcW w:w="314" w:type="pct"/>
            <w:gridSpan w:val="2"/>
            <w:shd w:val="clear" w:color="auto" w:fill="auto"/>
            <w:vAlign w:val="center"/>
          </w:tcPr>
          <w:p w14:paraId="1B2B3D30">
            <w:pPr>
              <w:pStyle w:val="2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02" w:type="pct"/>
            <w:shd w:val="clear" w:color="auto" w:fill="auto"/>
            <w:vAlign w:val="center"/>
          </w:tcPr>
          <w:p w14:paraId="3148F8EE">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高家屯</w:t>
            </w:r>
          </w:p>
        </w:tc>
        <w:tc>
          <w:tcPr>
            <w:tcW w:w="580" w:type="pct"/>
            <w:shd w:val="clear" w:color="auto" w:fill="auto"/>
            <w:vAlign w:val="center"/>
          </w:tcPr>
          <w:p w14:paraId="753A22E1">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102.525818</w:t>
            </w:r>
          </w:p>
        </w:tc>
        <w:tc>
          <w:tcPr>
            <w:tcW w:w="585" w:type="pct"/>
            <w:shd w:val="clear" w:color="auto" w:fill="auto"/>
            <w:vAlign w:val="center"/>
          </w:tcPr>
          <w:p w14:paraId="6DE11EDB">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24.433719</w:t>
            </w:r>
          </w:p>
        </w:tc>
        <w:tc>
          <w:tcPr>
            <w:tcW w:w="395" w:type="pct"/>
            <w:shd w:val="clear" w:color="auto" w:fill="auto"/>
            <w:vAlign w:val="center"/>
          </w:tcPr>
          <w:p w14:paraId="1D7B40D4">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240</w:t>
            </w:r>
          </w:p>
        </w:tc>
        <w:tc>
          <w:tcPr>
            <w:tcW w:w="485" w:type="pct"/>
            <w:shd w:val="clear" w:color="auto" w:fill="auto"/>
            <w:vAlign w:val="center"/>
          </w:tcPr>
          <w:p w14:paraId="0F5AA159">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30</w:t>
            </w:r>
          </w:p>
        </w:tc>
        <w:tc>
          <w:tcPr>
            <w:tcW w:w="256" w:type="pct"/>
            <w:shd w:val="clear" w:color="auto" w:fill="auto"/>
            <w:vAlign w:val="center"/>
          </w:tcPr>
          <w:p w14:paraId="7BD592DA">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南</w:t>
            </w:r>
          </w:p>
        </w:tc>
        <w:tc>
          <w:tcPr>
            <w:tcW w:w="340" w:type="pct"/>
            <w:shd w:val="clear" w:color="auto" w:fill="auto"/>
            <w:vAlign w:val="center"/>
          </w:tcPr>
          <w:p w14:paraId="0F3F2ACF">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950</w:t>
            </w:r>
          </w:p>
        </w:tc>
        <w:tc>
          <w:tcPr>
            <w:tcW w:w="1383" w:type="pct"/>
            <w:vMerge w:val="continue"/>
            <w:vAlign w:val="center"/>
          </w:tcPr>
          <w:p w14:paraId="374AA267">
            <w:pPr>
              <w:pStyle w:val="28"/>
              <w:rPr>
                <w:color w:val="000000" w:themeColor="text1"/>
                <w14:textFill>
                  <w14:solidFill>
                    <w14:schemeClr w14:val="tx1"/>
                  </w14:solidFill>
                </w14:textFill>
              </w:rPr>
            </w:pPr>
          </w:p>
        </w:tc>
      </w:tr>
      <w:tr w14:paraId="0F76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06E0004E">
            <w:pPr>
              <w:pStyle w:val="28"/>
              <w:rPr>
                <w:color w:val="000000" w:themeColor="text1"/>
                <w14:textFill>
                  <w14:solidFill>
                    <w14:schemeClr w14:val="tx1"/>
                  </w14:solidFill>
                </w14:textFill>
              </w:rPr>
            </w:pPr>
          </w:p>
        </w:tc>
        <w:tc>
          <w:tcPr>
            <w:tcW w:w="314" w:type="pct"/>
            <w:gridSpan w:val="2"/>
            <w:shd w:val="clear" w:color="auto" w:fill="auto"/>
            <w:vAlign w:val="center"/>
          </w:tcPr>
          <w:p w14:paraId="5539BF3E">
            <w:pPr>
              <w:pStyle w:val="2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02" w:type="pct"/>
            <w:shd w:val="clear" w:color="auto" w:fill="auto"/>
            <w:vAlign w:val="center"/>
          </w:tcPr>
          <w:p w14:paraId="3961C98C">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陆家屯</w:t>
            </w:r>
          </w:p>
        </w:tc>
        <w:tc>
          <w:tcPr>
            <w:tcW w:w="580" w:type="pct"/>
            <w:shd w:val="clear" w:color="auto" w:fill="auto"/>
            <w:vAlign w:val="center"/>
          </w:tcPr>
          <w:p w14:paraId="06156D06">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102.523158</w:t>
            </w:r>
          </w:p>
        </w:tc>
        <w:tc>
          <w:tcPr>
            <w:tcW w:w="585" w:type="pct"/>
            <w:shd w:val="clear" w:color="auto" w:fill="auto"/>
            <w:vAlign w:val="center"/>
          </w:tcPr>
          <w:p w14:paraId="17E55FF0">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24.434227</w:t>
            </w:r>
          </w:p>
        </w:tc>
        <w:tc>
          <w:tcPr>
            <w:tcW w:w="395" w:type="pct"/>
            <w:shd w:val="clear" w:color="auto" w:fill="auto"/>
            <w:vAlign w:val="center"/>
          </w:tcPr>
          <w:p w14:paraId="71A91A31">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350</w:t>
            </w:r>
          </w:p>
        </w:tc>
        <w:tc>
          <w:tcPr>
            <w:tcW w:w="485" w:type="pct"/>
            <w:shd w:val="clear" w:color="auto" w:fill="auto"/>
            <w:vAlign w:val="center"/>
          </w:tcPr>
          <w:p w14:paraId="3E91DF79">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145</w:t>
            </w:r>
          </w:p>
        </w:tc>
        <w:tc>
          <w:tcPr>
            <w:tcW w:w="256" w:type="pct"/>
            <w:shd w:val="clear" w:color="auto" w:fill="auto"/>
            <w:vAlign w:val="center"/>
          </w:tcPr>
          <w:p w14:paraId="42B83761">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西南</w:t>
            </w:r>
          </w:p>
        </w:tc>
        <w:tc>
          <w:tcPr>
            <w:tcW w:w="340" w:type="pct"/>
            <w:shd w:val="clear" w:color="auto" w:fill="auto"/>
            <w:vAlign w:val="center"/>
          </w:tcPr>
          <w:p w14:paraId="30930974">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1050</w:t>
            </w:r>
          </w:p>
        </w:tc>
        <w:tc>
          <w:tcPr>
            <w:tcW w:w="1383" w:type="pct"/>
            <w:vMerge w:val="continue"/>
            <w:vAlign w:val="center"/>
          </w:tcPr>
          <w:p w14:paraId="33ABCE3A">
            <w:pPr>
              <w:pStyle w:val="28"/>
              <w:rPr>
                <w:color w:val="000000" w:themeColor="text1"/>
                <w14:textFill>
                  <w14:solidFill>
                    <w14:schemeClr w14:val="tx1"/>
                  </w14:solidFill>
                </w14:textFill>
              </w:rPr>
            </w:pPr>
          </w:p>
        </w:tc>
      </w:tr>
      <w:tr w14:paraId="6102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2A9258B9">
            <w:pPr>
              <w:pStyle w:val="28"/>
              <w:rPr>
                <w:color w:val="000000" w:themeColor="text1"/>
                <w14:textFill>
                  <w14:solidFill>
                    <w14:schemeClr w14:val="tx1"/>
                  </w14:solidFill>
                </w14:textFill>
              </w:rPr>
            </w:pPr>
          </w:p>
        </w:tc>
        <w:tc>
          <w:tcPr>
            <w:tcW w:w="314" w:type="pct"/>
            <w:gridSpan w:val="2"/>
            <w:shd w:val="clear" w:color="auto" w:fill="auto"/>
            <w:vAlign w:val="center"/>
          </w:tcPr>
          <w:p w14:paraId="369CF20B">
            <w:pPr>
              <w:pStyle w:val="2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502" w:type="pct"/>
            <w:shd w:val="clear" w:color="auto" w:fill="auto"/>
            <w:vAlign w:val="center"/>
          </w:tcPr>
          <w:p w14:paraId="3928EA75">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南莲幼儿园</w:t>
            </w:r>
          </w:p>
        </w:tc>
        <w:tc>
          <w:tcPr>
            <w:tcW w:w="580" w:type="pct"/>
            <w:shd w:val="clear" w:color="auto" w:fill="auto"/>
            <w:vAlign w:val="center"/>
          </w:tcPr>
          <w:p w14:paraId="44A00E13">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102.531108</w:t>
            </w:r>
          </w:p>
        </w:tc>
        <w:tc>
          <w:tcPr>
            <w:tcW w:w="585" w:type="pct"/>
            <w:shd w:val="clear" w:color="auto" w:fill="auto"/>
            <w:vAlign w:val="center"/>
          </w:tcPr>
          <w:p w14:paraId="5A5D38C3">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24.434901</w:t>
            </w:r>
          </w:p>
        </w:tc>
        <w:tc>
          <w:tcPr>
            <w:tcW w:w="395" w:type="pct"/>
            <w:shd w:val="clear" w:color="auto" w:fill="auto"/>
            <w:vAlign w:val="center"/>
          </w:tcPr>
          <w:p w14:paraId="30FA4848">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440</w:t>
            </w:r>
          </w:p>
        </w:tc>
        <w:tc>
          <w:tcPr>
            <w:tcW w:w="485" w:type="pct"/>
            <w:shd w:val="clear" w:color="auto" w:fill="auto"/>
            <w:vAlign w:val="center"/>
          </w:tcPr>
          <w:p w14:paraId="31B34A2D">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189</w:t>
            </w:r>
          </w:p>
        </w:tc>
        <w:tc>
          <w:tcPr>
            <w:tcW w:w="256" w:type="pct"/>
            <w:shd w:val="clear" w:color="auto" w:fill="auto"/>
            <w:vAlign w:val="center"/>
          </w:tcPr>
          <w:p w14:paraId="5FB0CAFD">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东南</w:t>
            </w:r>
          </w:p>
        </w:tc>
        <w:tc>
          <w:tcPr>
            <w:tcW w:w="340" w:type="pct"/>
            <w:shd w:val="clear" w:color="auto" w:fill="auto"/>
            <w:vAlign w:val="center"/>
          </w:tcPr>
          <w:p w14:paraId="671B081E">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200</w:t>
            </w:r>
          </w:p>
        </w:tc>
        <w:tc>
          <w:tcPr>
            <w:tcW w:w="1383" w:type="pct"/>
            <w:vMerge w:val="continue"/>
            <w:vAlign w:val="center"/>
          </w:tcPr>
          <w:p w14:paraId="0F6E9FB2">
            <w:pPr>
              <w:pStyle w:val="28"/>
              <w:rPr>
                <w:color w:val="000000" w:themeColor="text1"/>
                <w14:textFill>
                  <w14:solidFill>
                    <w14:schemeClr w14:val="tx1"/>
                  </w14:solidFill>
                </w14:textFill>
              </w:rPr>
            </w:pPr>
          </w:p>
        </w:tc>
      </w:tr>
      <w:tr w14:paraId="1705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5779949">
            <w:pPr>
              <w:pStyle w:val="28"/>
              <w:rPr>
                <w:color w:val="000000" w:themeColor="text1"/>
                <w14:textFill>
                  <w14:solidFill>
                    <w14:schemeClr w14:val="tx1"/>
                  </w14:solidFill>
                </w14:textFill>
              </w:rPr>
            </w:pPr>
          </w:p>
        </w:tc>
        <w:tc>
          <w:tcPr>
            <w:tcW w:w="314" w:type="pct"/>
            <w:gridSpan w:val="2"/>
            <w:shd w:val="clear" w:color="auto" w:fill="auto"/>
            <w:vAlign w:val="center"/>
          </w:tcPr>
          <w:p w14:paraId="32E5D78C">
            <w:pPr>
              <w:pStyle w:val="2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02" w:type="pct"/>
            <w:shd w:val="clear" w:color="auto" w:fill="auto"/>
            <w:vAlign w:val="center"/>
          </w:tcPr>
          <w:p w14:paraId="182EC7B5">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麻线屯</w:t>
            </w:r>
          </w:p>
        </w:tc>
        <w:tc>
          <w:tcPr>
            <w:tcW w:w="580" w:type="pct"/>
            <w:shd w:val="clear" w:color="auto" w:fill="auto"/>
            <w:vAlign w:val="center"/>
          </w:tcPr>
          <w:p w14:paraId="03983EB4">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102.527481</w:t>
            </w:r>
          </w:p>
        </w:tc>
        <w:tc>
          <w:tcPr>
            <w:tcW w:w="585" w:type="pct"/>
            <w:shd w:val="clear" w:color="auto" w:fill="auto"/>
            <w:vAlign w:val="center"/>
          </w:tcPr>
          <w:p w14:paraId="2B98D078">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24.428454</w:t>
            </w:r>
          </w:p>
        </w:tc>
        <w:tc>
          <w:tcPr>
            <w:tcW w:w="395" w:type="pct"/>
            <w:shd w:val="clear" w:color="auto" w:fill="auto"/>
            <w:vAlign w:val="center"/>
          </w:tcPr>
          <w:p w14:paraId="2965D9F8">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1005</w:t>
            </w:r>
          </w:p>
        </w:tc>
        <w:tc>
          <w:tcPr>
            <w:tcW w:w="485" w:type="pct"/>
            <w:shd w:val="clear" w:color="auto" w:fill="auto"/>
            <w:vAlign w:val="center"/>
          </w:tcPr>
          <w:p w14:paraId="53B34FDE">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178</w:t>
            </w:r>
          </w:p>
        </w:tc>
        <w:tc>
          <w:tcPr>
            <w:tcW w:w="256" w:type="pct"/>
            <w:shd w:val="clear" w:color="auto" w:fill="auto"/>
            <w:vAlign w:val="center"/>
          </w:tcPr>
          <w:p w14:paraId="6AEA05F7">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南</w:t>
            </w:r>
          </w:p>
        </w:tc>
        <w:tc>
          <w:tcPr>
            <w:tcW w:w="340" w:type="pct"/>
            <w:shd w:val="clear" w:color="auto" w:fill="auto"/>
            <w:vAlign w:val="center"/>
          </w:tcPr>
          <w:p w14:paraId="4BDB3650">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1303</w:t>
            </w:r>
          </w:p>
        </w:tc>
        <w:tc>
          <w:tcPr>
            <w:tcW w:w="1383" w:type="pct"/>
            <w:vMerge w:val="continue"/>
            <w:vAlign w:val="center"/>
          </w:tcPr>
          <w:p w14:paraId="0A9D3A0F">
            <w:pPr>
              <w:pStyle w:val="28"/>
              <w:rPr>
                <w:color w:val="000000" w:themeColor="text1"/>
                <w14:textFill>
                  <w14:solidFill>
                    <w14:schemeClr w14:val="tx1"/>
                  </w14:solidFill>
                </w14:textFill>
              </w:rPr>
            </w:pPr>
          </w:p>
        </w:tc>
      </w:tr>
      <w:tr w14:paraId="293A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vAlign w:val="center"/>
          </w:tcPr>
          <w:p w14:paraId="36B99A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tc>
        <w:tc>
          <w:tcPr>
            <w:tcW w:w="314" w:type="pct"/>
            <w:gridSpan w:val="2"/>
            <w:shd w:val="clear" w:color="auto" w:fill="auto"/>
            <w:vAlign w:val="center"/>
          </w:tcPr>
          <w:p w14:paraId="096D3C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3EBE5354">
            <w:pPr>
              <w:pStyle w:val="28"/>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厂区内土壤环境</w:t>
            </w:r>
          </w:p>
        </w:tc>
        <w:tc>
          <w:tcPr>
            <w:tcW w:w="580" w:type="pct"/>
            <w:shd w:val="clear" w:color="auto" w:fill="auto"/>
            <w:vAlign w:val="center"/>
          </w:tcPr>
          <w:p w14:paraId="268F8F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6C721D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gridSpan w:val="3"/>
            <w:shd w:val="clear" w:color="auto" w:fill="auto"/>
            <w:vAlign w:val="center"/>
          </w:tcPr>
          <w:p w14:paraId="70F412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厂区内建设用地</w:t>
            </w:r>
          </w:p>
        </w:tc>
        <w:tc>
          <w:tcPr>
            <w:tcW w:w="340" w:type="pct"/>
            <w:vAlign w:val="center"/>
          </w:tcPr>
          <w:p w14:paraId="5C17EC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Align w:val="center"/>
          </w:tcPr>
          <w:p w14:paraId="5E70D2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 建设用地土壤污染风险管控标准（试行）》（GB36600-2018）第二类用地标准</w:t>
            </w:r>
          </w:p>
        </w:tc>
      </w:tr>
      <w:tr w14:paraId="11B3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50A4724E">
            <w:pPr>
              <w:pStyle w:val="28"/>
              <w:rPr>
                <w:color w:val="000000" w:themeColor="text1"/>
                <w14:textFill>
                  <w14:solidFill>
                    <w14:schemeClr w14:val="tx1"/>
                  </w14:solidFill>
                </w14:textFill>
              </w:rPr>
            </w:pPr>
          </w:p>
        </w:tc>
        <w:tc>
          <w:tcPr>
            <w:tcW w:w="314" w:type="pct"/>
            <w:gridSpan w:val="2"/>
            <w:shd w:val="clear" w:color="auto" w:fill="auto"/>
            <w:vAlign w:val="center"/>
          </w:tcPr>
          <w:p w14:paraId="4FC1E9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5D1D86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项目区周边农田</w:t>
            </w:r>
          </w:p>
        </w:tc>
        <w:tc>
          <w:tcPr>
            <w:tcW w:w="580" w:type="pct"/>
            <w:shd w:val="clear" w:color="auto" w:fill="auto"/>
            <w:vAlign w:val="center"/>
          </w:tcPr>
          <w:p w14:paraId="50CD19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674B6A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gridSpan w:val="3"/>
            <w:shd w:val="clear" w:color="auto" w:fill="auto"/>
            <w:vAlign w:val="center"/>
          </w:tcPr>
          <w:p w14:paraId="534FEE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项目区外200m范围内农田</w:t>
            </w:r>
          </w:p>
        </w:tc>
        <w:tc>
          <w:tcPr>
            <w:tcW w:w="340" w:type="pct"/>
            <w:vAlign w:val="center"/>
          </w:tcPr>
          <w:p w14:paraId="6E8531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Align w:val="center"/>
          </w:tcPr>
          <w:p w14:paraId="3C7FE6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 农用地土壤污染风险管控标准（试行）》（GB15618-2018）</w:t>
            </w:r>
          </w:p>
        </w:tc>
      </w:tr>
      <w:tr w14:paraId="6469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Align w:val="center"/>
          </w:tcPr>
          <w:p w14:paraId="47714A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314" w:type="pct"/>
            <w:gridSpan w:val="2"/>
            <w:shd w:val="clear" w:color="auto" w:fill="auto"/>
            <w:vAlign w:val="center"/>
          </w:tcPr>
          <w:p w14:paraId="5E0498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3AB2E034">
            <w:pPr>
              <w:pStyle w:val="28"/>
              <w:rPr>
                <w:color w:val="000000" w:themeColor="text1"/>
                <w14:textFill>
                  <w14:solidFill>
                    <w14:schemeClr w14:val="tx1"/>
                  </w14:solidFill>
                </w14:textFill>
              </w:rPr>
            </w:pPr>
            <w:r>
              <w:rPr>
                <w:color w:val="000000" w:themeColor="text1"/>
                <w14:textFill>
                  <w14:solidFill>
                    <w14:schemeClr w14:val="tx1"/>
                  </w14:solidFill>
                </w14:textFill>
              </w:rPr>
              <w:t>项目区周边农田</w:t>
            </w:r>
          </w:p>
        </w:tc>
        <w:tc>
          <w:tcPr>
            <w:tcW w:w="580" w:type="pct"/>
            <w:shd w:val="clear" w:color="auto" w:fill="auto"/>
            <w:vAlign w:val="center"/>
          </w:tcPr>
          <w:p w14:paraId="57015F8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shd w:val="clear" w:color="auto" w:fill="auto"/>
            <w:vAlign w:val="center"/>
          </w:tcPr>
          <w:p w14:paraId="2AFADA9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1137" w:type="pct"/>
            <w:gridSpan w:val="3"/>
            <w:shd w:val="clear" w:color="auto" w:fill="auto"/>
            <w:vAlign w:val="center"/>
          </w:tcPr>
          <w:p w14:paraId="71BB01EE">
            <w:pPr>
              <w:pStyle w:val="28"/>
              <w:rPr>
                <w:color w:val="000000" w:themeColor="text1"/>
                <w14:textFill>
                  <w14:solidFill>
                    <w14:schemeClr w14:val="tx1"/>
                  </w14:solidFill>
                </w14:textFill>
              </w:rPr>
            </w:pPr>
            <w:r>
              <w:rPr>
                <w:color w:val="000000" w:themeColor="text1"/>
                <w14:textFill>
                  <w14:solidFill>
                    <w14:schemeClr w14:val="tx1"/>
                  </w14:solidFill>
                </w14:textFill>
              </w:rPr>
              <w:t>项目区外200m范围内农田</w:t>
            </w:r>
          </w:p>
        </w:tc>
        <w:tc>
          <w:tcPr>
            <w:tcW w:w="340" w:type="pct"/>
            <w:vAlign w:val="center"/>
          </w:tcPr>
          <w:p w14:paraId="7EF46E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Align w:val="center"/>
          </w:tcPr>
          <w:p w14:paraId="2E4DE2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853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restart"/>
            <w:vAlign w:val="center"/>
          </w:tcPr>
          <w:p w14:paraId="3BC279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163" w:type="pct"/>
            <w:vMerge w:val="restart"/>
            <w:shd w:val="clear" w:color="auto" w:fill="auto"/>
            <w:vAlign w:val="center"/>
          </w:tcPr>
          <w:p w14:paraId="2EB53E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151" w:type="pct"/>
            <w:shd w:val="clear" w:color="auto" w:fill="auto"/>
            <w:vAlign w:val="center"/>
          </w:tcPr>
          <w:p w14:paraId="7A21A9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786665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大莲池</w:t>
            </w:r>
          </w:p>
        </w:tc>
        <w:tc>
          <w:tcPr>
            <w:tcW w:w="580" w:type="pct"/>
            <w:shd w:val="clear" w:color="auto" w:fill="auto"/>
            <w:vAlign w:val="center"/>
          </w:tcPr>
          <w:p w14:paraId="0B4CC4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102.528029</w:t>
            </w:r>
          </w:p>
        </w:tc>
        <w:tc>
          <w:tcPr>
            <w:tcW w:w="585" w:type="pct"/>
            <w:shd w:val="clear" w:color="auto" w:fill="auto"/>
            <w:vAlign w:val="center"/>
          </w:tcPr>
          <w:p w14:paraId="1B1F64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24.439169</w:t>
            </w:r>
          </w:p>
        </w:tc>
        <w:tc>
          <w:tcPr>
            <w:tcW w:w="395" w:type="pct"/>
            <w:shd w:val="clear" w:color="auto" w:fill="auto"/>
            <w:vAlign w:val="center"/>
          </w:tcPr>
          <w:p w14:paraId="1E587A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485" w:type="pct"/>
            <w:shd w:val="clear" w:color="auto" w:fill="auto"/>
            <w:vAlign w:val="center"/>
          </w:tcPr>
          <w:p w14:paraId="202236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256" w:type="pct"/>
            <w:shd w:val="clear" w:color="auto" w:fill="auto"/>
            <w:vAlign w:val="center"/>
          </w:tcPr>
          <w:p w14:paraId="436DC7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340" w:type="pct"/>
            <w:shd w:val="clear" w:color="auto" w:fill="auto"/>
            <w:vAlign w:val="center"/>
          </w:tcPr>
          <w:p w14:paraId="658F20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1383" w:type="pct"/>
            <w:vMerge w:val="restart"/>
            <w:vAlign w:val="center"/>
          </w:tcPr>
          <w:p w14:paraId="3EE1D2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w:t>
            </w:r>
            <w:r>
              <w:rPr>
                <w:color w:val="000000" w:themeColor="text1"/>
                <w14:textFill>
                  <w14:solidFill>
                    <w14:schemeClr w14:val="tx1"/>
                  </w14:solidFill>
                </w14:textFill>
              </w:rPr>
              <w:t>GB3095-</w:t>
            </w:r>
            <w:r>
              <w:rPr>
                <w:rFonts w:hint="eastAsia"/>
                <w:color w:val="000000" w:themeColor="text1"/>
                <w14:textFill>
                  <w14:solidFill>
                    <w14:schemeClr w14:val="tx1"/>
                  </w14:solidFill>
                </w14:textFill>
              </w:rPr>
              <w:t>2026）过渡阶段二级标准、《环境影响评价技术导则-大气环境》（HJ 2.2-2018）附录D</w:t>
            </w:r>
          </w:p>
        </w:tc>
      </w:tr>
      <w:tr w14:paraId="3501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vAlign w:val="center"/>
          </w:tcPr>
          <w:p w14:paraId="46B82E08">
            <w:pPr>
              <w:pStyle w:val="28"/>
              <w:rPr>
                <w:color w:val="000000" w:themeColor="text1"/>
                <w14:textFill>
                  <w14:solidFill>
                    <w14:schemeClr w14:val="tx1"/>
                  </w14:solidFill>
                </w14:textFill>
              </w:rPr>
            </w:pPr>
          </w:p>
        </w:tc>
        <w:tc>
          <w:tcPr>
            <w:tcW w:w="163" w:type="pct"/>
            <w:vMerge w:val="continue"/>
            <w:shd w:val="clear" w:color="auto" w:fill="auto"/>
            <w:vAlign w:val="center"/>
          </w:tcPr>
          <w:p w14:paraId="22CACDB0">
            <w:pPr>
              <w:pStyle w:val="28"/>
              <w:rPr>
                <w:color w:val="000000" w:themeColor="text1"/>
                <w14:textFill>
                  <w14:solidFill>
                    <w14:schemeClr w14:val="tx1"/>
                  </w14:solidFill>
                </w14:textFill>
              </w:rPr>
            </w:pPr>
          </w:p>
        </w:tc>
        <w:tc>
          <w:tcPr>
            <w:tcW w:w="151" w:type="pct"/>
            <w:shd w:val="clear" w:color="auto" w:fill="auto"/>
            <w:vAlign w:val="center"/>
          </w:tcPr>
          <w:p w14:paraId="594198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4477DB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莲池村</w:t>
            </w:r>
          </w:p>
        </w:tc>
        <w:tc>
          <w:tcPr>
            <w:tcW w:w="580" w:type="pct"/>
            <w:shd w:val="clear" w:color="auto" w:fill="auto"/>
            <w:vAlign w:val="center"/>
          </w:tcPr>
          <w:p w14:paraId="453AFE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102.529595</w:t>
            </w:r>
          </w:p>
        </w:tc>
        <w:tc>
          <w:tcPr>
            <w:tcW w:w="585" w:type="pct"/>
            <w:shd w:val="clear" w:color="auto" w:fill="auto"/>
            <w:vAlign w:val="center"/>
          </w:tcPr>
          <w:p w14:paraId="0352F9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24.437489</w:t>
            </w:r>
          </w:p>
        </w:tc>
        <w:tc>
          <w:tcPr>
            <w:tcW w:w="395" w:type="pct"/>
            <w:shd w:val="clear" w:color="auto" w:fill="auto"/>
            <w:vAlign w:val="center"/>
          </w:tcPr>
          <w:p w14:paraId="213AAC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190</w:t>
            </w:r>
          </w:p>
        </w:tc>
        <w:tc>
          <w:tcPr>
            <w:tcW w:w="485" w:type="pct"/>
            <w:shd w:val="clear" w:color="auto" w:fill="auto"/>
            <w:vAlign w:val="center"/>
          </w:tcPr>
          <w:p w14:paraId="4050D0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256" w:type="pct"/>
            <w:shd w:val="clear" w:color="auto" w:fill="auto"/>
            <w:vAlign w:val="center"/>
          </w:tcPr>
          <w:p w14:paraId="62EBD3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340" w:type="pct"/>
            <w:shd w:val="clear" w:color="auto" w:fill="auto"/>
            <w:vAlign w:val="center"/>
          </w:tcPr>
          <w:p w14:paraId="0C1BCD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1383" w:type="pct"/>
            <w:vMerge w:val="continue"/>
            <w:vAlign w:val="center"/>
          </w:tcPr>
          <w:p w14:paraId="21B4ED54">
            <w:pPr>
              <w:pStyle w:val="28"/>
              <w:rPr>
                <w:color w:val="000000" w:themeColor="text1"/>
                <w14:textFill>
                  <w14:solidFill>
                    <w14:schemeClr w14:val="tx1"/>
                  </w14:solidFill>
                </w14:textFill>
              </w:rPr>
            </w:pPr>
          </w:p>
        </w:tc>
      </w:tr>
      <w:tr w14:paraId="78B5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12DD6953">
            <w:pPr>
              <w:pStyle w:val="28"/>
              <w:rPr>
                <w:color w:val="000000" w:themeColor="text1"/>
                <w14:textFill>
                  <w14:solidFill>
                    <w14:schemeClr w14:val="tx1"/>
                  </w14:solidFill>
                </w14:textFill>
              </w:rPr>
            </w:pPr>
          </w:p>
        </w:tc>
        <w:tc>
          <w:tcPr>
            <w:tcW w:w="163" w:type="pct"/>
            <w:vMerge w:val="continue"/>
          </w:tcPr>
          <w:p w14:paraId="531E5C8F">
            <w:pPr>
              <w:pStyle w:val="28"/>
              <w:rPr>
                <w:color w:val="000000" w:themeColor="text1"/>
                <w14:textFill>
                  <w14:solidFill>
                    <w14:schemeClr w14:val="tx1"/>
                  </w14:solidFill>
                </w14:textFill>
              </w:rPr>
            </w:pPr>
          </w:p>
        </w:tc>
        <w:tc>
          <w:tcPr>
            <w:tcW w:w="151" w:type="pct"/>
            <w:shd w:val="clear" w:color="auto" w:fill="auto"/>
            <w:vAlign w:val="center"/>
          </w:tcPr>
          <w:p w14:paraId="4ED1B7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2" w:type="pct"/>
            <w:shd w:val="clear" w:color="auto" w:fill="auto"/>
            <w:vAlign w:val="center"/>
          </w:tcPr>
          <w:p w14:paraId="5E8377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高家屯</w:t>
            </w:r>
          </w:p>
        </w:tc>
        <w:tc>
          <w:tcPr>
            <w:tcW w:w="580" w:type="pct"/>
            <w:shd w:val="clear" w:color="auto" w:fill="auto"/>
            <w:vAlign w:val="center"/>
          </w:tcPr>
          <w:p w14:paraId="7480C4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102.525818</w:t>
            </w:r>
          </w:p>
        </w:tc>
        <w:tc>
          <w:tcPr>
            <w:tcW w:w="585" w:type="pct"/>
            <w:shd w:val="clear" w:color="auto" w:fill="auto"/>
            <w:vAlign w:val="center"/>
          </w:tcPr>
          <w:p w14:paraId="0B0629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24.433719</w:t>
            </w:r>
          </w:p>
        </w:tc>
        <w:tc>
          <w:tcPr>
            <w:tcW w:w="395" w:type="pct"/>
            <w:shd w:val="clear" w:color="auto" w:fill="auto"/>
            <w:vAlign w:val="center"/>
          </w:tcPr>
          <w:p w14:paraId="066AF3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240</w:t>
            </w:r>
          </w:p>
        </w:tc>
        <w:tc>
          <w:tcPr>
            <w:tcW w:w="485" w:type="pct"/>
            <w:shd w:val="clear" w:color="auto" w:fill="auto"/>
            <w:vAlign w:val="center"/>
          </w:tcPr>
          <w:p w14:paraId="16A477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56" w:type="pct"/>
            <w:shd w:val="clear" w:color="auto" w:fill="auto"/>
            <w:vAlign w:val="center"/>
          </w:tcPr>
          <w:p w14:paraId="500278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340" w:type="pct"/>
            <w:shd w:val="clear" w:color="auto" w:fill="auto"/>
            <w:vAlign w:val="center"/>
          </w:tcPr>
          <w:p w14:paraId="09E5E9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950</w:t>
            </w:r>
          </w:p>
        </w:tc>
        <w:tc>
          <w:tcPr>
            <w:tcW w:w="1383" w:type="pct"/>
            <w:vMerge w:val="continue"/>
          </w:tcPr>
          <w:p w14:paraId="542A601A">
            <w:pPr>
              <w:pStyle w:val="28"/>
              <w:rPr>
                <w:color w:val="000000" w:themeColor="text1"/>
                <w14:textFill>
                  <w14:solidFill>
                    <w14:schemeClr w14:val="tx1"/>
                  </w14:solidFill>
                </w14:textFill>
              </w:rPr>
            </w:pPr>
          </w:p>
        </w:tc>
      </w:tr>
      <w:tr w14:paraId="110A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6D58A669">
            <w:pPr>
              <w:pStyle w:val="28"/>
              <w:rPr>
                <w:color w:val="000000" w:themeColor="text1"/>
                <w14:textFill>
                  <w14:solidFill>
                    <w14:schemeClr w14:val="tx1"/>
                  </w14:solidFill>
                </w14:textFill>
              </w:rPr>
            </w:pPr>
          </w:p>
        </w:tc>
        <w:tc>
          <w:tcPr>
            <w:tcW w:w="163" w:type="pct"/>
            <w:vMerge w:val="continue"/>
          </w:tcPr>
          <w:p w14:paraId="7CF4F42A">
            <w:pPr>
              <w:pStyle w:val="28"/>
              <w:rPr>
                <w:color w:val="000000" w:themeColor="text1"/>
                <w14:textFill>
                  <w14:solidFill>
                    <w14:schemeClr w14:val="tx1"/>
                  </w14:solidFill>
                </w14:textFill>
              </w:rPr>
            </w:pPr>
          </w:p>
        </w:tc>
        <w:tc>
          <w:tcPr>
            <w:tcW w:w="151" w:type="pct"/>
            <w:shd w:val="clear" w:color="auto" w:fill="auto"/>
            <w:vAlign w:val="center"/>
          </w:tcPr>
          <w:p w14:paraId="5C47F0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02" w:type="pct"/>
            <w:shd w:val="clear" w:color="auto" w:fill="auto"/>
            <w:vAlign w:val="center"/>
          </w:tcPr>
          <w:p w14:paraId="4EDCD2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陆家屯</w:t>
            </w:r>
          </w:p>
        </w:tc>
        <w:tc>
          <w:tcPr>
            <w:tcW w:w="580" w:type="pct"/>
            <w:shd w:val="clear" w:color="auto" w:fill="auto"/>
            <w:vAlign w:val="center"/>
          </w:tcPr>
          <w:p w14:paraId="087385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102.523158</w:t>
            </w:r>
          </w:p>
        </w:tc>
        <w:tc>
          <w:tcPr>
            <w:tcW w:w="585" w:type="pct"/>
            <w:shd w:val="clear" w:color="auto" w:fill="auto"/>
            <w:vAlign w:val="center"/>
          </w:tcPr>
          <w:p w14:paraId="52C545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24.434227</w:t>
            </w:r>
          </w:p>
        </w:tc>
        <w:tc>
          <w:tcPr>
            <w:tcW w:w="395" w:type="pct"/>
            <w:shd w:val="clear" w:color="auto" w:fill="auto"/>
            <w:vAlign w:val="center"/>
          </w:tcPr>
          <w:p w14:paraId="74FDB0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350</w:t>
            </w:r>
          </w:p>
        </w:tc>
        <w:tc>
          <w:tcPr>
            <w:tcW w:w="485" w:type="pct"/>
            <w:shd w:val="clear" w:color="auto" w:fill="auto"/>
            <w:vAlign w:val="center"/>
          </w:tcPr>
          <w:p w14:paraId="39DC0D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145</w:t>
            </w:r>
          </w:p>
        </w:tc>
        <w:tc>
          <w:tcPr>
            <w:tcW w:w="256" w:type="pct"/>
            <w:shd w:val="clear" w:color="auto" w:fill="auto"/>
            <w:vAlign w:val="center"/>
          </w:tcPr>
          <w:p w14:paraId="436F47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shd w:val="clear" w:color="auto" w:fill="auto"/>
            <w:vAlign w:val="center"/>
          </w:tcPr>
          <w:p w14:paraId="1F168F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1050</w:t>
            </w:r>
          </w:p>
        </w:tc>
        <w:tc>
          <w:tcPr>
            <w:tcW w:w="1383" w:type="pct"/>
            <w:vMerge w:val="continue"/>
          </w:tcPr>
          <w:p w14:paraId="3F8FF730">
            <w:pPr>
              <w:pStyle w:val="28"/>
              <w:rPr>
                <w:color w:val="000000" w:themeColor="text1"/>
                <w14:textFill>
                  <w14:solidFill>
                    <w14:schemeClr w14:val="tx1"/>
                  </w14:solidFill>
                </w14:textFill>
              </w:rPr>
            </w:pPr>
          </w:p>
        </w:tc>
      </w:tr>
      <w:tr w14:paraId="5C15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65F51CFF">
            <w:pPr>
              <w:pStyle w:val="28"/>
              <w:rPr>
                <w:color w:val="000000" w:themeColor="text1"/>
                <w14:textFill>
                  <w14:solidFill>
                    <w14:schemeClr w14:val="tx1"/>
                  </w14:solidFill>
                </w14:textFill>
              </w:rPr>
            </w:pPr>
          </w:p>
        </w:tc>
        <w:tc>
          <w:tcPr>
            <w:tcW w:w="163" w:type="pct"/>
            <w:vMerge w:val="continue"/>
          </w:tcPr>
          <w:p w14:paraId="07665428">
            <w:pPr>
              <w:pStyle w:val="28"/>
              <w:rPr>
                <w:color w:val="000000" w:themeColor="text1"/>
                <w14:textFill>
                  <w14:solidFill>
                    <w14:schemeClr w14:val="tx1"/>
                  </w14:solidFill>
                </w14:textFill>
              </w:rPr>
            </w:pPr>
          </w:p>
        </w:tc>
        <w:tc>
          <w:tcPr>
            <w:tcW w:w="151" w:type="pct"/>
            <w:shd w:val="clear" w:color="auto" w:fill="auto"/>
            <w:vAlign w:val="center"/>
          </w:tcPr>
          <w:p w14:paraId="7BB73D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02" w:type="pct"/>
            <w:shd w:val="clear" w:color="auto" w:fill="auto"/>
            <w:vAlign w:val="center"/>
          </w:tcPr>
          <w:p w14:paraId="3FB0D0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中莲池</w:t>
            </w:r>
          </w:p>
        </w:tc>
        <w:tc>
          <w:tcPr>
            <w:tcW w:w="580" w:type="pct"/>
            <w:shd w:val="clear" w:color="auto" w:fill="auto"/>
            <w:vAlign w:val="center"/>
          </w:tcPr>
          <w:p w14:paraId="7D2CBA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102.52981</w:t>
            </w:r>
          </w:p>
        </w:tc>
        <w:tc>
          <w:tcPr>
            <w:tcW w:w="585" w:type="pct"/>
            <w:shd w:val="clear" w:color="auto" w:fill="auto"/>
            <w:vAlign w:val="center"/>
          </w:tcPr>
          <w:p w14:paraId="37ED7C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24.441259</w:t>
            </w:r>
          </w:p>
        </w:tc>
        <w:tc>
          <w:tcPr>
            <w:tcW w:w="395" w:type="pct"/>
            <w:shd w:val="clear" w:color="auto" w:fill="auto"/>
            <w:vAlign w:val="center"/>
          </w:tcPr>
          <w:p w14:paraId="2CD88A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390</w:t>
            </w:r>
          </w:p>
        </w:tc>
        <w:tc>
          <w:tcPr>
            <w:tcW w:w="485" w:type="pct"/>
            <w:shd w:val="clear" w:color="auto" w:fill="auto"/>
            <w:vAlign w:val="center"/>
          </w:tcPr>
          <w:p w14:paraId="5FCA28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256" w:type="pct"/>
            <w:shd w:val="clear" w:color="auto" w:fill="auto"/>
            <w:vAlign w:val="center"/>
          </w:tcPr>
          <w:p w14:paraId="0A3D91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340" w:type="pct"/>
            <w:shd w:val="clear" w:color="auto" w:fill="auto"/>
            <w:vAlign w:val="center"/>
          </w:tcPr>
          <w:p w14:paraId="76F714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1262</w:t>
            </w:r>
          </w:p>
        </w:tc>
        <w:tc>
          <w:tcPr>
            <w:tcW w:w="1383" w:type="pct"/>
            <w:vMerge w:val="continue"/>
          </w:tcPr>
          <w:p w14:paraId="7FD9A82B">
            <w:pPr>
              <w:pStyle w:val="28"/>
              <w:rPr>
                <w:color w:val="000000" w:themeColor="text1"/>
                <w14:textFill>
                  <w14:solidFill>
                    <w14:schemeClr w14:val="tx1"/>
                  </w14:solidFill>
                </w14:textFill>
              </w:rPr>
            </w:pPr>
          </w:p>
        </w:tc>
      </w:tr>
      <w:tr w14:paraId="29D5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3DDB71D1">
            <w:pPr>
              <w:pStyle w:val="28"/>
              <w:rPr>
                <w:color w:val="000000" w:themeColor="text1"/>
                <w14:textFill>
                  <w14:solidFill>
                    <w14:schemeClr w14:val="tx1"/>
                  </w14:solidFill>
                </w14:textFill>
              </w:rPr>
            </w:pPr>
          </w:p>
        </w:tc>
        <w:tc>
          <w:tcPr>
            <w:tcW w:w="163" w:type="pct"/>
            <w:vMerge w:val="continue"/>
          </w:tcPr>
          <w:p w14:paraId="26AA24E9">
            <w:pPr>
              <w:pStyle w:val="28"/>
              <w:rPr>
                <w:color w:val="000000" w:themeColor="text1"/>
                <w14:textFill>
                  <w14:solidFill>
                    <w14:schemeClr w14:val="tx1"/>
                  </w14:solidFill>
                </w14:textFill>
              </w:rPr>
            </w:pPr>
          </w:p>
        </w:tc>
        <w:tc>
          <w:tcPr>
            <w:tcW w:w="151" w:type="pct"/>
            <w:shd w:val="clear" w:color="auto" w:fill="auto"/>
            <w:vAlign w:val="center"/>
          </w:tcPr>
          <w:p w14:paraId="6856CB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02" w:type="pct"/>
            <w:shd w:val="clear" w:color="auto" w:fill="auto"/>
            <w:vAlign w:val="center"/>
          </w:tcPr>
          <w:p w14:paraId="64BC35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南莲幼儿园</w:t>
            </w:r>
          </w:p>
        </w:tc>
        <w:tc>
          <w:tcPr>
            <w:tcW w:w="580" w:type="pct"/>
            <w:shd w:val="clear" w:color="auto" w:fill="auto"/>
            <w:vAlign w:val="center"/>
          </w:tcPr>
          <w:p w14:paraId="236671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102.531108</w:t>
            </w:r>
          </w:p>
        </w:tc>
        <w:tc>
          <w:tcPr>
            <w:tcW w:w="585" w:type="pct"/>
            <w:shd w:val="clear" w:color="auto" w:fill="auto"/>
            <w:vAlign w:val="center"/>
          </w:tcPr>
          <w:p w14:paraId="2C2491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24.434901</w:t>
            </w:r>
          </w:p>
        </w:tc>
        <w:tc>
          <w:tcPr>
            <w:tcW w:w="395" w:type="pct"/>
            <w:shd w:val="clear" w:color="auto" w:fill="auto"/>
            <w:vAlign w:val="center"/>
          </w:tcPr>
          <w:p w14:paraId="11FF30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440</w:t>
            </w:r>
          </w:p>
        </w:tc>
        <w:tc>
          <w:tcPr>
            <w:tcW w:w="485" w:type="pct"/>
            <w:shd w:val="clear" w:color="auto" w:fill="auto"/>
            <w:vAlign w:val="center"/>
          </w:tcPr>
          <w:p w14:paraId="7ABAB2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189</w:t>
            </w:r>
          </w:p>
        </w:tc>
        <w:tc>
          <w:tcPr>
            <w:tcW w:w="256" w:type="pct"/>
            <w:shd w:val="clear" w:color="auto" w:fill="auto"/>
            <w:vAlign w:val="center"/>
          </w:tcPr>
          <w:p w14:paraId="05EAEA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shd w:val="clear" w:color="auto" w:fill="auto"/>
            <w:vAlign w:val="center"/>
          </w:tcPr>
          <w:p w14:paraId="203150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1383" w:type="pct"/>
            <w:vMerge w:val="continue"/>
          </w:tcPr>
          <w:p w14:paraId="1EF7F745">
            <w:pPr>
              <w:pStyle w:val="28"/>
              <w:rPr>
                <w:color w:val="000000" w:themeColor="text1"/>
                <w14:textFill>
                  <w14:solidFill>
                    <w14:schemeClr w14:val="tx1"/>
                  </w14:solidFill>
                </w14:textFill>
              </w:rPr>
            </w:pPr>
          </w:p>
        </w:tc>
      </w:tr>
      <w:tr w14:paraId="081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088F7C9A">
            <w:pPr>
              <w:pStyle w:val="28"/>
              <w:rPr>
                <w:color w:val="000000" w:themeColor="text1"/>
                <w14:textFill>
                  <w14:solidFill>
                    <w14:schemeClr w14:val="tx1"/>
                  </w14:solidFill>
                </w14:textFill>
              </w:rPr>
            </w:pPr>
          </w:p>
        </w:tc>
        <w:tc>
          <w:tcPr>
            <w:tcW w:w="163" w:type="pct"/>
            <w:vMerge w:val="continue"/>
          </w:tcPr>
          <w:p w14:paraId="03ABE69B">
            <w:pPr>
              <w:pStyle w:val="28"/>
              <w:rPr>
                <w:color w:val="000000" w:themeColor="text1"/>
                <w14:textFill>
                  <w14:solidFill>
                    <w14:schemeClr w14:val="tx1"/>
                  </w14:solidFill>
                </w14:textFill>
              </w:rPr>
            </w:pPr>
          </w:p>
        </w:tc>
        <w:tc>
          <w:tcPr>
            <w:tcW w:w="151" w:type="pct"/>
            <w:shd w:val="clear" w:color="auto" w:fill="auto"/>
            <w:vAlign w:val="center"/>
          </w:tcPr>
          <w:p w14:paraId="74BA86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502" w:type="pct"/>
            <w:shd w:val="clear" w:color="auto" w:fill="auto"/>
            <w:vAlign w:val="center"/>
          </w:tcPr>
          <w:p w14:paraId="32D22C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莲池小学</w:t>
            </w:r>
          </w:p>
        </w:tc>
        <w:tc>
          <w:tcPr>
            <w:tcW w:w="580" w:type="pct"/>
            <w:shd w:val="clear" w:color="auto" w:fill="auto"/>
            <w:vAlign w:val="center"/>
          </w:tcPr>
          <w:p w14:paraId="4408F0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102.531934</w:t>
            </w:r>
          </w:p>
        </w:tc>
        <w:tc>
          <w:tcPr>
            <w:tcW w:w="585" w:type="pct"/>
            <w:shd w:val="clear" w:color="auto" w:fill="auto"/>
            <w:vAlign w:val="center"/>
          </w:tcPr>
          <w:p w14:paraId="26069C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24.435692</w:t>
            </w:r>
          </w:p>
        </w:tc>
        <w:tc>
          <w:tcPr>
            <w:tcW w:w="395" w:type="pct"/>
            <w:shd w:val="clear" w:color="auto" w:fill="auto"/>
            <w:vAlign w:val="center"/>
          </w:tcPr>
          <w:p w14:paraId="66A351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485" w:type="pct"/>
            <w:shd w:val="clear" w:color="auto" w:fill="auto"/>
            <w:vAlign w:val="center"/>
          </w:tcPr>
          <w:p w14:paraId="3C3352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270</w:t>
            </w:r>
          </w:p>
        </w:tc>
        <w:tc>
          <w:tcPr>
            <w:tcW w:w="256" w:type="pct"/>
            <w:shd w:val="clear" w:color="auto" w:fill="auto"/>
            <w:vAlign w:val="center"/>
          </w:tcPr>
          <w:p w14:paraId="228AE5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340" w:type="pct"/>
            <w:shd w:val="clear" w:color="auto" w:fill="auto"/>
            <w:vAlign w:val="center"/>
          </w:tcPr>
          <w:p w14:paraId="45949C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1383" w:type="pct"/>
            <w:vMerge w:val="continue"/>
          </w:tcPr>
          <w:p w14:paraId="7155EA7E">
            <w:pPr>
              <w:pStyle w:val="28"/>
              <w:rPr>
                <w:color w:val="000000" w:themeColor="text1"/>
                <w14:textFill>
                  <w14:solidFill>
                    <w14:schemeClr w14:val="tx1"/>
                  </w14:solidFill>
                </w14:textFill>
              </w:rPr>
            </w:pPr>
          </w:p>
        </w:tc>
      </w:tr>
      <w:tr w14:paraId="1F7A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325534B4">
            <w:pPr>
              <w:pStyle w:val="28"/>
              <w:rPr>
                <w:color w:val="000000" w:themeColor="text1"/>
                <w14:textFill>
                  <w14:solidFill>
                    <w14:schemeClr w14:val="tx1"/>
                  </w14:solidFill>
                </w14:textFill>
              </w:rPr>
            </w:pPr>
          </w:p>
        </w:tc>
        <w:tc>
          <w:tcPr>
            <w:tcW w:w="163" w:type="pct"/>
            <w:vMerge w:val="restart"/>
          </w:tcPr>
          <w:p w14:paraId="09D3BC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151" w:type="pct"/>
            <w:shd w:val="clear" w:color="auto" w:fill="auto"/>
            <w:vAlign w:val="center"/>
          </w:tcPr>
          <w:p w14:paraId="1B00BA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2" w:type="pct"/>
            <w:shd w:val="clear" w:color="auto" w:fill="auto"/>
            <w:vAlign w:val="center"/>
          </w:tcPr>
          <w:p w14:paraId="05FBFF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老西河</w:t>
            </w:r>
          </w:p>
        </w:tc>
        <w:tc>
          <w:tcPr>
            <w:tcW w:w="580" w:type="pct"/>
            <w:shd w:val="clear" w:color="auto" w:fill="auto"/>
            <w:vAlign w:val="center"/>
          </w:tcPr>
          <w:p w14:paraId="2F7266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52E4BB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5" w:type="pct"/>
            <w:shd w:val="clear" w:color="auto" w:fill="auto"/>
            <w:vAlign w:val="center"/>
          </w:tcPr>
          <w:p w14:paraId="2BFB84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655</w:t>
            </w:r>
          </w:p>
        </w:tc>
        <w:tc>
          <w:tcPr>
            <w:tcW w:w="485" w:type="pct"/>
            <w:shd w:val="clear" w:color="auto" w:fill="auto"/>
            <w:vAlign w:val="center"/>
          </w:tcPr>
          <w:p w14:paraId="267277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256" w:type="pct"/>
            <w:shd w:val="clear" w:color="auto" w:fill="auto"/>
            <w:vAlign w:val="center"/>
          </w:tcPr>
          <w:p w14:paraId="6B1B28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东面</w:t>
            </w:r>
          </w:p>
        </w:tc>
        <w:tc>
          <w:tcPr>
            <w:tcW w:w="340" w:type="pct"/>
            <w:shd w:val="clear" w:color="auto" w:fill="auto"/>
            <w:vAlign w:val="center"/>
          </w:tcPr>
          <w:p w14:paraId="0BF113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shd w:val="clear" w:color="auto" w:fill="auto"/>
            <w:vAlign w:val="center"/>
          </w:tcPr>
          <w:p w14:paraId="3A851B71">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《地表水环境质量标准》（GB3838-2002）中</w:t>
            </w:r>
            <w:r>
              <w:rPr>
                <w:rFonts w:ascii="Times New Roman" w:hAnsi="Times New Roman"/>
                <w:color w:val="000000" w:themeColor="text1"/>
                <w14:textFill>
                  <w14:solidFill>
                    <w14:schemeClr w14:val="tx1"/>
                  </w14:solidFill>
                </w14:textFill>
              </w:rPr>
              <w:t>Ⅴ</w:t>
            </w:r>
            <w:r>
              <w:rPr>
                <w:rFonts w:hint="eastAsia" w:ascii="Times New Roman" w:hAnsi="Times New Roman"/>
                <w:color w:val="000000" w:themeColor="text1"/>
                <w14:textFill>
                  <w14:solidFill>
                    <w14:schemeClr w14:val="tx1"/>
                  </w14:solidFill>
                </w14:textFill>
              </w:rPr>
              <w:t>类标准</w:t>
            </w:r>
          </w:p>
        </w:tc>
      </w:tr>
      <w:tr w14:paraId="641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5" w:type="pct"/>
            <w:vMerge w:val="continue"/>
          </w:tcPr>
          <w:p w14:paraId="3DBFF063">
            <w:pPr>
              <w:pStyle w:val="28"/>
              <w:rPr>
                <w:color w:val="000000" w:themeColor="text1"/>
                <w14:textFill>
                  <w14:solidFill>
                    <w14:schemeClr w14:val="tx1"/>
                  </w14:solidFill>
                </w14:textFill>
              </w:rPr>
            </w:pPr>
          </w:p>
        </w:tc>
        <w:tc>
          <w:tcPr>
            <w:tcW w:w="163" w:type="pct"/>
            <w:vMerge w:val="continue"/>
          </w:tcPr>
          <w:p w14:paraId="0775E2E1">
            <w:pPr>
              <w:pStyle w:val="28"/>
              <w:rPr>
                <w:color w:val="000000" w:themeColor="text1"/>
                <w14:textFill>
                  <w14:solidFill>
                    <w14:schemeClr w14:val="tx1"/>
                  </w14:solidFill>
                </w14:textFill>
              </w:rPr>
            </w:pPr>
          </w:p>
        </w:tc>
        <w:tc>
          <w:tcPr>
            <w:tcW w:w="151" w:type="pct"/>
            <w:shd w:val="clear" w:color="auto" w:fill="auto"/>
            <w:vAlign w:val="center"/>
          </w:tcPr>
          <w:p w14:paraId="508D8E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2" w:type="pct"/>
            <w:shd w:val="clear" w:color="auto" w:fill="auto"/>
            <w:vAlign w:val="center"/>
          </w:tcPr>
          <w:p w14:paraId="619551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玉溪大河</w:t>
            </w:r>
          </w:p>
        </w:tc>
        <w:tc>
          <w:tcPr>
            <w:tcW w:w="580" w:type="pct"/>
            <w:shd w:val="clear" w:color="auto" w:fill="auto"/>
            <w:vAlign w:val="center"/>
          </w:tcPr>
          <w:p w14:paraId="385662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5" w:type="pct"/>
            <w:shd w:val="clear" w:color="auto" w:fill="auto"/>
            <w:vAlign w:val="center"/>
          </w:tcPr>
          <w:p w14:paraId="651E66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5" w:type="pct"/>
            <w:shd w:val="clear" w:color="auto" w:fill="auto"/>
            <w:vAlign w:val="center"/>
          </w:tcPr>
          <w:p w14:paraId="5A3C25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7500</w:t>
            </w:r>
          </w:p>
        </w:tc>
        <w:tc>
          <w:tcPr>
            <w:tcW w:w="485" w:type="pct"/>
            <w:shd w:val="clear" w:color="auto" w:fill="auto"/>
            <w:vAlign w:val="center"/>
          </w:tcPr>
          <w:p w14:paraId="523D32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7450</w:t>
            </w:r>
          </w:p>
        </w:tc>
        <w:tc>
          <w:tcPr>
            <w:tcW w:w="256" w:type="pct"/>
            <w:shd w:val="clear" w:color="auto" w:fill="auto"/>
            <w:vAlign w:val="center"/>
          </w:tcPr>
          <w:p w14:paraId="508609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南面</w:t>
            </w:r>
          </w:p>
        </w:tc>
        <w:tc>
          <w:tcPr>
            <w:tcW w:w="340" w:type="pct"/>
          </w:tcPr>
          <w:p w14:paraId="412ECD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restart"/>
            <w:shd w:val="clear" w:color="auto" w:fill="auto"/>
            <w:vAlign w:val="center"/>
          </w:tcPr>
          <w:p w14:paraId="3B8122B1">
            <w:pPr>
              <w:pStyle w:val="38"/>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《地表水环境质量标准》（GB3838-2002）中</w:t>
            </w:r>
            <w:r>
              <w:rPr>
                <w:rFonts w:ascii="Times New Roman" w:hAnsi="Times New Roman" w:cs="Times New Roman"/>
                <w:color w:val="000000" w:themeColor="text1"/>
                <w14:textFill>
                  <w14:solidFill>
                    <w14:schemeClr w14:val="tx1"/>
                  </w14:solidFill>
                </w14:textFill>
              </w:rPr>
              <w:t>Ⅲ</w:t>
            </w:r>
            <w:r>
              <w:rPr>
                <w:rFonts w:hint="eastAsia"/>
                <w:color w:val="000000" w:themeColor="text1"/>
                <w14:textFill>
                  <w14:solidFill>
                    <w14:schemeClr w14:val="tx1"/>
                  </w14:solidFill>
                </w14:textFill>
              </w:rPr>
              <w:t>类标准</w:t>
            </w:r>
          </w:p>
        </w:tc>
      </w:tr>
      <w:tr w14:paraId="3208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 w:type="pct"/>
            <w:vMerge w:val="continue"/>
          </w:tcPr>
          <w:p w14:paraId="393FBD10">
            <w:pPr>
              <w:pStyle w:val="28"/>
              <w:rPr>
                <w:color w:val="000000" w:themeColor="text1"/>
                <w14:textFill>
                  <w14:solidFill>
                    <w14:schemeClr w14:val="tx1"/>
                  </w14:solidFill>
                </w14:textFill>
              </w:rPr>
            </w:pPr>
          </w:p>
        </w:tc>
        <w:tc>
          <w:tcPr>
            <w:tcW w:w="163" w:type="pct"/>
            <w:vMerge w:val="continue"/>
          </w:tcPr>
          <w:p w14:paraId="28B9119C">
            <w:pPr>
              <w:pStyle w:val="28"/>
              <w:rPr>
                <w:color w:val="000000" w:themeColor="text1"/>
                <w14:textFill>
                  <w14:solidFill>
                    <w14:schemeClr w14:val="tx1"/>
                  </w14:solidFill>
                </w14:textFill>
              </w:rPr>
            </w:pPr>
          </w:p>
        </w:tc>
        <w:tc>
          <w:tcPr>
            <w:tcW w:w="151" w:type="pct"/>
            <w:shd w:val="clear" w:color="auto" w:fill="auto"/>
            <w:vAlign w:val="center"/>
          </w:tcPr>
          <w:p w14:paraId="6D23B1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2" w:type="pct"/>
            <w:shd w:val="clear" w:color="auto" w:fill="auto"/>
            <w:vAlign w:val="center"/>
          </w:tcPr>
          <w:p w14:paraId="1A8EBF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飞井海水库</w:t>
            </w:r>
          </w:p>
        </w:tc>
        <w:tc>
          <w:tcPr>
            <w:tcW w:w="580" w:type="pct"/>
            <w:shd w:val="clear" w:color="auto" w:fill="auto"/>
            <w:vAlign w:val="center"/>
          </w:tcPr>
          <w:p w14:paraId="7DA3D6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102.518684</w:t>
            </w:r>
          </w:p>
        </w:tc>
        <w:tc>
          <w:tcPr>
            <w:tcW w:w="585" w:type="pct"/>
            <w:shd w:val="clear" w:color="auto" w:fill="auto"/>
            <w:vAlign w:val="center"/>
          </w:tcPr>
          <w:p w14:paraId="3EDA91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24.419457</w:t>
            </w:r>
          </w:p>
        </w:tc>
        <w:tc>
          <w:tcPr>
            <w:tcW w:w="395" w:type="pct"/>
            <w:shd w:val="clear" w:color="auto" w:fill="auto"/>
            <w:vAlign w:val="center"/>
          </w:tcPr>
          <w:p w14:paraId="7B6AA6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1900</w:t>
            </w:r>
          </w:p>
        </w:tc>
        <w:tc>
          <w:tcPr>
            <w:tcW w:w="485" w:type="pct"/>
            <w:shd w:val="clear" w:color="auto" w:fill="auto"/>
            <w:vAlign w:val="center"/>
          </w:tcPr>
          <w:p w14:paraId="0D75A9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1775</w:t>
            </w:r>
          </w:p>
        </w:tc>
        <w:tc>
          <w:tcPr>
            <w:tcW w:w="256" w:type="pct"/>
            <w:shd w:val="clear" w:color="auto" w:fill="auto"/>
            <w:vAlign w:val="center"/>
          </w:tcPr>
          <w:p w14:paraId="5A45CB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340" w:type="pct"/>
            <w:shd w:val="clear" w:color="auto" w:fill="auto"/>
            <w:vAlign w:val="center"/>
          </w:tcPr>
          <w:p w14:paraId="1658FA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83" w:type="pct"/>
            <w:vMerge w:val="continue"/>
            <w:shd w:val="clear" w:color="auto" w:fill="auto"/>
            <w:vAlign w:val="center"/>
          </w:tcPr>
          <w:p w14:paraId="1419EC0F">
            <w:pPr>
              <w:pStyle w:val="38"/>
              <w:rPr>
                <w:color w:val="000000" w:themeColor="text1"/>
                <w14:textFill>
                  <w14:solidFill>
                    <w14:schemeClr w14:val="tx1"/>
                  </w14:solidFill>
                </w14:textFill>
              </w:rPr>
            </w:pPr>
          </w:p>
        </w:tc>
      </w:tr>
    </w:tbl>
    <w:p w14:paraId="09E11FA0">
      <w:pPr>
        <w:ind w:firstLine="480"/>
        <w:rPr>
          <w:color w:val="000000" w:themeColor="text1"/>
          <w14:textFill>
            <w14:solidFill>
              <w14:schemeClr w14:val="tx1"/>
            </w14:solidFill>
          </w14:textFill>
        </w:rPr>
        <w:sectPr>
          <w:headerReference r:id="rId12" w:type="default"/>
          <w:footerReference r:id="rId13" w:type="default"/>
          <w:pgSz w:w="16838" w:h="11906" w:orient="landscape"/>
          <w:pgMar w:top="1440" w:right="1803" w:bottom="1440" w:left="1803" w:header="907" w:footer="992" w:gutter="0"/>
          <w:cols w:space="425" w:num="1"/>
          <w:docGrid w:type="lines" w:linePitch="312" w:charSpace="0"/>
        </w:sectPr>
      </w:pPr>
    </w:p>
    <w:p w14:paraId="05DBDC23">
      <w:pPr>
        <w:pStyle w:val="3"/>
        <w:rPr>
          <w:color w:val="000000" w:themeColor="text1"/>
          <w14:textFill>
            <w14:solidFill>
              <w14:schemeClr w14:val="tx1"/>
            </w14:solidFill>
          </w14:textFill>
        </w:rPr>
      </w:pPr>
      <w:bookmarkStart w:id="22" w:name="_Toc14344"/>
      <w:r>
        <w:rPr>
          <w:rFonts w:hint="eastAsia"/>
          <w:color w:val="000000" w:themeColor="text1"/>
          <w14:textFill>
            <w14:solidFill>
              <w14:schemeClr w14:val="tx1"/>
            </w14:solidFill>
          </w14:textFill>
        </w:rPr>
        <w:t>1.9 评价内容及评价重点</w:t>
      </w:r>
      <w:bookmarkEnd w:id="22"/>
    </w:p>
    <w:p w14:paraId="5E98D75F">
      <w:pPr>
        <w:pStyle w:val="4"/>
        <w:rPr>
          <w:color w:val="000000" w:themeColor="text1"/>
          <w14:textFill>
            <w14:solidFill>
              <w14:schemeClr w14:val="tx1"/>
            </w14:solidFill>
          </w14:textFill>
        </w:rPr>
      </w:pPr>
      <w:bookmarkStart w:id="23" w:name="_Toc27152"/>
      <w:r>
        <w:rPr>
          <w:rFonts w:hint="eastAsia"/>
          <w:color w:val="000000" w:themeColor="text1"/>
          <w14:textFill>
            <w14:solidFill>
              <w14:schemeClr w14:val="tx1"/>
            </w14:solidFill>
          </w14:textFill>
        </w:rPr>
        <w:t>1.9.1</w:t>
      </w:r>
      <w:r>
        <w:rPr>
          <w:color w:val="000000" w:themeColor="text1"/>
          <w14:textFill>
            <w14:solidFill>
              <w14:schemeClr w14:val="tx1"/>
            </w14:solidFill>
          </w14:textFill>
        </w:rPr>
        <w:t>评价内容</w:t>
      </w:r>
      <w:bookmarkEnd w:id="23"/>
    </w:p>
    <w:p w14:paraId="288B3B3E">
      <w:pPr>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根据本项目的排污特点及所处区域的环境特征，本次评价主要工作内容有：工程分析、环境影响预测及评价、</w:t>
      </w:r>
      <w:r>
        <w:rPr>
          <w:rFonts w:hint="eastAsia"/>
          <w:color w:val="000000" w:themeColor="text1"/>
          <w14:textFill>
            <w14:solidFill>
              <w14:schemeClr w14:val="tx1"/>
            </w14:solidFill>
          </w14:textFill>
        </w:rPr>
        <w:t>环境保护措施及其可行性论证</w:t>
      </w:r>
      <w:r>
        <w:rPr>
          <w:color w:val="000000" w:themeColor="text1"/>
          <w14:textFill>
            <w14:solidFill>
              <w14:schemeClr w14:val="tx1"/>
            </w14:solidFill>
          </w14:textFill>
        </w:rPr>
        <w:t>、环境管理与环境监测计划、环境影响经济损益分析和</w:t>
      </w:r>
      <w:r>
        <w:rPr>
          <w:rFonts w:hint="eastAsia"/>
          <w:color w:val="000000" w:themeColor="text1"/>
          <w14:textFill>
            <w14:solidFill>
              <w14:schemeClr w14:val="tx1"/>
            </w14:solidFill>
          </w14:textFill>
        </w:rPr>
        <w:t>产业政策规划符合性</w:t>
      </w:r>
      <w:r>
        <w:rPr>
          <w:color w:val="000000" w:themeColor="text1"/>
          <w14:textFill>
            <w14:solidFill>
              <w14:schemeClr w14:val="tx1"/>
            </w14:solidFill>
          </w14:textFill>
        </w:rPr>
        <w:t>分析等。</w:t>
      </w:r>
    </w:p>
    <w:p w14:paraId="006C8A4D">
      <w:pPr>
        <w:pStyle w:val="4"/>
        <w:rPr>
          <w:color w:val="000000" w:themeColor="text1"/>
          <w14:textFill>
            <w14:solidFill>
              <w14:schemeClr w14:val="tx1"/>
            </w14:solidFill>
          </w14:textFill>
        </w:rPr>
      </w:pPr>
      <w:bookmarkStart w:id="24" w:name="_Toc2883"/>
      <w:r>
        <w:rPr>
          <w:color w:val="000000" w:themeColor="text1"/>
          <w14:textFill>
            <w14:solidFill>
              <w14:schemeClr w14:val="tx1"/>
            </w14:solidFill>
          </w14:textFill>
        </w:rPr>
        <w:t>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.2评价重点</w:t>
      </w:r>
      <w:bookmarkEnd w:id="24"/>
    </w:p>
    <w:p w14:paraId="5F02581B">
      <w:pPr>
        <w:ind w:firstLine="480"/>
        <w:rPr>
          <w:color w:val="000000" w:themeColor="text1"/>
          <w14:textFill>
            <w14:solidFill>
              <w14:schemeClr w14:val="tx1"/>
            </w14:solidFill>
          </w14:textFill>
        </w:rPr>
      </w:pPr>
      <w:r>
        <w:rPr>
          <w:color w:val="000000" w:themeColor="text1"/>
          <w14:textFill>
            <w14:solidFill>
              <w14:schemeClr w14:val="tx1"/>
            </w14:solidFill>
          </w14:textFill>
        </w:rPr>
        <w:t>（1）工程分析：分析项目工艺流程及产污环节，核算各污染物产生量及排放量。</w:t>
      </w:r>
    </w:p>
    <w:p w14:paraId="77FADD1F">
      <w:pPr>
        <w:ind w:firstLine="480"/>
        <w:rPr>
          <w:color w:val="000000" w:themeColor="text1"/>
          <w14:textFill>
            <w14:solidFill>
              <w14:schemeClr w14:val="tx1"/>
            </w14:solidFill>
          </w14:textFill>
        </w:rPr>
      </w:pPr>
      <w:r>
        <w:rPr>
          <w:color w:val="000000" w:themeColor="text1"/>
          <w14:textFill>
            <w14:solidFill>
              <w14:schemeClr w14:val="tx1"/>
            </w14:solidFill>
          </w14:textFill>
        </w:rPr>
        <w:t>（2）环境空气影响分析：生产过程中产生的</w:t>
      </w:r>
      <w:r>
        <w:rPr>
          <w:rFonts w:hint="eastAsia"/>
          <w:color w:val="000000" w:themeColor="text1"/>
          <w14:textFill>
            <w14:solidFill>
              <w14:schemeClr w14:val="tx1"/>
            </w14:solidFill>
          </w14:textFill>
        </w:rPr>
        <w:t>有机废气、硫化氢废气处理工艺</w:t>
      </w:r>
      <w:r>
        <w:rPr>
          <w:color w:val="000000" w:themeColor="text1"/>
          <w14:textFill>
            <w14:solidFill>
              <w14:schemeClr w14:val="tx1"/>
            </w14:solidFill>
          </w14:textFill>
        </w:rPr>
        <w:t>可行性分析及对环境空气的影响分析。</w:t>
      </w:r>
    </w:p>
    <w:p w14:paraId="6E01E758">
      <w:pPr>
        <w:ind w:firstLine="480"/>
        <w:rPr>
          <w:color w:val="000000" w:themeColor="text1"/>
          <w14:textFill>
            <w14:solidFill>
              <w14:schemeClr w14:val="tx1"/>
            </w14:solidFill>
          </w14:textFill>
        </w:rPr>
      </w:pPr>
      <w:r>
        <w:rPr>
          <w:color w:val="000000" w:themeColor="text1"/>
          <w14:textFill>
            <w14:solidFill>
              <w14:schemeClr w14:val="tx1"/>
            </w14:solidFill>
          </w14:textFill>
        </w:rPr>
        <w:t>（3）水环境影响分析：废水处理措施的可行性及其有效性，能够保证项目废水</w:t>
      </w:r>
      <w:r>
        <w:rPr>
          <w:rFonts w:hint="eastAsia"/>
          <w:color w:val="000000" w:themeColor="text1"/>
          <w14:textFill>
            <w14:solidFill>
              <w14:schemeClr w14:val="tx1"/>
            </w14:solidFill>
          </w14:textFill>
        </w:rPr>
        <w:t>达标排放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依托工程的依托设施的合规性、匹配性及相关环保责任的划分情况，非正常情况排放对市政污水处理厂的影响及控制措施分析。</w:t>
      </w:r>
    </w:p>
    <w:p w14:paraId="5A150930">
      <w:pPr>
        <w:ind w:firstLine="480"/>
        <w:rPr>
          <w:color w:val="000000" w:themeColor="text1"/>
          <w14:textFill>
            <w14:solidFill>
              <w14:schemeClr w14:val="tx1"/>
            </w14:solidFill>
          </w14:textFill>
        </w:rPr>
      </w:pPr>
      <w:r>
        <w:rPr>
          <w:color w:val="000000" w:themeColor="text1"/>
          <w14:textFill>
            <w14:solidFill>
              <w14:schemeClr w14:val="tx1"/>
            </w14:solidFill>
          </w14:textFill>
        </w:rPr>
        <w:t>（4）固体废物处置：运营过程中产生的危险废物贮存、处置、去向合理性及对外环境的影响分析。</w:t>
      </w:r>
    </w:p>
    <w:p w14:paraId="740E57C4">
      <w:pPr>
        <w:ind w:firstLine="480"/>
        <w:rPr>
          <w:color w:val="000000" w:themeColor="text1"/>
          <w14:textFill>
            <w14:solidFill>
              <w14:schemeClr w14:val="tx1"/>
            </w14:solidFill>
          </w14:textFill>
        </w:rPr>
      </w:pPr>
      <w:r>
        <w:rPr>
          <w:color w:val="000000" w:themeColor="text1"/>
          <w14:textFill>
            <w14:solidFill>
              <w14:schemeClr w14:val="tx1"/>
            </w14:solidFill>
          </w14:textFill>
        </w:rPr>
        <w:t>（5）土壤境影响分析：项目运行过程中对土壤环境的影响分析。</w:t>
      </w:r>
    </w:p>
    <w:p w14:paraId="6549F888">
      <w:pPr>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环境风险分析：风险物质泄漏对区域环境的影响，并提出风险事故防范措施和应急预案</w:t>
      </w:r>
      <w:r>
        <w:rPr>
          <w:color w:val="000000" w:themeColor="text1"/>
          <w14:textFill>
            <w14:solidFill>
              <w14:schemeClr w14:val="tx1"/>
            </w14:solidFill>
          </w14:textFill>
        </w:rPr>
        <w:t>。</w:t>
      </w:r>
    </w:p>
    <w:p w14:paraId="61D05CD6">
      <w:pPr>
        <w:pStyle w:val="3"/>
        <w:rPr>
          <w:color w:val="000000" w:themeColor="text1"/>
          <w14:textFill>
            <w14:solidFill>
              <w14:schemeClr w14:val="tx1"/>
            </w14:solidFill>
          </w14:textFill>
        </w:rPr>
      </w:pPr>
      <w:bookmarkStart w:id="25" w:name="_Toc26747"/>
      <w:r>
        <w:rPr>
          <w:rFonts w:hint="eastAsia"/>
          <w:color w:val="000000" w:themeColor="text1"/>
          <w14:textFill>
            <w14:solidFill>
              <w14:schemeClr w14:val="tx1"/>
            </w14:solidFill>
          </w14:textFill>
        </w:rPr>
        <w:t>1.10 评价方法及评价工作程序</w:t>
      </w:r>
      <w:bookmarkEnd w:id="25"/>
    </w:p>
    <w:p w14:paraId="11865902">
      <w:pPr>
        <w:pStyle w:val="4"/>
        <w:rPr>
          <w:color w:val="000000" w:themeColor="text1"/>
          <w14:textFill>
            <w14:solidFill>
              <w14:schemeClr w14:val="tx1"/>
            </w14:solidFill>
          </w14:textFill>
        </w:rPr>
      </w:pPr>
      <w:bookmarkStart w:id="26" w:name="_Toc6731"/>
      <w:r>
        <w:rPr>
          <w:rFonts w:hint="eastAsia"/>
          <w:color w:val="000000" w:themeColor="text1"/>
          <w14:textFill>
            <w14:solidFill>
              <w14:schemeClr w14:val="tx1"/>
            </w14:solidFill>
          </w14:textFill>
        </w:rPr>
        <w:t>1.10.1评价方法</w:t>
      </w:r>
      <w:bookmarkEnd w:id="26"/>
    </w:p>
    <w:p w14:paraId="6A115E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对建设项目的污染源及污染物进行调查，核实废气、废水、噪声、固废等污染物的排放量和排放方式，并用物料衡算法，分析类比法和模式预测法完成项目的环境影响评价工作。</w:t>
      </w:r>
    </w:p>
    <w:p w14:paraId="375D2DC9">
      <w:pPr>
        <w:pStyle w:val="4"/>
        <w:rPr>
          <w:color w:val="000000" w:themeColor="text1"/>
          <w14:textFill>
            <w14:solidFill>
              <w14:schemeClr w14:val="tx1"/>
            </w14:solidFill>
          </w14:textFill>
        </w:rPr>
      </w:pPr>
      <w:bookmarkStart w:id="27" w:name="_Toc17568"/>
      <w:r>
        <w:rPr>
          <w:rFonts w:hint="eastAsia"/>
          <w:color w:val="000000" w:themeColor="text1"/>
          <w14:textFill>
            <w14:solidFill>
              <w14:schemeClr w14:val="tx1"/>
            </w14:solidFill>
          </w14:textFill>
        </w:rPr>
        <w:t>1.10.2评价工作程序</w:t>
      </w:r>
      <w:bookmarkEnd w:id="27"/>
    </w:p>
    <w:p w14:paraId="0CB24D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环境影响评价工作可分为三个阶段。第一阶段为准备阶段，接受业主委托，收集相关项目文件和环保法规，进行初步调查和工程分析，编制工作大纲；第二阶段为正式工作阶段，进行详细的现场考察、工程分析、环境影响预测和评价；第三阶段为报告书编制阶段，制定环境影响减免措施、监测计划及管理计划，得出环境影响评价总结论，并在以上工作的基础上编制总报告。环境影响评价工作程序见下图</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F4EBE5B">
      <w:pPr>
        <w:pStyle w:val="2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74235" cy="6259830"/>
            <wp:effectExtent l="0" t="0" r="12065" b="762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0"/>
                    <a:stretch>
                      <a:fillRect/>
                    </a:stretch>
                  </pic:blipFill>
                  <pic:spPr>
                    <a:xfrm>
                      <a:off x="0" y="0"/>
                      <a:ext cx="4674235" cy="6259830"/>
                    </a:xfrm>
                    <a:prstGeom prst="rect">
                      <a:avLst/>
                    </a:prstGeom>
                    <a:noFill/>
                    <a:ln>
                      <a:noFill/>
                    </a:ln>
                  </pic:spPr>
                </pic:pic>
              </a:graphicData>
            </a:graphic>
          </wp:inline>
        </w:drawing>
      </w:r>
    </w:p>
    <w:p w14:paraId="7AE96D2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环境影响评价工作程序图</w:t>
      </w:r>
    </w:p>
    <w:p w14:paraId="680DE8BB">
      <w:pPr>
        <w:pStyle w:val="2"/>
        <w:rPr>
          <w:color w:val="000000" w:themeColor="text1"/>
          <w14:textFill>
            <w14:solidFill>
              <w14:schemeClr w14:val="tx1"/>
            </w14:solidFill>
          </w14:textFill>
        </w:rPr>
      </w:pPr>
      <w:bookmarkStart w:id="28" w:name="_Toc29124"/>
      <w:r>
        <w:rPr>
          <w:rFonts w:hint="eastAsia"/>
          <w:color w:val="000000" w:themeColor="text1"/>
          <w14:textFill>
            <w14:solidFill>
              <w14:schemeClr w14:val="tx1"/>
            </w14:solidFill>
          </w14:textFill>
        </w:rPr>
        <w:t>2、项目概况</w:t>
      </w:r>
      <w:bookmarkEnd w:id="28"/>
    </w:p>
    <w:p w14:paraId="78A62D2A">
      <w:pPr>
        <w:pStyle w:val="3"/>
        <w:rPr>
          <w:color w:val="000000" w:themeColor="text1"/>
          <w14:textFill>
            <w14:solidFill>
              <w14:schemeClr w14:val="tx1"/>
            </w14:solidFill>
          </w14:textFill>
        </w:rPr>
      </w:pPr>
      <w:bookmarkStart w:id="29" w:name="_Toc25503"/>
      <w:r>
        <w:rPr>
          <w:rFonts w:hint="eastAsia"/>
          <w:color w:val="000000" w:themeColor="text1"/>
          <w14:textFill>
            <w14:solidFill>
              <w14:schemeClr w14:val="tx1"/>
            </w14:solidFill>
          </w14:textFill>
        </w:rPr>
        <w:t>2.1 项目概况</w:t>
      </w:r>
      <w:bookmarkEnd w:id="29"/>
    </w:p>
    <w:p w14:paraId="1A1F9F4B">
      <w:pPr>
        <w:pStyle w:val="4"/>
        <w:rPr>
          <w:color w:val="000000" w:themeColor="text1"/>
          <w14:textFill>
            <w14:solidFill>
              <w14:schemeClr w14:val="tx1"/>
            </w14:solidFill>
          </w14:textFill>
        </w:rPr>
      </w:pPr>
      <w:bookmarkStart w:id="30" w:name="_Toc26926"/>
      <w:r>
        <w:rPr>
          <w:rFonts w:hint="eastAsia"/>
          <w:color w:val="000000" w:themeColor="text1"/>
          <w14:textFill>
            <w14:solidFill>
              <w14:schemeClr w14:val="tx1"/>
            </w14:solidFill>
          </w14:textFill>
        </w:rPr>
        <w:t>2.1.1基本情况</w:t>
      </w:r>
      <w:bookmarkEnd w:id="30"/>
    </w:p>
    <w:p w14:paraId="4A2EBD9D">
      <w:pPr>
        <w:ind w:firstLine="482"/>
        <w:rPr>
          <w:color w:val="000000" w:themeColor="text1"/>
          <w14:textFill>
            <w14:solidFill>
              <w14:schemeClr w14:val="tx1"/>
            </w14:solidFill>
          </w14:textFill>
        </w:rPr>
      </w:pPr>
      <w:r>
        <w:rPr>
          <w:b/>
          <w:bCs/>
          <w:color w:val="000000" w:themeColor="text1"/>
          <w14:textFill>
            <w14:solidFill>
              <w14:schemeClr w14:val="tx1"/>
            </w14:solidFill>
          </w14:textFill>
        </w:rPr>
        <w:t>项目名称：</w:t>
      </w:r>
      <w:r>
        <w:rPr>
          <w:rFonts w:hint="eastAsia"/>
          <w:color w:val="000000" w:themeColor="text1"/>
          <w14:textFill>
            <w14:solidFill>
              <w14:schemeClr w14:val="tx1"/>
            </w14:solidFill>
          </w14:textFill>
        </w:rPr>
        <w:t>硫化物固态电解质材料生产项目（一期）</w:t>
      </w:r>
    </w:p>
    <w:p w14:paraId="7E2D00CE">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建设性质：</w:t>
      </w:r>
      <w:r>
        <w:rPr>
          <w:rFonts w:hint="eastAsia"/>
          <w:color w:val="000000" w:themeColor="text1"/>
          <w14:textFill>
            <w14:solidFill>
              <w14:schemeClr w14:val="tx1"/>
            </w14:solidFill>
          </w14:textFill>
        </w:rPr>
        <w:t>新建</w:t>
      </w:r>
    </w:p>
    <w:p w14:paraId="1F84D7B3">
      <w:pPr>
        <w:ind w:firstLine="482"/>
        <w:rPr>
          <w:color w:val="000000" w:themeColor="text1"/>
          <w14:textFill>
            <w14:solidFill>
              <w14:schemeClr w14:val="tx1"/>
            </w14:solidFill>
          </w14:textFill>
        </w:rPr>
      </w:pPr>
      <w:r>
        <w:rPr>
          <w:b/>
          <w:bCs/>
          <w:color w:val="000000" w:themeColor="text1"/>
          <w14:textFill>
            <w14:solidFill>
              <w14:schemeClr w14:val="tx1"/>
            </w14:solidFill>
          </w14:textFill>
        </w:rPr>
        <w:t>行业类别</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三十六、计算机、通信和其他电子设备制造业</w:t>
      </w:r>
    </w:p>
    <w:p w14:paraId="4653A10E">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国民经济行业类别：</w:t>
      </w:r>
      <w:r>
        <w:rPr>
          <w:rFonts w:hint="eastAsia"/>
          <w:color w:val="000000" w:themeColor="text1"/>
          <w14:textFill>
            <w14:solidFill>
              <w14:schemeClr w14:val="tx1"/>
            </w14:solidFill>
          </w14:textFill>
        </w:rPr>
        <w:t>C3985电子专用材料制造</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p w14:paraId="11566450">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建设单位：</w:t>
      </w:r>
      <w:r>
        <w:rPr>
          <w:rFonts w:hint="eastAsia"/>
          <w:color w:val="000000" w:themeColor="text1"/>
          <w14:textFill>
            <w14:solidFill>
              <w14:schemeClr w14:val="tx1"/>
            </w14:solidFill>
          </w14:textFill>
        </w:rPr>
        <w:t>玉溪恩捷前沿新材料科技有限公司</w:t>
      </w:r>
    </w:p>
    <w:p w14:paraId="3A531CD1">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建设地点：</w:t>
      </w:r>
      <w:r>
        <w:rPr>
          <w:rFonts w:hint="eastAsia"/>
          <w:color w:val="000000" w:themeColor="text1"/>
          <w14:textFill>
            <w14:solidFill>
              <w14:schemeClr w14:val="tx1"/>
            </w14:solidFill>
          </w14:textFill>
        </w:rPr>
        <w:t>玉溪高新区九龙片区</w:t>
      </w:r>
    </w:p>
    <w:p w14:paraId="218549E8">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占地面积</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2250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p>
    <w:p w14:paraId="117103CE">
      <w:pPr>
        <w:ind w:firstLine="482"/>
        <w:rPr>
          <w:color w:val="000000" w:themeColor="text1"/>
          <w14:textFill>
            <w14:solidFill>
              <w14:schemeClr w14:val="tx1"/>
            </w14:solidFill>
          </w14:textFill>
        </w:rPr>
      </w:pPr>
      <w:r>
        <w:rPr>
          <w:b/>
          <w:bCs/>
          <w:color w:val="000000" w:themeColor="text1"/>
          <w14:textFill>
            <w14:solidFill>
              <w14:schemeClr w14:val="tx1"/>
            </w14:solidFill>
          </w14:textFill>
        </w:rPr>
        <w:t>项目总投资：</w:t>
      </w:r>
      <w:r>
        <w:rPr>
          <w:rFonts w:hint="eastAsia"/>
          <w:color w:val="000000" w:themeColor="text1"/>
          <w14:textFill>
            <w14:solidFill>
              <w14:schemeClr w14:val="tx1"/>
            </w14:solidFill>
          </w14:textFill>
        </w:rPr>
        <w:t>2000</w:t>
      </w:r>
      <w:r>
        <w:rPr>
          <w:color w:val="000000" w:themeColor="text1"/>
          <w14:textFill>
            <w14:solidFill>
              <w14:schemeClr w14:val="tx1"/>
            </w14:solidFill>
          </w14:textFill>
        </w:rPr>
        <w:t>万元</w:t>
      </w:r>
    </w:p>
    <w:p w14:paraId="37ABA3FE">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建设规模：</w:t>
      </w:r>
      <w:r>
        <w:rPr>
          <w:rFonts w:hint="eastAsia"/>
          <w:color w:val="000000" w:themeColor="text1"/>
          <w14:textFill>
            <w14:solidFill>
              <w14:schemeClr w14:val="tx1"/>
            </w14:solidFill>
          </w14:textFill>
        </w:rPr>
        <w:t>年产10吨硫化物固态电解质</w:t>
      </w:r>
    </w:p>
    <w:p w14:paraId="4EBF1CEA">
      <w:pPr>
        <w:pStyle w:val="4"/>
        <w:rPr>
          <w:color w:val="000000" w:themeColor="text1"/>
          <w14:textFill>
            <w14:solidFill>
              <w14:schemeClr w14:val="tx1"/>
            </w14:solidFill>
          </w14:textFill>
        </w:rPr>
      </w:pPr>
      <w:bookmarkStart w:id="31" w:name="_Toc12878"/>
      <w:r>
        <w:rPr>
          <w:rFonts w:hint="eastAsia"/>
          <w:color w:val="000000" w:themeColor="text1"/>
          <w14:textFill>
            <w14:solidFill>
              <w14:schemeClr w14:val="tx1"/>
            </w14:solidFill>
          </w14:textFill>
        </w:rPr>
        <w:t>2.1.2 地理位置及交通</w:t>
      </w:r>
      <w:bookmarkEnd w:id="31"/>
    </w:p>
    <w:p w14:paraId="14C52E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技术产业开发区核心区九龙地块，项目中心地理坐标为东经102°48′56.736″，北纬24°19′7.450″。北面春明路，西面八纬路，春明路紧邻春祥路，交通十分便利。项目区往南通向红塔区，距离城区约8km，地理位置优越。</w:t>
      </w:r>
    </w:p>
    <w:p w14:paraId="6B93CB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项目区地理位置图详见附图2.1-1，外环境关系图详见附图2.1-2。</w:t>
      </w:r>
    </w:p>
    <w:p w14:paraId="1FFCFDD0">
      <w:pPr>
        <w:pStyle w:val="4"/>
        <w:rPr>
          <w:color w:val="000000" w:themeColor="text1"/>
          <w14:textFill>
            <w14:solidFill>
              <w14:schemeClr w14:val="tx1"/>
            </w14:solidFill>
          </w14:textFill>
        </w:rPr>
      </w:pPr>
      <w:bookmarkStart w:id="32" w:name="_Toc18423"/>
      <w:r>
        <w:rPr>
          <w:rFonts w:hint="eastAsia"/>
          <w:color w:val="000000" w:themeColor="text1"/>
          <w14:textFill>
            <w14:solidFill>
              <w14:schemeClr w14:val="tx1"/>
            </w14:solidFill>
          </w14:textFill>
        </w:rPr>
        <w:t>2.1.3 建设内容</w:t>
      </w:r>
      <w:bookmarkEnd w:id="32"/>
    </w:p>
    <w:p w14:paraId="47A1E5B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租用云南捷辰包装材料有限公司已建成的生产厂房进行生产线建设，租用厂房分为主体厂房和辅助厂房，</w:t>
      </w:r>
      <w:r>
        <w:rPr>
          <w:rFonts w:hint="eastAsia"/>
          <w:color w:val="000000" w:themeColor="text1"/>
          <w14:textFill>
            <w14:solidFill>
              <w14:schemeClr w14:val="tx1"/>
            </w14:solidFill>
          </w14:textFill>
        </w:rPr>
        <w:t>租用总面积为2250m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，其中，主体厂房租用面积为1231m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，厂房内设置1个封闭生产车间，占地面积为349m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，车间内部主要设置混料车间、烧结车间、研磨干燥车间，辅助厂房面积1019m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w:t>
      </w:r>
      <w:r>
        <w:rPr>
          <w:rFonts w:hint="eastAsia" w:cs="Times New Roman"/>
          <w:color w:val="000000" w:themeColor="text1"/>
          <w14:textFill>
            <w14:solidFill>
              <w14:schemeClr w14:val="tx1"/>
            </w14:solidFill>
          </w14:textFill>
        </w:rPr>
        <w:t>设置原料暂存间、球磨房、除湿机房、清洗间、备品备件库及机修间、办公区、卫生间等</w:t>
      </w:r>
      <w:r>
        <w:rPr>
          <w:rFonts w:cs="Times New Roman"/>
          <w:color w:val="000000" w:themeColor="text1"/>
          <w14:textFill>
            <w14:solidFill>
              <w14:schemeClr w14:val="tx1"/>
            </w14:solidFill>
          </w14:textFill>
        </w:rPr>
        <w:t>。项目主要建设内容</w:t>
      </w:r>
      <w:r>
        <w:rPr>
          <w:rFonts w:hint="eastAsia" w:cs="Times New Roman"/>
          <w:color w:val="000000" w:themeColor="text1"/>
          <w14:textFill>
            <w14:solidFill>
              <w14:schemeClr w14:val="tx1"/>
            </w14:solidFill>
          </w14:textFill>
        </w:rPr>
        <w:t>见下表</w:t>
      </w:r>
      <w:r>
        <w:rPr>
          <w:rFonts w:cs="Times New Roman"/>
          <w:color w:val="000000" w:themeColor="text1"/>
          <w14:textFill>
            <w14:solidFill>
              <w14:schemeClr w14:val="tx1"/>
            </w14:solidFill>
          </w14:textFill>
        </w:rPr>
        <w:t>。</w:t>
      </w:r>
    </w:p>
    <w:p w14:paraId="568DEF08">
      <w:pPr>
        <w:spacing w:line="240" w:lineRule="auto"/>
        <w:ind w:firstLine="0" w:firstLineChars="0"/>
        <w:jc w:val="center"/>
        <w:rPr>
          <w:rFonts w:cs="Times New Roman"/>
          <w:b/>
          <w:bCs/>
          <w:color w:val="000000" w:themeColor="text1"/>
          <w:sz w:val="21"/>
          <w:szCs w:val="21"/>
          <w14:textFill>
            <w14:solidFill>
              <w14:schemeClr w14:val="tx1"/>
            </w14:solidFill>
          </w14:textFill>
        </w:rPr>
      </w:pPr>
    </w:p>
    <w:p w14:paraId="119726E6">
      <w:pPr>
        <w:spacing w:line="240" w:lineRule="auto"/>
        <w:ind w:firstLine="0" w:firstLineChars="0"/>
        <w:jc w:val="center"/>
        <w:rPr>
          <w:rFonts w:cs="Times New Roman"/>
          <w:b/>
          <w:bCs/>
          <w:color w:val="000000" w:themeColor="text1"/>
          <w:sz w:val="21"/>
          <w:szCs w:val="21"/>
          <w14:textFill>
            <w14:solidFill>
              <w14:schemeClr w14:val="tx1"/>
            </w14:solidFill>
          </w14:textFill>
        </w:rPr>
      </w:pPr>
    </w:p>
    <w:p w14:paraId="791DEB1F">
      <w:pPr>
        <w:spacing w:line="240" w:lineRule="auto"/>
        <w:ind w:firstLine="0" w:firstLineChars="0"/>
        <w:jc w:val="center"/>
        <w:rPr>
          <w:rFonts w:cs="Times New Roman"/>
          <w:b/>
          <w:bCs/>
          <w:color w:val="000000" w:themeColor="text1"/>
          <w:sz w:val="21"/>
          <w:szCs w:val="21"/>
          <w14:textFill>
            <w14:solidFill>
              <w14:schemeClr w14:val="tx1"/>
            </w14:solidFill>
          </w14:textFill>
        </w:rPr>
      </w:pPr>
    </w:p>
    <w:p w14:paraId="6FF4BEBB">
      <w:pPr>
        <w:spacing w:line="240" w:lineRule="auto"/>
        <w:ind w:firstLine="0" w:firstLineChars="0"/>
        <w:jc w:val="center"/>
        <w:rPr>
          <w:rFonts w:cs="Times New Roman"/>
          <w:b/>
          <w:bCs/>
          <w:color w:val="000000" w:themeColor="text1"/>
          <w:sz w:val="21"/>
          <w:szCs w:val="21"/>
          <w14:textFill>
            <w14:solidFill>
              <w14:schemeClr w14:val="tx1"/>
            </w14:solidFill>
          </w14:textFill>
        </w:rPr>
      </w:pPr>
    </w:p>
    <w:p w14:paraId="28F6461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表2</w:t>
      </w:r>
      <w:r>
        <w:rPr>
          <w:rFonts w:hint="eastAsia" w:cs="Times New Roman"/>
          <w:b/>
          <w:bCs/>
          <w:color w:val="000000" w:themeColor="text1"/>
          <w:sz w:val="21"/>
          <w:szCs w:val="21"/>
          <w14:textFill>
            <w14:solidFill>
              <w14:schemeClr w14:val="tx1"/>
            </w14:solidFill>
          </w14:textFill>
        </w:rPr>
        <w:t>.1</w:t>
      </w:r>
      <w:r>
        <w:rPr>
          <w:rFonts w:cs="Times New Roman"/>
          <w:b/>
          <w:bCs/>
          <w:color w:val="000000" w:themeColor="text1"/>
          <w:sz w:val="21"/>
          <w:szCs w:val="21"/>
          <w14:textFill>
            <w14:solidFill>
              <w14:schemeClr w14:val="tx1"/>
            </w14:solidFill>
          </w14:textFill>
        </w:rPr>
        <w:t>-1 项目主要建设内容一览表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74"/>
        <w:gridCol w:w="1329"/>
        <w:gridCol w:w="4672"/>
        <w:gridCol w:w="1270"/>
      </w:tblGrid>
      <w:tr w14:paraId="69CD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14:paraId="0AEBCB6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工程内容</w:t>
            </w:r>
          </w:p>
        </w:tc>
        <w:tc>
          <w:tcPr>
            <w:tcW w:w="1058" w:type="pct"/>
            <w:gridSpan w:val="2"/>
            <w:vAlign w:val="center"/>
          </w:tcPr>
          <w:p w14:paraId="12E8041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名称</w:t>
            </w:r>
          </w:p>
        </w:tc>
        <w:tc>
          <w:tcPr>
            <w:tcW w:w="2739" w:type="pct"/>
            <w:vAlign w:val="center"/>
          </w:tcPr>
          <w:p w14:paraId="69F1CA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规模及内容</w:t>
            </w:r>
          </w:p>
        </w:tc>
        <w:tc>
          <w:tcPr>
            <w:tcW w:w="745" w:type="pct"/>
            <w:vAlign w:val="center"/>
          </w:tcPr>
          <w:p w14:paraId="2E1316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备注</w:t>
            </w:r>
          </w:p>
        </w:tc>
      </w:tr>
      <w:tr w14:paraId="3BE4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vAlign w:val="center"/>
          </w:tcPr>
          <w:p w14:paraId="6672EE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主体工程</w:t>
            </w:r>
          </w:p>
        </w:tc>
        <w:tc>
          <w:tcPr>
            <w:tcW w:w="1058" w:type="pct"/>
            <w:gridSpan w:val="2"/>
            <w:shd w:val="clear" w:color="auto" w:fill="auto"/>
            <w:vAlign w:val="center"/>
          </w:tcPr>
          <w:p w14:paraId="623029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混料车间</w:t>
            </w:r>
          </w:p>
        </w:tc>
        <w:tc>
          <w:tcPr>
            <w:tcW w:w="2739" w:type="pct"/>
            <w:shd w:val="clear" w:color="auto" w:fill="auto"/>
            <w:vAlign w:val="center"/>
          </w:tcPr>
          <w:p w14:paraId="6CC25A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1个，占地面积约193m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，主要是设置高混机、滚筒磨、气流磨、旋轮磨、空压机、手套箱、包装机</w:t>
            </w:r>
          </w:p>
        </w:tc>
        <w:tc>
          <w:tcPr>
            <w:tcW w:w="745" w:type="pct"/>
            <w:shd w:val="clear" w:color="auto" w:fill="auto"/>
            <w:vAlign w:val="center"/>
          </w:tcPr>
          <w:p w14:paraId="5F8A66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023C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6189D3A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shd w:val="clear" w:color="auto" w:fill="auto"/>
            <w:vAlign w:val="center"/>
          </w:tcPr>
          <w:p w14:paraId="7F895B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烧结车间</w:t>
            </w:r>
          </w:p>
        </w:tc>
        <w:tc>
          <w:tcPr>
            <w:tcW w:w="2739" w:type="pct"/>
            <w:shd w:val="clear" w:color="auto" w:fill="auto"/>
            <w:vAlign w:val="center"/>
          </w:tcPr>
          <w:p w14:paraId="5391A36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1个，占地面积约86m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，主要是设置箱式炉</w:t>
            </w:r>
          </w:p>
        </w:tc>
        <w:tc>
          <w:tcPr>
            <w:tcW w:w="745" w:type="pct"/>
            <w:shd w:val="clear" w:color="auto" w:fill="auto"/>
            <w:vAlign w:val="center"/>
          </w:tcPr>
          <w:p w14:paraId="641050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364A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07CF3A7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shd w:val="clear" w:color="auto" w:fill="auto"/>
            <w:vAlign w:val="center"/>
          </w:tcPr>
          <w:p w14:paraId="3402C2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研磨干燥车间</w:t>
            </w:r>
          </w:p>
        </w:tc>
        <w:tc>
          <w:tcPr>
            <w:tcW w:w="2739" w:type="pct"/>
            <w:vAlign w:val="center"/>
          </w:tcPr>
          <w:p w14:paraId="68DDDF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1个，占地面积约70m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，分为两层，一层主要是设置真空干燥机、离心机、气流磨、砂磨机、吸附式干燥机、空压机，二层主要是设置耙式干燥机</w:t>
            </w:r>
          </w:p>
        </w:tc>
        <w:tc>
          <w:tcPr>
            <w:tcW w:w="745" w:type="pct"/>
            <w:vAlign w:val="center"/>
          </w:tcPr>
          <w:p w14:paraId="5864E6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519F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291373C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shd w:val="clear" w:color="auto" w:fill="auto"/>
            <w:vAlign w:val="center"/>
          </w:tcPr>
          <w:p w14:paraId="6A4DF3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球磨房</w:t>
            </w:r>
          </w:p>
        </w:tc>
        <w:tc>
          <w:tcPr>
            <w:tcW w:w="2739" w:type="pct"/>
            <w:shd w:val="clear" w:color="auto" w:fill="auto"/>
            <w:vAlign w:val="center"/>
          </w:tcPr>
          <w:p w14:paraId="4B8593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1个，占地面积约65m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，主要是进行产品测试，设置全方位行星球磨机、全方位球磨机</w:t>
            </w:r>
          </w:p>
        </w:tc>
        <w:tc>
          <w:tcPr>
            <w:tcW w:w="745" w:type="pct"/>
            <w:shd w:val="clear" w:color="auto" w:fill="auto"/>
            <w:vAlign w:val="center"/>
          </w:tcPr>
          <w:p w14:paraId="5B4233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4F4A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vAlign w:val="center"/>
          </w:tcPr>
          <w:p w14:paraId="7D9A06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储运工程</w:t>
            </w:r>
          </w:p>
        </w:tc>
        <w:tc>
          <w:tcPr>
            <w:tcW w:w="1058" w:type="pct"/>
            <w:gridSpan w:val="2"/>
            <w:shd w:val="clear" w:color="auto" w:fill="auto"/>
            <w:vAlign w:val="center"/>
          </w:tcPr>
          <w:p w14:paraId="1903F1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原料暂存间</w:t>
            </w:r>
          </w:p>
        </w:tc>
        <w:tc>
          <w:tcPr>
            <w:tcW w:w="2739" w:type="pct"/>
            <w:shd w:val="clear" w:color="auto" w:fill="auto"/>
            <w:vAlign w:val="center"/>
          </w:tcPr>
          <w:p w14:paraId="4764793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1个，占地面积约60m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，用于原料暂存。有机溶剂采用不锈钢托盘进行盛放。</w:t>
            </w:r>
          </w:p>
        </w:tc>
        <w:tc>
          <w:tcPr>
            <w:tcW w:w="745" w:type="pct"/>
            <w:shd w:val="clear" w:color="auto" w:fill="auto"/>
            <w:vAlign w:val="center"/>
          </w:tcPr>
          <w:p w14:paraId="10D142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0601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790C4D4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67FDBE9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液氮储罐</w:t>
            </w:r>
          </w:p>
        </w:tc>
        <w:tc>
          <w:tcPr>
            <w:tcW w:w="2739" w:type="pct"/>
            <w:vAlign w:val="center"/>
          </w:tcPr>
          <w:p w14:paraId="0C847A7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1个，容积为35m</w:t>
            </w:r>
            <w:r>
              <w:rPr>
                <w:rFonts w:hint="eastAsia" w:cs="Times New Roman"/>
                <w:color w:val="000000" w:themeColor="text1"/>
                <w:sz w:val="21"/>
                <w:szCs w:val="21"/>
                <w:vertAlign w:val="superscript"/>
                <w14:textFill>
                  <w14:solidFill>
                    <w14:schemeClr w14:val="tx1"/>
                  </w14:solidFill>
                </w14:textFill>
              </w:rPr>
              <w:t>3</w:t>
            </w:r>
          </w:p>
        </w:tc>
        <w:tc>
          <w:tcPr>
            <w:tcW w:w="745" w:type="pct"/>
            <w:vAlign w:val="center"/>
          </w:tcPr>
          <w:p w14:paraId="47630E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新建</w:t>
            </w:r>
          </w:p>
        </w:tc>
      </w:tr>
      <w:tr w14:paraId="7705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0EC8495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34B149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成品库</w:t>
            </w:r>
          </w:p>
        </w:tc>
        <w:tc>
          <w:tcPr>
            <w:tcW w:w="2739" w:type="pct"/>
            <w:vAlign w:val="center"/>
          </w:tcPr>
          <w:p w14:paraId="10597E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1个，占地面积约270m</w:t>
            </w:r>
            <w:r>
              <w:rPr>
                <w:rFonts w:hint="eastAsia" w:cs="Times New Roman"/>
                <w:color w:val="000000" w:themeColor="text1"/>
                <w:sz w:val="21"/>
                <w:szCs w:val="21"/>
                <w:vertAlign w:val="superscript"/>
                <w14:textFill>
                  <w14:solidFill>
                    <w14:schemeClr w14:val="tx1"/>
                  </w14:solidFill>
                </w14:textFill>
              </w:rPr>
              <w:t>2</w:t>
            </w:r>
          </w:p>
        </w:tc>
        <w:tc>
          <w:tcPr>
            <w:tcW w:w="745" w:type="pct"/>
            <w:vAlign w:val="center"/>
          </w:tcPr>
          <w:p w14:paraId="5DFF3A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6646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vAlign w:val="center"/>
          </w:tcPr>
          <w:p w14:paraId="52341D0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辅助工程</w:t>
            </w:r>
          </w:p>
        </w:tc>
        <w:tc>
          <w:tcPr>
            <w:tcW w:w="1058" w:type="pct"/>
            <w:gridSpan w:val="2"/>
            <w:vAlign w:val="center"/>
          </w:tcPr>
          <w:p w14:paraId="344A7B2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检验室</w:t>
            </w:r>
          </w:p>
        </w:tc>
        <w:tc>
          <w:tcPr>
            <w:tcW w:w="2739" w:type="pct"/>
            <w:vAlign w:val="center"/>
          </w:tcPr>
          <w:p w14:paraId="28631FF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1个，占地面积约11m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，设置于混料车间内，主要是对产品进行电流阻抗分析、激光粒度测试，产品激光粒度测试用到99.9%环戊己甲醚</w:t>
            </w:r>
          </w:p>
        </w:tc>
        <w:tc>
          <w:tcPr>
            <w:tcW w:w="745" w:type="pct"/>
            <w:vAlign w:val="center"/>
          </w:tcPr>
          <w:p w14:paraId="71AA80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3036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6E39285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21CDC0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理化间</w:t>
            </w:r>
          </w:p>
        </w:tc>
        <w:tc>
          <w:tcPr>
            <w:tcW w:w="2739" w:type="pct"/>
            <w:vAlign w:val="center"/>
          </w:tcPr>
          <w:p w14:paraId="6D66F2F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1个，占地面积约30m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，位于原料暂存间内，用于原料配比</w:t>
            </w:r>
          </w:p>
        </w:tc>
        <w:tc>
          <w:tcPr>
            <w:tcW w:w="745" w:type="pct"/>
            <w:vAlign w:val="center"/>
          </w:tcPr>
          <w:p w14:paraId="20BB1A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12F6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799A557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30CD96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除湿机房</w:t>
            </w:r>
          </w:p>
        </w:tc>
        <w:tc>
          <w:tcPr>
            <w:tcW w:w="2739" w:type="pct"/>
            <w:vAlign w:val="center"/>
          </w:tcPr>
          <w:p w14:paraId="5A2268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1个，占地面积约128m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，内置除湿机组，对车间内进行除湿</w:t>
            </w:r>
          </w:p>
        </w:tc>
        <w:tc>
          <w:tcPr>
            <w:tcW w:w="745" w:type="pct"/>
            <w:vAlign w:val="center"/>
          </w:tcPr>
          <w:p w14:paraId="6A35D24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7E32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0242723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4A235A7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清洗间</w:t>
            </w:r>
          </w:p>
        </w:tc>
        <w:tc>
          <w:tcPr>
            <w:tcW w:w="2739" w:type="pct"/>
            <w:vAlign w:val="center"/>
          </w:tcPr>
          <w:p w14:paraId="4951E4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1个，占地面积约48m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，测试器具清洗，内设纯水机组、清洗台、通风橱</w:t>
            </w:r>
          </w:p>
        </w:tc>
        <w:tc>
          <w:tcPr>
            <w:tcW w:w="745" w:type="pct"/>
            <w:vAlign w:val="center"/>
          </w:tcPr>
          <w:p w14:paraId="24E88FF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004D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60BD4DB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595A6C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污水处理间</w:t>
            </w:r>
          </w:p>
        </w:tc>
        <w:tc>
          <w:tcPr>
            <w:tcW w:w="2739" w:type="pct"/>
            <w:vAlign w:val="center"/>
          </w:tcPr>
          <w:p w14:paraId="7D1449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1个，占地面积约12m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，设置一体化污水处理设备，</w:t>
            </w:r>
            <w:r>
              <w:rPr>
                <w:rStyle w:val="29"/>
                <w:rFonts w:hint="eastAsia"/>
                <w:color w:val="000000" w:themeColor="text1"/>
                <w14:textFill>
                  <w14:solidFill>
                    <w14:schemeClr w14:val="tx1"/>
                  </w14:solidFill>
                </w14:textFill>
              </w:rPr>
              <w:t>处理能力为1m</w:t>
            </w:r>
            <w:r>
              <w:rPr>
                <w:rStyle w:val="29"/>
                <w:rFonts w:hint="eastAsia"/>
                <w:color w:val="000000" w:themeColor="text1"/>
                <w:vertAlign w:val="superscript"/>
                <w14:textFill>
                  <w14:solidFill>
                    <w14:schemeClr w14:val="tx1"/>
                  </w14:solidFill>
                </w14:textFill>
              </w:rPr>
              <w:t>3</w:t>
            </w:r>
            <w:r>
              <w:rPr>
                <w:rStyle w:val="29"/>
                <w:rFonts w:hint="eastAsia"/>
                <w:color w:val="000000" w:themeColor="text1"/>
                <w14:textFill>
                  <w14:solidFill>
                    <w14:schemeClr w14:val="tx1"/>
                  </w14:solidFill>
                </w14:textFill>
              </w:rPr>
              <w:t>/d</w:t>
            </w:r>
          </w:p>
        </w:tc>
        <w:tc>
          <w:tcPr>
            <w:tcW w:w="745" w:type="pct"/>
            <w:vAlign w:val="center"/>
          </w:tcPr>
          <w:p w14:paraId="4E84B84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4541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3D401F3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5FF941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备品备件库及机修间</w:t>
            </w:r>
          </w:p>
        </w:tc>
        <w:tc>
          <w:tcPr>
            <w:tcW w:w="2739" w:type="pct"/>
            <w:vAlign w:val="center"/>
          </w:tcPr>
          <w:p w14:paraId="785701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1个，占地面积约60m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，用于存放生产设备配件及设备维修</w:t>
            </w:r>
          </w:p>
        </w:tc>
        <w:tc>
          <w:tcPr>
            <w:tcW w:w="745" w:type="pct"/>
            <w:vAlign w:val="center"/>
          </w:tcPr>
          <w:p w14:paraId="14BBC31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2AC2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265748B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7D8D9A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办公区</w:t>
            </w:r>
          </w:p>
        </w:tc>
        <w:tc>
          <w:tcPr>
            <w:tcW w:w="2739" w:type="pct"/>
            <w:vAlign w:val="center"/>
          </w:tcPr>
          <w:p w14:paraId="3C6565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1个，占地面积约270m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，主要是设置办公室及会议室</w:t>
            </w:r>
          </w:p>
        </w:tc>
        <w:tc>
          <w:tcPr>
            <w:tcW w:w="745" w:type="pct"/>
            <w:vAlign w:val="center"/>
          </w:tcPr>
          <w:p w14:paraId="2084FC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76DF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1DB53A1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4C829D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卫生间</w:t>
            </w:r>
          </w:p>
        </w:tc>
        <w:tc>
          <w:tcPr>
            <w:tcW w:w="2739" w:type="pct"/>
            <w:vAlign w:val="center"/>
          </w:tcPr>
          <w:p w14:paraId="49D309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1个，占地面积约70m</w:t>
            </w:r>
            <w:r>
              <w:rPr>
                <w:rFonts w:hint="eastAsia"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，设置为水冲厕</w:t>
            </w:r>
          </w:p>
        </w:tc>
        <w:tc>
          <w:tcPr>
            <w:tcW w:w="745" w:type="pct"/>
            <w:vAlign w:val="center"/>
          </w:tcPr>
          <w:p w14:paraId="412F6A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4F8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7BED4CE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59AC01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洗澡间</w:t>
            </w:r>
          </w:p>
        </w:tc>
        <w:tc>
          <w:tcPr>
            <w:tcW w:w="2739" w:type="pct"/>
            <w:vAlign w:val="center"/>
          </w:tcPr>
          <w:p w14:paraId="36C16AC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1个，占地面积约6m</w:t>
            </w:r>
            <w:r>
              <w:rPr>
                <w:rFonts w:hint="eastAsia" w:cs="Times New Roman"/>
                <w:color w:val="000000" w:themeColor="text1"/>
                <w:sz w:val="21"/>
                <w:szCs w:val="21"/>
                <w:vertAlign w:val="superscript"/>
                <w14:textFill>
                  <w14:solidFill>
                    <w14:schemeClr w14:val="tx1"/>
                  </w14:solidFill>
                </w14:textFill>
              </w:rPr>
              <w:t>2</w:t>
            </w:r>
          </w:p>
        </w:tc>
        <w:tc>
          <w:tcPr>
            <w:tcW w:w="745" w:type="pct"/>
            <w:vAlign w:val="center"/>
          </w:tcPr>
          <w:p w14:paraId="0776F8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租用厂房改造利用</w:t>
            </w:r>
          </w:p>
        </w:tc>
      </w:tr>
      <w:tr w14:paraId="1E24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5" w:type="pct"/>
            <w:vMerge w:val="restart"/>
            <w:vAlign w:val="center"/>
          </w:tcPr>
          <w:p w14:paraId="306926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公用工程</w:t>
            </w:r>
          </w:p>
        </w:tc>
        <w:tc>
          <w:tcPr>
            <w:tcW w:w="1058" w:type="pct"/>
            <w:gridSpan w:val="2"/>
            <w:vAlign w:val="center"/>
          </w:tcPr>
          <w:p w14:paraId="4D0288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供电</w:t>
            </w:r>
          </w:p>
        </w:tc>
        <w:tc>
          <w:tcPr>
            <w:tcW w:w="2739" w:type="pct"/>
            <w:vAlign w:val="center"/>
          </w:tcPr>
          <w:p w14:paraId="7531C9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依托云南捷辰包装材料有限公司已建供电系统，接入项目使用</w:t>
            </w:r>
          </w:p>
        </w:tc>
        <w:tc>
          <w:tcPr>
            <w:tcW w:w="745" w:type="pct"/>
            <w:vAlign w:val="center"/>
          </w:tcPr>
          <w:p w14:paraId="409223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w:t>
            </w:r>
          </w:p>
        </w:tc>
      </w:tr>
      <w:tr w14:paraId="1378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324A996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72EB476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供水</w:t>
            </w:r>
          </w:p>
        </w:tc>
        <w:tc>
          <w:tcPr>
            <w:tcW w:w="2739" w:type="pct"/>
            <w:vAlign w:val="center"/>
          </w:tcPr>
          <w:p w14:paraId="471FFF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依托云南捷辰包装材料有限公司已建供水系统，接入项目使用</w:t>
            </w:r>
          </w:p>
        </w:tc>
        <w:tc>
          <w:tcPr>
            <w:tcW w:w="745" w:type="pct"/>
            <w:vAlign w:val="center"/>
          </w:tcPr>
          <w:p w14:paraId="42BE5B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w:t>
            </w:r>
          </w:p>
        </w:tc>
      </w:tr>
      <w:tr w14:paraId="1985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33C25A9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vAlign w:val="center"/>
          </w:tcPr>
          <w:p w14:paraId="421A38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排水</w:t>
            </w:r>
          </w:p>
        </w:tc>
        <w:tc>
          <w:tcPr>
            <w:tcW w:w="2739" w:type="pct"/>
            <w:vAlign w:val="center"/>
          </w:tcPr>
          <w:p w14:paraId="02FD65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实行“雨污分流”，雨水经厂内雨水沟收集后排至园区雨水管网；废水经预处理后直接排至市政污水管网，最终进入玉溪市污水处理厂</w:t>
            </w:r>
          </w:p>
        </w:tc>
        <w:tc>
          <w:tcPr>
            <w:tcW w:w="745" w:type="pct"/>
            <w:vAlign w:val="center"/>
          </w:tcPr>
          <w:p w14:paraId="3655DC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w:t>
            </w:r>
          </w:p>
        </w:tc>
      </w:tr>
      <w:tr w14:paraId="0FD5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5" w:type="pct"/>
            <w:vMerge w:val="restart"/>
            <w:vAlign w:val="center"/>
          </w:tcPr>
          <w:p w14:paraId="52034B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环保工程</w:t>
            </w:r>
          </w:p>
        </w:tc>
        <w:tc>
          <w:tcPr>
            <w:tcW w:w="278" w:type="pct"/>
            <w:vMerge w:val="restart"/>
            <w:vAlign w:val="center"/>
          </w:tcPr>
          <w:p w14:paraId="63751C0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废气</w:t>
            </w:r>
          </w:p>
        </w:tc>
        <w:tc>
          <w:tcPr>
            <w:tcW w:w="779" w:type="pct"/>
            <w:vAlign w:val="center"/>
          </w:tcPr>
          <w:p w14:paraId="1EC257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投料粉尘、研磨废气、干燥废气、</w:t>
            </w:r>
          </w:p>
        </w:tc>
        <w:tc>
          <w:tcPr>
            <w:tcW w:w="2739" w:type="pct"/>
            <w:vAlign w:val="center"/>
          </w:tcPr>
          <w:p w14:paraId="20951AC7">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车间风管（负压收集）+碱喷淋+除雾+活性炭吸附+15m高的排气筒（DA001）</w:t>
            </w:r>
          </w:p>
        </w:tc>
        <w:tc>
          <w:tcPr>
            <w:tcW w:w="745" w:type="pct"/>
            <w:vAlign w:val="center"/>
          </w:tcPr>
          <w:p w14:paraId="7E881A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10F3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5" w:type="pct"/>
            <w:vMerge w:val="continue"/>
            <w:vAlign w:val="center"/>
          </w:tcPr>
          <w:p w14:paraId="5B0AF64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continue"/>
            <w:vAlign w:val="center"/>
          </w:tcPr>
          <w:p w14:paraId="4E97DFE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vAlign w:val="center"/>
          </w:tcPr>
          <w:p w14:paraId="3376A6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测试残渣处理废气</w:t>
            </w:r>
          </w:p>
        </w:tc>
        <w:tc>
          <w:tcPr>
            <w:tcW w:w="2739" w:type="pct"/>
            <w:vAlign w:val="center"/>
          </w:tcPr>
          <w:p w14:paraId="69D491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通风橱+风管+碱喷淋+除雾+活性炭吸附+15m高的排气筒（DA001）</w:t>
            </w:r>
          </w:p>
        </w:tc>
        <w:tc>
          <w:tcPr>
            <w:tcW w:w="745" w:type="pct"/>
            <w:vAlign w:val="center"/>
          </w:tcPr>
          <w:p w14:paraId="4717B6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6240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5" w:type="pct"/>
            <w:vMerge w:val="continue"/>
            <w:vAlign w:val="center"/>
          </w:tcPr>
          <w:p w14:paraId="63C66BD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continue"/>
            <w:vAlign w:val="center"/>
          </w:tcPr>
          <w:p w14:paraId="4E2432F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vAlign w:val="center"/>
          </w:tcPr>
          <w:p w14:paraId="5DC3B3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废水处理站废气</w:t>
            </w:r>
          </w:p>
        </w:tc>
        <w:tc>
          <w:tcPr>
            <w:tcW w:w="2739" w:type="pct"/>
            <w:vAlign w:val="center"/>
          </w:tcPr>
          <w:p w14:paraId="37CFCE8F">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集气罩+风管+碱喷淋+除雾+活性炭吸附+15m高的排气筒（DA001）</w:t>
            </w:r>
          </w:p>
        </w:tc>
        <w:tc>
          <w:tcPr>
            <w:tcW w:w="745" w:type="pct"/>
            <w:vAlign w:val="center"/>
          </w:tcPr>
          <w:p w14:paraId="798DDC2D">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新建</w:t>
            </w:r>
          </w:p>
        </w:tc>
      </w:tr>
      <w:tr w14:paraId="4C81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55" w:type="pct"/>
            <w:vMerge w:val="continue"/>
            <w:vAlign w:val="center"/>
          </w:tcPr>
          <w:p w14:paraId="78628E5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restart"/>
            <w:vAlign w:val="center"/>
          </w:tcPr>
          <w:p w14:paraId="77FBFD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废水</w:t>
            </w:r>
          </w:p>
        </w:tc>
        <w:tc>
          <w:tcPr>
            <w:tcW w:w="779" w:type="pct"/>
            <w:shd w:val="clear" w:color="auto" w:fill="auto"/>
            <w:vAlign w:val="center"/>
          </w:tcPr>
          <w:p w14:paraId="193D7808">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纯水制备废水、测试器具清洗废水、冷却水循环系统定期排污水</w:t>
            </w:r>
          </w:p>
        </w:tc>
        <w:tc>
          <w:tcPr>
            <w:tcW w:w="2739" w:type="pct"/>
            <w:vAlign w:val="center"/>
          </w:tcPr>
          <w:p w14:paraId="66329874">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经自建一体化污水处理站（1个，处理能为1m</w:t>
            </w:r>
            <w:r>
              <w:rPr>
                <w:rFonts w:hint="eastAsia" w:cs="Times New Roman"/>
                <w:color w:val="000000" w:themeColor="text1"/>
                <w:szCs w:val="21"/>
                <w:vertAlign w:val="superscript"/>
                <w14:textFill>
                  <w14:solidFill>
                    <w14:schemeClr w14:val="tx1"/>
                  </w14:solidFill>
                </w14:textFill>
              </w:rPr>
              <w:t>3</w:t>
            </w:r>
            <w:r>
              <w:rPr>
                <w:rFonts w:hint="eastAsia" w:cs="Times New Roman"/>
                <w:color w:val="000000" w:themeColor="text1"/>
                <w:szCs w:val="21"/>
                <w14:textFill>
                  <w14:solidFill>
                    <w14:schemeClr w14:val="tx1"/>
                  </w14:solidFill>
                </w14:textFill>
              </w:rPr>
              <w:t>/d）预处理达纳管标准后排至市政污水管网，最终进入玉溪市污水处理厂</w:t>
            </w:r>
          </w:p>
        </w:tc>
        <w:tc>
          <w:tcPr>
            <w:tcW w:w="745" w:type="pct"/>
            <w:vAlign w:val="center"/>
          </w:tcPr>
          <w:p w14:paraId="2019EFEE">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新建</w:t>
            </w:r>
          </w:p>
        </w:tc>
      </w:tr>
      <w:tr w14:paraId="6ED6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vMerge w:val="continue"/>
            <w:vAlign w:val="center"/>
          </w:tcPr>
          <w:p w14:paraId="3D63DAA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continue"/>
            <w:vAlign w:val="center"/>
          </w:tcPr>
          <w:p w14:paraId="3AC951B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shd w:val="clear" w:color="auto" w:fill="auto"/>
            <w:vAlign w:val="center"/>
          </w:tcPr>
          <w:p w14:paraId="58502FF8">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喷淋废水</w:t>
            </w:r>
          </w:p>
        </w:tc>
        <w:tc>
          <w:tcPr>
            <w:tcW w:w="2739" w:type="pct"/>
            <w:shd w:val="clear" w:color="auto" w:fill="auto"/>
            <w:vAlign w:val="center"/>
          </w:tcPr>
          <w:p w14:paraId="174D252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循环沉淀池（1个，容积为15m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）处理后循环使用不外排</w:t>
            </w:r>
          </w:p>
        </w:tc>
        <w:tc>
          <w:tcPr>
            <w:tcW w:w="745" w:type="pct"/>
            <w:shd w:val="clear" w:color="auto" w:fill="auto"/>
            <w:vAlign w:val="center"/>
          </w:tcPr>
          <w:p w14:paraId="01E34C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2A0C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vMerge w:val="continue"/>
            <w:vAlign w:val="center"/>
          </w:tcPr>
          <w:p w14:paraId="4FEFF52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continue"/>
            <w:vAlign w:val="center"/>
          </w:tcPr>
          <w:p w14:paraId="4265B46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shd w:val="clear" w:color="auto" w:fill="auto"/>
            <w:vAlign w:val="center"/>
          </w:tcPr>
          <w:p w14:paraId="01627461">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车间拖把清洁废水</w:t>
            </w:r>
          </w:p>
        </w:tc>
        <w:tc>
          <w:tcPr>
            <w:tcW w:w="2739" w:type="pct"/>
            <w:shd w:val="clear" w:color="auto" w:fill="auto"/>
            <w:vAlign w:val="center"/>
          </w:tcPr>
          <w:p w14:paraId="711585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经现有化粪池</w:t>
            </w:r>
            <w:r>
              <w:rPr>
                <w:color w:val="000000" w:themeColor="text1"/>
                <w14:textFill>
                  <w14:solidFill>
                    <w14:schemeClr w14:val="tx1"/>
                  </w14:solidFill>
                </w14:textFill>
              </w:rPr>
              <w:t>（1个，容积为18m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预处理后排至市政污水管网，最终进入玉溪市污水处理厂</w:t>
            </w:r>
          </w:p>
        </w:tc>
        <w:tc>
          <w:tcPr>
            <w:tcW w:w="745" w:type="pct"/>
            <w:shd w:val="clear" w:color="auto" w:fill="auto"/>
            <w:vAlign w:val="center"/>
          </w:tcPr>
          <w:p w14:paraId="612F063A">
            <w:pPr>
              <w:pStyle w:val="28"/>
              <w:rPr>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依托</w:t>
            </w:r>
          </w:p>
        </w:tc>
      </w:tr>
      <w:tr w14:paraId="1408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01C5379E">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Merge w:val="continue"/>
            <w:vAlign w:val="center"/>
          </w:tcPr>
          <w:p w14:paraId="1239ECC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shd w:val="clear" w:color="auto" w:fill="auto"/>
            <w:vAlign w:val="center"/>
          </w:tcPr>
          <w:p w14:paraId="533E08ED">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生活污水</w:t>
            </w:r>
          </w:p>
        </w:tc>
        <w:tc>
          <w:tcPr>
            <w:tcW w:w="2739" w:type="pct"/>
            <w:vAlign w:val="center"/>
          </w:tcPr>
          <w:p w14:paraId="0DE95C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依托现有化粪池</w:t>
            </w:r>
            <w:r>
              <w:rPr>
                <w:color w:val="000000" w:themeColor="text1"/>
                <w14:textFill>
                  <w14:solidFill>
                    <w14:schemeClr w14:val="tx1"/>
                  </w14:solidFill>
                </w14:textFill>
              </w:rPr>
              <w:t>（1个，容积为18m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预处理后排至市政污水管网，最终进入玉溪市污水处理厂</w:t>
            </w:r>
          </w:p>
        </w:tc>
        <w:tc>
          <w:tcPr>
            <w:tcW w:w="745" w:type="pct"/>
            <w:shd w:val="clear" w:color="auto" w:fill="auto"/>
            <w:vAlign w:val="center"/>
          </w:tcPr>
          <w:p w14:paraId="17B24E49">
            <w:pPr>
              <w:pStyle w:val="2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依托</w:t>
            </w:r>
          </w:p>
        </w:tc>
      </w:tr>
      <w:tr w14:paraId="6484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0179276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Align w:val="center"/>
          </w:tcPr>
          <w:p w14:paraId="1FE966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噪声</w:t>
            </w:r>
          </w:p>
        </w:tc>
        <w:tc>
          <w:tcPr>
            <w:tcW w:w="779" w:type="pct"/>
            <w:shd w:val="clear" w:color="auto" w:fill="auto"/>
            <w:vAlign w:val="center"/>
          </w:tcPr>
          <w:p w14:paraId="580731B4">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设备</w:t>
            </w:r>
          </w:p>
        </w:tc>
        <w:tc>
          <w:tcPr>
            <w:tcW w:w="2739" w:type="pct"/>
            <w:vAlign w:val="center"/>
          </w:tcPr>
          <w:p w14:paraId="270AAA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固定减振、厂房隔声，风机安装消声器</w:t>
            </w:r>
          </w:p>
        </w:tc>
        <w:tc>
          <w:tcPr>
            <w:tcW w:w="745" w:type="pct"/>
            <w:shd w:val="clear" w:color="auto" w:fill="auto"/>
            <w:vAlign w:val="center"/>
          </w:tcPr>
          <w:p w14:paraId="719727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7C7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4402F3F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78" w:type="pct"/>
            <w:vAlign w:val="center"/>
          </w:tcPr>
          <w:p w14:paraId="66DCF6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固废</w:t>
            </w:r>
          </w:p>
        </w:tc>
        <w:tc>
          <w:tcPr>
            <w:tcW w:w="779" w:type="pct"/>
            <w:shd w:val="clear" w:color="auto" w:fill="auto"/>
            <w:vAlign w:val="center"/>
          </w:tcPr>
          <w:p w14:paraId="58274A7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危废暂存间</w:t>
            </w:r>
          </w:p>
        </w:tc>
        <w:tc>
          <w:tcPr>
            <w:tcW w:w="2739" w:type="pct"/>
            <w:vAlign w:val="center"/>
          </w:tcPr>
          <w:p w14:paraId="67D10C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1间，位于生产车间南面，占地面积为10m</w:t>
            </w:r>
            <w:r>
              <w:rPr>
                <w:rFonts w:hint="eastAsia"/>
                <w:color w:val="000000" w:themeColor="text1"/>
                <w:vertAlign w:val="superscript"/>
                <w14:textFill>
                  <w14:solidFill>
                    <w14:schemeClr w14:val="tx1"/>
                  </w14:solidFill>
                </w14:textFill>
              </w:rPr>
              <w:t>2</w:t>
            </w:r>
          </w:p>
        </w:tc>
        <w:tc>
          <w:tcPr>
            <w:tcW w:w="745" w:type="pct"/>
            <w:shd w:val="clear" w:color="auto" w:fill="auto"/>
            <w:vAlign w:val="center"/>
          </w:tcPr>
          <w:p w14:paraId="191AE4BC">
            <w:pPr>
              <w:pStyle w:val="28"/>
              <w:rPr>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租用厂房改造利用</w:t>
            </w:r>
          </w:p>
        </w:tc>
      </w:tr>
      <w:tr w14:paraId="0243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vAlign w:val="center"/>
          </w:tcPr>
          <w:p w14:paraId="193B13D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依托工程</w:t>
            </w:r>
          </w:p>
        </w:tc>
        <w:tc>
          <w:tcPr>
            <w:tcW w:w="1058" w:type="pct"/>
            <w:gridSpan w:val="2"/>
            <w:shd w:val="clear" w:color="auto" w:fill="auto"/>
            <w:vAlign w:val="center"/>
          </w:tcPr>
          <w:p w14:paraId="0A755197">
            <w:pPr>
              <w:autoSpaceDE w:val="0"/>
              <w:autoSpaceDN w:val="0"/>
              <w:adjustRightIn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化粪池</w:t>
            </w:r>
          </w:p>
        </w:tc>
        <w:tc>
          <w:tcPr>
            <w:tcW w:w="2739" w:type="pct"/>
            <w:shd w:val="clear" w:color="auto" w:fill="auto"/>
            <w:vAlign w:val="center"/>
          </w:tcPr>
          <w:p w14:paraId="51C7B498">
            <w:pPr>
              <w:pStyle w:val="28"/>
              <w:rPr>
                <w:rFonts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1个，容积为18m</w:t>
            </w:r>
            <w:r>
              <w:rPr>
                <w:rFonts w:hint="eastAsia"/>
                <w:color w:val="000000" w:themeColor="text1"/>
                <w:vertAlign w:val="superscript"/>
                <w14:textFill>
                  <w14:solidFill>
                    <w14:schemeClr w14:val="tx1"/>
                  </w14:solidFill>
                </w14:textFill>
              </w:rPr>
              <w:t>3</w:t>
            </w:r>
          </w:p>
        </w:tc>
        <w:tc>
          <w:tcPr>
            <w:tcW w:w="745" w:type="pct"/>
            <w:shd w:val="clear" w:color="auto" w:fill="auto"/>
            <w:vAlign w:val="center"/>
          </w:tcPr>
          <w:p w14:paraId="53B04D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30B9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320FC83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shd w:val="clear" w:color="auto" w:fill="auto"/>
            <w:vAlign w:val="center"/>
          </w:tcPr>
          <w:p w14:paraId="228027DE">
            <w:pPr>
              <w:autoSpaceDE w:val="0"/>
              <w:autoSpaceDN w:val="0"/>
              <w:adjustRightIn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事故应急池</w:t>
            </w:r>
          </w:p>
        </w:tc>
        <w:tc>
          <w:tcPr>
            <w:tcW w:w="2739" w:type="pct"/>
            <w:shd w:val="clear" w:color="auto" w:fill="auto"/>
            <w:vAlign w:val="center"/>
          </w:tcPr>
          <w:p w14:paraId="298633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1个，容积为195m</w:t>
            </w:r>
            <w:r>
              <w:rPr>
                <w:rFonts w:hint="eastAsia"/>
                <w:color w:val="000000" w:themeColor="text1"/>
                <w:vertAlign w:val="superscript"/>
                <w14:textFill>
                  <w14:solidFill>
                    <w14:schemeClr w14:val="tx1"/>
                  </w14:solidFill>
                </w14:textFill>
              </w:rPr>
              <w:t>3</w:t>
            </w:r>
          </w:p>
        </w:tc>
        <w:tc>
          <w:tcPr>
            <w:tcW w:w="745" w:type="pct"/>
            <w:shd w:val="clear" w:color="auto" w:fill="auto"/>
            <w:vAlign w:val="center"/>
          </w:tcPr>
          <w:p w14:paraId="020882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1252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vAlign w:val="center"/>
          </w:tcPr>
          <w:p w14:paraId="6A17AF7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58" w:type="pct"/>
            <w:gridSpan w:val="2"/>
            <w:shd w:val="clear" w:color="auto" w:fill="auto"/>
            <w:vAlign w:val="center"/>
          </w:tcPr>
          <w:p w14:paraId="29B446D2">
            <w:pPr>
              <w:autoSpaceDE w:val="0"/>
              <w:autoSpaceDN w:val="0"/>
              <w:adjustRightIn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雨水收集管网</w:t>
            </w:r>
          </w:p>
        </w:tc>
        <w:tc>
          <w:tcPr>
            <w:tcW w:w="2739" w:type="pct"/>
            <w:shd w:val="clear" w:color="auto" w:fill="auto"/>
            <w:vAlign w:val="center"/>
          </w:tcPr>
          <w:p w14:paraId="040DBC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厂区内雨水经雨水沟收集后排入园区雨水管网</w:t>
            </w:r>
          </w:p>
        </w:tc>
        <w:tc>
          <w:tcPr>
            <w:tcW w:w="745" w:type="pct"/>
            <w:shd w:val="clear" w:color="auto" w:fill="auto"/>
            <w:vAlign w:val="center"/>
          </w:tcPr>
          <w:p w14:paraId="38DCF4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bl>
    <w:p w14:paraId="5483D794">
      <w:pPr>
        <w:pStyle w:val="4"/>
        <w:rPr>
          <w:color w:val="000000" w:themeColor="text1"/>
          <w14:textFill>
            <w14:solidFill>
              <w14:schemeClr w14:val="tx1"/>
            </w14:solidFill>
          </w14:textFill>
        </w:rPr>
      </w:pPr>
      <w:bookmarkStart w:id="33" w:name="_Toc30863"/>
      <w:r>
        <w:rPr>
          <w:rFonts w:hint="eastAsia"/>
          <w:color w:val="000000" w:themeColor="text1"/>
          <w14:textFill>
            <w14:solidFill>
              <w14:schemeClr w14:val="tx1"/>
            </w14:solidFill>
          </w14:textFill>
        </w:rPr>
        <w:t>2.1.4 产品方案及规模</w:t>
      </w:r>
      <w:bookmarkEnd w:id="33"/>
    </w:p>
    <w:p w14:paraId="60F2297F">
      <w:pPr>
        <w:pStyle w:val="8"/>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本项目主要进行硫化物固态电解质生产，生产规模为10t/a。</w:t>
      </w:r>
    </w:p>
    <w:p w14:paraId="452EDA1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目前国内外没有硫化物固态电解质的产品质量标准，企业对比国内同行业先进水平，结合自身产品及客户要求制定产品标准，主要以粒径及电导率判定其产品质量，粒径0.3~15</w:t>
      </w:r>
      <w:r>
        <w:rPr>
          <w:rFonts w:cs="Times New Roman"/>
          <w:color w:val="000000" w:themeColor="text1"/>
          <w14:textFill>
            <w14:solidFill>
              <w14:schemeClr w14:val="tx1"/>
            </w14:solidFill>
          </w14:textFill>
        </w:rPr>
        <w:t>μ</w:t>
      </w:r>
      <w:r>
        <w:rPr>
          <w:rFonts w:hint="eastAsia" w:cs="Times New Roman"/>
          <w:color w:val="000000" w:themeColor="text1"/>
          <w14:textFill>
            <w14:solidFill>
              <w14:schemeClr w14:val="tx1"/>
            </w14:solidFill>
          </w14:textFill>
        </w:rPr>
        <w:t>m，电导率＞3S/cm，具体指标参数根据客户需求。</w:t>
      </w:r>
    </w:p>
    <w:p w14:paraId="31713584">
      <w:pPr>
        <w:pStyle w:val="8"/>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本项目主要</w:t>
      </w:r>
      <w:r>
        <w:rPr>
          <w:rFonts w:ascii="Times New Roman" w:hAnsi="Times New Roman" w:cs="Times New Roman"/>
          <w:color w:val="000000" w:themeColor="text1"/>
          <w14:textFill>
            <w14:solidFill>
              <w14:schemeClr w14:val="tx1"/>
            </w14:solidFill>
          </w14:textFill>
        </w:rPr>
        <w:t>产品方案</w:t>
      </w:r>
      <w:r>
        <w:rPr>
          <w:rFonts w:hint="eastAsia" w:ascii="Times New Roman" w:hAnsi="Times New Roman" w:cs="Times New Roman"/>
          <w:color w:val="000000" w:themeColor="text1"/>
          <w14:textFill>
            <w14:solidFill>
              <w14:schemeClr w14:val="tx1"/>
            </w14:solidFill>
          </w14:textFill>
        </w:rPr>
        <w:t>见下表</w:t>
      </w:r>
      <w:r>
        <w:rPr>
          <w:rFonts w:ascii="Times New Roman" w:hAnsi="Times New Roman" w:cs="Times New Roman"/>
          <w:color w:val="000000" w:themeColor="text1"/>
          <w14:textFill>
            <w14:solidFill>
              <w14:schemeClr w14:val="tx1"/>
            </w14:solidFill>
          </w14:textFill>
        </w:rPr>
        <w:t>。</w:t>
      </w:r>
    </w:p>
    <w:p w14:paraId="5F1ED34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表2</w:t>
      </w:r>
      <w:r>
        <w:rPr>
          <w:rFonts w:hint="eastAsia" w:cs="Times New Roman"/>
          <w:b/>
          <w:bCs/>
          <w:color w:val="000000" w:themeColor="text1"/>
          <w:sz w:val="21"/>
          <w:szCs w:val="21"/>
          <w14:textFill>
            <w14:solidFill>
              <w14:schemeClr w14:val="tx1"/>
            </w14:solidFill>
          </w14:textFill>
        </w:rPr>
        <w:t>.1</w:t>
      </w:r>
      <w:r>
        <w:rPr>
          <w:rFonts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14:textFill>
            <w14:solidFill>
              <w14:schemeClr w14:val="tx1"/>
            </w14:solidFill>
          </w14:textFill>
        </w:rPr>
        <w:t>2</w:t>
      </w:r>
      <w:r>
        <w:rPr>
          <w:rFonts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14:textFill>
            <w14:solidFill>
              <w14:schemeClr w14:val="tx1"/>
            </w14:solidFill>
          </w14:textFill>
        </w:rPr>
        <w:t>项目产品方案一览表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330"/>
        <w:gridCol w:w="781"/>
        <w:gridCol w:w="1326"/>
        <w:gridCol w:w="1229"/>
        <w:gridCol w:w="2073"/>
      </w:tblGrid>
      <w:tr w14:paraId="6648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14:paraId="3C9C52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367" w:type="pct"/>
          </w:tcPr>
          <w:p w14:paraId="5409DDE4">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58" w:type="pct"/>
          </w:tcPr>
          <w:p w14:paraId="199267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规模</w:t>
            </w:r>
          </w:p>
        </w:tc>
        <w:tc>
          <w:tcPr>
            <w:tcW w:w="778" w:type="pct"/>
          </w:tcPr>
          <w:p w14:paraId="209CFE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粒径</w:t>
            </w:r>
          </w:p>
        </w:tc>
        <w:tc>
          <w:tcPr>
            <w:tcW w:w="721" w:type="pct"/>
          </w:tcPr>
          <w:p w14:paraId="41CAE5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导电率</w:t>
            </w:r>
          </w:p>
        </w:tc>
        <w:tc>
          <w:tcPr>
            <w:tcW w:w="1216" w:type="pct"/>
          </w:tcPr>
          <w:p w14:paraId="1FCBBE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包装方式</w:t>
            </w:r>
          </w:p>
        </w:tc>
      </w:tr>
      <w:tr w14:paraId="4D56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 w:type="pct"/>
            <w:vAlign w:val="center"/>
          </w:tcPr>
          <w:p w14:paraId="0A47DD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67" w:type="pct"/>
            <w:vAlign w:val="center"/>
          </w:tcPr>
          <w:p w14:paraId="021A4364">
            <w:pPr>
              <w:pStyle w:val="28"/>
              <w:rPr>
                <w:color w:val="000000" w:themeColor="text1"/>
                <w14:textFill>
                  <w14:solidFill>
                    <w14:schemeClr w14:val="tx1"/>
                  </w14:solidFill>
                </w14:textFill>
              </w:rPr>
            </w:pPr>
            <w:r>
              <w:rPr>
                <w:color w:val="000000" w:themeColor="text1"/>
                <w14:textFill>
                  <w14:solidFill>
                    <w14:schemeClr w14:val="tx1"/>
                  </w14:solidFill>
                </w14:textFill>
              </w:rPr>
              <w:t>硫化物固态电解质（L</w:t>
            </w:r>
            <w:r>
              <w:rPr>
                <w:rFonts w:hint="eastAsia"/>
                <w:color w:val="000000" w:themeColor="text1"/>
                <w14:textFill>
                  <w14:solidFill>
                    <w14:schemeClr w14:val="tx1"/>
                  </w14:solidFill>
                </w14:textFill>
              </w:rPr>
              <w:t>i</w:t>
            </w:r>
            <w:r>
              <w:rPr>
                <w:rFonts w:hint="eastAsia"/>
                <w:color w:val="000000" w:themeColor="text1"/>
                <w:vertAlign w:val="subscript"/>
                <w14:textFill>
                  <w14:solidFill>
                    <w14:schemeClr w14:val="tx1"/>
                  </w14:solidFill>
                </w14:textFill>
              </w:rPr>
              <w:t>6</w:t>
            </w:r>
            <w:r>
              <w:rPr>
                <w:color w:val="000000" w:themeColor="text1"/>
                <w14:textFill>
                  <w14:solidFill>
                    <w14:schemeClr w14:val="tx1"/>
                  </w14:solidFill>
                </w14:textFill>
              </w:rPr>
              <w:t>PS</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Cl）</w:t>
            </w:r>
          </w:p>
        </w:tc>
        <w:tc>
          <w:tcPr>
            <w:tcW w:w="458" w:type="pct"/>
            <w:vAlign w:val="center"/>
          </w:tcPr>
          <w:p w14:paraId="449808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10t/a</w:t>
            </w:r>
          </w:p>
        </w:tc>
        <w:tc>
          <w:tcPr>
            <w:tcW w:w="778" w:type="pct"/>
            <w:vAlign w:val="center"/>
          </w:tcPr>
          <w:p w14:paraId="17977B05">
            <w:pPr>
              <w:pStyle w:val="28"/>
              <w:rPr>
                <w:color w:val="000000" w:themeColor="text1"/>
                <w14:textFill>
                  <w14:solidFill>
                    <w14:schemeClr w14:val="tx1"/>
                  </w14:solidFill>
                </w14:textFill>
              </w:rPr>
            </w:pPr>
            <w:r>
              <w:rPr>
                <w:color w:val="000000" w:themeColor="text1"/>
                <w14:textFill>
                  <w14:solidFill>
                    <w14:schemeClr w14:val="tx1"/>
                  </w14:solidFill>
                </w14:textFill>
              </w:rPr>
              <w:t>0.3~15μm</w:t>
            </w:r>
          </w:p>
        </w:tc>
        <w:tc>
          <w:tcPr>
            <w:tcW w:w="721" w:type="pct"/>
            <w:vAlign w:val="center"/>
          </w:tcPr>
          <w:p w14:paraId="29573CAB">
            <w:pPr>
              <w:pStyle w:val="28"/>
              <w:rPr>
                <w:rFonts w:ascii="宋体" w:hAnsi="宋体" w:cs="宋体"/>
                <w:color w:val="000000" w:themeColor="text1"/>
                <w14:textFill>
                  <w14:solidFill>
                    <w14:schemeClr w14:val="tx1"/>
                  </w14:solidFill>
                </w14:textFill>
              </w:rPr>
            </w:pPr>
            <w:r>
              <w:rPr>
                <w:rFonts w:cs="Times New Roman"/>
                <w:color w:val="000000" w:themeColor="text1"/>
                <w14:textFill>
                  <w14:solidFill>
                    <w14:schemeClr w14:val="tx1"/>
                  </w14:solidFill>
                </w14:textFill>
              </w:rPr>
              <w:t>&gt;3</w:t>
            </w:r>
            <w:r>
              <w:rPr>
                <w:rFonts w:hint="eastAsia" w:cs="Times New Roman"/>
                <w:color w:val="000000" w:themeColor="text1"/>
                <w14:textFill>
                  <w14:solidFill>
                    <w14:schemeClr w14:val="tx1"/>
                  </w14:solidFill>
                </w14:textFill>
              </w:rPr>
              <w:t>S</w:t>
            </w:r>
            <w:r>
              <w:rPr>
                <w:rFonts w:cs="Times New Roman"/>
                <w:color w:val="000000" w:themeColor="text1"/>
                <w14:textFill>
                  <w14:solidFill>
                    <w14:schemeClr w14:val="tx1"/>
                  </w14:solidFill>
                </w14:textFill>
              </w:rPr>
              <w:t>/cm</w:t>
            </w:r>
          </w:p>
        </w:tc>
        <w:tc>
          <w:tcPr>
            <w:tcW w:w="1216" w:type="pct"/>
            <w:vAlign w:val="center"/>
          </w:tcPr>
          <w:p w14:paraId="12BF3B66">
            <w:pPr>
              <w:pStyle w:val="28"/>
              <w:rPr>
                <w:color w:val="000000" w:themeColor="text1"/>
                <w14:textFill>
                  <w14:solidFill>
                    <w14:schemeClr w14:val="tx1"/>
                  </w14:solidFill>
                </w14:textFill>
              </w:rPr>
            </w:pPr>
            <w:r>
              <w:rPr>
                <w:color w:val="000000" w:themeColor="text1"/>
                <w14:textFill>
                  <w14:solidFill>
                    <w14:schemeClr w14:val="tx1"/>
                  </w14:solidFill>
                </w14:textFill>
              </w:rPr>
              <w:t>铝瓶装或者袋装</w:t>
            </w:r>
          </w:p>
        </w:tc>
      </w:tr>
    </w:tbl>
    <w:p w14:paraId="086AC671">
      <w:pPr>
        <w:pStyle w:val="4"/>
        <w:rPr>
          <w:color w:val="000000" w:themeColor="text1"/>
          <w14:textFill>
            <w14:solidFill>
              <w14:schemeClr w14:val="tx1"/>
            </w14:solidFill>
          </w14:textFill>
        </w:rPr>
      </w:pPr>
      <w:bookmarkStart w:id="34" w:name="_Toc1022"/>
      <w:r>
        <w:rPr>
          <w:rFonts w:hint="eastAsia"/>
          <w:color w:val="000000" w:themeColor="text1"/>
          <w14:textFill>
            <w14:solidFill>
              <w14:schemeClr w14:val="tx1"/>
            </w14:solidFill>
          </w14:textFill>
        </w:rPr>
        <w:t>2.1.5 原辅材料及能源</w:t>
      </w:r>
      <w:bookmarkEnd w:id="34"/>
    </w:p>
    <w:p w14:paraId="034B9CD2">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本项目原料质量核心要求是高纯度、低杂质，以避免影响电解质离子电导率和稳定性</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主要原辅材料消耗</w:t>
      </w:r>
      <w:r>
        <w:rPr>
          <w:rFonts w:hint="eastAsia" w:cs="Times New Roman"/>
          <w:color w:val="000000" w:themeColor="text1"/>
          <w14:textFill>
            <w14:solidFill>
              <w14:schemeClr w14:val="tx1"/>
            </w14:solidFill>
          </w14:textFill>
        </w:rPr>
        <w:t>见下表</w:t>
      </w:r>
      <w:r>
        <w:rPr>
          <w:rFonts w:ascii="Times New Roman" w:hAnsi="Times New Roman" w:cs="Times New Roman"/>
          <w:color w:val="000000" w:themeColor="text1"/>
          <w14:textFill>
            <w14:solidFill>
              <w14:schemeClr w14:val="tx1"/>
            </w14:solidFill>
          </w14:textFill>
        </w:rPr>
        <w:t>。</w:t>
      </w:r>
    </w:p>
    <w:p w14:paraId="7D5FDE0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表2</w:t>
      </w:r>
      <w:r>
        <w:rPr>
          <w:rFonts w:hint="eastAsia" w:cs="Times New Roman"/>
          <w:b/>
          <w:bCs/>
          <w:color w:val="000000" w:themeColor="text1"/>
          <w:sz w:val="21"/>
          <w:szCs w:val="21"/>
          <w14:textFill>
            <w14:solidFill>
              <w14:schemeClr w14:val="tx1"/>
            </w14:solidFill>
          </w14:textFill>
        </w:rPr>
        <w:t>.1-3</w:t>
      </w:r>
      <w:r>
        <w:rPr>
          <w:rFonts w:cs="Times New Roman"/>
          <w:b/>
          <w:bCs/>
          <w:color w:val="000000" w:themeColor="text1"/>
          <w:sz w:val="21"/>
          <w:szCs w:val="21"/>
          <w14:textFill>
            <w14:solidFill>
              <w14:schemeClr w14:val="tx1"/>
            </w14:solidFill>
          </w14:textFill>
        </w:rPr>
        <w:t xml:space="preserve"> 项目原辅材料一览表</w:t>
      </w:r>
    </w:p>
    <w:tbl>
      <w:tblPr>
        <w:tblStyle w:val="21"/>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2"/>
        <w:gridCol w:w="362"/>
        <w:gridCol w:w="1597"/>
        <w:gridCol w:w="731"/>
        <w:gridCol w:w="1024"/>
        <w:gridCol w:w="1250"/>
        <w:gridCol w:w="1513"/>
        <w:gridCol w:w="1454"/>
      </w:tblGrid>
      <w:tr w14:paraId="458DC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4" w:type="pct"/>
            <w:vAlign w:val="center"/>
          </w:tcPr>
          <w:p w14:paraId="61D5EB17">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69" w:type="pct"/>
            <w:gridSpan w:val="2"/>
            <w:vAlign w:val="center"/>
          </w:tcPr>
          <w:p w14:paraId="66A8B9E1">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36" w:type="pct"/>
            <w:vAlign w:val="center"/>
          </w:tcPr>
          <w:p w14:paraId="71EFD5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611" w:type="pct"/>
            <w:vAlign w:val="center"/>
          </w:tcPr>
          <w:p w14:paraId="18DDF3B4">
            <w:pPr>
              <w:pStyle w:val="28"/>
              <w:rPr>
                <w:color w:val="000000" w:themeColor="text1"/>
                <w14:textFill>
                  <w14:solidFill>
                    <w14:schemeClr w14:val="tx1"/>
                  </w14:solidFill>
                </w14:textFill>
              </w:rPr>
            </w:pPr>
            <w:r>
              <w:rPr>
                <w:color w:val="000000" w:themeColor="text1"/>
                <w14:textFill>
                  <w14:solidFill>
                    <w14:schemeClr w14:val="tx1"/>
                  </w14:solidFill>
                </w14:textFill>
              </w:rPr>
              <w:t>年消耗量</w:t>
            </w:r>
          </w:p>
        </w:tc>
        <w:tc>
          <w:tcPr>
            <w:tcW w:w="746" w:type="pct"/>
            <w:vAlign w:val="center"/>
          </w:tcPr>
          <w:p w14:paraId="15DB0B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最大</w:t>
            </w:r>
            <w:r>
              <w:rPr>
                <w:color w:val="000000" w:themeColor="text1"/>
                <w14:textFill>
                  <w14:solidFill>
                    <w14:schemeClr w14:val="tx1"/>
                  </w14:solidFill>
                </w14:textFill>
              </w:rPr>
              <w:t>储存量</w:t>
            </w:r>
          </w:p>
        </w:tc>
        <w:tc>
          <w:tcPr>
            <w:tcW w:w="903" w:type="pct"/>
            <w:vAlign w:val="center"/>
          </w:tcPr>
          <w:p w14:paraId="0F50F4B7">
            <w:pPr>
              <w:pStyle w:val="28"/>
              <w:rPr>
                <w:color w:val="000000" w:themeColor="text1"/>
                <w14:textFill>
                  <w14:solidFill>
                    <w14:schemeClr w14:val="tx1"/>
                  </w14:solidFill>
                </w14:textFill>
              </w:rPr>
            </w:pPr>
            <w:r>
              <w:rPr>
                <w:color w:val="000000" w:themeColor="text1"/>
                <w14:textFill>
                  <w14:solidFill>
                    <w14:schemeClr w14:val="tx1"/>
                  </w14:solidFill>
                </w14:textFill>
              </w:rPr>
              <w:t>储存周期（天）</w:t>
            </w:r>
          </w:p>
        </w:tc>
        <w:tc>
          <w:tcPr>
            <w:tcW w:w="867" w:type="pct"/>
            <w:vAlign w:val="center"/>
          </w:tcPr>
          <w:p w14:paraId="2FC8CD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包装形式</w:t>
            </w:r>
          </w:p>
        </w:tc>
      </w:tr>
      <w:tr w14:paraId="251BE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vAlign w:val="center"/>
          </w:tcPr>
          <w:p w14:paraId="6C3BE2CD">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69" w:type="pct"/>
            <w:gridSpan w:val="2"/>
            <w:vAlign w:val="center"/>
          </w:tcPr>
          <w:p w14:paraId="5078D226">
            <w:pPr>
              <w:pStyle w:val="28"/>
              <w:rPr>
                <w:color w:val="000000" w:themeColor="text1"/>
                <w14:textFill>
                  <w14:solidFill>
                    <w14:schemeClr w14:val="tx1"/>
                  </w14:solidFill>
                </w14:textFill>
              </w:rPr>
            </w:pPr>
            <w:r>
              <w:rPr>
                <w:color w:val="000000" w:themeColor="text1"/>
                <w14:textFill>
                  <w14:solidFill>
                    <w14:schemeClr w14:val="tx1"/>
                  </w14:solidFill>
                </w14:textFill>
              </w:rPr>
              <w:t>硫化锂</w:t>
            </w:r>
          </w:p>
        </w:tc>
        <w:tc>
          <w:tcPr>
            <w:tcW w:w="436" w:type="pct"/>
            <w:vAlign w:val="center"/>
          </w:tcPr>
          <w:p w14:paraId="4622E9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4461CA79">
            <w:pPr>
              <w:pStyle w:val="28"/>
              <w:rPr>
                <w:color w:val="000000" w:themeColor="text1"/>
                <w14:textFill>
                  <w14:solidFill>
                    <w14:schemeClr w14:val="tx1"/>
                  </w14:solidFill>
                </w14:textFill>
              </w:rPr>
            </w:pPr>
            <w:r>
              <w:rPr>
                <w:color w:val="000000" w:themeColor="text1"/>
                <w14:textFill>
                  <w14:solidFill>
                    <w14:schemeClr w14:val="tx1"/>
                  </w14:solidFill>
                </w14:textFill>
              </w:rPr>
              <w:t>5.354</w:t>
            </w:r>
          </w:p>
        </w:tc>
        <w:tc>
          <w:tcPr>
            <w:tcW w:w="746" w:type="pct"/>
            <w:vAlign w:val="center"/>
          </w:tcPr>
          <w:p w14:paraId="76A14F8F">
            <w:pPr>
              <w:pStyle w:val="28"/>
              <w:rPr>
                <w:color w:val="000000" w:themeColor="text1"/>
                <w14:textFill>
                  <w14:solidFill>
                    <w14:schemeClr w14:val="tx1"/>
                  </w14:solidFill>
                </w14:textFill>
              </w:rPr>
            </w:pPr>
            <w:r>
              <w:rPr>
                <w:color w:val="000000" w:themeColor="text1"/>
                <w14:textFill>
                  <w14:solidFill>
                    <w14:schemeClr w14:val="tx1"/>
                  </w14:solidFill>
                </w14:textFill>
              </w:rPr>
              <w:t>0.535</w:t>
            </w:r>
          </w:p>
        </w:tc>
        <w:tc>
          <w:tcPr>
            <w:tcW w:w="903" w:type="pct"/>
            <w:vAlign w:val="center"/>
          </w:tcPr>
          <w:p w14:paraId="2576055B">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67" w:type="pct"/>
            <w:vAlign w:val="center"/>
          </w:tcPr>
          <w:p w14:paraId="3BB836D2">
            <w:pPr>
              <w:pStyle w:val="28"/>
              <w:rPr>
                <w:color w:val="000000" w:themeColor="text1"/>
                <w14:textFill>
                  <w14:solidFill>
                    <w14:schemeClr w14:val="tx1"/>
                  </w14:solidFill>
                </w14:textFill>
              </w:rPr>
            </w:pPr>
            <w:r>
              <w:rPr>
                <w:color w:val="000000" w:themeColor="text1"/>
                <w14:textFill>
                  <w14:solidFill>
                    <w14:schemeClr w14:val="tx1"/>
                  </w14:solidFill>
                </w14:textFill>
              </w:rPr>
              <w:t>粉状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瓶装</w:t>
            </w:r>
          </w:p>
        </w:tc>
      </w:tr>
      <w:tr w14:paraId="10D3F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264" w:type="pct"/>
            <w:vAlign w:val="center"/>
          </w:tcPr>
          <w:p w14:paraId="3AEF1E23">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69" w:type="pct"/>
            <w:gridSpan w:val="2"/>
            <w:vAlign w:val="center"/>
          </w:tcPr>
          <w:p w14:paraId="0263F2A5">
            <w:pPr>
              <w:pStyle w:val="28"/>
              <w:rPr>
                <w:color w:val="000000" w:themeColor="text1"/>
                <w14:textFill>
                  <w14:solidFill>
                    <w14:schemeClr w14:val="tx1"/>
                  </w14:solidFill>
                </w14:textFill>
              </w:rPr>
            </w:pPr>
            <w:r>
              <w:rPr>
                <w:color w:val="000000" w:themeColor="text1"/>
                <w14:textFill>
                  <w14:solidFill>
                    <w14:schemeClr w14:val="tx1"/>
                  </w14:solidFill>
                </w14:textFill>
              </w:rPr>
              <w:t>五硫化二磷</w:t>
            </w:r>
          </w:p>
        </w:tc>
        <w:tc>
          <w:tcPr>
            <w:tcW w:w="436" w:type="pct"/>
            <w:vAlign w:val="center"/>
          </w:tcPr>
          <w:p w14:paraId="4F6053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3D7C7BC1">
            <w:pPr>
              <w:pStyle w:val="28"/>
              <w:rPr>
                <w:color w:val="000000" w:themeColor="text1"/>
                <w14:textFill>
                  <w14:solidFill>
                    <w14:schemeClr w14:val="tx1"/>
                  </w14:solidFill>
                </w14:textFill>
              </w:rPr>
            </w:pPr>
            <w:r>
              <w:rPr>
                <w:color w:val="000000" w:themeColor="text1"/>
                <w14:textFill>
                  <w14:solidFill>
                    <w14:schemeClr w14:val="tx1"/>
                  </w14:solidFill>
                </w14:textFill>
              </w:rPr>
              <w:t>5.168</w:t>
            </w:r>
          </w:p>
        </w:tc>
        <w:tc>
          <w:tcPr>
            <w:tcW w:w="746" w:type="pct"/>
            <w:vAlign w:val="center"/>
          </w:tcPr>
          <w:p w14:paraId="6BA46B22">
            <w:pPr>
              <w:pStyle w:val="28"/>
              <w:rPr>
                <w:color w:val="000000" w:themeColor="text1"/>
                <w14:textFill>
                  <w14:solidFill>
                    <w14:schemeClr w14:val="tx1"/>
                  </w14:solidFill>
                </w14:textFill>
              </w:rPr>
            </w:pPr>
            <w:r>
              <w:rPr>
                <w:color w:val="000000" w:themeColor="text1"/>
                <w14:textFill>
                  <w14:solidFill>
                    <w14:schemeClr w14:val="tx1"/>
                  </w14:solidFill>
                </w14:textFill>
              </w:rPr>
              <w:t>0.517</w:t>
            </w:r>
          </w:p>
        </w:tc>
        <w:tc>
          <w:tcPr>
            <w:tcW w:w="903" w:type="pct"/>
            <w:vAlign w:val="center"/>
          </w:tcPr>
          <w:p w14:paraId="1DAEF742">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67" w:type="pct"/>
            <w:vAlign w:val="center"/>
          </w:tcPr>
          <w:p w14:paraId="5C5054D9">
            <w:pPr>
              <w:pStyle w:val="28"/>
              <w:rPr>
                <w:color w:val="000000" w:themeColor="text1"/>
                <w14:textFill>
                  <w14:solidFill>
                    <w14:schemeClr w14:val="tx1"/>
                  </w14:solidFill>
                </w14:textFill>
              </w:rPr>
            </w:pPr>
            <w:r>
              <w:rPr>
                <w:color w:val="000000" w:themeColor="text1"/>
                <w14:textFill>
                  <w14:solidFill>
                    <w14:schemeClr w14:val="tx1"/>
                  </w14:solidFill>
                </w14:textFill>
              </w:rPr>
              <w:t>粉状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瓶装</w:t>
            </w:r>
          </w:p>
        </w:tc>
      </w:tr>
      <w:tr w14:paraId="23C10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vAlign w:val="center"/>
          </w:tcPr>
          <w:p w14:paraId="2F1E2A74">
            <w:pPr>
              <w:pStyle w:val="28"/>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69" w:type="pct"/>
            <w:gridSpan w:val="2"/>
            <w:vAlign w:val="center"/>
          </w:tcPr>
          <w:p w14:paraId="334F7E5B">
            <w:pPr>
              <w:pStyle w:val="28"/>
              <w:rPr>
                <w:color w:val="000000" w:themeColor="text1"/>
                <w14:textFill>
                  <w14:solidFill>
                    <w14:schemeClr w14:val="tx1"/>
                  </w14:solidFill>
                </w14:textFill>
              </w:rPr>
            </w:pPr>
            <w:r>
              <w:rPr>
                <w:color w:val="000000" w:themeColor="text1"/>
                <w14:textFill>
                  <w14:solidFill>
                    <w14:schemeClr w14:val="tx1"/>
                  </w14:solidFill>
                </w14:textFill>
              </w:rPr>
              <w:t>氯化锂</w:t>
            </w:r>
          </w:p>
        </w:tc>
        <w:tc>
          <w:tcPr>
            <w:tcW w:w="436" w:type="pct"/>
            <w:vAlign w:val="center"/>
          </w:tcPr>
          <w:p w14:paraId="0BAF37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5BE5D766">
            <w:pPr>
              <w:pStyle w:val="28"/>
              <w:rPr>
                <w:color w:val="000000" w:themeColor="text1"/>
                <w14:textFill>
                  <w14:solidFill>
                    <w14:schemeClr w14:val="tx1"/>
                  </w14:solidFill>
                </w14:textFill>
              </w:rPr>
            </w:pPr>
            <w:r>
              <w:rPr>
                <w:color w:val="000000" w:themeColor="text1"/>
                <w14:textFill>
                  <w14:solidFill>
                    <w14:schemeClr w14:val="tx1"/>
                  </w14:solidFill>
                </w14:textFill>
              </w:rPr>
              <w:t>1.98</w:t>
            </w:r>
          </w:p>
        </w:tc>
        <w:tc>
          <w:tcPr>
            <w:tcW w:w="746" w:type="pct"/>
            <w:vAlign w:val="center"/>
          </w:tcPr>
          <w:p w14:paraId="1B855A85">
            <w:pPr>
              <w:pStyle w:val="28"/>
              <w:rPr>
                <w:color w:val="000000" w:themeColor="text1"/>
                <w14:textFill>
                  <w14:solidFill>
                    <w14:schemeClr w14:val="tx1"/>
                  </w14:solidFill>
                </w14:textFill>
              </w:rPr>
            </w:pPr>
            <w:r>
              <w:rPr>
                <w:color w:val="000000" w:themeColor="text1"/>
                <w14:textFill>
                  <w14:solidFill>
                    <w14:schemeClr w14:val="tx1"/>
                  </w14:solidFill>
                </w14:textFill>
              </w:rPr>
              <w:t>0.198</w:t>
            </w:r>
          </w:p>
        </w:tc>
        <w:tc>
          <w:tcPr>
            <w:tcW w:w="903" w:type="pct"/>
            <w:vAlign w:val="center"/>
          </w:tcPr>
          <w:p w14:paraId="65EE5A75">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67" w:type="pct"/>
            <w:vAlign w:val="center"/>
          </w:tcPr>
          <w:p w14:paraId="041138E9">
            <w:pPr>
              <w:pStyle w:val="28"/>
              <w:rPr>
                <w:color w:val="000000" w:themeColor="text1"/>
                <w14:textFill>
                  <w14:solidFill>
                    <w14:schemeClr w14:val="tx1"/>
                  </w14:solidFill>
                </w14:textFill>
              </w:rPr>
            </w:pPr>
            <w:r>
              <w:rPr>
                <w:color w:val="000000" w:themeColor="text1"/>
                <w14:textFill>
                  <w14:solidFill>
                    <w14:schemeClr w14:val="tx1"/>
                  </w14:solidFill>
                </w14:textFill>
              </w:rPr>
              <w:t>粉状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袋装</w:t>
            </w:r>
          </w:p>
        </w:tc>
      </w:tr>
      <w:tr w14:paraId="431CF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vAlign w:val="center"/>
          </w:tcPr>
          <w:p w14:paraId="3F24589D">
            <w:pPr>
              <w:pStyle w:val="28"/>
              <w:rPr>
                <w:color w:val="000000" w:themeColor="text1"/>
                <w14:textFill>
                  <w14:solidFill>
                    <w14:schemeClr w14:val="tx1"/>
                  </w14:solidFill>
                </w14:textFill>
              </w:rPr>
            </w:pPr>
            <w:r>
              <w:rPr>
                <w:color w:val="000000" w:themeColor="text1"/>
                <w14:textFill>
                  <w14:solidFill>
                    <w14:schemeClr w14:val="tx1"/>
                  </w14:solidFill>
                </w14:textFill>
              </w:rPr>
              <w:t>4</w:t>
            </w:r>
          </w:p>
        </w:tc>
        <w:tc>
          <w:tcPr>
            <w:tcW w:w="216" w:type="pct"/>
            <w:vMerge w:val="restart"/>
            <w:vAlign w:val="center"/>
          </w:tcPr>
          <w:p w14:paraId="70684444">
            <w:pPr>
              <w:pStyle w:val="28"/>
              <w:rPr>
                <w:color w:val="000000" w:themeColor="text1"/>
                <w14:textFill>
                  <w14:solidFill>
                    <w14:schemeClr w14:val="tx1"/>
                  </w14:solidFill>
                </w14:textFill>
              </w:rPr>
            </w:pPr>
            <w:r>
              <w:rPr>
                <w:color w:val="000000" w:themeColor="text1"/>
                <w14:textFill>
                  <w14:solidFill>
                    <w14:schemeClr w14:val="tx1"/>
                  </w14:solidFill>
                </w14:textFill>
              </w:rPr>
              <w:t>有机溶剂</w:t>
            </w:r>
          </w:p>
        </w:tc>
        <w:tc>
          <w:tcPr>
            <w:tcW w:w="953" w:type="pct"/>
            <w:vAlign w:val="center"/>
          </w:tcPr>
          <w:p w14:paraId="6B0FDE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环戊基甲醚</w:t>
            </w:r>
          </w:p>
        </w:tc>
        <w:tc>
          <w:tcPr>
            <w:tcW w:w="436" w:type="pct"/>
            <w:vAlign w:val="center"/>
          </w:tcPr>
          <w:p w14:paraId="5ADBF4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434EB0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746" w:type="pct"/>
            <w:vMerge w:val="restart"/>
            <w:vAlign w:val="center"/>
          </w:tcPr>
          <w:p w14:paraId="3CC8EC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903" w:type="pct"/>
            <w:vMerge w:val="restart"/>
            <w:vAlign w:val="center"/>
          </w:tcPr>
          <w:p w14:paraId="03339735">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67" w:type="pct"/>
            <w:vAlign w:val="center"/>
          </w:tcPr>
          <w:p w14:paraId="6D3C73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5130B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vAlign w:val="center"/>
          </w:tcPr>
          <w:p w14:paraId="4837E8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6" w:type="pct"/>
            <w:vMerge w:val="continue"/>
            <w:vAlign w:val="center"/>
          </w:tcPr>
          <w:p w14:paraId="23F0F8B1">
            <w:pPr>
              <w:pStyle w:val="28"/>
              <w:rPr>
                <w:color w:val="000000" w:themeColor="text1"/>
                <w14:textFill>
                  <w14:solidFill>
                    <w14:schemeClr w14:val="tx1"/>
                  </w14:solidFill>
                </w14:textFill>
              </w:rPr>
            </w:pPr>
          </w:p>
        </w:tc>
        <w:tc>
          <w:tcPr>
            <w:tcW w:w="953" w:type="pct"/>
            <w:vAlign w:val="center"/>
          </w:tcPr>
          <w:p w14:paraId="6E8151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碳酸二甲酯</w:t>
            </w:r>
          </w:p>
        </w:tc>
        <w:tc>
          <w:tcPr>
            <w:tcW w:w="436" w:type="pct"/>
            <w:shd w:val="clear" w:color="auto" w:fill="auto"/>
            <w:vAlign w:val="center"/>
          </w:tcPr>
          <w:p w14:paraId="721411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07035E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46" w:type="pct"/>
            <w:vMerge w:val="continue"/>
            <w:vAlign w:val="center"/>
          </w:tcPr>
          <w:p w14:paraId="273F8AAF">
            <w:pPr>
              <w:pStyle w:val="28"/>
              <w:rPr>
                <w:color w:val="000000" w:themeColor="text1"/>
                <w14:textFill>
                  <w14:solidFill>
                    <w14:schemeClr w14:val="tx1"/>
                  </w14:solidFill>
                </w14:textFill>
              </w:rPr>
            </w:pPr>
          </w:p>
        </w:tc>
        <w:tc>
          <w:tcPr>
            <w:tcW w:w="903" w:type="pct"/>
            <w:vMerge w:val="continue"/>
            <w:vAlign w:val="center"/>
          </w:tcPr>
          <w:p w14:paraId="4BB81BDD">
            <w:pPr>
              <w:pStyle w:val="28"/>
              <w:rPr>
                <w:color w:val="000000" w:themeColor="text1"/>
                <w14:textFill>
                  <w14:solidFill>
                    <w14:schemeClr w14:val="tx1"/>
                  </w14:solidFill>
                </w14:textFill>
              </w:rPr>
            </w:pPr>
          </w:p>
        </w:tc>
        <w:tc>
          <w:tcPr>
            <w:tcW w:w="867" w:type="pct"/>
            <w:vAlign w:val="center"/>
          </w:tcPr>
          <w:p w14:paraId="7111C1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65890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543841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6" w:type="pct"/>
            <w:vMerge w:val="continue"/>
            <w:vAlign w:val="center"/>
          </w:tcPr>
          <w:p w14:paraId="0D36AF6A">
            <w:pPr>
              <w:pStyle w:val="28"/>
              <w:rPr>
                <w:color w:val="000000" w:themeColor="text1"/>
                <w14:textFill>
                  <w14:solidFill>
                    <w14:schemeClr w14:val="tx1"/>
                  </w14:solidFill>
                </w14:textFill>
              </w:rPr>
            </w:pPr>
          </w:p>
        </w:tc>
        <w:tc>
          <w:tcPr>
            <w:tcW w:w="953" w:type="pct"/>
            <w:vAlign w:val="center"/>
          </w:tcPr>
          <w:p w14:paraId="05F421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正庚烷</w:t>
            </w:r>
          </w:p>
        </w:tc>
        <w:tc>
          <w:tcPr>
            <w:tcW w:w="436" w:type="pct"/>
            <w:shd w:val="clear" w:color="auto" w:fill="auto"/>
            <w:vAlign w:val="center"/>
          </w:tcPr>
          <w:p w14:paraId="01A46A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1BA6EE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46" w:type="pct"/>
            <w:vMerge w:val="continue"/>
            <w:vAlign w:val="center"/>
          </w:tcPr>
          <w:p w14:paraId="6E11B307">
            <w:pPr>
              <w:pStyle w:val="28"/>
              <w:rPr>
                <w:color w:val="000000" w:themeColor="text1"/>
                <w14:textFill>
                  <w14:solidFill>
                    <w14:schemeClr w14:val="tx1"/>
                  </w14:solidFill>
                </w14:textFill>
              </w:rPr>
            </w:pPr>
          </w:p>
        </w:tc>
        <w:tc>
          <w:tcPr>
            <w:tcW w:w="903" w:type="pct"/>
            <w:vMerge w:val="continue"/>
            <w:vAlign w:val="center"/>
          </w:tcPr>
          <w:p w14:paraId="380E06D2">
            <w:pPr>
              <w:pStyle w:val="28"/>
              <w:rPr>
                <w:color w:val="000000" w:themeColor="text1"/>
                <w14:textFill>
                  <w14:solidFill>
                    <w14:schemeClr w14:val="tx1"/>
                  </w14:solidFill>
                </w14:textFill>
              </w:rPr>
            </w:pPr>
          </w:p>
        </w:tc>
        <w:tc>
          <w:tcPr>
            <w:tcW w:w="867" w:type="pct"/>
            <w:vAlign w:val="center"/>
          </w:tcPr>
          <w:p w14:paraId="0D287E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000D8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54CB6A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16" w:type="pct"/>
            <w:vMerge w:val="continue"/>
            <w:vAlign w:val="center"/>
          </w:tcPr>
          <w:p w14:paraId="1AB59FC9">
            <w:pPr>
              <w:pStyle w:val="28"/>
              <w:rPr>
                <w:color w:val="000000" w:themeColor="text1"/>
                <w14:textFill>
                  <w14:solidFill>
                    <w14:schemeClr w14:val="tx1"/>
                  </w14:solidFill>
                </w14:textFill>
              </w:rPr>
            </w:pPr>
          </w:p>
        </w:tc>
        <w:tc>
          <w:tcPr>
            <w:tcW w:w="953" w:type="pct"/>
            <w:vAlign w:val="center"/>
          </w:tcPr>
          <w:p w14:paraId="44BFAE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三乙胺</w:t>
            </w:r>
          </w:p>
        </w:tc>
        <w:tc>
          <w:tcPr>
            <w:tcW w:w="436" w:type="pct"/>
            <w:shd w:val="clear" w:color="auto" w:fill="auto"/>
            <w:vAlign w:val="center"/>
          </w:tcPr>
          <w:p w14:paraId="08970F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263ED8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46" w:type="pct"/>
            <w:vMerge w:val="continue"/>
            <w:vAlign w:val="center"/>
          </w:tcPr>
          <w:p w14:paraId="53F402CE">
            <w:pPr>
              <w:pStyle w:val="28"/>
              <w:rPr>
                <w:color w:val="000000" w:themeColor="text1"/>
                <w14:textFill>
                  <w14:solidFill>
                    <w14:schemeClr w14:val="tx1"/>
                  </w14:solidFill>
                </w14:textFill>
              </w:rPr>
            </w:pPr>
          </w:p>
        </w:tc>
        <w:tc>
          <w:tcPr>
            <w:tcW w:w="903" w:type="pct"/>
            <w:vMerge w:val="continue"/>
            <w:vAlign w:val="center"/>
          </w:tcPr>
          <w:p w14:paraId="531C71A0">
            <w:pPr>
              <w:pStyle w:val="28"/>
              <w:rPr>
                <w:color w:val="000000" w:themeColor="text1"/>
                <w14:textFill>
                  <w14:solidFill>
                    <w14:schemeClr w14:val="tx1"/>
                  </w14:solidFill>
                </w14:textFill>
              </w:rPr>
            </w:pPr>
          </w:p>
        </w:tc>
        <w:tc>
          <w:tcPr>
            <w:tcW w:w="867" w:type="pct"/>
            <w:vAlign w:val="center"/>
          </w:tcPr>
          <w:p w14:paraId="053FEA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7FA89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21BD3E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16" w:type="pct"/>
            <w:vMerge w:val="continue"/>
            <w:vAlign w:val="center"/>
          </w:tcPr>
          <w:p w14:paraId="7405C1C5">
            <w:pPr>
              <w:pStyle w:val="28"/>
              <w:rPr>
                <w:color w:val="000000" w:themeColor="text1"/>
                <w14:textFill>
                  <w14:solidFill>
                    <w14:schemeClr w14:val="tx1"/>
                  </w14:solidFill>
                </w14:textFill>
              </w:rPr>
            </w:pPr>
          </w:p>
        </w:tc>
        <w:tc>
          <w:tcPr>
            <w:tcW w:w="953" w:type="pct"/>
            <w:vAlign w:val="center"/>
          </w:tcPr>
          <w:p w14:paraId="1BE790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环己烷</w:t>
            </w:r>
          </w:p>
        </w:tc>
        <w:tc>
          <w:tcPr>
            <w:tcW w:w="436" w:type="pct"/>
            <w:shd w:val="clear" w:color="auto" w:fill="auto"/>
            <w:vAlign w:val="center"/>
          </w:tcPr>
          <w:p w14:paraId="1D9071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49628B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46" w:type="pct"/>
            <w:vMerge w:val="continue"/>
            <w:vAlign w:val="center"/>
          </w:tcPr>
          <w:p w14:paraId="648F22BD">
            <w:pPr>
              <w:pStyle w:val="28"/>
              <w:rPr>
                <w:color w:val="000000" w:themeColor="text1"/>
                <w14:textFill>
                  <w14:solidFill>
                    <w14:schemeClr w14:val="tx1"/>
                  </w14:solidFill>
                </w14:textFill>
              </w:rPr>
            </w:pPr>
          </w:p>
        </w:tc>
        <w:tc>
          <w:tcPr>
            <w:tcW w:w="903" w:type="pct"/>
            <w:vMerge w:val="continue"/>
            <w:vAlign w:val="center"/>
          </w:tcPr>
          <w:p w14:paraId="62349A0E">
            <w:pPr>
              <w:pStyle w:val="28"/>
              <w:rPr>
                <w:color w:val="000000" w:themeColor="text1"/>
                <w14:textFill>
                  <w14:solidFill>
                    <w14:schemeClr w14:val="tx1"/>
                  </w14:solidFill>
                </w14:textFill>
              </w:rPr>
            </w:pPr>
          </w:p>
        </w:tc>
        <w:tc>
          <w:tcPr>
            <w:tcW w:w="867" w:type="pct"/>
            <w:vAlign w:val="center"/>
          </w:tcPr>
          <w:p w14:paraId="1706EC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1F3C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0295A1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16" w:type="pct"/>
            <w:vMerge w:val="continue"/>
            <w:vAlign w:val="center"/>
          </w:tcPr>
          <w:p w14:paraId="414F3095">
            <w:pPr>
              <w:pStyle w:val="28"/>
              <w:rPr>
                <w:color w:val="000000" w:themeColor="text1"/>
                <w14:textFill>
                  <w14:solidFill>
                    <w14:schemeClr w14:val="tx1"/>
                  </w14:solidFill>
                </w14:textFill>
              </w:rPr>
            </w:pPr>
          </w:p>
        </w:tc>
        <w:tc>
          <w:tcPr>
            <w:tcW w:w="953" w:type="pct"/>
            <w:vAlign w:val="center"/>
          </w:tcPr>
          <w:p w14:paraId="16078F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碳酸甲乙酯</w:t>
            </w:r>
          </w:p>
        </w:tc>
        <w:tc>
          <w:tcPr>
            <w:tcW w:w="436" w:type="pct"/>
            <w:shd w:val="clear" w:color="auto" w:fill="auto"/>
            <w:vAlign w:val="center"/>
          </w:tcPr>
          <w:p w14:paraId="3B2A93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6B7ACB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746" w:type="pct"/>
            <w:vMerge w:val="continue"/>
            <w:vAlign w:val="center"/>
          </w:tcPr>
          <w:p w14:paraId="60D777F5">
            <w:pPr>
              <w:pStyle w:val="28"/>
              <w:rPr>
                <w:color w:val="000000" w:themeColor="text1"/>
                <w14:textFill>
                  <w14:solidFill>
                    <w14:schemeClr w14:val="tx1"/>
                  </w14:solidFill>
                </w14:textFill>
              </w:rPr>
            </w:pPr>
          </w:p>
        </w:tc>
        <w:tc>
          <w:tcPr>
            <w:tcW w:w="903" w:type="pct"/>
            <w:vMerge w:val="continue"/>
            <w:vAlign w:val="center"/>
          </w:tcPr>
          <w:p w14:paraId="4521EA6A">
            <w:pPr>
              <w:pStyle w:val="28"/>
              <w:rPr>
                <w:color w:val="000000" w:themeColor="text1"/>
                <w14:textFill>
                  <w14:solidFill>
                    <w14:schemeClr w14:val="tx1"/>
                  </w14:solidFill>
                </w14:textFill>
              </w:rPr>
            </w:pPr>
          </w:p>
        </w:tc>
        <w:tc>
          <w:tcPr>
            <w:tcW w:w="867" w:type="pct"/>
            <w:vAlign w:val="center"/>
          </w:tcPr>
          <w:p w14:paraId="412ABA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3866D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7BBEC9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16" w:type="pct"/>
            <w:vMerge w:val="continue"/>
            <w:vAlign w:val="center"/>
          </w:tcPr>
          <w:p w14:paraId="6146E097">
            <w:pPr>
              <w:pStyle w:val="28"/>
              <w:rPr>
                <w:color w:val="000000" w:themeColor="text1"/>
                <w14:textFill>
                  <w14:solidFill>
                    <w14:schemeClr w14:val="tx1"/>
                  </w14:solidFill>
                </w14:textFill>
              </w:rPr>
            </w:pPr>
          </w:p>
        </w:tc>
        <w:tc>
          <w:tcPr>
            <w:tcW w:w="953" w:type="pct"/>
            <w:vAlign w:val="center"/>
          </w:tcPr>
          <w:p w14:paraId="7722ED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异丁酸异丁酯</w:t>
            </w:r>
          </w:p>
        </w:tc>
        <w:tc>
          <w:tcPr>
            <w:tcW w:w="436" w:type="pct"/>
            <w:shd w:val="clear" w:color="auto" w:fill="auto"/>
            <w:vAlign w:val="center"/>
          </w:tcPr>
          <w:p w14:paraId="120C8F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06DF90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746" w:type="pct"/>
            <w:vMerge w:val="continue"/>
            <w:vAlign w:val="center"/>
          </w:tcPr>
          <w:p w14:paraId="49C284BA">
            <w:pPr>
              <w:pStyle w:val="28"/>
              <w:rPr>
                <w:color w:val="000000" w:themeColor="text1"/>
                <w14:textFill>
                  <w14:solidFill>
                    <w14:schemeClr w14:val="tx1"/>
                  </w14:solidFill>
                </w14:textFill>
              </w:rPr>
            </w:pPr>
          </w:p>
        </w:tc>
        <w:tc>
          <w:tcPr>
            <w:tcW w:w="903" w:type="pct"/>
            <w:vMerge w:val="continue"/>
            <w:vAlign w:val="center"/>
          </w:tcPr>
          <w:p w14:paraId="466AAA43">
            <w:pPr>
              <w:pStyle w:val="28"/>
              <w:rPr>
                <w:color w:val="000000" w:themeColor="text1"/>
                <w14:textFill>
                  <w14:solidFill>
                    <w14:schemeClr w14:val="tx1"/>
                  </w14:solidFill>
                </w14:textFill>
              </w:rPr>
            </w:pPr>
          </w:p>
        </w:tc>
        <w:tc>
          <w:tcPr>
            <w:tcW w:w="867" w:type="pct"/>
            <w:shd w:val="clear" w:color="auto" w:fill="auto"/>
            <w:vAlign w:val="center"/>
          </w:tcPr>
          <w:p w14:paraId="0512AC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19964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64" w:type="pct"/>
            <w:shd w:val="clear" w:color="auto" w:fill="auto"/>
            <w:vAlign w:val="center"/>
          </w:tcPr>
          <w:p w14:paraId="5CC27E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216" w:type="pct"/>
            <w:vMerge w:val="continue"/>
            <w:vAlign w:val="center"/>
          </w:tcPr>
          <w:p w14:paraId="2C6DCAED">
            <w:pPr>
              <w:pStyle w:val="28"/>
              <w:rPr>
                <w:color w:val="000000" w:themeColor="text1"/>
                <w14:textFill>
                  <w14:solidFill>
                    <w14:schemeClr w14:val="tx1"/>
                  </w14:solidFill>
                </w14:textFill>
              </w:rPr>
            </w:pPr>
          </w:p>
        </w:tc>
        <w:tc>
          <w:tcPr>
            <w:tcW w:w="953" w:type="pct"/>
            <w:vAlign w:val="center"/>
          </w:tcPr>
          <w:p w14:paraId="0B0EA1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无水乙醇</w:t>
            </w:r>
          </w:p>
        </w:tc>
        <w:tc>
          <w:tcPr>
            <w:tcW w:w="436" w:type="pct"/>
            <w:shd w:val="clear" w:color="auto" w:fill="auto"/>
            <w:vAlign w:val="center"/>
          </w:tcPr>
          <w:p w14:paraId="4B48C1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41216F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46" w:type="pct"/>
            <w:vMerge w:val="continue"/>
            <w:vAlign w:val="center"/>
          </w:tcPr>
          <w:p w14:paraId="3AB5B7F4">
            <w:pPr>
              <w:pStyle w:val="28"/>
              <w:rPr>
                <w:color w:val="000000" w:themeColor="text1"/>
                <w14:textFill>
                  <w14:solidFill>
                    <w14:schemeClr w14:val="tx1"/>
                  </w14:solidFill>
                </w14:textFill>
              </w:rPr>
            </w:pPr>
          </w:p>
        </w:tc>
        <w:tc>
          <w:tcPr>
            <w:tcW w:w="903" w:type="pct"/>
            <w:vMerge w:val="continue"/>
            <w:vAlign w:val="center"/>
          </w:tcPr>
          <w:p w14:paraId="685ECCFA">
            <w:pPr>
              <w:pStyle w:val="28"/>
              <w:rPr>
                <w:color w:val="000000" w:themeColor="text1"/>
                <w14:textFill>
                  <w14:solidFill>
                    <w14:schemeClr w14:val="tx1"/>
                  </w14:solidFill>
                </w14:textFill>
              </w:rPr>
            </w:pPr>
          </w:p>
        </w:tc>
        <w:tc>
          <w:tcPr>
            <w:tcW w:w="867" w:type="pct"/>
            <w:shd w:val="clear" w:color="auto" w:fill="auto"/>
            <w:vAlign w:val="center"/>
          </w:tcPr>
          <w:p w14:paraId="17EA7B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液态、桶装</w:t>
            </w:r>
          </w:p>
        </w:tc>
      </w:tr>
      <w:tr w14:paraId="2FFD3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4" w:type="pct"/>
            <w:shd w:val="clear" w:color="auto" w:fill="auto"/>
            <w:vAlign w:val="center"/>
          </w:tcPr>
          <w:p w14:paraId="35365C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9" w:type="pct"/>
            <w:gridSpan w:val="2"/>
            <w:vAlign w:val="center"/>
          </w:tcPr>
          <w:p w14:paraId="018F0B75">
            <w:pPr>
              <w:pStyle w:val="28"/>
              <w:rPr>
                <w:color w:val="000000" w:themeColor="text1"/>
                <w14:textFill>
                  <w14:solidFill>
                    <w14:schemeClr w14:val="tx1"/>
                  </w14:solidFill>
                </w14:textFill>
              </w:rPr>
            </w:pPr>
            <w:r>
              <w:rPr>
                <w:color w:val="000000" w:themeColor="text1"/>
                <w14:textFill>
                  <w14:solidFill>
                    <w14:schemeClr w14:val="tx1"/>
                  </w14:solidFill>
                </w14:textFill>
              </w:rPr>
              <w:t>液氮</w:t>
            </w:r>
          </w:p>
        </w:tc>
        <w:tc>
          <w:tcPr>
            <w:tcW w:w="436" w:type="pct"/>
            <w:vAlign w:val="center"/>
          </w:tcPr>
          <w:p w14:paraId="67B745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vAlign w:val="center"/>
          </w:tcPr>
          <w:p w14:paraId="7CF0EEBF">
            <w:pPr>
              <w:pStyle w:val="28"/>
              <w:rPr>
                <w:color w:val="000000" w:themeColor="text1"/>
                <w14:textFill>
                  <w14:solidFill>
                    <w14:schemeClr w14:val="tx1"/>
                  </w14:solidFill>
                </w14:textFill>
              </w:rPr>
            </w:pPr>
            <w:r>
              <w:rPr>
                <w:color w:val="000000" w:themeColor="text1"/>
                <w14:textFill>
                  <w14:solidFill>
                    <w14:schemeClr w14:val="tx1"/>
                  </w14:solidFill>
                </w14:textFill>
              </w:rPr>
              <w:t>540</w:t>
            </w:r>
          </w:p>
        </w:tc>
        <w:tc>
          <w:tcPr>
            <w:tcW w:w="746" w:type="pct"/>
            <w:vAlign w:val="center"/>
          </w:tcPr>
          <w:p w14:paraId="42041F1B">
            <w:pPr>
              <w:pStyle w:val="28"/>
              <w:rPr>
                <w:color w:val="000000" w:themeColor="text1"/>
                <w14:textFill>
                  <w14:solidFill>
                    <w14:schemeClr w14:val="tx1"/>
                  </w14:solidFill>
                </w14:textFill>
              </w:rPr>
            </w:pPr>
            <w:r>
              <w:rPr>
                <w:color w:val="000000" w:themeColor="text1"/>
                <w14:textFill>
                  <w14:solidFill>
                    <w14:schemeClr w14:val="tx1"/>
                  </w14:solidFill>
                </w14:textFill>
              </w:rPr>
              <w:t>27</w:t>
            </w:r>
          </w:p>
        </w:tc>
        <w:tc>
          <w:tcPr>
            <w:tcW w:w="903" w:type="pct"/>
            <w:vAlign w:val="center"/>
          </w:tcPr>
          <w:p w14:paraId="332A2341">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67" w:type="pct"/>
            <w:vAlign w:val="center"/>
          </w:tcPr>
          <w:p w14:paraId="72974349">
            <w:pPr>
              <w:pStyle w:val="28"/>
              <w:rPr>
                <w:color w:val="000000" w:themeColor="text1"/>
                <w14:textFill>
                  <w14:solidFill>
                    <w14:schemeClr w14:val="tx1"/>
                  </w14:solidFill>
                </w14:textFill>
              </w:rPr>
            </w:pPr>
            <w:r>
              <w:rPr>
                <w:color w:val="000000" w:themeColor="text1"/>
                <w14:textFill>
                  <w14:solidFill>
                    <w14:schemeClr w14:val="tx1"/>
                  </w14:solidFill>
                </w14:textFill>
              </w:rPr>
              <w:t>液态</w:t>
            </w:r>
            <w:r>
              <w:rPr>
                <w:rFonts w:hint="eastAsia"/>
                <w:color w:val="000000" w:themeColor="text1"/>
                <w14:textFill>
                  <w14:solidFill>
                    <w14:schemeClr w14:val="tx1"/>
                  </w14:solidFill>
                </w14:textFill>
              </w:rPr>
              <w:t>、罐装</w:t>
            </w:r>
          </w:p>
        </w:tc>
      </w:tr>
      <w:tr w14:paraId="75530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4" w:type="pct"/>
            <w:shd w:val="clear" w:color="auto" w:fill="auto"/>
            <w:vAlign w:val="center"/>
          </w:tcPr>
          <w:p w14:paraId="211D28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169" w:type="pct"/>
            <w:gridSpan w:val="2"/>
            <w:shd w:val="clear" w:color="auto" w:fill="auto"/>
            <w:vAlign w:val="center"/>
          </w:tcPr>
          <w:p w14:paraId="76A095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导热油</w:t>
            </w:r>
          </w:p>
        </w:tc>
        <w:tc>
          <w:tcPr>
            <w:tcW w:w="436" w:type="pct"/>
            <w:shd w:val="clear" w:color="auto" w:fill="auto"/>
            <w:vAlign w:val="center"/>
          </w:tcPr>
          <w:p w14:paraId="099517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611" w:type="pct"/>
            <w:shd w:val="clear" w:color="auto" w:fill="auto"/>
            <w:vAlign w:val="center"/>
          </w:tcPr>
          <w:p w14:paraId="37AC25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746" w:type="pct"/>
            <w:shd w:val="clear" w:color="auto" w:fill="auto"/>
            <w:vAlign w:val="center"/>
          </w:tcPr>
          <w:p w14:paraId="622BD1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903" w:type="pct"/>
            <w:shd w:val="clear" w:color="auto" w:fill="auto"/>
            <w:vAlign w:val="center"/>
          </w:tcPr>
          <w:p w14:paraId="461C70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设备内2-5年更换1次</w:t>
            </w:r>
          </w:p>
        </w:tc>
        <w:tc>
          <w:tcPr>
            <w:tcW w:w="867" w:type="pct"/>
            <w:shd w:val="clear" w:color="auto" w:fill="auto"/>
            <w:vAlign w:val="center"/>
          </w:tcPr>
          <w:p w14:paraId="4C084B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r>
      <w:tr w14:paraId="7D9E0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4" w:type="pct"/>
            <w:shd w:val="clear" w:color="auto" w:fill="auto"/>
            <w:vAlign w:val="center"/>
          </w:tcPr>
          <w:p w14:paraId="0CEAEF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169" w:type="pct"/>
            <w:gridSpan w:val="2"/>
            <w:vAlign w:val="center"/>
          </w:tcPr>
          <w:p w14:paraId="2BE77E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tc>
        <w:tc>
          <w:tcPr>
            <w:tcW w:w="436" w:type="pct"/>
            <w:vAlign w:val="center"/>
          </w:tcPr>
          <w:p w14:paraId="6AF186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611" w:type="pct"/>
            <w:vAlign w:val="center"/>
          </w:tcPr>
          <w:p w14:paraId="4EC9AB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2268.4</w:t>
            </w:r>
          </w:p>
        </w:tc>
        <w:tc>
          <w:tcPr>
            <w:tcW w:w="746" w:type="pct"/>
            <w:vAlign w:val="center"/>
          </w:tcPr>
          <w:p w14:paraId="29CA7C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03" w:type="pct"/>
            <w:vAlign w:val="center"/>
          </w:tcPr>
          <w:p w14:paraId="582991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7" w:type="pct"/>
            <w:vAlign w:val="center"/>
          </w:tcPr>
          <w:p w14:paraId="4DB396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1E28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4" w:type="pct"/>
            <w:shd w:val="clear" w:color="auto" w:fill="auto"/>
            <w:vAlign w:val="center"/>
          </w:tcPr>
          <w:p w14:paraId="32A2B1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69" w:type="pct"/>
            <w:gridSpan w:val="2"/>
            <w:vAlign w:val="center"/>
          </w:tcPr>
          <w:p w14:paraId="266EB1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w:t>
            </w:r>
          </w:p>
        </w:tc>
        <w:tc>
          <w:tcPr>
            <w:tcW w:w="436" w:type="pct"/>
            <w:vAlign w:val="center"/>
          </w:tcPr>
          <w:p w14:paraId="7F98EE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KWh</w:t>
            </w:r>
          </w:p>
        </w:tc>
        <w:tc>
          <w:tcPr>
            <w:tcW w:w="611" w:type="pct"/>
            <w:vAlign w:val="center"/>
          </w:tcPr>
          <w:p w14:paraId="290BFA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3960000</w:t>
            </w:r>
          </w:p>
        </w:tc>
        <w:tc>
          <w:tcPr>
            <w:tcW w:w="746" w:type="pct"/>
            <w:vAlign w:val="center"/>
          </w:tcPr>
          <w:p w14:paraId="4BA5C1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03" w:type="pct"/>
            <w:vAlign w:val="center"/>
          </w:tcPr>
          <w:p w14:paraId="31029A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7" w:type="pct"/>
            <w:vAlign w:val="center"/>
          </w:tcPr>
          <w:p w14:paraId="4BE381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1974A27A">
      <w:pPr>
        <w:spacing w:line="240" w:lineRule="auto"/>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注】1、根据工艺设计，物料和有机溶剂的添加比例为：1：2~1：8，本次物料平衡按1：8考虑，本项目物料使用量为12.502t/a，则有机溶剂的添加量为100.016t/a。根据客户需求，本项目有机溶剂使用种类和数量不固定，本次环评统计的为有机溶剂单组分单独使用的最大量。</w:t>
      </w:r>
    </w:p>
    <w:p w14:paraId="2A89DFFD">
      <w:pPr>
        <w:spacing w:line="240" w:lineRule="auto"/>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2、根据水平衡，本项目用水量为10.352m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/d，其中冷却水循环系统定期排污水补充水1.8m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/次、喷淋循环系统定期排污废液补充水1.m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/次，均为补充一次。因此，本项目用水量为2268.4m</w:t>
      </w:r>
      <w:r>
        <w:rPr>
          <w:rFonts w:hint="eastAsia"/>
          <w:i/>
          <w:iCs/>
          <w:color w:val="000000" w:themeColor="text1"/>
          <w:sz w:val="21"/>
          <w:szCs w:val="21"/>
          <w:vertAlign w:val="superscript"/>
          <w14:textFill>
            <w14:solidFill>
              <w14:schemeClr w14:val="tx1"/>
            </w14:solidFill>
          </w14:textFill>
        </w:rPr>
        <w:t>3</w:t>
      </w:r>
      <w:r>
        <w:rPr>
          <w:rFonts w:hint="eastAsia"/>
          <w:i/>
          <w:iCs/>
          <w:color w:val="000000" w:themeColor="text1"/>
          <w:sz w:val="21"/>
          <w:szCs w:val="21"/>
          <w14:textFill>
            <w14:solidFill>
              <w14:schemeClr w14:val="tx1"/>
            </w14:solidFill>
          </w14:textFill>
        </w:rPr>
        <w:t>/a。</w:t>
      </w:r>
    </w:p>
    <w:p w14:paraId="3374F672">
      <w:pPr>
        <w:spacing w:line="240" w:lineRule="auto"/>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3、本项目检验室对产品进行电流阻抗分析、激光粒度测试，其中产品激光粒度测试用到99.9%环戊己甲醚，用料较小，因此未单独统计。</w:t>
      </w:r>
    </w:p>
    <w:p w14:paraId="0662B332">
      <w:pPr>
        <w:ind w:firstLine="482"/>
        <w:rPr>
          <w:color w:val="000000" w:themeColor="text1"/>
          <w14:textFill>
            <w14:solidFill>
              <w14:schemeClr w14:val="tx1"/>
            </w14:solidFill>
          </w14:textFill>
        </w:rPr>
      </w:pPr>
      <w:r>
        <w:rPr>
          <w:b/>
          <w:bCs/>
          <w:color w:val="000000" w:themeColor="text1"/>
          <w14:textFill>
            <w14:solidFill>
              <w14:schemeClr w14:val="tx1"/>
            </w14:solidFill>
          </w14:textFill>
        </w:rPr>
        <w:t>主要化学品原料理化性质：</w:t>
      </w:r>
    </w:p>
    <w:p w14:paraId="53C48F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本项目主要原辅料MSDS说明书详见附件4，各原辅料理化性质如下：</w:t>
      </w:r>
    </w:p>
    <w:p w14:paraId="1381472E">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硫化锂</w:t>
      </w:r>
    </w:p>
    <w:p w14:paraId="61946429">
      <w:pPr>
        <w:ind w:firstLine="480"/>
        <w:rPr>
          <w:color w:val="000000" w:themeColor="text1"/>
          <w14:textFill>
            <w14:solidFill>
              <w14:schemeClr w14:val="tx1"/>
            </w14:solidFill>
          </w14:textFill>
        </w:rPr>
      </w:pPr>
      <w:r>
        <w:rPr>
          <w:color w:val="000000" w:themeColor="text1"/>
          <w14:textFill>
            <w14:solidFill>
              <w14:schemeClr w14:val="tx1"/>
            </w14:solidFill>
          </w14:textFill>
        </w:rPr>
        <w:t>硫化锂：分子式：Li</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S，为锂的硫化物，分子量：45.95。白色至黄色晶体。具有反萤石结构。比重1.66（水=1），熔点938℃，沸点1372℃。易溶于水，可溶于乙醇，溶于酸，不溶于碱。可作为可充电锂离子电池中的潜在电解质材料。</w:t>
      </w:r>
    </w:p>
    <w:p w14:paraId="14D3586E">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五硫化二磷</w:t>
      </w:r>
    </w:p>
    <w:p w14:paraId="0AF43E25">
      <w:pPr>
        <w:ind w:firstLine="480"/>
        <w:rPr>
          <w:color w:val="000000" w:themeColor="text1"/>
          <w14:textFill>
            <w14:solidFill>
              <w14:schemeClr w14:val="tx1"/>
            </w14:solidFill>
          </w14:textFill>
        </w:rPr>
      </w:pPr>
      <w:r>
        <w:rPr>
          <w:color w:val="000000" w:themeColor="text1"/>
          <w14:textFill>
            <w14:solidFill>
              <w14:schemeClr w14:val="tx1"/>
            </w14:solidFill>
          </w14:textFill>
        </w:rPr>
        <w:t>五硫化二磷：是一种无机化合物物，化学式为P</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，为黄色固体，干燥时稳定，遇水水解成磷酸和硫化氢故在空气中有臭鸡蛋味道。密度：2.09g/cm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，熔点：286℃，沸点：514℃，溶于二硫化碳，溶于碱水溶液。</w:t>
      </w:r>
    </w:p>
    <w:p w14:paraId="5700BE2C">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氯化锂</w:t>
      </w:r>
    </w:p>
    <w:p w14:paraId="528C88AE">
      <w:pPr>
        <w:ind w:firstLine="480"/>
        <w:rPr>
          <w:color w:val="000000" w:themeColor="text1"/>
          <w14:textFill>
            <w14:solidFill>
              <w14:schemeClr w14:val="tx1"/>
            </w14:solidFill>
          </w14:textFill>
        </w:rPr>
      </w:pPr>
      <w:r>
        <w:rPr>
          <w:color w:val="000000" w:themeColor="text1"/>
          <w14:textFill>
            <w14:solidFill>
              <w14:schemeClr w14:val="tx1"/>
            </w14:solidFill>
          </w14:textFill>
        </w:rPr>
        <w:t>氯化锂是一种无机物，分子式为LiCl，分子量为42.39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白色的晶体，具有潮解性。味咸，易溶于水，乙醇、丙酮、吡啶等有机溶剂。属于低毒类，但对眼睛和粘膜具有强烈的刺激和腐蚀作用。</w:t>
      </w:r>
    </w:p>
    <w:p w14:paraId="74646E3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有机溶剂</w:t>
      </w:r>
    </w:p>
    <w:p w14:paraId="4BE579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根据客户需求，有机溶剂主要使用环戊基甲醚、碳酸二甲酯、正庚烷、三乙胺、环己烷、碳酸甲乙酯、异丁酸异丁酯、无水乙醇。</w:t>
      </w:r>
    </w:p>
    <w:p w14:paraId="3D83E87E">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环戊甲醚（C₆H₁₂O）</w:t>
      </w:r>
      <w:r>
        <w:rPr>
          <w:rFonts w:hint="eastAsia"/>
          <w:b/>
          <w:bCs/>
          <w:color w:val="000000" w:themeColor="text1"/>
          <w14:textFill>
            <w14:solidFill>
              <w14:schemeClr w14:val="tx1"/>
            </w14:solidFill>
          </w14:textFill>
        </w:rPr>
        <w:t>：</w:t>
      </w:r>
      <w:r>
        <w:rPr>
          <w:color w:val="000000" w:themeColor="text1"/>
          <w14:textFill>
            <w14:solidFill>
              <w14:schemeClr w14:val="tx1"/>
            </w14:solidFill>
          </w14:textFill>
        </w:rPr>
        <w:t>无色液体，密度</w:t>
      </w:r>
      <w:r>
        <w:rPr>
          <w:rFonts w:hint="eastAsia"/>
          <w:color w:val="000000" w:themeColor="text1"/>
          <w14:textFill>
            <w14:solidFill>
              <w14:schemeClr w14:val="tx1"/>
            </w14:solidFill>
          </w14:textFill>
        </w:rPr>
        <w:t>0.86</w:t>
      </w:r>
      <w:r>
        <w:rPr>
          <w:color w:val="000000" w:themeColor="text1"/>
          <w14:textFill>
            <w14:solidFill>
              <w14:schemeClr w14:val="tx1"/>
            </w14:solidFill>
          </w14:textFill>
        </w:rPr>
        <w:t>g/cm³，</w:t>
      </w:r>
      <w:r>
        <w:rPr>
          <w:rFonts w:hint="eastAsia"/>
          <w:color w:val="000000" w:themeColor="text1"/>
          <w14:textFill>
            <w14:solidFill>
              <w14:schemeClr w14:val="tx1"/>
            </w14:solidFill>
          </w14:textFill>
        </w:rPr>
        <w:t>熔点-134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106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易燃液体，自然温度180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低极性醚类溶剂，与水部分混溶，溶解树脂、橡胶能力强。化学稳定性较高，需避免强氧化剂接触。</w:t>
      </w:r>
    </w:p>
    <w:p w14:paraId="087B10BB">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碳酸二甲酯（C₃H₆O₃）‌：</w:t>
      </w:r>
      <w:r>
        <w:rPr>
          <w:color w:val="000000" w:themeColor="text1"/>
          <w14:textFill>
            <w14:solidFill>
              <w14:schemeClr w14:val="tx1"/>
            </w14:solidFill>
          </w14:textFill>
        </w:rPr>
        <w:t>无色透明液体，密度1.0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g/cm³，</w:t>
      </w:r>
      <w:r>
        <w:rPr>
          <w:rFonts w:hint="eastAsia"/>
          <w:color w:val="000000" w:themeColor="text1"/>
          <w14:textFill>
            <w14:solidFill>
              <w14:schemeClr w14:val="tx1"/>
            </w14:solidFill>
          </w14:textFill>
        </w:rPr>
        <w:t>熔点4.65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沸点90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，闪点16.7</w:t>
      </w:r>
      <w:r>
        <w:rPr>
          <w:color w:val="000000" w:themeColor="text1"/>
          <w14:textFill>
            <w14:solidFill>
              <w14:schemeClr w14:val="tx1"/>
            </w14:solidFill>
          </w14:textFill>
        </w:rPr>
        <w:t>℃。低毒环保溶剂，与水部分混溶，可与醇、醚混溶。</w:t>
      </w:r>
    </w:p>
    <w:p w14:paraId="743D7912">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庚烷（C</w:t>
      </w:r>
      <w:r>
        <w:rPr>
          <w:rFonts w:hint="eastAsia"/>
          <w:b/>
          <w:bCs/>
          <w:color w:val="000000" w:themeColor="text1"/>
          <w:vertAlign w:val="subscript"/>
          <w14:textFill>
            <w14:solidFill>
              <w14:schemeClr w14:val="tx1"/>
            </w14:solidFill>
          </w14:textFill>
        </w:rPr>
        <w:t>7</w:t>
      </w:r>
      <w:r>
        <w:rPr>
          <w:rFonts w:hint="eastAsia"/>
          <w:b/>
          <w:bCs/>
          <w:color w:val="000000" w:themeColor="text1"/>
          <w14:textFill>
            <w14:solidFill>
              <w14:schemeClr w14:val="tx1"/>
            </w14:solidFill>
          </w14:textFill>
        </w:rPr>
        <w:t>H</w:t>
      </w:r>
      <w:r>
        <w:rPr>
          <w:rFonts w:hint="eastAsia"/>
          <w:b/>
          <w:bCs/>
          <w:color w:val="000000" w:themeColor="text1"/>
          <w:vertAlign w:val="subscript"/>
          <w14:textFill>
            <w14:solidFill>
              <w14:schemeClr w14:val="tx1"/>
            </w14:solidFill>
          </w14:textFill>
        </w:rPr>
        <w:t>16</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常温下为无色透明液体，具有类似汽油的微弱气味。</w:t>
      </w:r>
      <w:r>
        <w:rPr>
          <w:color w:val="000000" w:themeColor="text1"/>
          <w14:textFill>
            <w14:solidFill>
              <w14:schemeClr w14:val="tx1"/>
            </w14:solidFill>
          </w14:textFill>
        </w:rPr>
        <w:t>密度0.</w:t>
      </w:r>
      <w:r>
        <w:rPr>
          <w:rFonts w:hint="eastAsia"/>
          <w:color w:val="000000" w:themeColor="text1"/>
          <w14:textFill>
            <w14:solidFill>
              <w14:schemeClr w14:val="tx1"/>
            </w14:solidFill>
          </w14:textFill>
        </w:rPr>
        <w:t>68</w:t>
      </w:r>
      <w:r>
        <w:rPr>
          <w:color w:val="000000" w:themeColor="text1"/>
          <w14:textFill>
            <w14:solidFill>
              <w14:schemeClr w14:val="tx1"/>
            </w14:solidFill>
          </w14:textFill>
        </w:rPr>
        <w:t xml:space="preserve"> g/cm³，</w:t>
      </w:r>
      <w:r>
        <w:rPr>
          <w:rFonts w:hint="eastAsia"/>
          <w:color w:val="000000" w:themeColor="text1"/>
          <w14:textFill>
            <w14:solidFill>
              <w14:schemeClr w14:val="tx1"/>
            </w14:solidFill>
          </w14:textFill>
        </w:rPr>
        <w:t>熔点-91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98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。易燃液体，自然温度285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，不溶于水，溶于乙醇常温下化学性质稳定，不易与强酸、强碱、氧化剂发生反应。</w:t>
      </w:r>
    </w:p>
    <w:p w14:paraId="755AAF02">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三乙胺（C</w:t>
      </w:r>
      <w:r>
        <w:rPr>
          <w:rFonts w:hint="eastAsia"/>
          <w:b/>
          <w:bCs/>
          <w:color w:val="000000" w:themeColor="text1"/>
          <w:vertAlign w:val="subscript"/>
          <w14:textFill>
            <w14:solidFill>
              <w14:schemeClr w14:val="tx1"/>
            </w14:solidFill>
          </w14:textFill>
        </w:rPr>
        <w:t>6</w:t>
      </w:r>
      <w:r>
        <w:rPr>
          <w:rFonts w:hint="eastAsia"/>
          <w:b/>
          <w:bCs/>
          <w:color w:val="000000" w:themeColor="text1"/>
          <w14:textFill>
            <w14:solidFill>
              <w14:schemeClr w14:val="tx1"/>
            </w14:solidFill>
          </w14:textFill>
        </w:rPr>
        <w:t>H</w:t>
      </w:r>
      <w:r>
        <w:rPr>
          <w:rFonts w:hint="eastAsia"/>
          <w:b/>
          <w:bCs/>
          <w:color w:val="000000" w:themeColor="text1"/>
          <w:vertAlign w:val="subscript"/>
          <w14:textFill>
            <w14:solidFill>
              <w14:schemeClr w14:val="tx1"/>
            </w14:solidFill>
          </w14:textFill>
        </w:rPr>
        <w:t>15</w:t>
      </w:r>
      <w:r>
        <w:rPr>
          <w:rFonts w:hint="eastAsia"/>
          <w:b/>
          <w:bCs/>
          <w:color w:val="000000" w:themeColor="text1"/>
          <w14:textFill>
            <w14:solidFill>
              <w14:schemeClr w14:val="tx1"/>
            </w14:solidFill>
          </w14:textFill>
        </w:rPr>
        <w:t>N）：</w:t>
      </w:r>
      <w:r>
        <w:rPr>
          <w:rFonts w:hint="eastAsia"/>
          <w:color w:val="000000" w:themeColor="text1"/>
          <w14:textFill>
            <w14:solidFill>
              <w14:schemeClr w14:val="tx1"/>
            </w14:solidFill>
          </w14:textFill>
        </w:rPr>
        <w:t>是具有强烈的氨臭的无色透明液体，在空气中微发烟。微溶于水，可溶于乙醇、乙醚。水溶液呈弱碱性。相对密度（水=1）：0.73</w:t>
      </w:r>
      <w:r>
        <w:rPr>
          <w:color w:val="000000" w:themeColor="text1"/>
          <w14:textFill>
            <w14:solidFill>
              <w14:schemeClr w14:val="tx1"/>
            </w14:solidFill>
          </w14:textFill>
        </w:rPr>
        <w:t xml:space="preserve"> g/cm³，</w:t>
      </w:r>
      <w:r>
        <w:rPr>
          <w:rFonts w:hint="eastAsia"/>
          <w:color w:val="000000" w:themeColor="text1"/>
          <w14:textFill>
            <w14:solidFill>
              <w14:schemeClr w14:val="tx1"/>
            </w14:solidFill>
          </w14:textFill>
        </w:rPr>
        <w:t>熔点-115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89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，易燃液体，自然温度249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2F8C927">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环己烷（C₆H₁₂）</w:t>
      </w:r>
      <w:r>
        <w:rPr>
          <w:rFonts w:hint="eastAsia"/>
          <w:b/>
          <w:bCs/>
          <w:color w:val="000000" w:themeColor="text1"/>
          <w14:textFill>
            <w14:solidFill>
              <w14:schemeClr w14:val="tx1"/>
            </w14:solidFill>
          </w14:textFill>
        </w:rPr>
        <w:t>：</w:t>
      </w:r>
      <w:r>
        <w:rPr>
          <w:color w:val="000000" w:themeColor="text1"/>
          <w14:textFill>
            <w14:solidFill>
              <w14:schemeClr w14:val="tx1"/>
            </w14:solidFill>
          </w14:textFill>
        </w:rPr>
        <w:t>无色液体，具有汽油味，密度0.78 g/cm³，</w:t>
      </w:r>
      <w:r>
        <w:rPr>
          <w:rFonts w:hint="eastAsia"/>
          <w:color w:val="000000" w:themeColor="text1"/>
          <w14:textFill>
            <w14:solidFill>
              <w14:schemeClr w14:val="tx1"/>
            </w14:solidFill>
          </w14:textFill>
        </w:rPr>
        <w:t>熔点6.5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80.7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，闪点-20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，不溶于水，溶于乙醇、乙醚、苯、丙酮等多数有机溶剂</w:t>
      </w:r>
      <w:r>
        <w:rPr>
          <w:color w:val="000000" w:themeColor="text1"/>
          <w14:textFill>
            <w14:solidFill>
              <w14:schemeClr w14:val="tx1"/>
            </w14:solidFill>
          </w14:textFill>
        </w:rPr>
        <w:t>，易燃</w:t>
      </w:r>
      <w:r>
        <w:rPr>
          <w:rFonts w:hint="eastAsia"/>
          <w:color w:val="000000" w:themeColor="text1"/>
          <w14:textFill>
            <w14:solidFill>
              <w14:schemeClr w14:val="tx1"/>
            </w14:solidFill>
          </w14:textFill>
        </w:rPr>
        <w:t>液体</w:t>
      </w:r>
      <w:r>
        <w:rPr>
          <w:color w:val="000000" w:themeColor="text1"/>
          <w14:textFill>
            <w14:solidFill>
              <w14:schemeClr w14:val="tx1"/>
            </w14:solidFill>
          </w14:textFill>
        </w:rPr>
        <w:t>，蒸气与空气形成爆炸性混合物。常用于涂料、塑料工业，高浓度吸入引发中枢神经系统抑制。</w:t>
      </w:r>
    </w:p>
    <w:p w14:paraId="0D49A687">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碳酸甲乙酯（C₄H₈O₃）‌：</w:t>
      </w:r>
      <w:r>
        <w:rPr>
          <w:color w:val="000000" w:themeColor="text1"/>
          <w14:textFill>
            <w14:solidFill>
              <w14:schemeClr w14:val="tx1"/>
            </w14:solidFill>
          </w14:textFill>
        </w:rPr>
        <w:t>无色液体，密度1.02 g/cm³，沸点107℃。</w:t>
      </w:r>
      <w:r>
        <w:rPr>
          <w:rFonts w:hint="eastAsia"/>
          <w:color w:val="000000" w:themeColor="text1"/>
          <w14:textFill>
            <w14:solidFill>
              <w14:schemeClr w14:val="tx1"/>
            </w14:solidFill>
          </w14:textFill>
        </w:rPr>
        <w:t>易燃液体。</w:t>
      </w:r>
      <w:r>
        <w:rPr>
          <w:color w:val="000000" w:themeColor="text1"/>
          <w14:textFill>
            <w14:solidFill>
              <w14:schemeClr w14:val="tx1"/>
            </w14:solidFill>
          </w14:textFill>
        </w:rPr>
        <w:t>低黏度、高介电常数，与锂盐相容性好，广泛用于电解液。</w:t>
      </w:r>
    </w:p>
    <w:p w14:paraId="5D8635D9">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异丁酸异丁酯（C₈H₁₆O₂）‌：</w:t>
      </w:r>
      <w:r>
        <w:rPr>
          <w:color w:val="000000" w:themeColor="text1"/>
          <w14:textFill>
            <w14:solidFill>
              <w14:schemeClr w14:val="tx1"/>
            </w14:solidFill>
          </w14:textFill>
        </w:rPr>
        <w:t>无色至淡黄色液体，密度0.8</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g/cm³，沸点14</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，闪点42</w:t>
      </w:r>
      <w:r>
        <w:rPr>
          <w:color w:val="000000" w:themeColor="text1"/>
          <w14:textFill>
            <w14:solidFill>
              <w14:schemeClr w14:val="tx1"/>
            </w14:solidFill>
          </w14:textFill>
        </w:rPr>
        <w:t>℃。具水果香味，难溶于水，易溶于有机溶剂。用作香料及涂料添加剂，对皮肤有轻微刺激性。</w:t>
      </w:r>
    </w:p>
    <w:p w14:paraId="00CCB781">
      <w:pPr>
        <w:ind w:firstLine="482"/>
        <w:rPr>
          <w:color w:val="000000" w:themeColor="text1"/>
          <w14:textFill>
            <w14:solidFill>
              <w14:schemeClr w14:val="tx1"/>
            </w14:solidFill>
          </w14:textFill>
        </w:rPr>
      </w:pPr>
      <w:r>
        <w:rPr>
          <w:b/>
          <w:bCs/>
          <w:color w:val="000000" w:themeColor="text1"/>
          <w14:textFill>
            <w14:solidFill>
              <w14:schemeClr w14:val="tx1"/>
            </w14:solidFill>
          </w14:textFill>
        </w:rPr>
        <w:t>无水乙醇（C₂H₅OH）‌：</w:t>
      </w:r>
      <w:r>
        <w:rPr>
          <w:color w:val="000000" w:themeColor="text1"/>
          <w14:textFill>
            <w14:solidFill>
              <w14:schemeClr w14:val="tx1"/>
            </w14:solidFill>
          </w14:textFill>
        </w:rPr>
        <w:t>无色透明液体，密度0.79 g/cm³，</w:t>
      </w:r>
      <w:r>
        <w:rPr>
          <w:rFonts w:hint="eastAsia"/>
          <w:color w:val="000000" w:themeColor="text1"/>
          <w14:textFill>
            <w14:solidFill>
              <w14:schemeClr w14:val="tx1"/>
            </w14:solidFill>
          </w14:textFill>
        </w:rPr>
        <w:t>熔点-114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78.29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，闪点13</w:t>
      </w:r>
      <w:r>
        <w:rPr>
          <w:color w:val="000000" w:themeColor="text1"/>
          <w14:textFill>
            <w14:solidFill>
              <w14:schemeClr w14:val="tx1"/>
            </w14:solidFill>
          </w14:textFill>
        </w:rPr>
        <w:t>℃。与水无限混溶，易燃</w:t>
      </w:r>
      <w:r>
        <w:rPr>
          <w:rFonts w:hint="eastAsia"/>
          <w:color w:val="000000" w:themeColor="text1"/>
          <w14:textFill>
            <w14:solidFill>
              <w14:schemeClr w14:val="tx1"/>
            </w14:solidFill>
          </w14:textFill>
        </w:rPr>
        <w:t>液体，自燃温度368.8</w:t>
      </w:r>
      <w:r>
        <w:rPr>
          <w:color w:val="000000" w:themeColor="text1"/>
          <w14:textFill>
            <w14:solidFill>
              <w14:schemeClr w14:val="tx1"/>
            </w14:solidFill>
          </w14:textFill>
        </w:rPr>
        <w:t>℃，蒸气爆炸极限3.3%~19%。广泛用于制药、消毒及溶剂，高浓度蒸气抑制中枢神经。</w:t>
      </w:r>
    </w:p>
    <w:p w14:paraId="48A87208">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液氮</w:t>
      </w:r>
    </w:p>
    <w:p w14:paraId="012B7028">
      <w:pPr>
        <w:ind w:firstLine="480"/>
        <w:rPr>
          <w:color w:val="000000" w:themeColor="text1"/>
          <w14:textFill>
            <w14:solidFill>
              <w14:schemeClr w14:val="tx1"/>
            </w14:solidFill>
          </w14:textFill>
        </w:rPr>
      </w:pPr>
      <w:r>
        <w:rPr>
          <w:color w:val="000000" w:themeColor="text1"/>
          <w14:textFill>
            <w14:solidFill>
              <w14:schemeClr w14:val="tx1"/>
            </w14:solidFill>
          </w14:textFill>
        </w:rPr>
        <w:t>液态的氮气是惰性的，无色，无臭，无腐蚀性，不可燃，温度极低。氮构成了大气的大部分(体积比78.03%，重量比75.5%)。氮是不活泼的，不支持燃烧。汽化时大量吸热接触造成冻伤。</w:t>
      </w:r>
    </w:p>
    <w:p w14:paraId="7A7A65E6">
      <w:pPr>
        <w:pStyle w:val="4"/>
        <w:rPr>
          <w:color w:val="000000" w:themeColor="text1"/>
          <w14:textFill>
            <w14:solidFill>
              <w14:schemeClr w14:val="tx1"/>
            </w14:solidFill>
          </w14:textFill>
        </w:rPr>
      </w:pPr>
      <w:bookmarkStart w:id="35" w:name="_Toc29762"/>
      <w:r>
        <w:rPr>
          <w:rFonts w:hint="eastAsia"/>
          <w:color w:val="000000" w:themeColor="text1"/>
          <w14:textFill>
            <w14:solidFill>
              <w14:schemeClr w14:val="tx1"/>
            </w14:solidFill>
          </w14:textFill>
        </w:rPr>
        <w:t>2.1.6 主要生产设备</w:t>
      </w:r>
      <w:bookmarkEnd w:id="35"/>
    </w:p>
    <w:p w14:paraId="44A431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项目主要</w:t>
      </w:r>
      <w:r>
        <w:rPr>
          <w:rFonts w:hint="eastAsia" w:cs="Times New Roman"/>
          <w:color w:val="000000" w:themeColor="text1"/>
          <w14:textFill>
            <w14:solidFill>
              <w14:schemeClr w14:val="tx1"/>
            </w14:solidFill>
          </w14:textFill>
        </w:rPr>
        <w:t>生产</w:t>
      </w:r>
      <w:r>
        <w:rPr>
          <w:rFonts w:cs="Times New Roman"/>
          <w:color w:val="000000" w:themeColor="text1"/>
          <w14:textFill>
            <w14:solidFill>
              <w14:schemeClr w14:val="tx1"/>
            </w14:solidFill>
          </w14:textFill>
        </w:rPr>
        <w:t>设备及参数</w:t>
      </w:r>
      <w:r>
        <w:rPr>
          <w:rFonts w:hint="eastAsia" w:cs="Times New Roman"/>
          <w:color w:val="000000" w:themeColor="text1"/>
          <w14:textFill>
            <w14:solidFill>
              <w14:schemeClr w14:val="tx1"/>
            </w14:solidFill>
          </w14:textFill>
        </w:rPr>
        <w:t>见下表</w:t>
      </w:r>
      <w:r>
        <w:rPr>
          <w:rFonts w:cs="Times New Roman"/>
          <w:color w:val="000000" w:themeColor="text1"/>
          <w14:textFill>
            <w14:solidFill>
              <w14:schemeClr w14:val="tx1"/>
            </w14:solidFill>
          </w14:textFill>
        </w:rPr>
        <w:t>。</w:t>
      </w:r>
    </w:p>
    <w:p w14:paraId="6A12884C">
      <w:pPr>
        <w:pStyle w:val="27"/>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 xml:space="preserve">.1-4 </w:t>
      </w:r>
      <w:r>
        <w:rPr>
          <w:color w:val="000000" w:themeColor="text1"/>
          <w14:textFill>
            <w14:solidFill>
              <w14:schemeClr w14:val="tx1"/>
            </w14:solidFill>
          </w14:textFill>
        </w:rPr>
        <w:t>项目生产设备一览表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68"/>
        <w:gridCol w:w="452"/>
        <w:gridCol w:w="1695"/>
        <w:gridCol w:w="3383"/>
        <w:gridCol w:w="1720"/>
      </w:tblGrid>
      <w:tr w14:paraId="49EC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6403AC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92" w:type="pct"/>
            <w:gridSpan w:val="3"/>
            <w:shd w:val="clear" w:color="auto" w:fill="auto"/>
            <w:vAlign w:val="center"/>
          </w:tcPr>
          <w:p w14:paraId="7BF492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设备名称</w:t>
            </w:r>
          </w:p>
        </w:tc>
        <w:tc>
          <w:tcPr>
            <w:tcW w:w="1984" w:type="pct"/>
            <w:vAlign w:val="center"/>
          </w:tcPr>
          <w:p w14:paraId="70ABFF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型号</w:t>
            </w:r>
          </w:p>
        </w:tc>
        <w:tc>
          <w:tcPr>
            <w:tcW w:w="1009" w:type="pct"/>
            <w:shd w:val="clear" w:color="auto" w:fill="auto"/>
            <w:vAlign w:val="center"/>
          </w:tcPr>
          <w:p w14:paraId="116AD1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r>
      <w:tr w14:paraId="33CB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5C33C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3" w:type="pct"/>
            <w:vMerge w:val="restart"/>
            <w:shd w:val="clear" w:color="auto" w:fill="auto"/>
            <w:vAlign w:val="center"/>
          </w:tcPr>
          <w:p w14:paraId="2E0158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生产设备</w:t>
            </w:r>
          </w:p>
        </w:tc>
        <w:tc>
          <w:tcPr>
            <w:tcW w:w="1259" w:type="pct"/>
            <w:gridSpan w:val="2"/>
            <w:shd w:val="clear" w:color="auto" w:fill="auto"/>
            <w:vAlign w:val="center"/>
          </w:tcPr>
          <w:p w14:paraId="04AA05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VC高混机</w:t>
            </w:r>
          </w:p>
        </w:tc>
        <w:tc>
          <w:tcPr>
            <w:tcW w:w="1984" w:type="pct"/>
            <w:vAlign w:val="center"/>
          </w:tcPr>
          <w:p w14:paraId="099060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02DB5800">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5A38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28BA6A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3" w:type="pct"/>
            <w:vMerge w:val="continue"/>
            <w:shd w:val="clear" w:color="auto" w:fill="auto"/>
            <w:vAlign w:val="center"/>
          </w:tcPr>
          <w:p w14:paraId="129ED8A4">
            <w:pPr>
              <w:pStyle w:val="28"/>
              <w:rPr>
                <w:color w:val="000000" w:themeColor="text1"/>
                <w14:textFill>
                  <w14:solidFill>
                    <w14:schemeClr w14:val="tx1"/>
                  </w14:solidFill>
                </w14:textFill>
              </w:rPr>
            </w:pPr>
          </w:p>
        </w:tc>
        <w:tc>
          <w:tcPr>
            <w:tcW w:w="1259" w:type="pct"/>
            <w:gridSpan w:val="2"/>
            <w:shd w:val="clear" w:color="auto" w:fill="auto"/>
            <w:vAlign w:val="center"/>
          </w:tcPr>
          <w:p w14:paraId="72E9D3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滚筒球磨机</w:t>
            </w:r>
          </w:p>
        </w:tc>
        <w:tc>
          <w:tcPr>
            <w:tcW w:w="1984" w:type="pct"/>
            <w:vAlign w:val="center"/>
          </w:tcPr>
          <w:p w14:paraId="0F66EA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7A383A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23D8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4DEE6E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3" w:type="pct"/>
            <w:vMerge w:val="continue"/>
            <w:shd w:val="clear" w:color="auto" w:fill="auto"/>
            <w:vAlign w:val="center"/>
          </w:tcPr>
          <w:p w14:paraId="4F0D7912">
            <w:pPr>
              <w:pStyle w:val="28"/>
              <w:rPr>
                <w:color w:val="000000" w:themeColor="text1"/>
                <w14:textFill>
                  <w14:solidFill>
                    <w14:schemeClr w14:val="tx1"/>
                  </w14:solidFill>
                </w14:textFill>
              </w:rPr>
            </w:pPr>
          </w:p>
        </w:tc>
        <w:tc>
          <w:tcPr>
            <w:tcW w:w="1259" w:type="pct"/>
            <w:gridSpan w:val="2"/>
            <w:shd w:val="clear" w:color="auto" w:fill="auto"/>
            <w:vAlign w:val="center"/>
          </w:tcPr>
          <w:p w14:paraId="52EA8E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箱式炉</w:t>
            </w:r>
          </w:p>
        </w:tc>
        <w:tc>
          <w:tcPr>
            <w:tcW w:w="1984" w:type="pct"/>
            <w:vAlign w:val="center"/>
          </w:tcPr>
          <w:p w14:paraId="0B71E0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2ACD5F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3台</w:t>
            </w:r>
          </w:p>
        </w:tc>
      </w:tr>
      <w:tr w14:paraId="0730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3C4BB5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3" w:type="pct"/>
            <w:vMerge w:val="continue"/>
            <w:shd w:val="clear" w:color="auto" w:fill="auto"/>
            <w:vAlign w:val="center"/>
          </w:tcPr>
          <w:p w14:paraId="3F817D27">
            <w:pPr>
              <w:pStyle w:val="28"/>
              <w:rPr>
                <w:color w:val="000000" w:themeColor="text1"/>
                <w14:textFill>
                  <w14:solidFill>
                    <w14:schemeClr w14:val="tx1"/>
                  </w14:solidFill>
                </w14:textFill>
              </w:rPr>
            </w:pPr>
          </w:p>
        </w:tc>
        <w:tc>
          <w:tcPr>
            <w:tcW w:w="1259" w:type="pct"/>
            <w:gridSpan w:val="2"/>
            <w:shd w:val="clear" w:color="auto" w:fill="auto"/>
            <w:vAlign w:val="center"/>
          </w:tcPr>
          <w:p w14:paraId="65AB16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旋轮磨</w:t>
            </w:r>
          </w:p>
        </w:tc>
        <w:tc>
          <w:tcPr>
            <w:tcW w:w="1984" w:type="pct"/>
            <w:vAlign w:val="center"/>
          </w:tcPr>
          <w:p w14:paraId="6F7FF5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1B00C2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4B6E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61F031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3" w:type="pct"/>
            <w:vMerge w:val="continue"/>
            <w:shd w:val="clear" w:color="auto" w:fill="auto"/>
            <w:vAlign w:val="center"/>
          </w:tcPr>
          <w:p w14:paraId="56AB1DBC">
            <w:pPr>
              <w:pStyle w:val="28"/>
              <w:rPr>
                <w:color w:val="000000" w:themeColor="text1"/>
                <w14:textFill>
                  <w14:solidFill>
                    <w14:schemeClr w14:val="tx1"/>
                  </w14:solidFill>
                </w14:textFill>
              </w:rPr>
            </w:pPr>
          </w:p>
        </w:tc>
        <w:tc>
          <w:tcPr>
            <w:tcW w:w="1259" w:type="pct"/>
            <w:gridSpan w:val="2"/>
            <w:shd w:val="clear" w:color="auto" w:fill="auto"/>
            <w:vAlign w:val="center"/>
          </w:tcPr>
          <w:p w14:paraId="7DA091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气流磨</w:t>
            </w:r>
          </w:p>
        </w:tc>
        <w:tc>
          <w:tcPr>
            <w:tcW w:w="1984" w:type="pct"/>
            <w:vAlign w:val="center"/>
          </w:tcPr>
          <w:p w14:paraId="14049E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104F409B">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585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5E241B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33" w:type="pct"/>
            <w:vMerge w:val="continue"/>
            <w:shd w:val="clear" w:color="auto" w:fill="auto"/>
            <w:vAlign w:val="center"/>
          </w:tcPr>
          <w:p w14:paraId="2A2FA256">
            <w:pPr>
              <w:pStyle w:val="28"/>
              <w:rPr>
                <w:color w:val="000000" w:themeColor="text1"/>
                <w14:textFill>
                  <w14:solidFill>
                    <w14:schemeClr w14:val="tx1"/>
                  </w14:solidFill>
                </w14:textFill>
              </w:rPr>
            </w:pPr>
          </w:p>
        </w:tc>
        <w:tc>
          <w:tcPr>
            <w:tcW w:w="1259" w:type="pct"/>
            <w:gridSpan w:val="2"/>
            <w:shd w:val="clear" w:color="auto" w:fill="auto"/>
            <w:vAlign w:val="center"/>
          </w:tcPr>
          <w:p w14:paraId="00738F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w:t>
            </w:r>
          </w:p>
        </w:tc>
        <w:tc>
          <w:tcPr>
            <w:tcW w:w="1984" w:type="pct"/>
            <w:vAlign w:val="center"/>
          </w:tcPr>
          <w:p w14:paraId="6C529F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38BD7C84">
            <w:pPr>
              <w:pStyle w:val="2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台</w:t>
            </w:r>
          </w:p>
        </w:tc>
      </w:tr>
      <w:tr w14:paraId="3EE7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4343D62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7</w:t>
            </w:r>
          </w:p>
        </w:tc>
        <w:tc>
          <w:tcPr>
            <w:tcW w:w="333" w:type="pct"/>
            <w:vMerge w:val="continue"/>
            <w:shd w:val="clear" w:color="auto" w:fill="auto"/>
            <w:vAlign w:val="center"/>
          </w:tcPr>
          <w:p w14:paraId="1C7BB40B">
            <w:pPr>
              <w:pStyle w:val="28"/>
              <w:rPr>
                <w:color w:val="000000" w:themeColor="text1"/>
                <w14:textFill>
                  <w14:solidFill>
                    <w14:schemeClr w14:val="tx1"/>
                  </w14:solidFill>
                </w14:textFill>
              </w:rPr>
            </w:pPr>
          </w:p>
        </w:tc>
        <w:tc>
          <w:tcPr>
            <w:tcW w:w="1259" w:type="pct"/>
            <w:gridSpan w:val="2"/>
            <w:shd w:val="clear" w:color="auto" w:fill="auto"/>
            <w:vAlign w:val="center"/>
          </w:tcPr>
          <w:p w14:paraId="50B6D8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粗磨罐</w:t>
            </w:r>
          </w:p>
        </w:tc>
        <w:tc>
          <w:tcPr>
            <w:tcW w:w="1984" w:type="pct"/>
            <w:vAlign w:val="center"/>
          </w:tcPr>
          <w:p w14:paraId="11AE8D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706A73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2个</w:t>
            </w:r>
          </w:p>
        </w:tc>
      </w:tr>
      <w:tr w14:paraId="784C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4FF56DF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w:t>
            </w:r>
          </w:p>
        </w:tc>
        <w:tc>
          <w:tcPr>
            <w:tcW w:w="333" w:type="pct"/>
            <w:vMerge w:val="continue"/>
            <w:shd w:val="clear" w:color="auto" w:fill="auto"/>
            <w:vAlign w:val="center"/>
          </w:tcPr>
          <w:p w14:paraId="15890490">
            <w:pPr>
              <w:pStyle w:val="28"/>
              <w:rPr>
                <w:color w:val="000000" w:themeColor="text1"/>
                <w14:textFill>
                  <w14:solidFill>
                    <w14:schemeClr w14:val="tx1"/>
                  </w14:solidFill>
                </w14:textFill>
              </w:rPr>
            </w:pPr>
          </w:p>
        </w:tc>
        <w:tc>
          <w:tcPr>
            <w:tcW w:w="1259" w:type="pct"/>
            <w:gridSpan w:val="2"/>
            <w:shd w:val="clear" w:color="auto" w:fill="auto"/>
            <w:vAlign w:val="center"/>
          </w:tcPr>
          <w:p w14:paraId="4480BB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细磨罐</w:t>
            </w:r>
          </w:p>
        </w:tc>
        <w:tc>
          <w:tcPr>
            <w:tcW w:w="1984" w:type="pct"/>
            <w:vAlign w:val="center"/>
          </w:tcPr>
          <w:p w14:paraId="19AB46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5AB54C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2个</w:t>
            </w:r>
          </w:p>
        </w:tc>
      </w:tr>
      <w:tr w14:paraId="3291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19FA35E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9</w:t>
            </w:r>
          </w:p>
        </w:tc>
        <w:tc>
          <w:tcPr>
            <w:tcW w:w="333" w:type="pct"/>
            <w:vMerge w:val="continue"/>
            <w:shd w:val="clear" w:color="auto" w:fill="auto"/>
            <w:vAlign w:val="center"/>
          </w:tcPr>
          <w:p w14:paraId="2EF1A147">
            <w:pPr>
              <w:pStyle w:val="28"/>
              <w:rPr>
                <w:color w:val="000000" w:themeColor="text1"/>
                <w14:textFill>
                  <w14:solidFill>
                    <w14:schemeClr w14:val="tx1"/>
                  </w14:solidFill>
                </w14:textFill>
              </w:rPr>
            </w:pPr>
          </w:p>
        </w:tc>
        <w:tc>
          <w:tcPr>
            <w:tcW w:w="1259" w:type="pct"/>
            <w:gridSpan w:val="2"/>
            <w:shd w:val="clear" w:color="auto" w:fill="auto"/>
            <w:vAlign w:val="center"/>
          </w:tcPr>
          <w:p w14:paraId="06C4DE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离心机</w:t>
            </w:r>
          </w:p>
        </w:tc>
        <w:tc>
          <w:tcPr>
            <w:tcW w:w="1984" w:type="pct"/>
            <w:vAlign w:val="center"/>
          </w:tcPr>
          <w:p w14:paraId="4999FB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333FD3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r>
      <w:tr w14:paraId="4F4E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7A09F9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10</w:t>
            </w:r>
          </w:p>
        </w:tc>
        <w:tc>
          <w:tcPr>
            <w:tcW w:w="333" w:type="pct"/>
            <w:vMerge w:val="continue"/>
            <w:shd w:val="clear" w:color="auto" w:fill="auto"/>
            <w:vAlign w:val="center"/>
          </w:tcPr>
          <w:p w14:paraId="3816F311">
            <w:pPr>
              <w:pStyle w:val="28"/>
              <w:rPr>
                <w:color w:val="000000" w:themeColor="text1"/>
                <w14:textFill>
                  <w14:solidFill>
                    <w14:schemeClr w14:val="tx1"/>
                  </w14:solidFill>
                </w14:textFill>
              </w:rPr>
            </w:pPr>
          </w:p>
        </w:tc>
        <w:tc>
          <w:tcPr>
            <w:tcW w:w="265" w:type="pct"/>
            <w:vMerge w:val="restart"/>
            <w:shd w:val="clear" w:color="auto" w:fill="auto"/>
            <w:vAlign w:val="center"/>
          </w:tcPr>
          <w:p w14:paraId="6377A8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干燥系统</w:t>
            </w:r>
          </w:p>
        </w:tc>
        <w:tc>
          <w:tcPr>
            <w:tcW w:w="993" w:type="pct"/>
            <w:shd w:val="clear" w:color="auto" w:fill="auto"/>
            <w:vAlign w:val="center"/>
          </w:tcPr>
          <w:p w14:paraId="007A6C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吸附式干燥塔</w:t>
            </w:r>
          </w:p>
        </w:tc>
        <w:tc>
          <w:tcPr>
            <w:tcW w:w="1984" w:type="pct"/>
            <w:vAlign w:val="center"/>
          </w:tcPr>
          <w:p w14:paraId="73A276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3A9A5F80">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09D1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13" w:type="pct"/>
            <w:shd w:val="clear" w:color="auto" w:fill="auto"/>
            <w:vAlign w:val="center"/>
          </w:tcPr>
          <w:p w14:paraId="12B4A0BF">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11</w:t>
            </w:r>
          </w:p>
        </w:tc>
        <w:tc>
          <w:tcPr>
            <w:tcW w:w="333" w:type="pct"/>
            <w:vMerge w:val="continue"/>
            <w:shd w:val="clear" w:color="auto" w:fill="auto"/>
            <w:vAlign w:val="center"/>
          </w:tcPr>
          <w:p w14:paraId="368780A6">
            <w:pPr>
              <w:pStyle w:val="28"/>
              <w:rPr>
                <w:color w:val="000000" w:themeColor="text1"/>
                <w14:textFill>
                  <w14:solidFill>
                    <w14:schemeClr w14:val="tx1"/>
                  </w14:solidFill>
                </w14:textFill>
              </w:rPr>
            </w:pPr>
          </w:p>
        </w:tc>
        <w:tc>
          <w:tcPr>
            <w:tcW w:w="265" w:type="pct"/>
            <w:vMerge w:val="continue"/>
            <w:shd w:val="clear" w:color="auto" w:fill="auto"/>
            <w:vAlign w:val="center"/>
          </w:tcPr>
          <w:p w14:paraId="075F422A">
            <w:pPr>
              <w:pStyle w:val="28"/>
              <w:rPr>
                <w:color w:val="000000" w:themeColor="text1"/>
                <w14:textFill>
                  <w14:solidFill>
                    <w14:schemeClr w14:val="tx1"/>
                  </w14:solidFill>
                </w14:textFill>
              </w:rPr>
            </w:pPr>
          </w:p>
        </w:tc>
        <w:tc>
          <w:tcPr>
            <w:tcW w:w="993" w:type="pct"/>
            <w:shd w:val="clear" w:color="auto" w:fill="auto"/>
            <w:vAlign w:val="center"/>
          </w:tcPr>
          <w:p w14:paraId="6C7A01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真空干燥机</w:t>
            </w:r>
          </w:p>
        </w:tc>
        <w:tc>
          <w:tcPr>
            <w:tcW w:w="1984" w:type="pct"/>
            <w:vAlign w:val="center"/>
          </w:tcPr>
          <w:p w14:paraId="1F8FC7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69DACC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2A42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13" w:type="pct"/>
            <w:shd w:val="clear" w:color="auto" w:fill="auto"/>
            <w:vAlign w:val="center"/>
          </w:tcPr>
          <w:p w14:paraId="4C1BEC3F">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12</w:t>
            </w:r>
          </w:p>
        </w:tc>
        <w:tc>
          <w:tcPr>
            <w:tcW w:w="333" w:type="pct"/>
            <w:vMerge w:val="continue"/>
            <w:shd w:val="clear" w:color="auto" w:fill="auto"/>
            <w:vAlign w:val="center"/>
          </w:tcPr>
          <w:p w14:paraId="66431662">
            <w:pPr>
              <w:pStyle w:val="28"/>
              <w:rPr>
                <w:color w:val="000000" w:themeColor="text1"/>
                <w14:textFill>
                  <w14:solidFill>
                    <w14:schemeClr w14:val="tx1"/>
                  </w14:solidFill>
                </w14:textFill>
              </w:rPr>
            </w:pPr>
          </w:p>
        </w:tc>
        <w:tc>
          <w:tcPr>
            <w:tcW w:w="265" w:type="pct"/>
            <w:vMerge w:val="continue"/>
            <w:shd w:val="clear" w:color="auto" w:fill="auto"/>
            <w:vAlign w:val="center"/>
          </w:tcPr>
          <w:p w14:paraId="36BEA437">
            <w:pPr>
              <w:pStyle w:val="28"/>
              <w:rPr>
                <w:color w:val="000000" w:themeColor="text1"/>
                <w14:textFill>
                  <w14:solidFill>
                    <w14:schemeClr w14:val="tx1"/>
                  </w14:solidFill>
                </w14:textFill>
              </w:rPr>
            </w:pPr>
          </w:p>
        </w:tc>
        <w:tc>
          <w:tcPr>
            <w:tcW w:w="993" w:type="pct"/>
            <w:shd w:val="clear" w:color="auto" w:fill="auto"/>
            <w:vAlign w:val="center"/>
          </w:tcPr>
          <w:p w14:paraId="4AAE9A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耙式干燥机</w:t>
            </w:r>
          </w:p>
        </w:tc>
        <w:tc>
          <w:tcPr>
            <w:tcW w:w="1984" w:type="pct"/>
            <w:vAlign w:val="center"/>
          </w:tcPr>
          <w:p w14:paraId="275927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225176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r>
      <w:tr w14:paraId="238C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13" w:type="pct"/>
            <w:shd w:val="clear" w:color="auto" w:fill="auto"/>
            <w:vAlign w:val="center"/>
          </w:tcPr>
          <w:p w14:paraId="5068B0B1">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13</w:t>
            </w:r>
          </w:p>
        </w:tc>
        <w:tc>
          <w:tcPr>
            <w:tcW w:w="333" w:type="pct"/>
            <w:vMerge w:val="continue"/>
            <w:shd w:val="clear" w:color="auto" w:fill="auto"/>
            <w:vAlign w:val="center"/>
          </w:tcPr>
          <w:p w14:paraId="5B4F4D97">
            <w:pPr>
              <w:pStyle w:val="28"/>
              <w:rPr>
                <w:color w:val="000000" w:themeColor="text1"/>
                <w14:textFill>
                  <w14:solidFill>
                    <w14:schemeClr w14:val="tx1"/>
                  </w14:solidFill>
                </w14:textFill>
              </w:rPr>
            </w:pPr>
          </w:p>
        </w:tc>
        <w:tc>
          <w:tcPr>
            <w:tcW w:w="265" w:type="pct"/>
            <w:vMerge w:val="continue"/>
            <w:shd w:val="clear" w:color="auto" w:fill="auto"/>
            <w:vAlign w:val="center"/>
          </w:tcPr>
          <w:p w14:paraId="0C608B27">
            <w:pPr>
              <w:pStyle w:val="28"/>
              <w:rPr>
                <w:color w:val="000000" w:themeColor="text1"/>
                <w14:textFill>
                  <w14:solidFill>
                    <w14:schemeClr w14:val="tx1"/>
                  </w14:solidFill>
                </w14:textFill>
              </w:rPr>
            </w:pPr>
          </w:p>
        </w:tc>
        <w:tc>
          <w:tcPr>
            <w:tcW w:w="993" w:type="pct"/>
            <w:shd w:val="clear" w:color="auto" w:fill="auto"/>
            <w:vAlign w:val="center"/>
          </w:tcPr>
          <w:p w14:paraId="6EC6FC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模温机</w:t>
            </w:r>
          </w:p>
        </w:tc>
        <w:tc>
          <w:tcPr>
            <w:tcW w:w="1984" w:type="pct"/>
            <w:vAlign w:val="center"/>
          </w:tcPr>
          <w:p w14:paraId="62DF45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2A769DB2">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042B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3" w:type="pct"/>
            <w:shd w:val="clear" w:color="auto" w:fill="auto"/>
            <w:vAlign w:val="center"/>
          </w:tcPr>
          <w:p w14:paraId="5E2E6A4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14</w:t>
            </w:r>
          </w:p>
        </w:tc>
        <w:tc>
          <w:tcPr>
            <w:tcW w:w="333" w:type="pct"/>
            <w:vMerge w:val="continue"/>
            <w:shd w:val="clear" w:color="auto" w:fill="auto"/>
            <w:vAlign w:val="center"/>
          </w:tcPr>
          <w:p w14:paraId="35B08561">
            <w:pPr>
              <w:pStyle w:val="28"/>
              <w:rPr>
                <w:color w:val="000000" w:themeColor="text1"/>
                <w14:textFill>
                  <w14:solidFill>
                    <w14:schemeClr w14:val="tx1"/>
                  </w14:solidFill>
                </w14:textFill>
              </w:rPr>
            </w:pPr>
          </w:p>
        </w:tc>
        <w:tc>
          <w:tcPr>
            <w:tcW w:w="265" w:type="pct"/>
            <w:vMerge w:val="continue"/>
            <w:shd w:val="clear" w:color="auto" w:fill="auto"/>
            <w:vAlign w:val="center"/>
          </w:tcPr>
          <w:p w14:paraId="4FF9B4AD">
            <w:pPr>
              <w:pStyle w:val="28"/>
              <w:rPr>
                <w:color w:val="000000" w:themeColor="text1"/>
                <w14:textFill>
                  <w14:solidFill>
                    <w14:schemeClr w14:val="tx1"/>
                  </w14:solidFill>
                </w14:textFill>
              </w:rPr>
            </w:pPr>
          </w:p>
        </w:tc>
        <w:tc>
          <w:tcPr>
            <w:tcW w:w="993" w:type="pct"/>
            <w:shd w:val="clear" w:color="auto" w:fill="auto"/>
            <w:vAlign w:val="center"/>
          </w:tcPr>
          <w:p w14:paraId="399533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冷凝缓冲器</w:t>
            </w:r>
          </w:p>
        </w:tc>
        <w:tc>
          <w:tcPr>
            <w:tcW w:w="1984" w:type="pct"/>
            <w:vAlign w:val="center"/>
          </w:tcPr>
          <w:p w14:paraId="2BF503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719BE19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1台</w:t>
            </w:r>
          </w:p>
        </w:tc>
      </w:tr>
      <w:tr w14:paraId="69DE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49072D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15</w:t>
            </w:r>
          </w:p>
        </w:tc>
        <w:tc>
          <w:tcPr>
            <w:tcW w:w="333" w:type="pct"/>
            <w:vMerge w:val="continue"/>
            <w:shd w:val="clear" w:color="auto" w:fill="auto"/>
            <w:vAlign w:val="center"/>
          </w:tcPr>
          <w:p w14:paraId="3492BF4E">
            <w:pPr>
              <w:pStyle w:val="28"/>
              <w:rPr>
                <w:color w:val="000000" w:themeColor="text1"/>
                <w14:textFill>
                  <w14:solidFill>
                    <w14:schemeClr w14:val="tx1"/>
                  </w14:solidFill>
                </w14:textFill>
              </w:rPr>
            </w:pPr>
          </w:p>
        </w:tc>
        <w:tc>
          <w:tcPr>
            <w:tcW w:w="1259" w:type="pct"/>
            <w:gridSpan w:val="2"/>
            <w:shd w:val="clear" w:color="auto" w:fill="auto"/>
            <w:vAlign w:val="center"/>
          </w:tcPr>
          <w:p w14:paraId="7CC1F0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真空泵</w:t>
            </w:r>
          </w:p>
        </w:tc>
        <w:tc>
          <w:tcPr>
            <w:tcW w:w="1984" w:type="pct"/>
            <w:vAlign w:val="center"/>
          </w:tcPr>
          <w:p w14:paraId="372D63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63525D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3760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B9760F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16</w:t>
            </w:r>
          </w:p>
        </w:tc>
        <w:tc>
          <w:tcPr>
            <w:tcW w:w="333" w:type="pct"/>
            <w:vMerge w:val="continue"/>
            <w:shd w:val="clear" w:color="auto" w:fill="auto"/>
            <w:vAlign w:val="center"/>
          </w:tcPr>
          <w:p w14:paraId="496E8DBC">
            <w:pPr>
              <w:pStyle w:val="28"/>
              <w:rPr>
                <w:color w:val="000000" w:themeColor="text1"/>
                <w14:textFill>
                  <w14:solidFill>
                    <w14:schemeClr w14:val="tx1"/>
                  </w14:solidFill>
                </w14:textFill>
              </w:rPr>
            </w:pPr>
          </w:p>
        </w:tc>
        <w:tc>
          <w:tcPr>
            <w:tcW w:w="1259" w:type="pct"/>
            <w:gridSpan w:val="2"/>
            <w:shd w:val="clear" w:color="auto" w:fill="auto"/>
            <w:vAlign w:val="center"/>
          </w:tcPr>
          <w:p w14:paraId="314048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包装机</w:t>
            </w:r>
          </w:p>
        </w:tc>
        <w:tc>
          <w:tcPr>
            <w:tcW w:w="1984" w:type="pct"/>
            <w:vAlign w:val="center"/>
          </w:tcPr>
          <w:p w14:paraId="0A1BE3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6B01993B">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0AC2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873E38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17</w:t>
            </w:r>
          </w:p>
        </w:tc>
        <w:tc>
          <w:tcPr>
            <w:tcW w:w="333" w:type="pct"/>
            <w:vMerge w:val="restart"/>
            <w:shd w:val="clear" w:color="auto" w:fill="auto"/>
            <w:vAlign w:val="center"/>
          </w:tcPr>
          <w:p w14:paraId="60ED79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辅助设备</w:t>
            </w:r>
          </w:p>
        </w:tc>
        <w:tc>
          <w:tcPr>
            <w:tcW w:w="1259" w:type="pct"/>
            <w:gridSpan w:val="2"/>
            <w:shd w:val="clear" w:color="auto" w:fill="auto"/>
            <w:vAlign w:val="center"/>
          </w:tcPr>
          <w:p w14:paraId="114EB5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除湿机组</w:t>
            </w:r>
          </w:p>
        </w:tc>
        <w:tc>
          <w:tcPr>
            <w:tcW w:w="1984" w:type="pct"/>
            <w:vAlign w:val="center"/>
          </w:tcPr>
          <w:p w14:paraId="138A37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386EB92D">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p>
        </w:tc>
      </w:tr>
      <w:tr w14:paraId="36DA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6DC521E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18</w:t>
            </w:r>
          </w:p>
        </w:tc>
        <w:tc>
          <w:tcPr>
            <w:tcW w:w="333" w:type="pct"/>
            <w:vMerge w:val="continue"/>
            <w:shd w:val="clear" w:color="auto" w:fill="auto"/>
            <w:vAlign w:val="center"/>
          </w:tcPr>
          <w:p w14:paraId="3EB37A7B">
            <w:pPr>
              <w:pStyle w:val="28"/>
              <w:rPr>
                <w:color w:val="000000" w:themeColor="text1"/>
                <w14:textFill>
                  <w14:solidFill>
                    <w14:schemeClr w14:val="tx1"/>
                  </w14:solidFill>
                </w14:textFill>
              </w:rPr>
            </w:pPr>
          </w:p>
        </w:tc>
        <w:tc>
          <w:tcPr>
            <w:tcW w:w="1259" w:type="pct"/>
            <w:gridSpan w:val="2"/>
            <w:shd w:val="clear" w:color="auto" w:fill="auto"/>
            <w:vAlign w:val="center"/>
          </w:tcPr>
          <w:p w14:paraId="066EA4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空压机</w:t>
            </w:r>
          </w:p>
        </w:tc>
        <w:tc>
          <w:tcPr>
            <w:tcW w:w="1984" w:type="pct"/>
            <w:vAlign w:val="center"/>
          </w:tcPr>
          <w:p w14:paraId="5DA647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4F0967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2台</w:t>
            </w:r>
          </w:p>
        </w:tc>
      </w:tr>
      <w:tr w14:paraId="4E55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6F7B6CC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19</w:t>
            </w:r>
          </w:p>
        </w:tc>
        <w:tc>
          <w:tcPr>
            <w:tcW w:w="333" w:type="pct"/>
            <w:vMerge w:val="continue"/>
            <w:shd w:val="clear" w:color="auto" w:fill="auto"/>
            <w:vAlign w:val="center"/>
          </w:tcPr>
          <w:p w14:paraId="6D09EAB5">
            <w:pPr>
              <w:pStyle w:val="28"/>
              <w:rPr>
                <w:color w:val="000000" w:themeColor="text1"/>
                <w14:textFill>
                  <w14:solidFill>
                    <w14:schemeClr w14:val="tx1"/>
                  </w14:solidFill>
                </w14:textFill>
              </w:rPr>
            </w:pPr>
          </w:p>
        </w:tc>
        <w:tc>
          <w:tcPr>
            <w:tcW w:w="1259" w:type="pct"/>
            <w:gridSpan w:val="2"/>
            <w:shd w:val="clear" w:color="auto" w:fill="auto"/>
            <w:vAlign w:val="center"/>
          </w:tcPr>
          <w:p w14:paraId="307E13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纯水机</w:t>
            </w:r>
          </w:p>
        </w:tc>
        <w:tc>
          <w:tcPr>
            <w:tcW w:w="1984" w:type="pct"/>
            <w:shd w:val="clear" w:color="auto" w:fill="auto"/>
            <w:vAlign w:val="center"/>
          </w:tcPr>
          <w:p w14:paraId="6FCD1E1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100L/h</w:t>
            </w:r>
          </w:p>
        </w:tc>
        <w:tc>
          <w:tcPr>
            <w:tcW w:w="1009" w:type="pct"/>
            <w:shd w:val="clear" w:color="auto" w:fill="auto"/>
            <w:vAlign w:val="center"/>
          </w:tcPr>
          <w:p w14:paraId="2B0733A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1台</w:t>
            </w:r>
          </w:p>
        </w:tc>
      </w:tr>
      <w:tr w14:paraId="7341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4D4B814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3" w:type="pct"/>
            <w:vMerge w:val="continue"/>
            <w:shd w:val="clear" w:color="auto" w:fill="auto"/>
            <w:vAlign w:val="center"/>
          </w:tcPr>
          <w:p w14:paraId="64ABD98F">
            <w:pPr>
              <w:pStyle w:val="28"/>
              <w:rPr>
                <w:color w:val="000000" w:themeColor="text1"/>
                <w14:textFill>
                  <w14:solidFill>
                    <w14:schemeClr w14:val="tx1"/>
                  </w14:solidFill>
                </w14:textFill>
              </w:rPr>
            </w:pPr>
          </w:p>
        </w:tc>
        <w:tc>
          <w:tcPr>
            <w:tcW w:w="1259" w:type="pct"/>
            <w:gridSpan w:val="2"/>
            <w:shd w:val="clear" w:color="auto" w:fill="auto"/>
            <w:vAlign w:val="center"/>
          </w:tcPr>
          <w:p w14:paraId="2FC62F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冷冻机组</w:t>
            </w:r>
          </w:p>
        </w:tc>
        <w:tc>
          <w:tcPr>
            <w:tcW w:w="1984" w:type="pct"/>
            <w:shd w:val="clear" w:color="auto" w:fill="auto"/>
            <w:vAlign w:val="center"/>
          </w:tcPr>
          <w:p w14:paraId="611702DA">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Q</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 15m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1009" w:type="pct"/>
            <w:shd w:val="clear" w:color="auto" w:fill="auto"/>
            <w:vAlign w:val="center"/>
          </w:tcPr>
          <w:p w14:paraId="4AD5484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5台</w:t>
            </w:r>
          </w:p>
        </w:tc>
      </w:tr>
      <w:tr w14:paraId="51ED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3758907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21</w:t>
            </w:r>
          </w:p>
        </w:tc>
        <w:tc>
          <w:tcPr>
            <w:tcW w:w="333" w:type="pct"/>
            <w:vMerge w:val="continue"/>
            <w:shd w:val="clear" w:color="auto" w:fill="auto"/>
            <w:vAlign w:val="center"/>
          </w:tcPr>
          <w:p w14:paraId="5BAC07B7">
            <w:pPr>
              <w:pStyle w:val="28"/>
              <w:rPr>
                <w:color w:val="000000" w:themeColor="text1"/>
                <w14:textFill>
                  <w14:solidFill>
                    <w14:schemeClr w14:val="tx1"/>
                  </w14:solidFill>
                </w14:textFill>
              </w:rPr>
            </w:pPr>
          </w:p>
        </w:tc>
        <w:tc>
          <w:tcPr>
            <w:tcW w:w="1259" w:type="pct"/>
            <w:gridSpan w:val="2"/>
            <w:shd w:val="clear" w:color="auto" w:fill="auto"/>
            <w:vAlign w:val="center"/>
          </w:tcPr>
          <w:p w14:paraId="71B0DE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液氮储罐</w:t>
            </w:r>
          </w:p>
        </w:tc>
        <w:tc>
          <w:tcPr>
            <w:tcW w:w="1984" w:type="pct"/>
            <w:shd w:val="clear" w:color="auto" w:fill="auto"/>
            <w:vAlign w:val="center"/>
          </w:tcPr>
          <w:p w14:paraId="295211D5">
            <w:pPr>
              <w:pStyle w:val="28"/>
              <w:rPr>
                <w:color w:val="000000" w:themeColor="text1"/>
                <w14:textFill>
                  <w14:solidFill>
                    <w14:schemeClr w14:val="tx1"/>
                  </w14:solidFill>
                </w14:textFill>
              </w:rPr>
            </w:pPr>
            <w:r>
              <w:rPr>
                <w:color w:val="000000" w:themeColor="text1"/>
                <w14:textFill>
                  <w14:solidFill>
                    <w14:schemeClr w14:val="tx1"/>
                  </w14:solidFill>
                </w14:textFill>
              </w:rPr>
              <w:t>Φ2500*11500</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30m</w:t>
            </w:r>
            <w:r>
              <w:rPr>
                <w:color w:val="000000" w:themeColor="text1"/>
                <w:vertAlign w:val="superscript"/>
                <w14:textFill>
                  <w14:solidFill>
                    <w14:schemeClr w14:val="tx1"/>
                  </w14:solidFill>
                </w14:textFill>
              </w:rPr>
              <w:t>3</w:t>
            </w:r>
          </w:p>
        </w:tc>
        <w:tc>
          <w:tcPr>
            <w:tcW w:w="1009" w:type="pct"/>
            <w:shd w:val="clear" w:color="auto" w:fill="auto"/>
            <w:vAlign w:val="center"/>
          </w:tcPr>
          <w:p w14:paraId="4C82D3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r>
      <w:tr w14:paraId="3A13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0F60D41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22</w:t>
            </w:r>
          </w:p>
        </w:tc>
        <w:tc>
          <w:tcPr>
            <w:tcW w:w="333" w:type="pct"/>
            <w:vMerge w:val="restart"/>
            <w:shd w:val="clear" w:color="auto" w:fill="auto"/>
            <w:vAlign w:val="center"/>
          </w:tcPr>
          <w:p w14:paraId="10B602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测试设备</w:t>
            </w:r>
          </w:p>
        </w:tc>
        <w:tc>
          <w:tcPr>
            <w:tcW w:w="1259" w:type="pct"/>
            <w:gridSpan w:val="2"/>
            <w:shd w:val="clear" w:color="auto" w:fill="auto"/>
            <w:vAlign w:val="center"/>
          </w:tcPr>
          <w:p w14:paraId="31944B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手套箱</w:t>
            </w:r>
          </w:p>
        </w:tc>
        <w:tc>
          <w:tcPr>
            <w:tcW w:w="1984" w:type="pct"/>
            <w:vAlign w:val="center"/>
          </w:tcPr>
          <w:p w14:paraId="21271F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74F36F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4台</w:t>
            </w:r>
          </w:p>
        </w:tc>
      </w:tr>
      <w:tr w14:paraId="2596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2000B97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23</w:t>
            </w:r>
          </w:p>
        </w:tc>
        <w:tc>
          <w:tcPr>
            <w:tcW w:w="333" w:type="pct"/>
            <w:vMerge w:val="continue"/>
            <w:shd w:val="clear" w:color="auto" w:fill="auto"/>
            <w:vAlign w:val="center"/>
          </w:tcPr>
          <w:p w14:paraId="56D8ECF1">
            <w:pPr>
              <w:pStyle w:val="28"/>
              <w:rPr>
                <w:color w:val="000000" w:themeColor="text1"/>
                <w14:textFill>
                  <w14:solidFill>
                    <w14:schemeClr w14:val="tx1"/>
                  </w14:solidFill>
                </w14:textFill>
              </w:rPr>
            </w:pPr>
          </w:p>
        </w:tc>
        <w:tc>
          <w:tcPr>
            <w:tcW w:w="1259" w:type="pct"/>
            <w:gridSpan w:val="2"/>
            <w:shd w:val="clear" w:color="auto" w:fill="auto"/>
            <w:vAlign w:val="center"/>
          </w:tcPr>
          <w:p w14:paraId="5B06AF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全方位行星球磨机</w:t>
            </w:r>
          </w:p>
        </w:tc>
        <w:tc>
          <w:tcPr>
            <w:tcW w:w="1984" w:type="pct"/>
            <w:vAlign w:val="center"/>
          </w:tcPr>
          <w:p w14:paraId="2A761C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10303C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6DAD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210933F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24</w:t>
            </w:r>
          </w:p>
        </w:tc>
        <w:tc>
          <w:tcPr>
            <w:tcW w:w="333" w:type="pct"/>
            <w:vMerge w:val="continue"/>
            <w:shd w:val="clear" w:color="auto" w:fill="auto"/>
            <w:vAlign w:val="center"/>
          </w:tcPr>
          <w:p w14:paraId="791A5002">
            <w:pPr>
              <w:pStyle w:val="28"/>
              <w:rPr>
                <w:color w:val="000000" w:themeColor="text1"/>
                <w14:textFill>
                  <w14:solidFill>
                    <w14:schemeClr w14:val="tx1"/>
                  </w14:solidFill>
                </w14:textFill>
              </w:rPr>
            </w:pPr>
          </w:p>
        </w:tc>
        <w:tc>
          <w:tcPr>
            <w:tcW w:w="1259" w:type="pct"/>
            <w:gridSpan w:val="2"/>
            <w:shd w:val="clear" w:color="auto" w:fill="auto"/>
            <w:vAlign w:val="center"/>
          </w:tcPr>
          <w:p w14:paraId="017C44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全方位球磨机</w:t>
            </w:r>
          </w:p>
        </w:tc>
        <w:tc>
          <w:tcPr>
            <w:tcW w:w="1984" w:type="pct"/>
            <w:vAlign w:val="center"/>
          </w:tcPr>
          <w:p w14:paraId="174B93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4958C5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7633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316E2CE3">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25</w:t>
            </w:r>
          </w:p>
        </w:tc>
        <w:tc>
          <w:tcPr>
            <w:tcW w:w="333" w:type="pct"/>
            <w:vMerge w:val="continue"/>
            <w:shd w:val="clear" w:color="auto" w:fill="auto"/>
            <w:vAlign w:val="center"/>
          </w:tcPr>
          <w:p w14:paraId="6ABCC5EC">
            <w:pPr>
              <w:pStyle w:val="28"/>
              <w:rPr>
                <w:color w:val="000000" w:themeColor="text1"/>
                <w14:textFill>
                  <w14:solidFill>
                    <w14:schemeClr w14:val="tx1"/>
                  </w14:solidFill>
                </w14:textFill>
              </w:rPr>
            </w:pPr>
          </w:p>
        </w:tc>
        <w:tc>
          <w:tcPr>
            <w:tcW w:w="1259" w:type="pct"/>
            <w:gridSpan w:val="2"/>
            <w:shd w:val="clear" w:color="auto" w:fill="auto"/>
            <w:vAlign w:val="center"/>
          </w:tcPr>
          <w:p w14:paraId="6701D7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电流阻抗分析仪</w:t>
            </w:r>
          </w:p>
        </w:tc>
        <w:tc>
          <w:tcPr>
            <w:tcW w:w="1984" w:type="pct"/>
            <w:vAlign w:val="center"/>
          </w:tcPr>
          <w:p w14:paraId="4CA907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0B9F37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2E53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20E040AA">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26</w:t>
            </w:r>
          </w:p>
        </w:tc>
        <w:tc>
          <w:tcPr>
            <w:tcW w:w="333" w:type="pct"/>
            <w:vMerge w:val="continue"/>
            <w:shd w:val="clear" w:color="auto" w:fill="auto"/>
            <w:vAlign w:val="center"/>
          </w:tcPr>
          <w:p w14:paraId="561D9000">
            <w:pPr>
              <w:pStyle w:val="28"/>
              <w:rPr>
                <w:color w:val="000000" w:themeColor="text1"/>
                <w14:textFill>
                  <w14:solidFill>
                    <w14:schemeClr w14:val="tx1"/>
                  </w14:solidFill>
                </w14:textFill>
              </w:rPr>
            </w:pPr>
          </w:p>
        </w:tc>
        <w:tc>
          <w:tcPr>
            <w:tcW w:w="1259" w:type="pct"/>
            <w:gridSpan w:val="2"/>
            <w:shd w:val="clear" w:color="auto" w:fill="auto"/>
            <w:vAlign w:val="center"/>
          </w:tcPr>
          <w:p w14:paraId="472A2C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激光粒度测试仪</w:t>
            </w:r>
          </w:p>
        </w:tc>
        <w:tc>
          <w:tcPr>
            <w:tcW w:w="1984" w:type="pct"/>
            <w:vAlign w:val="center"/>
          </w:tcPr>
          <w:p w14:paraId="37F88A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shd w:val="clear" w:color="auto" w:fill="auto"/>
            <w:vAlign w:val="center"/>
          </w:tcPr>
          <w:p w14:paraId="54DC9B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6A16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66F36A23">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27</w:t>
            </w:r>
          </w:p>
        </w:tc>
        <w:tc>
          <w:tcPr>
            <w:tcW w:w="333" w:type="pct"/>
            <w:vMerge w:val="restart"/>
            <w:shd w:val="clear" w:color="auto" w:fill="auto"/>
            <w:vAlign w:val="center"/>
          </w:tcPr>
          <w:p w14:paraId="233BBA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环保设备</w:t>
            </w:r>
          </w:p>
        </w:tc>
        <w:tc>
          <w:tcPr>
            <w:tcW w:w="1259" w:type="pct"/>
            <w:gridSpan w:val="2"/>
            <w:shd w:val="clear" w:color="auto" w:fill="auto"/>
            <w:vAlign w:val="center"/>
          </w:tcPr>
          <w:p w14:paraId="457913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通风橱</w:t>
            </w:r>
          </w:p>
        </w:tc>
        <w:tc>
          <w:tcPr>
            <w:tcW w:w="1984" w:type="pct"/>
            <w:vAlign w:val="center"/>
          </w:tcPr>
          <w:p w14:paraId="50F399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9" w:type="pct"/>
            <w:vAlign w:val="center"/>
          </w:tcPr>
          <w:p w14:paraId="2C4EE7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3套</w:t>
            </w:r>
          </w:p>
        </w:tc>
      </w:tr>
      <w:tr w14:paraId="05A6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7752B43B">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28</w:t>
            </w:r>
          </w:p>
        </w:tc>
        <w:tc>
          <w:tcPr>
            <w:tcW w:w="333" w:type="pct"/>
            <w:vMerge w:val="continue"/>
            <w:shd w:val="clear" w:color="auto" w:fill="auto"/>
            <w:vAlign w:val="center"/>
          </w:tcPr>
          <w:p w14:paraId="3AD94288">
            <w:pPr>
              <w:pStyle w:val="28"/>
              <w:rPr>
                <w:color w:val="000000" w:themeColor="text1"/>
                <w14:textFill>
                  <w14:solidFill>
                    <w14:schemeClr w14:val="tx1"/>
                  </w14:solidFill>
                </w14:textFill>
              </w:rPr>
            </w:pPr>
          </w:p>
        </w:tc>
        <w:tc>
          <w:tcPr>
            <w:tcW w:w="1259" w:type="pct"/>
            <w:gridSpan w:val="2"/>
            <w:shd w:val="clear" w:color="auto" w:fill="auto"/>
            <w:vAlign w:val="center"/>
          </w:tcPr>
          <w:p w14:paraId="3BDA22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tc>
        <w:tc>
          <w:tcPr>
            <w:tcW w:w="1984" w:type="pct"/>
            <w:vAlign w:val="center"/>
          </w:tcPr>
          <w:p w14:paraId="3A59A4AB">
            <w:pPr>
              <w:pStyle w:val="28"/>
              <w:rPr>
                <w:color w:val="000000" w:themeColor="text1"/>
                <w14:textFill>
                  <w14:solidFill>
                    <w14:schemeClr w14:val="tx1"/>
                  </w14:solidFill>
                </w14:textFill>
              </w:rPr>
            </w:pPr>
            <w:r>
              <w:rPr>
                <w:color w:val="000000" w:themeColor="text1"/>
                <w14:textFill>
                  <w14:solidFill>
                    <w14:schemeClr w14:val="tx1"/>
                  </w14:solidFill>
                </w14:textFill>
              </w:rPr>
              <w:t>Q=1</w:t>
            </w:r>
            <w:r>
              <w:rPr>
                <w:rFonts w:hint="eastAsia"/>
                <w:color w:val="000000" w:themeColor="text1"/>
                <w14:textFill>
                  <w14:solidFill>
                    <w14:schemeClr w14:val="tx1"/>
                  </w14:solidFill>
                </w14:textFill>
              </w:rPr>
              <w:t>8000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，考虑车间应急排风，正常工况下风量为8000</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m/h</w:t>
            </w:r>
          </w:p>
        </w:tc>
        <w:tc>
          <w:tcPr>
            <w:tcW w:w="1009" w:type="pct"/>
            <w:vAlign w:val="center"/>
          </w:tcPr>
          <w:p w14:paraId="1C0EFA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r>
      <w:tr w14:paraId="5B70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576EC1AB">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29</w:t>
            </w:r>
          </w:p>
        </w:tc>
        <w:tc>
          <w:tcPr>
            <w:tcW w:w="333" w:type="pct"/>
            <w:vMerge w:val="continue"/>
            <w:shd w:val="clear" w:color="auto" w:fill="auto"/>
            <w:vAlign w:val="center"/>
          </w:tcPr>
          <w:p w14:paraId="4F089C48">
            <w:pPr>
              <w:pStyle w:val="28"/>
              <w:rPr>
                <w:color w:val="000000" w:themeColor="text1"/>
                <w14:textFill>
                  <w14:solidFill>
                    <w14:schemeClr w14:val="tx1"/>
                  </w14:solidFill>
                </w14:textFill>
              </w:rPr>
            </w:pPr>
          </w:p>
        </w:tc>
        <w:tc>
          <w:tcPr>
            <w:tcW w:w="1259" w:type="pct"/>
            <w:gridSpan w:val="2"/>
            <w:shd w:val="clear" w:color="auto" w:fill="auto"/>
            <w:vAlign w:val="center"/>
          </w:tcPr>
          <w:p w14:paraId="186043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喷淋箱</w:t>
            </w:r>
          </w:p>
        </w:tc>
        <w:tc>
          <w:tcPr>
            <w:tcW w:w="1984" w:type="pct"/>
            <w:vAlign w:val="center"/>
          </w:tcPr>
          <w:p w14:paraId="401810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3.0m×2.0m×2.0m</w:t>
            </w:r>
          </w:p>
        </w:tc>
        <w:tc>
          <w:tcPr>
            <w:tcW w:w="1009" w:type="pct"/>
            <w:vAlign w:val="center"/>
          </w:tcPr>
          <w:p w14:paraId="76349C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r>
      <w:tr w14:paraId="48BA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7CBCED40">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30</w:t>
            </w:r>
          </w:p>
        </w:tc>
        <w:tc>
          <w:tcPr>
            <w:tcW w:w="333" w:type="pct"/>
            <w:vMerge w:val="continue"/>
            <w:shd w:val="clear" w:color="auto" w:fill="auto"/>
            <w:vAlign w:val="center"/>
          </w:tcPr>
          <w:p w14:paraId="76E6B0F9">
            <w:pPr>
              <w:pStyle w:val="28"/>
              <w:rPr>
                <w:color w:val="000000" w:themeColor="text1"/>
                <w14:textFill>
                  <w14:solidFill>
                    <w14:schemeClr w14:val="tx1"/>
                  </w14:solidFill>
                </w14:textFill>
              </w:rPr>
            </w:pPr>
          </w:p>
        </w:tc>
        <w:tc>
          <w:tcPr>
            <w:tcW w:w="1259" w:type="pct"/>
            <w:gridSpan w:val="2"/>
            <w:shd w:val="clear" w:color="auto" w:fill="auto"/>
            <w:vAlign w:val="center"/>
          </w:tcPr>
          <w:p w14:paraId="0B2043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喷淋循环泵</w:t>
            </w:r>
          </w:p>
        </w:tc>
        <w:tc>
          <w:tcPr>
            <w:tcW w:w="1984" w:type="pct"/>
            <w:vAlign w:val="center"/>
          </w:tcPr>
          <w:p w14:paraId="6FB961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p>
        </w:tc>
        <w:tc>
          <w:tcPr>
            <w:tcW w:w="1009" w:type="pct"/>
            <w:vAlign w:val="center"/>
          </w:tcPr>
          <w:p w14:paraId="35CB32F0">
            <w:pPr>
              <w:pStyle w:val="28"/>
              <w:rPr>
                <w:color w:val="000000" w:themeColor="text1"/>
                <w14:textFill>
                  <w14:solidFill>
                    <w14:schemeClr w14:val="tx1"/>
                  </w14:solidFill>
                </w14:textFill>
              </w:rPr>
            </w:pPr>
            <w:r>
              <w:rPr>
                <w:color w:val="000000" w:themeColor="text1"/>
                <w14:textFill>
                  <w14:solidFill>
                    <w14:schemeClr w14:val="tx1"/>
                  </w14:solidFill>
                </w14:textFill>
              </w:rPr>
              <w:t>2 台</w:t>
            </w:r>
          </w:p>
          <w:p w14:paraId="4F6DF76E">
            <w:pPr>
              <w:pStyle w:val="28"/>
              <w:rPr>
                <w:color w:val="000000" w:themeColor="text1"/>
                <w14:textFill>
                  <w14:solidFill>
                    <w14:schemeClr w14:val="tx1"/>
                  </w14:solidFill>
                </w14:textFill>
              </w:rPr>
            </w:pPr>
            <w:r>
              <w:rPr>
                <w:color w:val="000000" w:themeColor="text1"/>
                <w14:textFill>
                  <w14:solidFill>
                    <w14:schemeClr w14:val="tx1"/>
                  </w14:solidFill>
                </w14:textFill>
              </w:rPr>
              <w:t>（1 用 1 备）</w:t>
            </w:r>
          </w:p>
        </w:tc>
      </w:tr>
      <w:tr w14:paraId="4C42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2587F59F">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31</w:t>
            </w:r>
          </w:p>
        </w:tc>
        <w:tc>
          <w:tcPr>
            <w:tcW w:w="333" w:type="pct"/>
            <w:vMerge w:val="continue"/>
            <w:shd w:val="clear" w:color="auto" w:fill="auto"/>
            <w:vAlign w:val="center"/>
          </w:tcPr>
          <w:p w14:paraId="6BE69100">
            <w:pPr>
              <w:pStyle w:val="28"/>
              <w:rPr>
                <w:color w:val="000000" w:themeColor="text1"/>
                <w14:textFill>
                  <w14:solidFill>
                    <w14:schemeClr w14:val="tx1"/>
                  </w14:solidFill>
                </w14:textFill>
              </w:rPr>
            </w:pPr>
          </w:p>
        </w:tc>
        <w:tc>
          <w:tcPr>
            <w:tcW w:w="1259" w:type="pct"/>
            <w:gridSpan w:val="2"/>
            <w:shd w:val="clear" w:color="auto" w:fill="auto"/>
            <w:vAlign w:val="center"/>
          </w:tcPr>
          <w:p w14:paraId="0755AE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活性炭吸附箱</w:t>
            </w:r>
          </w:p>
        </w:tc>
        <w:tc>
          <w:tcPr>
            <w:tcW w:w="1984" w:type="pct"/>
            <w:vAlign w:val="center"/>
          </w:tcPr>
          <w:p w14:paraId="7D1BF3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1.7m×1.0m×1.5m</w:t>
            </w:r>
          </w:p>
        </w:tc>
        <w:tc>
          <w:tcPr>
            <w:tcW w:w="1009" w:type="pct"/>
            <w:vAlign w:val="center"/>
          </w:tcPr>
          <w:p w14:paraId="344814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r>
      <w:tr w14:paraId="69B9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3E59857A">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32</w:t>
            </w:r>
          </w:p>
        </w:tc>
        <w:tc>
          <w:tcPr>
            <w:tcW w:w="333" w:type="pct"/>
            <w:vMerge w:val="continue"/>
            <w:shd w:val="clear" w:color="auto" w:fill="auto"/>
            <w:vAlign w:val="center"/>
          </w:tcPr>
          <w:p w14:paraId="0B62636E">
            <w:pPr>
              <w:pStyle w:val="28"/>
              <w:rPr>
                <w:color w:val="000000" w:themeColor="text1"/>
                <w14:textFill>
                  <w14:solidFill>
                    <w14:schemeClr w14:val="tx1"/>
                  </w14:solidFill>
                </w14:textFill>
              </w:rPr>
            </w:pPr>
          </w:p>
        </w:tc>
        <w:tc>
          <w:tcPr>
            <w:tcW w:w="1259" w:type="pct"/>
            <w:gridSpan w:val="2"/>
            <w:shd w:val="clear" w:color="auto" w:fill="auto"/>
            <w:vAlign w:val="center"/>
          </w:tcPr>
          <w:p w14:paraId="588D18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一体化污水处理设备</w:t>
            </w:r>
          </w:p>
        </w:tc>
        <w:tc>
          <w:tcPr>
            <w:tcW w:w="1984" w:type="pct"/>
            <w:vAlign w:val="center"/>
          </w:tcPr>
          <w:p w14:paraId="37FA60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处理能力为1m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tc>
        <w:tc>
          <w:tcPr>
            <w:tcW w:w="1009" w:type="pct"/>
            <w:vAlign w:val="center"/>
          </w:tcPr>
          <w:p w14:paraId="1B42B8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r>
      <w:tr w14:paraId="0D70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shd w:val="clear" w:color="auto" w:fill="auto"/>
            <w:vAlign w:val="center"/>
          </w:tcPr>
          <w:p w14:paraId="7F0DCB9B">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33</w:t>
            </w:r>
          </w:p>
        </w:tc>
        <w:tc>
          <w:tcPr>
            <w:tcW w:w="333" w:type="pct"/>
            <w:vMerge w:val="continue"/>
            <w:shd w:val="clear" w:color="auto" w:fill="auto"/>
            <w:vAlign w:val="center"/>
          </w:tcPr>
          <w:p w14:paraId="4F48F6D0">
            <w:pPr>
              <w:pStyle w:val="28"/>
              <w:rPr>
                <w:color w:val="000000" w:themeColor="text1"/>
                <w14:textFill>
                  <w14:solidFill>
                    <w14:schemeClr w14:val="tx1"/>
                  </w14:solidFill>
                </w14:textFill>
              </w:rPr>
            </w:pPr>
          </w:p>
        </w:tc>
        <w:tc>
          <w:tcPr>
            <w:tcW w:w="1259" w:type="pct"/>
            <w:gridSpan w:val="2"/>
            <w:shd w:val="clear" w:color="auto" w:fill="auto"/>
            <w:vAlign w:val="center"/>
          </w:tcPr>
          <w:p w14:paraId="3D316C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污水泵</w:t>
            </w:r>
          </w:p>
        </w:tc>
        <w:tc>
          <w:tcPr>
            <w:tcW w:w="1984" w:type="pct"/>
            <w:vAlign w:val="center"/>
          </w:tcPr>
          <w:p w14:paraId="2C2F27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WQ5-8-0.37型</w:t>
            </w:r>
          </w:p>
        </w:tc>
        <w:tc>
          <w:tcPr>
            <w:tcW w:w="1009" w:type="pct"/>
            <w:vAlign w:val="center"/>
          </w:tcPr>
          <w:p w14:paraId="280C95C0">
            <w:pPr>
              <w:pStyle w:val="28"/>
              <w:rPr>
                <w:color w:val="000000" w:themeColor="text1"/>
                <w14:textFill>
                  <w14:solidFill>
                    <w14:schemeClr w14:val="tx1"/>
                  </w14:solidFill>
                </w14:textFill>
              </w:rPr>
            </w:pPr>
            <w:r>
              <w:rPr>
                <w:color w:val="000000" w:themeColor="text1"/>
                <w14:textFill>
                  <w14:solidFill>
                    <w14:schemeClr w14:val="tx1"/>
                  </w14:solidFill>
                </w14:textFill>
              </w:rPr>
              <w:t>2 台</w:t>
            </w:r>
          </w:p>
          <w:p w14:paraId="05D9BE92">
            <w:pPr>
              <w:pStyle w:val="28"/>
              <w:rPr>
                <w:color w:val="000000" w:themeColor="text1"/>
                <w14:textFill>
                  <w14:solidFill>
                    <w14:schemeClr w14:val="tx1"/>
                  </w14:solidFill>
                </w14:textFill>
              </w:rPr>
            </w:pPr>
            <w:r>
              <w:rPr>
                <w:color w:val="000000" w:themeColor="text1"/>
                <w14:textFill>
                  <w14:solidFill>
                    <w14:schemeClr w14:val="tx1"/>
                  </w14:solidFill>
                </w14:textFill>
              </w:rPr>
              <w:t>（1 用 1 备）</w:t>
            </w:r>
          </w:p>
        </w:tc>
      </w:tr>
    </w:tbl>
    <w:p w14:paraId="33381363">
      <w:pPr>
        <w:rPr>
          <w:color w:val="000000" w:themeColor="text1"/>
          <w14:textFill>
            <w14:solidFill>
              <w14:schemeClr w14:val="tx1"/>
            </w14:solidFill>
          </w14:textFill>
        </w:rPr>
      </w:pPr>
      <w:r>
        <w:rPr>
          <w:rFonts w:hint="eastAsia"/>
          <w:i/>
          <w:iCs/>
          <w:color w:val="000000" w:themeColor="text1"/>
          <w:sz w:val="21"/>
          <w:szCs w:val="21"/>
          <w14:textFill>
            <w14:solidFill>
              <w14:schemeClr w14:val="tx1"/>
            </w14:solidFill>
          </w14:textFill>
        </w:rPr>
        <w:t>【注】生产设备型号及规格涉密，因此未提供。</w:t>
      </w:r>
    </w:p>
    <w:p w14:paraId="094C8114">
      <w:pPr>
        <w:pStyle w:val="4"/>
        <w:rPr>
          <w:color w:val="000000" w:themeColor="text1"/>
          <w14:textFill>
            <w14:solidFill>
              <w14:schemeClr w14:val="tx1"/>
            </w14:solidFill>
          </w14:textFill>
        </w:rPr>
      </w:pPr>
      <w:bookmarkStart w:id="36" w:name="_Toc27951"/>
      <w:r>
        <w:rPr>
          <w:rFonts w:hint="eastAsia"/>
          <w:color w:val="000000" w:themeColor="text1"/>
          <w14:textFill>
            <w14:solidFill>
              <w14:schemeClr w14:val="tx1"/>
            </w14:solidFill>
          </w14:textFill>
        </w:rPr>
        <w:t>2.1.7 平面布置</w:t>
      </w:r>
      <w:bookmarkEnd w:id="36"/>
    </w:p>
    <w:p w14:paraId="5700940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租用现有厂房进行建设，工程布置分为两部分：生产厂房及辅房，辅房位于生产厂房西面。辅房自北向南依次为卫生间、废水处理间、清洗间、原料暂存间、球磨房、除湿机房、备品备件及机修间、办公室、成品库房。生产厂房内分为3个区域，东北角设置烧结车间，东南角设置研磨干燥车间，西面设置混料车间。危废暂存间位于西南面。</w:t>
      </w:r>
    </w:p>
    <w:p w14:paraId="4C3B16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装置及排气筒位于辅房顶部，生产废水处理设施设置于废水处理间内，生产废水排放口布置于车间西北角。化粪池位于项目东面，依托的生活污水排放口位于项目东北面，事故应急池位于项目区西南面，均依托云南捷辰包装材料有限公司建设的。</w:t>
      </w:r>
    </w:p>
    <w:p w14:paraId="11D442D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平面布置</w:t>
      </w:r>
      <w:r>
        <w:rPr>
          <w:rFonts w:hint="eastAsia" w:cs="Times New Roman"/>
          <w:color w:val="000000" w:themeColor="text1"/>
          <w14:textFill>
            <w14:solidFill>
              <w14:schemeClr w14:val="tx1"/>
            </w14:solidFill>
          </w14:textFill>
        </w:rPr>
        <w:t>示意</w:t>
      </w:r>
      <w:r>
        <w:rPr>
          <w:rFonts w:cs="Times New Roman"/>
          <w:color w:val="000000" w:themeColor="text1"/>
          <w14:textFill>
            <w14:solidFill>
              <w14:schemeClr w14:val="tx1"/>
            </w14:solidFill>
          </w14:textFill>
        </w:rPr>
        <w:t>图</w:t>
      </w:r>
      <w:r>
        <w:rPr>
          <w:rFonts w:hint="eastAsia" w:cs="Times New Roman"/>
          <w:color w:val="000000" w:themeColor="text1"/>
          <w14:textFill>
            <w14:solidFill>
              <w14:schemeClr w14:val="tx1"/>
            </w14:solidFill>
          </w14:textFill>
        </w:rPr>
        <w:t>详见附图2.1-3。</w:t>
      </w:r>
    </w:p>
    <w:p w14:paraId="171455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本项目生产车间设备布置示意图</w:t>
      </w:r>
      <w:r>
        <w:rPr>
          <w:rFonts w:hint="eastAsia" w:cs="Times New Roman"/>
          <w:color w:val="000000" w:themeColor="text1"/>
          <w14:textFill>
            <w14:solidFill>
              <w14:schemeClr w14:val="tx1"/>
            </w14:solidFill>
          </w14:textFill>
        </w:rPr>
        <w:t>详见</w:t>
      </w:r>
      <w:r>
        <w:rPr>
          <w:rFonts w:cs="Times New Roman"/>
          <w:color w:val="000000" w:themeColor="text1"/>
          <w14:textFill>
            <w14:solidFill>
              <w14:schemeClr w14:val="tx1"/>
            </w14:solidFill>
          </w14:textFill>
        </w:rPr>
        <w:t>附图2.1-4</w:t>
      </w:r>
      <w:r>
        <w:rPr>
          <w:rFonts w:hint="eastAsia" w:cs="Times New Roman"/>
          <w:color w:val="000000" w:themeColor="text1"/>
          <w14:textFill>
            <w14:solidFill>
              <w14:schemeClr w14:val="tx1"/>
            </w14:solidFill>
          </w14:textFill>
        </w:rPr>
        <w:t>。</w:t>
      </w:r>
    </w:p>
    <w:p w14:paraId="022F0ED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本项目与依托设施的位置关系示意图详见附图2.1-5。</w:t>
      </w:r>
    </w:p>
    <w:p w14:paraId="62597592">
      <w:pPr>
        <w:pStyle w:val="4"/>
        <w:rPr>
          <w:color w:val="000000" w:themeColor="text1"/>
          <w14:textFill>
            <w14:solidFill>
              <w14:schemeClr w14:val="tx1"/>
            </w14:solidFill>
          </w14:textFill>
        </w:rPr>
      </w:pPr>
      <w:bookmarkStart w:id="37" w:name="_Toc24809"/>
      <w:r>
        <w:rPr>
          <w:rFonts w:hint="eastAsia"/>
          <w:color w:val="000000" w:themeColor="text1"/>
          <w14:textFill>
            <w14:solidFill>
              <w14:schemeClr w14:val="tx1"/>
            </w14:solidFill>
          </w14:textFill>
        </w:rPr>
        <w:t>2.1.8 公用工程</w:t>
      </w:r>
      <w:bookmarkEnd w:id="37"/>
    </w:p>
    <w:p w14:paraId="1D003A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1、供电</w:t>
      </w:r>
    </w:p>
    <w:p w14:paraId="2CD531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依托云南捷辰包装材料有限公司已建供电系统，接入项目使用。</w:t>
      </w:r>
    </w:p>
    <w:p w14:paraId="09DD1D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2、供水</w:t>
      </w:r>
    </w:p>
    <w:p w14:paraId="02C8D7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依托云南捷辰包装材料有限公司已建供水系统，接入项目使用。</w:t>
      </w:r>
    </w:p>
    <w:p w14:paraId="6E1299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3、排水</w:t>
      </w:r>
    </w:p>
    <w:p w14:paraId="5A92752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租用厂区实行“雨污分流”，雨水经厂内雨水沟收集后排至园区雨水管网；废水经预处理后直接排至市政污水管网，最终进入玉溪市污水处理厂。</w:t>
      </w:r>
    </w:p>
    <w:p w14:paraId="3FA641F3">
      <w:pPr>
        <w:pStyle w:val="4"/>
        <w:rPr>
          <w:color w:val="000000" w:themeColor="text1"/>
          <w14:textFill>
            <w14:solidFill>
              <w14:schemeClr w14:val="tx1"/>
            </w14:solidFill>
          </w14:textFill>
        </w:rPr>
      </w:pPr>
      <w:bookmarkStart w:id="38" w:name="_Toc30512"/>
      <w:r>
        <w:rPr>
          <w:rFonts w:hint="eastAsia"/>
          <w:color w:val="000000" w:themeColor="text1"/>
          <w14:textFill>
            <w14:solidFill>
              <w14:schemeClr w14:val="tx1"/>
            </w14:solidFill>
          </w14:textFill>
        </w:rPr>
        <w:t>2.1.9 工作制度及劳动定员</w:t>
      </w:r>
      <w:bookmarkEnd w:id="38"/>
    </w:p>
    <w:p w14:paraId="683CD1C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项目设置劳动人员20人，不在厂区食宿。</w:t>
      </w:r>
    </w:p>
    <w:p w14:paraId="0047C8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全年工作300天，生产车间实行3班制，8小时/班。</w:t>
      </w:r>
    </w:p>
    <w:p w14:paraId="5CD3A7D7">
      <w:pPr>
        <w:pStyle w:val="4"/>
        <w:rPr>
          <w:color w:val="000000" w:themeColor="text1"/>
          <w14:textFill>
            <w14:solidFill>
              <w14:schemeClr w14:val="tx1"/>
            </w14:solidFill>
          </w14:textFill>
        </w:rPr>
      </w:pPr>
      <w:bookmarkStart w:id="39" w:name="_Toc31021"/>
      <w:r>
        <w:rPr>
          <w:rFonts w:hint="eastAsia"/>
          <w:color w:val="000000" w:themeColor="text1"/>
          <w14:textFill>
            <w14:solidFill>
              <w14:schemeClr w14:val="tx1"/>
            </w14:solidFill>
          </w14:textFill>
        </w:rPr>
        <w:t>2.1.10 平衡分析</w:t>
      </w:r>
      <w:bookmarkEnd w:id="39"/>
    </w:p>
    <w:p w14:paraId="3EDAD79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2.1.10.1物料平衡</w:t>
      </w:r>
    </w:p>
    <w:p w14:paraId="6C8EC1EE">
      <w:pPr>
        <w:pStyle w:val="27"/>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表2.1-5 项目物料平衡表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2187"/>
        <w:gridCol w:w="2779"/>
        <w:gridCol w:w="1369"/>
      </w:tblGrid>
      <w:tr w14:paraId="6B18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gridSpan w:val="2"/>
            <w:vAlign w:val="center"/>
          </w:tcPr>
          <w:p w14:paraId="3BB2B9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加入物料</w:t>
            </w:r>
          </w:p>
        </w:tc>
        <w:tc>
          <w:tcPr>
            <w:tcW w:w="2433" w:type="pct"/>
            <w:gridSpan w:val="2"/>
          </w:tcPr>
          <w:p w14:paraId="5274EF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产出物料</w:t>
            </w:r>
          </w:p>
        </w:tc>
      </w:tr>
      <w:tr w14:paraId="16B8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vAlign w:val="center"/>
          </w:tcPr>
          <w:p w14:paraId="243794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283" w:type="pct"/>
            <w:vAlign w:val="center"/>
          </w:tcPr>
          <w:p w14:paraId="0347D1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数量（t/a）</w:t>
            </w:r>
          </w:p>
        </w:tc>
        <w:tc>
          <w:tcPr>
            <w:tcW w:w="1630" w:type="pct"/>
            <w:vAlign w:val="center"/>
          </w:tcPr>
          <w:p w14:paraId="7530A8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803" w:type="pct"/>
            <w:vAlign w:val="center"/>
          </w:tcPr>
          <w:p w14:paraId="66C7B6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数量（t/a）</w:t>
            </w:r>
          </w:p>
        </w:tc>
      </w:tr>
      <w:tr w14:paraId="50BD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30C89E26">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硫化锂</w:t>
            </w:r>
          </w:p>
        </w:tc>
        <w:tc>
          <w:tcPr>
            <w:tcW w:w="1283" w:type="pct"/>
            <w:shd w:val="clear" w:color="auto" w:fill="auto"/>
          </w:tcPr>
          <w:p w14:paraId="1B67F3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5.354</w:t>
            </w:r>
          </w:p>
        </w:tc>
        <w:tc>
          <w:tcPr>
            <w:tcW w:w="1630" w:type="pct"/>
            <w:shd w:val="clear" w:color="auto" w:fill="auto"/>
          </w:tcPr>
          <w:p w14:paraId="7DF8D5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w:t>
            </w:r>
          </w:p>
        </w:tc>
        <w:tc>
          <w:tcPr>
            <w:tcW w:w="803" w:type="pct"/>
            <w:shd w:val="clear" w:color="auto" w:fill="auto"/>
          </w:tcPr>
          <w:p w14:paraId="4E19D9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14:paraId="0BC8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7DE2B8DE">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五硫化二磷</w:t>
            </w:r>
          </w:p>
        </w:tc>
        <w:tc>
          <w:tcPr>
            <w:tcW w:w="1283" w:type="pct"/>
            <w:shd w:val="clear" w:color="auto" w:fill="auto"/>
          </w:tcPr>
          <w:p w14:paraId="7DDB0C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5.168</w:t>
            </w:r>
          </w:p>
        </w:tc>
        <w:tc>
          <w:tcPr>
            <w:tcW w:w="1630" w:type="pct"/>
            <w:shd w:val="clear" w:color="auto" w:fill="auto"/>
          </w:tcPr>
          <w:p w14:paraId="577085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03" w:type="pct"/>
            <w:shd w:val="clear" w:color="auto" w:fill="auto"/>
          </w:tcPr>
          <w:p w14:paraId="12C432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0.3056</w:t>
            </w:r>
          </w:p>
        </w:tc>
      </w:tr>
      <w:tr w14:paraId="088F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332A88DA">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氯化锂</w:t>
            </w:r>
          </w:p>
        </w:tc>
        <w:tc>
          <w:tcPr>
            <w:tcW w:w="1283" w:type="pct"/>
            <w:shd w:val="clear" w:color="auto" w:fill="auto"/>
          </w:tcPr>
          <w:p w14:paraId="01D0E5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1.98</w:t>
            </w:r>
          </w:p>
        </w:tc>
        <w:tc>
          <w:tcPr>
            <w:tcW w:w="1630" w:type="pct"/>
            <w:shd w:val="clear" w:color="auto" w:fill="auto"/>
          </w:tcPr>
          <w:p w14:paraId="45F471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803" w:type="pct"/>
            <w:shd w:val="clear" w:color="auto" w:fill="auto"/>
          </w:tcPr>
          <w:p w14:paraId="4DB3DF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98.576</w:t>
            </w:r>
          </w:p>
        </w:tc>
      </w:tr>
      <w:tr w14:paraId="2E1B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745E9498">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有机溶剂</w:t>
            </w:r>
            <w:r>
              <w:rPr>
                <w:rFonts w:hint="eastAsia"/>
                <w:color w:val="000000" w:themeColor="text1"/>
                <w14:textFill>
                  <w14:solidFill>
                    <w14:schemeClr w14:val="tx1"/>
                  </w14:solidFill>
                </w14:textFill>
              </w:rPr>
              <w:t>（工艺）</w:t>
            </w:r>
          </w:p>
        </w:tc>
        <w:tc>
          <w:tcPr>
            <w:tcW w:w="1283" w:type="pct"/>
            <w:shd w:val="clear" w:color="auto" w:fill="auto"/>
          </w:tcPr>
          <w:p w14:paraId="6B778D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100.016</w:t>
            </w:r>
          </w:p>
        </w:tc>
        <w:tc>
          <w:tcPr>
            <w:tcW w:w="1630" w:type="pct"/>
            <w:shd w:val="clear" w:color="auto" w:fill="auto"/>
          </w:tcPr>
          <w:p w14:paraId="647FDC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w:t>
            </w:r>
          </w:p>
        </w:tc>
        <w:tc>
          <w:tcPr>
            <w:tcW w:w="803" w:type="pct"/>
            <w:shd w:val="clear" w:color="auto" w:fill="auto"/>
          </w:tcPr>
          <w:p w14:paraId="182DBF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3.6464</w:t>
            </w:r>
          </w:p>
        </w:tc>
      </w:tr>
      <w:tr w14:paraId="2C03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3" w:type="pct"/>
            <w:vAlign w:val="center"/>
          </w:tcPr>
          <w:p w14:paraId="68046576">
            <w:pPr>
              <w:pStyle w:val="28"/>
              <w:rPr>
                <w:color w:val="000000" w:themeColor="text1"/>
                <w14:textFill>
                  <w14:solidFill>
                    <w14:schemeClr w14:val="tx1"/>
                  </w14:solidFill>
                </w14:textFill>
              </w:rPr>
            </w:pPr>
            <w:r>
              <w:rPr>
                <w:color w:val="000000" w:themeColor="text1"/>
                <w14:textFill>
                  <w14:solidFill>
                    <w14:schemeClr w14:val="tx1"/>
                  </w14:solidFill>
                </w14:textFill>
              </w:rPr>
              <w:t>有机溶剂</w:t>
            </w:r>
            <w:r>
              <w:rPr>
                <w:rFonts w:hint="eastAsia"/>
                <w:color w:val="000000" w:themeColor="text1"/>
                <w14:textFill>
                  <w14:solidFill>
                    <w14:schemeClr w14:val="tx1"/>
                  </w14:solidFill>
                </w14:textFill>
              </w:rPr>
              <w:t>（设备清洗）</w:t>
            </w:r>
          </w:p>
        </w:tc>
        <w:tc>
          <w:tcPr>
            <w:tcW w:w="1283" w:type="pct"/>
            <w:shd w:val="clear" w:color="auto" w:fill="auto"/>
          </w:tcPr>
          <w:p w14:paraId="0BB53C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630" w:type="pct"/>
            <w:shd w:val="clear" w:color="auto" w:fill="auto"/>
          </w:tcPr>
          <w:p w14:paraId="42DE01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w:t>
            </w:r>
          </w:p>
        </w:tc>
        <w:tc>
          <w:tcPr>
            <w:tcW w:w="803" w:type="pct"/>
            <w:shd w:val="clear" w:color="auto" w:fill="auto"/>
          </w:tcPr>
          <w:p w14:paraId="59F1CA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3414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vAlign w:val="center"/>
          </w:tcPr>
          <w:p w14:paraId="17DF5F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83" w:type="pct"/>
            <w:shd w:val="clear" w:color="auto" w:fill="auto"/>
          </w:tcPr>
          <w:p w14:paraId="6F50F9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112.578</w:t>
            </w:r>
          </w:p>
        </w:tc>
        <w:tc>
          <w:tcPr>
            <w:tcW w:w="1630" w:type="pct"/>
            <w:shd w:val="clear" w:color="auto" w:fill="auto"/>
          </w:tcPr>
          <w:p w14:paraId="107180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03" w:type="pct"/>
            <w:shd w:val="clear" w:color="auto" w:fill="auto"/>
          </w:tcPr>
          <w:p w14:paraId="6D60C2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112.578</w:t>
            </w:r>
          </w:p>
        </w:tc>
      </w:tr>
    </w:tbl>
    <w:p w14:paraId="1AB75B9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2.1.10.2有机溶剂平衡</w:t>
      </w:r>
    </w:p>
    <w:p w14:paraId="0741027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表2.1-6有机溶剂平衡表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2187"/>
        <w:gridCol w:w="2779"/>
        <w:gridCol w:w="1369"/>
      </w:tblGrid>
      <w:tr w14:paraId="42AC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gridSpan w:val="2"/>
            <w:vAlign w:val="center"/>
          </w:tcPr>
          <w:p w14:paraId="6407CC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投入</w:t>
            </w:r>
          </w:p>
        </w:tc>
        <w:tc>
          <w:tcPr>
            <w:tcW w:w="2433" w:type="pct"/>
            <w:gridSpan w:val="2"/>
          </w:tcPr>
          <w:p w14:paraId="1A4776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输出</w:t>
            </w:r>
          </w:p>
        </w:tc>
      </w:tr>
      <w:tr w14:paraId="5E98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vAlign w:val="center"/>
          </w:tcPr>
          <w:p w14:paraId="6E6DD1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283" w:type="pct"/>
            <w:vAlign w:val="center"/>
          </w:tcPr>
          <w:p w14:paraId="061D68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数量（t/a）</w:t>
            </w:r>
          </w:p>
        </w:tc>
        <w:tc>
          <w:tcPr>
            <w:tcW w:w="1630" w:type="pct"/>
            <w:vAlign w:val="center"/>
          </w:tcPr>
          <w:p w14:paraId="314543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803" w:type="pct"/>
            <w:vAlign w:val="center"/>
          </w:tcPr>
          <w:p w14:paraId="494B08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数量（t/a）</w:t>
            </w:r>
          </w:p>
        </w:tc>
      </w:tr>
      <w:tr w14:paraId="4491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2391DAAE">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有机溶剂</w:t>
            </w:r>
            <w:r>
              <w:rPr>
                <w:rFonts w:hint="eastAsia"/>
                <w:color w:val="000000" w:themeColor="text1"/>
                <w14:textFill>
                  <w14:solidFill>
                    <w14:schemeClr w14:val="tx1"/>
                  </w14:solidFill>
                </w14:textFill>
              </w:rPr>
              <w:t>（工艺）</w:t>
            </w:r>
          </w:p>
        </w:tc>
        <w:tc>
          <w:tcPr>
            <w:tcW w:w="1283" w:type="pct"/>
            <w:shd w:val="clear" w:color="auto" w:fill="auto"/>
          </w:tcPr>
          <w:p w14:paraId="2D7F02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100.016</w:t>
            </w:r>
          </w:p>
        </w:tc>
        <w:tc>
          <w:tcPr>
            <w:tcW w:w="1630" w:type="pct"/>
            <w:shd w:val="clear" w:color="auto" w:fill="auto"/>
          </w:tcPr>
          <w:p w14:paraId="7C8179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803" w:type="pct"/>
            <w:shd w:val="clear" w:color="auto" w:fill="auto"/>
          </w:tcPr>
          <w:p w14:paraId="0E17DD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98.576</w:t>
            </w:r>
          </w:p>
        </w:tc>
      </w:tr>
      <w:tr w14:paraId="3809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vAlign w:val="center"/>
          </w:tcPr>
          <w:p w14:paraId="0C3906C1">
            <w:pPr>
              <w:pStyle w:val="28"/>
              <w:rPr>
                <w:color w:val="000000" w:themeColor="text1"/>
                <w14:textFill>
                  <w14:solidFill>
                    <w14:schemeClr w14:val="tx1"/>
                  </w14:solidFill>
                </w14:textFill>
              </w:rPr>
            </w:pPr>
            <w:r>
              <w:rPr>
                <w:color w:val="000000" w:themeColor="text1"/>
                <w14:textFill>
                  <w14:solidFill>
                    <w14:schemeClr w14:val="tx1"/>
                  </w14:solidFill>
                </w14:textFill>
              </w:rPr>
              <w:t>有机溶剂</w:t>
            </w:r>
            <w:r>
              <w:rPr>
                <w:rFonts w:hint="eastAsia"/>
                <w:color w:val="000000" w:themeColor="text1"/>
                <w14:textFill>
                  <w14:solidFill>
                    <w14:schemeClr w14:val="tx1"/>
                  </w14:solidFill>
                </w14:textFill>
              </w:rPr>
              <w:t>（设备清洗）</w:t>
            </w:r>
          </w:p>
        </w:tc>
        <w:tc>
          <w:tcPr>
            <w:tcW w:w="1283" w:type="pct"/>
            <w:shd w:val="clear" w:color="auto" w:fill="auto"/>
          </w:tcPr>
          <w:p w14:paraId="02C4C8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630" w:type="pct"/>
            <w:shd w:val="clear" w:color="auto" w:fill="auto"/>
          </w:tcPr>
          <w:p w14:paraId="523B35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排放的有机废气</w:t>
            </w:r>
          </w:p>
        </w:tc>
        <w:tc>
          <w:tcPr>
            <w:tcW w:w="803" w:type="pct"/>
            <w:shd w:val="clear" w:color="auto" w:fill="auto"/>
          </w:tcPr>
          <w:p w14:paraId="4470D7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r w14:paraId="438E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shd w:val="clear" w:color="auto" w:fill="auto"/>
          </w:tcPr>
          <w:p w14:paraId="510C1EF7">
            <w:pPr>
              <w:pStyle w:val="28"/>
              <w:rPr>
                <w:color w:val="000000" w:themeColor="text1"/>
                <w14:textFill>
                  <w14:solidFill>
                    <w14:schemeClr w14:val="tx1"/>
                  </w14:solidFill>
                </w14:textFill>
              </w:rPr>
            </w:pPr>
          </w:p>
        </w:tc>
        <w:tc>
          <w:tcPr>
            <w:tcW w:w="1283" w:type="pct"/>
            <w:shd w:val="clear" w:color="auto" w:fill="auto"/>
          </w:tcPr>
          <w:p w14:paraId="590CD327">
            <w:pPr>
              <w:pStyle w:val="28"/>
              <w:rPr>
                <w:color w:val="000000" w:themeColor="text1"/>
                <w14:textFill>
                  <w14:solidFill>
                    <w14:schemeClr w14:val="tx1"/>
                  </w14:solidFill>
                </w14:textFill>
              </w:rPr>
            </w:pPr>
          </w:p>
        </w:tc>
        <w:tc>
          <w:tcPr>
            <w:tcW w:w="1630" w:type="pct"/>
            <w:shd w:val="clear" w:color="auto" w:fill="auto"/>
          </w:tcPr>
          <w:p w14:paraId="5C0D6E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活性炭吸附的有机废气</w:t>
            </w:r>
          </w:p>
        </w:tc>
        <w:tc>
          <w:tcPr>
            <w:tcW w:w="803" w:type="pct"/>
            <w:shd w:val="clear" w:color="auto" w:fill="auto"/>
          </w:tcPr>
          <w:p w14:paraId="0A60ED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r>
      <w:tr w14:paraId="2F82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pct"/>
            <w:vAlign w:val="center"/>
          </w:tcPr>
          <w:p w14:paraId="78FC8D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83" w:type="pct"/>
            <w:vAlign w:val="center"/>
          </w:tcPr>
          <w:p w14:paraId="0BBAD4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100.076</w:t>
            </w:r>
          </w:p>
        </w:tc>
        <w:tc>
          <w:tcPr>
            <w:tcW w:w="1630" w:type="pct"/>
            <w:vAlign w:val="center"/>
          </w:tcPr>
          <w:p w14:paraId="196406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03" w:type="pct"/>
            <w:vAlign w:val="center"/>
          </w:tcPr>
          <w:p w14:paraId="2D584C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100.076</w:t>
            </w:r>
          </w:p>
        </w:tc>
      </w:tr>
    </w:tbl>
    <w:p w14:paraId="6005E63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2.1.10.3 水平衡</w:t>
      </w:r>
    </w:p>
    <w:p w14:paraId="5D5DE05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本项目用水环节主要是生活用水、车间拖把清洁用水、生产用水。生产用水主要是纯水制备用水、测试器具清洗水、设备冷却水、喷淋用水。本项目废水主要是纯水制备废水、测试器具清洗废水、</w:t>
      </w:r>
      <w:r>
        <w:rPr>
          <w:rFonts w:hint="eastAsia"/>
          <w:color w:val="000000" w:themeColor="text1"/>
          <w14:textFill>
            <w14:solidFill>
              <w14:schemeClr w14:val="tx1"/>
            </w14:solidFill>
          </w14:textFill>
        </w:rPr>
        <w:t>冷却水循环系统定期排污水、喷淋循环系统定期排污废液、生活污水、</w:t>
      </w:r>
      <w:r>
        <w:rPr>
          <w:rFonts w:hint="eastAsia" w:cs="Times New Roman"/>
          <w:color w:val="000000" w:themeColor="text1"/>
          <w14:textFill>
            <w14:solidFill>
              <w14:schemeClr w14:val="tx1"/>
            </w14:solidFill>
          </w14:textFill>
        </w:rPr>
        <w:t>车间拖把清洁废水。</w:t>
      </w:r>
    </w:p>
    <w:p w14:paraId="757435F4">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1、生活用水</w:t>
      </w:r>
    </w:p>
    <w:p w14:paraId="0646D55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本项目劳动定员</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，不提供食宿，生活用水主要是冲厕水、盥洗水、淋浴用水，</w:t>
      </w:r>
      <w:r>
        <w:rPr>
          <w:color w:val="000000" w:themeColor="text1"/>
          <w14:textFill>
            <w14:solidFill>
              <w14:schemeClr w14:val="tx1"/>
            </w14:solidFill>
          </w14:textFill>
        </w:rPr>
        <w:t>根据《云南省地方标准》（DB53/T 168-2019）</w:t>
      </w:r>
      <w:r>
        <w:rPr>
          <w:rFonts w:hint="eastAsia"/>
          <w:color w:val="000000" w:themeColor="text1"/>
          <w14:textFill>
            <w14:solidFill>
              <w14:schemeClr w14:val="tx1"/>
            </w14:solidFill>
          </w14:textFill>
        </w:rPr>
        <w:t>“城镇居民用水定额”</w:t>
      </w:r>
      <w:r>
        <w:rPr>
          <w:color w:val="000000" w:themeColor="text1"/>
          <w14:textFill>
            <w14:solidFill>
              <w14:schemeClr w14:val="tx1"/>
            </w14:solidFill>
          </w14:textFill>
        </w:rPr>
        <w:t>，生活用水按照</w:t>
      </w:r>
      <w:r>
        <w:rPr>
          <w:rFonts w:hint="eastAsia"/>
          <w:color w:val="000000" w:themeColor="text1"/>
          <w14:textFill>
            <w14:solidFill>
              <w14:schemeClr w14:val="tx1"/>
            </w14:solidFill>
          </w14:textFill>
        </w:rPr>
        <w:t>70</w:t>
      </w:r>
      <w:r>
        <w:rPr>
          <w:color w:val="000000" w:themeColor="text1"/>
          <w14:textFill>
            <w14:solidFill>
              <w14:schemeClr w14:val="tx1"/>
            </w14:solidFill>
          </w14:textFill>
        </w:rPr>
        <w:t>L/人·d计算</w:t>
      </w:r>
      <w:r>
        <w:rPr>
          <w:rFonts w:hint="eastAsia"/>
          <w:color w:val="000000" w:themeColor="text1"/>
          <w14:textFill>
            <w14:solidFill>
              <w14:schemeClr w14:val="tx1"/>
            </w14:solidFill>
          </w14:textFill>
        </w:rPr>
        <w:t>，计算得</w:t>
      </w:r>
      <w:r>
        <w:rPr>
          <w:color w:val="000000" w:themeColor="text1"/>
          <w14:textFill>
            <w14:solidFill>
              <w14:schemeClr w14:val="tx1"/>
            </w14:solidFill>
          </w14:textFill>
        </w:rPr>
        <w:t>生活用水量为</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cs="Times New Roman"/>
          <w:color w:val="000000" w:themeColor="text1"/>
          <w14:textFill>
            <w14:solidFill>
              <w14:schemeClr w14:val="tx1"/>
            </w14:solidFill>
          </w14:textFill>
        </w:rPr>
        <w:t>废水量按80%计，则本项目</w:t>
      </w:r>
      <w:r>
        <w:rPr>
          <w:rFonts w:hint="eastAsia" w:cs="Times New Roman"/>
          <w:color w:val="000000" w:themeColor="text1"/>
          <w14:textFill>
            <w14:solidFill>
              <w14:schemeClr w14:val="tx1"/>
            </w14:solidFill>
          </w14:textFill>
        </w:rPr>
        <w:t>生活污水产生</w:t>
      </w:r>
      <w:r>
        <w:rPr>
          <w:rFonts w:cs="Times New Roman"/>
          <w:color w:val="000000" w:themeColor="text1"/>
          <w14:textFill>
            <w14:solidFill>
              <w14:schemeClr w14:val="tx1"/>
            </w14:solidFill>
          </w14:textFill>
        </w:rPr>
        <w:t>量为</w:t>
      </w:r>
      <w:r>
        <w:rPr>
          <w:rFonts w:hint="eastAsia" w:cs="Times New Roman"/>
          <w:color w:val="000000" w:themeColor="text1"/>
          <w14:textFill>
            <w14:solidFill>
              <w14:schemeClr w14:val="tx1"/>
            </w14:solidFill>
          </w14:textFill>
        </w:rPr>
        <w:t>1.12</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s="Times New Roman"/>
          <w:color w:val="000000" w:themeColor="text1"/>
          <w14:textFill>
            <w14:solidFill>
              <w14:schemeClr w14:val="tx1"/>
            </w14:solidFill>
          </w14:textFill>
        </w:rPr>
        <w:t>，336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/a。生活污水依托租用厂房现有化粪池收集预处理后通过已批复的排放口DW001排至市政污水管网，最终进入玉溪市污水处理厂。</w:t>
      </w:r>
    </w:p>
    <w:p w14:paraId="66743736">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2、车间拖把清洁用水</w:t>
      </w:r>
    </w:p>
    <w:p w14:paraId="1376F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w:t>
      </w:r>
      <w:r>
        <w:rPr>
          <w:color w:val="000000" w:themeColor="text1"/>
          <w14:textFill>
            <w14:solidFill>
              <w14:schemeClr w14:val="tx1"/>
            </w14:solidFill>
          </w14:textFill>
        </w:rPr>
        <w:t>用拖把拖地</w:t>
      </w:r>
      <w:r>
        <w:rPr>
          <w:rFonts w:hint="eastAsia"/>
          <w:color w:val="000000" w:themeColor="text1"/>
          <w14:textFill>
            <w14:solidFill>
              <w14:schemeClr w14:val="tx1"/>
            </w14:solidFill>
          </w14:textFill>
        </w:rPr>
        <w:t>进行车间地面清洁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根据经验数据，车间地坪清洗用水量为2-4L/m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车间内部要求无尘环境，</w:t>
      </w:r>
      <w:r>
        <w:rPr>
          <w:rFonts w:hint="eastAsia"/>
          <w:color w:val="000000" w:themeColor="text1"/>
          <w14:textFill>
            <w14:solidFill>
              <w14:schemeClr w14:val="tx1"/>
            </w14:solidFill>
          </w14:textFill>
        </w:rPr>
        <w:t>车间内较干净，本环评用水量取2-4L/m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，经与建设单位核实，清洗地面面积约200m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，计算得清洁用水为0.4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污水产生量以80</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计，产生量约为0.</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/d，并入生活污水处理</w:t>
      </w:r>
      <w:r>
        <w:rPr>
          <w:rFonts w:hint="eastAsia"/>
          <w:color w:val="000000" w:themeColor="text1"/>
          <w14:textFill>
            <w14:solidFill>
              <w14:schemeClr w14:val="tx1"/>
            </w14:solidFill>
          </w14:textFill>
        </w:rPr>
        <w:t>处理后排放。项目在运营过程中需要使用到有机溶剂，密闭输送、转移，出现跑冒滴漏的可能性较小，若出现跑冒滴漏，由在岗员工及时使用抹布擦拭，确保车间地面无残留物。</w:t>
      </w:r>
    </w:p>
    <w:p w14:paraId="5617A221">
      <w:pPr>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3、生产用水</w:t>
      </w:r>
    </w:p>
    <w:p w14:paraId="63B3B2C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生产用水主要是测试器具清洗水、设备冷却水、喷淋用水。</w:t>
      </w:r>
    </w:p>
    <w:p w14:paraId="7FDED14F">
      <w:pPr>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（1）测试器具清洗水</w:t>
      </w:r>
    </w:p>
    <w:p w14:paraId="61EAF954">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产品测试过程中使用的测试器皿需要</w:t>
      </w:r>
      <w:r>
        <w:rPr>
          <w:rFonts w:cs="Times New Roman"/>
          <w:color w:val="000000" w:themeColor="text1"/>
          <w14:textFill>
            <w14:solidFill>
              <w14:schemeClr w14:val="tx1"/>
            </w14:solidFill>
          </w14:textFill>
        </w:rPr>
        <w:t>用到纯水</w:t>
      </w:r>
      <w:r>
        <w:rPr>
          <w:rFonts w:hint="eastAsia" w:cs="Times New Roman"/>
          <w:color w:val="000000" w:themeColor="text1"/>
          <w14:textFill>
            <w14:solidFill>
              <w14:schemeClr w14:val="tx1"/>
            </w14:solidFill>
          </w14:textFill>
        </w:rPr>
        <w:t>进行清洗，清洗时间约1h/d，</w:t>
      </w:r>
      <w:r>
        <w:rPr>
          <w:rFonts w:cs="Times New Roman"/>
          <w:color w:val="000000" w:themeColor="text1"/>
          <w14:textFill>
            <w14:solidFill>
              <w14:schemeClr w14:val="tx1"/>
            </w14:solidFill>
          </w14:textFill>
        </w:rPr>
        <w:t>本项目拟设置</w:t>
      </w:r>
      <w:r>
        <w:rPr>
          <w:rFonts w:hint="eastAsia" w:cs="Times New Roman"/>
          <w:color w:val="000000" w:themeColor="text1"/>
          <w14:textFill>
            <w14:solidFill>
              <w14:schemeClr w14:val="tx1"/>
            </w14:solidFill>
          </w14:textFill>
        </w:rPr>
        <w:t>1套100L</w:t>
      </w:r>
      <w:r>
        <w:rPr>
          <w:rFonts w:cs="Times New Roman"/>
          <w:color w:val="000000" w:themeColor="text1"/>
          <w14:textFill>
            <w14:solidFill>
              <w14:schemeClr w14:val="tx1"/>
            </w14:solidFill>
          </w14:textFill>
        </w:rPr>
        <w:t>/h纯水机组，纯水机组选用包含多介质过滤器+活性炭系统、双级反渗透脱盐系统、EDI高纯水系统的生产工艺</w:t>
      </w:r>
      <w:r>
        <w:rPr>
          <w:rFonts w:hint="eastAsia" w:cs="Times New Roman"/>
          <w:color w:val="000000" w:themeColor="text1"/>
          <w14:textFill>
            <w14:solidFill>
              <w14:schemeClr w14:val="tx1"/>
            </w14:solidFill>
          </w14:textFill>
        </w:rPr>
        <w:t>，制水率为75%，则原水用量为0.133</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h，0.133</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d，制水过程中废水产生量为0.033</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h，0.033</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w:t>
      </w:r>
      <w:r>
        <w:rPr>
          <w:rFonts w:hint="eastAsia"/>
          <w:color w:val="000000" w:themeColor="text1"/>
          <w14:textFill>
            <w14:solidFill>
              <w14:schemeClr w14:val="tx1"/>
            </w14:solidFill>
          </w14:textFill>
        </w:rPr>
        <w:t>纯水机组使用过程中需要定期进行反冲洗，经与建设单位了解，反渗透冲洗流量通常与浓水流量一致，即0.033m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/h，纯水机反冲洗周期为30~60天/次，清洗洗时间通常为3~5 min/次，本环评取5min计算，则反渗透冲洗废水产生量为0.003m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/次，0.036m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/a。制水浓水、反冲洗水最大产生量为0.0361</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/d，9.936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/a，与测试器具清洗废水一起经自建污水处理站处理达标后通过本项目排放口DW002排入租用厂房已建废水收集管网后通过已批复的排放口DW001排至市政污水管网，最终进入玉溪市污水处理厂。</w:t>
      </w:r>
    </w:p>
    <w:p w14:paraId="18D0DB13">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清洗用纯水</w:t>
      </w:r>
      <w:r>
        <w:rPr>
          <w:rFonts w:cs="Times New Roman"/>
          <w:color w:val="000000" w:themeColor="text1"/>
          <w14:textFill>
            <w14:solidFill>
              <w14:schemeClr w14:val="tx1"/>
            </w14:solidFill>
          </w14:textFill>
        </w:rPr>
        <w:t>使用量最大为</w:t>
      </w:r>
      <w:r>
        <w:rPr>
          <w:rFonts w:hint="eastAsia" w:cs="Times New Roman"/>
          <w:color w:val="000000" w:themeColor="text1"/>
          <w14:textFill>
            <w14:solidFill>
              <w14:schemeClr w14:val="tx1"/>
            </w14:solidFill>
          </w14:textFill>
        </w:rPr>
        <w:t>0.1</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h，0.1m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/d，产生的器具清洗废水</w:t>
      </w:r>
      <w:r>
        <w:rPr>
          <w:rFonts w:cs="Times New Roman"/>
          <w:color w:val="000000" w:themeColor="text1"/>
          <w14:textFill>
            <w14:solidFill>
              <w14:schemeClr w14:val="tx1"/>
            </w14:solidFill>
          </w14:textFill>
        </w:rPr>
        <w:t>量按80%计，则</w:t>
      </w:r>
      <w:r>
        <w:rPr>
          <w:rFonts w:hint="eastAsia" w:cs="Times New Roman"/>
          <w:color w:val="000000" w:themeColor="text1"/>
          <w14:textFill>
            <w14:solidFill>
              <w14:schemeClr w14:val="tx1"/>
            </w14:solidFill>
          </w14:textFill>
        </w:rPr>
        <w:t>清洗废水产生量为0.08</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d，通过自建污水处理站处理后</w:t>
      </w:r>
      <w:r>
        <w:rPr>
          <w:rFonts w:hint="eastAsia"/>
          <w:color w:val="000000" w:themeColor="text1"/>
          <w14:textFill>
            <w14:solidFill>
              <w14:schemeClr w14:val="tx1"/>
            </w14:solidFill>
          </w14:textFill>
        </w:rPr>
        <w:t>通过本项目排放口DW002排入租用厂房已建废水收集管网后通过已批复的排放口DW001排至市政污水管网，最终进入玉溪市污水处理厂。</w:t>
      </w:r>
    </w:p>
    <w:p w14:paraId="4CEE475A">
      <w:pPr>
        <w:tabs>
          <w:tab w:val="left" w:pos="617"/>
        </w:tabs>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（2）设备冷却水</w:t>
      </w:r>
    </w:p>
    <w:p w14:paraId="6C34350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根据生产工艺要求，烧结、干燥设备需采用冷冻水要进行冷却，因此本项目设置冷冻</w:t>
      </w:r>
      <w:r>
        <w:rPr>
          <w:rFonts w:cs="Times New Roman"/>
          <w:color w:val="000000" w:themeColor="text1"/>
          <w14:textFill>
            <w14:solidFill>
              <w14:schemeClr w14:val="tx1"/>
            </w14:solidFill>
          </w14:textFill>
        </w:rPr>
        <w:t>机组</w:t>
      </w:r>
      <w:r>
        <w:rPr>
          <w:rFonts w:hint="eastAsia" w:cs="Times New Roman"/>
          <w:color w:val="000000" w:themeColor="text1"/>
          <w14:textFill>
            <w14:solidFill>
              <w14:schemeClr w14:val="tx1"/>
            </w14:solidFill>
          </w14:textFill>
        </w:rPr>
        <w:t>（15m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/h）提供冷冻水，间接冷却，冷却水循环使用，根据《工业循环冷却水处理设计规范》（GB 50050-2017）、工程经验值，损耗的水量按0.3%计算，则每天需要补充循环0.15m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/h，3.6m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冷却</w:t>
      </w:r>
      <w:r>
        <w:rPr>
          <w:rFonts w:hint="eastAsia" w:cs="Times New Roman"/>
          <w:color w:val="000000" w:themeColor="text1"/>
          <w14:textFill>
            <w14:solidFill>
              <w14:schemeClr w14:val="tx1"/>
            </w14:solidFill>
          </w14:textFill>
        </w:rPr>
        <w:t>系统</w:t>
      </w:r>
      <w:r>
        <w:rPr>
          <w:rFonts w:cs="Times New Roman"/>
          <w:color w:val="000000" w:themeColor="text1"/>
          <w14:textFill>
            <w14:solidFill>
              <w14:schemeClr w14:val="tx1"/>
            </w14:solidFill>
          </w14:textFill>
        </w:rPr>
        <w:t>需要定期进行排污，</w:t>
      </w:r>
      <w:r>
        <w:rPr>
          <w:rFonts w:hint="eastAsia" w:cs="Times New Roman"/>
          <w:color w:val="000000" w:themeColor="text1"/>
          <w14:textFill>
            <w14:solidFill>
              <w14:schemeClr w14:val="tx1"/>
            </w14:solidFill>
          </w14:textFill>
        </w:rPr>
        <w:t>定期排污水按0.5%考虑，计算得1.8m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/d，循环冷却系统排污水经自建污水处理站处理后通过本项目排放口DW002排入租用厂房已建废水收集管网后通过已批复的排放口DW001排至市政污水管网，最终进入玉溪市污水处理厂</w:t>
      </w:r>
      <w:r>
        <w:rPr>
          <w:rFonts w:cs="Times New Roman"/>
          <w:color w:val="000000" w:themeColor="text1"/>
          <w14:textFill>
            <w14:solidFill>
              <w14:schemeClr w14:val="tx1"/>
            </w14:solidFill>
          </w14:textFill>
        </w:rPr>
        <w:t>。</w:t>
      </w:r>
    </w:p>
    <w:p w14:paraId="29E2B4D1">
      <w:pPr>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（3）喷淋用水</w:t>
      </w:r>
    </w:p>
    <w:p w14:paraId="793F922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废气处理系统采用碱喷淋+除雾+活性炭吸附的处理工艺，根据建设单位提供的资料，循环水量约为10m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/h，喷淋用水循环使用不外排。为了防止污染物累积、水质恶化、设备损伤，需通过补充新水及定期排污保证喷淋装置的喷淋效果，损耗的水量按0.1%计算，则每天需要补充循环0.1m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/h，2.4m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/d。根据设计资料及类比同类型项目，废气处理系统采用碱喷淋+除雾+活性炭吸附的处理工艺，根据建设单位提供的资料，循环水系统1年排放1次底部废水，废水排放量为1m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，作为危废处置</w:t>
      </w:r>
      <w:r>
        <w:rPr>
          <w:rFonts w:hint="eastAsia"/>
          <w:color w:val="000000" w:themeColor="text1"/>
          <w14:textFill>
            <w14:solidFill>
              <w14:schemeClr w14:val="tx1"/>
            </w14:solidFill>
          </w14:textFill>
        </w:rPr>
        <w:t>。</w:t>
      </w:r>
    </w:p>
    <w:p w14:paraId="16D71FB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本项目用排水情况见下表。</w:t>
      </w:r>
    </w:p>
    <w:p w14:paraId="55E95E6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表2.1-7  本项目废水产排情况一览表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137"/>
        <w:gridCol w:w="1212"/>
        <w:gridCol w:w="4102"/>
        <w:gridCol w:w="1026"/>
      </w:tblGrid>
      <w:tr w14:paraId="5C2C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74D7F0A8">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用水环节</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1B38494E">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用水量（m³/d）</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5960FAF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废水产生量（m³/d）</w:t>
            </w:r>
          </w:p>
        </w:tc>
        <w:tc>
          <w:tcPr>
            <w:tcW w:w="2406" w:type="pct"/>
            <w:tcBorders>
              <w:top w:val="single" w:color="auto" w:sz="4" w:space="0"/>
              <w:left w:val="single" w:color="auto" w:sz="4" w:space="0"/>
              <w:bottom w:val="single" w:color="auto" w:sz="4" w:space="0"/>
              <w:right w:val="single" w:color="auto" w:sz="4" w:space="0"/>
            </w:tcBorders>
            <w:shd w:val="clear" w:color="auto" w:fill="auto"/>
            <w:vAlign w:val="center"/>
          </w:tcPr>
          <w:p w14:paraId="7887E5EF">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处理措施</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108D01BB">
            <w:pPr>
              <w:pStyle w:val="28"/>
              <w:rPr>
                <w:color w:val="000000" w:themeColor="text1"/>
                <w14:textFill>
                  <w14:solidFill>
                    <w14:schemeClr w14:val="tx1"/>
                  </w14:solidFill>
                </w14:textFill>
              </w:rPr>
            </w:pPr>
            <w:r>
              <w:rPr>
                <w:color w:val="000000" w:themeColor="text1"/>
                <w14:textFill>
                  <w14:solidFill>
                    <w14:schemeClr w14:val="tx1"/>
                  </w14:solidFill>
                </w14:textFill>
              </w:rPr>
              <w:t>排放量</w:t>
            </w:r>
          </w:p>
          <w:p w14:paraId="0C8818CF">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（m³/d）</w:t>
            </w:r>
          </w:p>
        </w:tc>
      </w:tr>
      <w:tr w14:paraId="477A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335DE6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生活用水、车间拖把清洁用水</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346CBA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4A2DC5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1.44</w:t>
            </w:r>
          </w:p>
        </w:tc>
        <w:tc>
          <w:tcPr>
            <w:tcW w:w="2406" w:type="pct"/>
            <w:tcBorders>
              <w:top w:val="single" w:color="auto" w:sz="4" w:space="0"/>
              <w:left w:val="single" w:color="auto" w:sz="4" w:space="0"/>
              <w:bottom w:val="single" w:color="auto" w:sz="4" w:space="0"/>
              <w:right w:val="single" w:color="auto" w:sz="4" w:space="0"/>
            </w:tcBorders>
            <w:shd w:val="clear" w:color="auto" w:fill="auto"/>
            <w:vAlign w:val="center"/>
          </w:tcPr>
          <w:p w14:paraId="58F42D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租用厂房现有化粪池收集预处理后通过已批复的排放口DW001排至市政污水管网，最终进入玉溪市污水处理厂</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2A778D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1.44</w:t>
            </w:r>
          </w:p>
        </w:tc>
      </w:tr>
      <w:tr w14:paraId="3DF1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2FA72D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w:t>
            </w:r>
          </w:p>
        </w:tc>
        <w:tc>
          <w:tcPr>
            <w:tcW w:w="6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2280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0.136</w:t>
            </w:r>
          </w:p>
          <w:p w14:paraId="12987763">
            <w:pPr>
              <w:pStyle w:val="28"/>
              <w:rPr>
                <w:color w:val="000000" w:themeColor="text1"/>
                <w14:textFill>
                  <w14:solidFill>
                    <w14:schemeClr w14:val="tx1"/>
                  </w14:solidFill>
                </w14:textFill>
              </w:rPr>
            </w:pP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717D47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0.036</w:t>
            </w:r>
          </w:p>
        </w:tc>
        <w:tc>
          <w:tcPr>
            <w:tcW w:w="2406" w:type="pct"/>
            <w:vMerge w:val="restart"/>
            <w:tcBorders>
              <w:top w:val="single" w:color="auto" w:sz="4" w:space="0"/>
              <w:left w:val="single" w:color="auto" w:sz="4" w:space="0"/>
              <w:right w:val="single" w:color="auto" w:sz="4" w:space="0"/>
            </w:tcBorders>
            <w:shd w:val="clear" w:color="auto" w:fill="auto"/>
            <w:vAlign w:val="center"/>
          </w:tcPr>
          <w:p w14:paraId="6114B3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经自建一体化污水处理站处理达标后通过通过本项目排放口DW002排入租用厂房已建废水收集管网后通过已批复的排放口DW001排至市政污水管网，最终进入玉溪市污水处理厂</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7B3867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0.036</w:t>
            </w:r>
          </w:p>
        </w:tc>
      </w:tr>
      <w:tr w14:paraId="123C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left w:val="single" w:color="auto" w:sz="4" w:space="0"/>
              <w:bottom w:val="single" w:color="auto" w:sz="4" w:space="0"/>
              <w:right w:val="single" w:color="auto" w:sz="4" w:space="0"/>
            </w:tcBorders>
            <w:shd w:val="clear" w:color="auto" w:fill="auto"/>
            <w:vAlign w:val="center"/>
          </w:tcPr>
          <w:p w14:paraId="6BFDAF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测试器具清洗水</w:t>
            </w:r>
          </w:p>
        </w:tc>
        <w:tc>
          <w:tcPr>
            <w:tcW w:w="667" w:type="pct"/>
            <w:vMerge w:val="continue"/>
            <w:tcBorders>
              <w:left w:val="single" w:color="auto" w:sz="4" w:space="0"/>
              <w:bottom w:val="single" w:color="auto" w:sz="4" w:space="0"/>
              <w:right w:val="single" w:color="auto" w:sz="4" w:space="0"/>
            </w:tcBorders>
            <w:shd w:val="clear" w:color="auto" w:fill="auto"/>
            <w:vAlign w:val="center"/>
          </w:tcPr>
          <w:p w14:paraId="7E378294">
            <w:pPr>
              <w:pStyle w:val="28"/>
              <w:rPr>
                <w:color w:val="000000" w:themeColor="text1"/>
                <w14:textFill>
                  <w14:solidFill>
                    <w14:schemeClr w14:val="tx1"/>
                  </w14:solidFill>
                </w14:textFill>
              </w:rPr>
            </w:pPr>
          </w:p>
        </w:tc>
        <w:tc>
          <w:tcPr>
            <w:tcW w:w="711" w:type="pct"/>
            <w:tcBorders>
              <w:left w:val="single" w:color="auto" w:sz="4" w:space="0"/>
              <w:bottom w:val="single" w:color="auto" w:sz="4" w:space="0"/>
              <w:right w:val="single" w:color="auto" w:sz="4" w:space="0"/>
            </w:tcBorders>
            <w:shd w:val="clear" w:color="auto" w:fill="auto"/>
            <w:vAlign w:val="center"/>
          </w:tcPr>
          <w:p w14:paraId="329971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2406" w:type="pct"/>
            <w:vMerge w:val="continue"/>
            <w:tcBorders>
              <w:left w:val="single" w:color="auto" w:sz="4" w:space="0"/>
              <w:bottom w:val="single" w:color="auto" w:sz="4" w:space="0"/>
              <w:right w:val="single" w:color="auto" w:sz="4" w:space="0"/>
            </w:tcBorders>
            <w:shd w:val="clear" w:color="auto" w:fill="auto"/>
            <w:vAlign w:val="center"/>
          </w:tcPr>
          <w:p w14:paraId="43A65649">
            <w:pPr>
              <w:pStyle w:val="28"/>
              <w:rPr>
                <w:color w:val="000000" w:themeColor="text1"/>
                <w14:textFill>
                  <w14:solidFill>
                    <w14:schemeClr w14:val="tx1"/>
                  </w14:solidFill>
                </w14:textFill>
              </w:rPr>
            </w:pPr>
          </w:p>
        </w:tc>
        <w:tc>
          <w:tcPr>
            <w:tcW w:w="601" w:type="pct"/>
            <w:tcBorders>
              <w:left w:val="single" w:color="auto" w:sz="4" w:space="0"/>
              <w:bottom w:val="single" w:color="auto" w:sz="4" w:space="0"/>
              <w:right w:val="single" w:color="auto" w:sz="4" w:space="0"/>
            </w:tcBorders>
            <w:shd w:val="clear" w:color="auto" w:fill="auto"/>
            <w:vAlign w:val="center"/>
          </w:tcPr>
          <w:p w14:paraId="5F4918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r>
      <w:tr w14:paraId="28AC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371EF7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设备冷却水</w:t>
            </w:r>
          </w:p>
        </w:tc>
        <w:tc>
          <w:tcPr>
            <w:tcW w:w="667" w:type="pct"/>
            <w:shd w:val="clear" w:color="auto" w:fill="auto"/>
            <w:vAlign w:val="center"/>
          </w:tcPr>
          <w:p w14:paraId="3A0DA0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711" w:type="pct"/>
            <w:shd w:val="clear" w:color="auto" w:fill="auto"/>
            <w:vAlign w:val="center"/>
          </w:tcPr>
          <w:p w14:paraId="37E606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406" w:type="pct"/>
            <w:shd w:val="clear" w:color="auto" w:fill="auto"/>
            <w:vAlign w:val="center"/>
          </w:tcPr>
          <w:p w14:paraId="0E8673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冷却水循环使用，定期排污水经自建污水处理站处理达标后通过本项目排放口DW002排入租用厂房已建废水收集管网后通过已批复的排放口DW001排至市政污水管网，最终进入玉溪市污水处理厂</w:t>
            </w:r>
          </w:p>
        </w:tc>
        <w:tc>
          <w:tcPr>
            <w:tcW w:w="601" w:type="pct"/>
            <w:shd w:val="clear" w:color="auto" w:fill="auto"/>
            <w:vAlign w:val="center"/>
          </w:tcPr>
          <w:p w14:paraId="56F8FA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r>
      <w:tr w14:paraId="203C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7C07A4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喷淋用水</w:t>
            </w:r>
          </w:p>
        </w:tc>
        <w:tc>
          <w:tcPr>
            <w:tcW w:w="667" w:type="pct"/>
            <w:shd w:val="clear" w:color="auto" w:fill="auto"/>
            <w:vAlign w:val="center"/>
          </w:tcPr>
          <w:p w14:paraId="4C4AC3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711" w:type="pct"/>
            <w:shd w:val="clear" w:color="auto" w:fill="auto"/>
            <w:vAlign w:val="center"/>
          </w:tcPr>
          <w:p w14:paraId="6B46CC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06" w:type="pct"/>
            <w:shd w:val="clear" w:color="auto" w:fill="auto"/>
            <w:vAlign w:val="center"/>
          </w:tcPr>
          <w:p w14:paraId="163207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喷淋水循环使用</w:t>
            </w:r>
          </w:p>
        </w:tc>
        <w:tc>
          <w:tcPr>
            <w:tcW w:w="601" w:type="pct"/>
            <w:shd w:val="clear" w:color="auto" w:fill="auto"/>
            <w:vAlign w:val="center"/>
          </w:tcPr>
          <w:p w14:paraId="185F6F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7C63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4ACE61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67" w:type="pct"/>
            <w:shd w:val="clear" w:color="auto" w:fill="auto"/>
            <w:vAlign w:val="center"/>
          </w:tcPr>
          <w:p w14:paraId="6A89CD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10.736</w:t>
            </w:r>
          </w:p>
        </w:tc>
        <w:tc>
          <w:tcPr>
            <w:tcW w:w="711" w:type="pct"/>
            <w:shd w:val="clear" w:color="auto" w:fill="auto"/>
            <w:vAlign w:val="center"/>
          </w:tcPr>
          <w:p w14:paraId="43A29E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4.356</w:t>
            </w:r>
          </w:p>
        </w:tc>
        <w:tc>
          <w:tcPr>
            <w:tcW w:w="2406" w:type="pct"/>
            <w:shd w:val="clear" w:color="auto" w:fill="auto"/>
            <w:vAlign w:val="center"/>
          </w:tcPr>
          <w:p w14:paraId="50A6E4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1" w:type="pct"/>
            <w:shd w:val="clear" w:color="auto" w:fill="auto"/>
            <w:vAlign w:val="center"/>
          </w:tcPr>
          <w:p w14:paraId="2DA05E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3.356</w:t>
            </w:r>
          </w:p>
        </w:tc>
      </w:tr>
    </w:tbl>
    <w:p w14:paraId="12BFD6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项目水平衡图见下图。</w:t>
      </w:r>
    </w:p>
    <w:p w14:paraId="64A0F3F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259.65pt;width:403.65pt;" o:ole="t" filled="f" o:preferrelative="t" stroked="f" coordsize="21600,21600">
            <v:path/>
            <v:fill on="f" focussize="0,0"/>
            <v:stroke on="f" joinstyle="miter"/>
            <v:imagedata r:id="rId22" o:title=""/>
            <o:lock v:ext="edit" aspectratio="f"/>
            <w10:wrap type="none"/>
            <w10:anchorlock/>
          </v:shape>
          <o:OLEObject Type="Embed" ProgID="Visio.Drawing.11" ShapeID="_x0000_i1025" DrawAspect="Content" ObjectID="_1468075725" r:id="rId21">
            <o:LockedField>false</o:LockedField>
          </o:OLEObject>
        </w:object>
      </w:r>
    </w:p>
    <w:p w14:paraId="0DBBC44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图2.1-1  项目水平衡图  单位m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77660CE4">
      <w:pPr>
        <w:pStyle w:val="3"/>
        <w:rPr>
          <w:color w:val="000000" w:themeColor="text1"/>
          <w14:textFill>
            <w14:solidFill>
              <w14:schemeClr w14:val="tx1"/>
            </w14:solidFill>
          </w14:textFill>
        </w:rPr>
      </w:pPr>
      <w:bookmarkStart w:id="40" w:name="_Toc6446"/>
      <w:r>
        <w:rPr>
          <w:rFonts w:hint="eastAsia"/>
          <w:color w:val="000000" w:themeColor="text1"/>
          <w14:textFill>
            <w14:solidFill>
              <w14:schemeClr w14:val="tx1"/>
            </w14:solidFill>
          </w14:textFill>
        </w:rPr>
        <w:t>2.2依托项目概况</w:t>
      </w:r>
      <w:bookmarkEnd w:id="40"/>
    </w:p>
    <w:p w14:paraId="2109880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本项目租用云南捷辰包装材料有限公司</w:t>
      </w:r>
      <w:r>
        <w:rPr>
          <w:rFonts w:hint="eastAsia"/>
          <w:color w:val="000000" w:themeColor="text1"/>
          <w14:textFill>
            <w14:solidFill>
              <w14:schemeClr w14:val="tx1"/>
            </w14:solidFill>
          </w14:textFill>
        </w:rPr>
        <w:t>“印刷业务改扩建项目”</w:t>
      </w:r>
      <w:r>
        <w:rPr>
          <w:color w:val="000000" w:themeColor="text1"/>
          <w14:textFill>
            <w14:solidFill>
              <w14:schemeClr w14:val="tx1"/>
            </w14:solidFill>
          </w14:textFill>
        </w:rPr>
        <w:t>生产厂房进行生产</w:t>
      </w:r>
      <w:r>
        <w:rPr>
          <w:rFonts w:hint="eastAsia"/>
          <w:color w:val="000000" w:themeColor="text1"/>
          <w14:textFill>
            <w14:solidFill>
              <w14:schemeClr w14:val="tx1"/>
            </w14:solidFill>
          </w14:textFill>
        </w:rPr>
        <w:t>。化粪池、事故应急池、雨水收集管网等依托</w:t>
      </w: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建设的。</w:t>
      </w:r>
    </w:p>
    <w:p w14:paraId="05B36DE7">
      <w:pPr>
        <w:pStyle w:val="4"/>
        <w:rPr>
          <w:color w:val="000000" w:themeColor="text1"/>
          <w14:textFill>
            <w14:solidFill>
              <w14:schemeClr w14:val="tx1"/>
            </w14:solidFill>
          </w14:textFill>
        </w:rPr>
      </w:pPr>
      <w:bookmarkStart w:id="41" w:name="_Toc10737"/>
      <w:r>
        <w:rPr>
          <w:rFonts w:hint="eastAsia"/>
          <w:color w:val="000000" w:themeColor="text1"/>
          <w14:textFill>
            <w14:solidFill>
              <w14:schemeClr w14:val="tx1"/>
            </w14:solidFill>
          </w14:textFill>
        </w:rPr>
        <w:t>2.2.1环保手续办理情况</w:t>
      </w:r>
      <w:bookmarkEnd w:id="41"/>
    </w:p>
    <w:p w14:paraId="4F8BDABC">
      <w:pPr>
        <w:ind w:firstLine="480"/>
        <w:rPr>
          <w:color w:val="000000" w:themeColor="text1"/>
          <w14:textFill>
            <w14:solidFill>
              <w14:schemeClr w14:val="tx1"/>
            </w14:solidFill>
          </w14:textFill>
        </w:rPr>
      </w:pP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位于高新区九龙片区，建有“特种纸生产线及电化铝生产线项目”、“印刷业务改扩建项目”。其中“特种纸生产线及电化铝生产线项目”主要是建设生产厂房、原料仓库、边料仓库、溶剂仓库、危废暂存间及事故应急池、消防水池及消防水泵房。项目建成后，形成年产1.5万吨特种纸和1300万米电化铝的生产能力。项目已于2024年9月30日取得了玉溪市生态环境局高新技术产业开发区分局签发的环评批复（玉环高新发〔2024〕6号）。“印刷业务改扩建项目”主要是建设生产厂房、仓库、成品仓库办公楼及生活污水处理设施，项目建成后，形成年产卷烟烟标40万箱的生产能力。项目已于2024年9月30日取得了玉溪市生态环境局高新技术产业开开发区分局签发的环评批复（玉环高新发〔2024〕7号）。</w:t>
      </w:r>
    </w:p>
    <w:p w14:paraId="43533164">
      <w:pPr>
        <w:ind w:firstLine="480"/>
        <w:rPr>
          <w:color w:val="000000" w:themeColor="text1"/>
          <w14:textFill>
            <w14:solidFill>
              <w14:schemeClr w14:val="tx1"/>
            </w14:solidFill>
          </w14:textFill>
        </w:rPr>
      </w:pPr>
      <w:r>
        <w:rPr>
          <w:color w:val="000000" w:themeColor="text1"/>
          <w14:textFill>
            <w14:solidFill>
              <w14:schemeClr w14:val="tx1"/>
            </w14:solidFill>
          </w14:textFill>
        </w:rPr>
        <w:t>因建设单位发展需求，项目经</w:t>
      </w:r>
      <w:bookmarkStart w:id="42" w:name="_Hlk226646501"/>
      <w:r>
        <w:rPr>
          <w:color w:val="000000" w:themeColor="text1"/>
          <w14:textFill>
            <w14:solidFill>
              <w14:schemeClr w14:val="tx1"/>
            </w14:solidFill>
          </w14:textFill>
        </w:rPr>
        <w:t>玉溪高新区管委会</w:t>
      </w:r>
      <w:bookmarkEnd w:id="42"/>
      <w:r>
        <w:rPr>
          <w:color w:val="000000" w:themeColor="text1"/>
          <w14:textFill>
            <w14:solidFill>
              <w14:schemeClr w14:val="tx1"/>
            </w14:solidFill>
          </w14:textFill>
        </w:rPr>
        <w:t>《关于回复“印刷业务改扩建项目”“特种纸生产线及电化铝生产线项目”变更至云南捷辰包装材料有限公司申请的函》(玉高开委函(2024】47号)文件同意，两个项目投资协议中所有权利和义务均由云南捷辰包装材料有限公司承接。</w:t>
      </w:r>
    </w:p>
    <w:p w14:paraId="699AB4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两个项目的《建设用地规划许可证》、《建设工程规划许可证》建设单位变更已于2025年6月3日取得了玉溪高新区规划建设局的同意变更建设单位的规划意见（便笺【2025】20号）。</w:t>
      </w:r>
    </w:p>
    <w:p w14:paraId="6EF93D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2025年6月11日，已取得玉溪市生态环境局高新技术产业开发区分局关于同意云南捷辰包装材料有限公司沿用云南恩捷新材料股份有限公司及云南德新纸业有限公司环评手续的函，同意云南捷辰包装材料有限公司沿用云南恩捷新材料股份有限公司及云南德新纸业有限公司上述两个建设项目环评文件及其批复。</w:t>
      </w:r>
    </w:p>
    <w:p w14:paraId="7DC1DA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截至目前，“特种纸生产线及电化铝生产线项目”、“印刷业务改扩建项目”尚未进入竣工环境保护验收阶段。</w:t>
      </w:r>
    </w:p>
    <w:p w14:paraId="6AAD7A08">
      <w:pPr>
        <w:pStyle w:val="4"/>
        <w:rPr>
          <w:color w:val="000000" w:themeColor="text1"/>
          <w14:textFill>
            <w14:solidFill>
              <w14:schemeClr w14:val="tx1"/>
            </w14:solidFill>
          </w14:textFill>
        </w:rPr>
      </w:pPr>
      <w:bookmarkStart w:id="43" w:name="_Toc15687"/>
      <w:r>
        <w:rPr>
          <w:rFonts w:hint="eastAsia"/>
          <w:color w:val="000000" w:themeColor="text1"/>
          <w14:textFill>
            <w14:solidFill>
              <w14:schemeClr w14:val="tx1"/>
            </w14:solidFill>
          </w14:textFill>
        </w:rPr>
        <w:t>2.2.2依托项目建设概况</w:t>
      </w:r>
      <w:bookmarkEnd w:id="43"/>
    </w:p>
    <w:p w14:paraId="1C2F813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特种纸生产线及电化铝生产线项目”生产厂房、原料仓库、边料仓库、溶剂仓库、消防水池及消防水泵房已建成，危废暂存间及事故应急池正在建设中，目前正在进行设备安装。“印刷业务改扩建项目”生产厂房、仓库、成品仓库、化粪池已建成，办公楼施暂未建设，目前未开展下一步施工作业。</w:t>
      </w:r>
    </w:p>
    <w:p w14:paraId="657CDB91">
      <w:pPr>
        <w:ind w:firstLine="480"/>
        <w:rPr>
          <w:color w:val="000000" w:themeColor="text1"/>
          <w14:textFill>
            <w14:solidFill>
              <w14:schemeClr w14:val="tx1"/>
            </w14:solidFill>
          </w14:textFill>
        </w:rPr>
      </w:pP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主要建设内容详见下表。</w:t>
      </w:r>
    </w:p>
    <w:p w14:paraId="2725DF75">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5DAC6A9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表2.2-1 主要建设内容一览表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3"/>
        <w:gridCol w:w="762"/>
        <w:gridCol w:w="951"/>
        <w:gridCol w:w="7420"/>
        <w:gridCol w:w="1368"/>
        <w:gridCol w:w="2537"/>
      </w:tblGrid>
      <w:tr w14:paraId="1BCBB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tcBorders>
              <w:top w:val="single" w:color="000000" w:sz="4" w:space="0"/>
              <w:left w:val="single" w:color="000000" w:sz="4" w:space="0"/>
              <w:bottom w:val="single" w:color="000000" w:sz="4" w:space="0"/>
              <w:right w:val="single" w:color="000000" w:sz="4" w:space="0"/>
            </w:tcBorders>
            <w:vAlign w:val="center"/>
          </w:tcPr>
          <w:p w14:paraId="3A827F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76" w:type="pct"/>
            <w:tcBorders>
              <w:top w:val="single" w:color="000000" w:sz="4" w:space="0"/>
              <w:left w:val="single" w:color="000000" w:sz="4" w:space="0"/>
              <w:bottom w:val="single" w:color="000000" w:sz="4" w:space="0"/>
              <w:right w:val="single" w:color="000000" w:sz="4" w:space="0"/>
            </w:tcBorders>
            <w:vAlign w:val="center"/>
          </w:tcPr>
          <w:p w14:paraId="3B5D3FCC">
            <w:pPr>
              <w:pStyle w:val="28"/>
              <w:rPr>
                <w:color w:val="000000" w:themeColor="text1"/>
                <w14:textFill>
                  <w14:solidFill>
                    <w14:schemeClr w14:val="tx1"/>
                  </w14:solidFill>
                </w14:textFill>
              </w:rPr>
            </w:pPr>
            <w:r>
              <w:rPr>
                <w:color w:val="000000" w:themeColor="text1"/>
                <w14:textFill>
                  <w14:solidFill>
                    <w14:schemeClr w14:val="tx1"/>
                  </w14:solidFill>
                </w14:textFill>
              </w:rPr>
              <w:t>工程名称</w:t>
            </w:r>
          </w:p>
        </w:tc>
        <w:tc>
          <w:tcPr>
            <w:tcW w:w="3029" w:type="pct"/>
            <w:gridSpan w:val="2"/>
            <w:tcBorders>
              <w:top w:val="single" w:color="000000" w:sz="4" w:space="0"/>
              <w:left w:val="single" w:color="000000" w:sz="4" w:space="0"/>
              <w:bottom w:val="single" w:color="000000" w:sz="4" w:space="0"/>
              <w:right w:val="single" w:color="000000" w:sz="4" w:space="0"/>
            </w:tcBorders>
            <w:vAlign w:val="center"/>
          </w:tcPr>
          <w:p w14:paraId="03653840">
            <w:pPr>
              <w:pStyle w:val="28"/>
              <w:rPr>
                <w:color w:val="000000" w:themeColor="text1"/>
                <w14:textFill>
                  <w14:solidFill>
                    <w14:schemeClr w14:val="tx1"/>
                  </w14:solidFill>
                </w14:textFill>
              </w:rPr>
            </w:pPr>
            <w:r>
              <w:rPr>
                <w:color w:val="000000" w:themeColor="text1"/>
                <w14:textFill>
                  <w14:solidFill>
                    <w14:schemeClr w14:val="tx1"/>
                  </w14:solidFill>
                </w14:textFill>
              </w:rPr>
              <w:t>工程内容及规模</w:t>
            </w:r>
          </w:p>
        </w:tc>
        <w:tc>
          <w:tcPr>
            <w:tcW w:w="495" w:type="pct"/>
            <w:tcBorders>
              <w:top w:val="single" w:color="000000" w:sz="4" w:space="0"/>
              <w:left w:val="single" w:color="000000" w:sz="4" w:space="0"/>
              <w:bottom w:val="single" w:color="000000" w:sz="4" w:space="0"/>
              <w:right w:val="single" w:color="000000" w:sz="4" w:space="0"/>
            </w:tcBorders>
            <w:vAlign w:val="center"/>
          </w:tcPr>
          <w:p w14:paraId="5D2B99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现阶段建设情况</w:t>
            </w:r>
          </w:p>
        </w:tc>
        <w:tc>
          <w:tcPr>
            <w:tcW w:w="918" w:type="pct"/>
            <w:tcBorders>
              <w:top w:val="single" w:color="000000" w:sz="4" w:space="0"/>
              <w:left w:val="single" w:color="000000" w:sz="4" w:space="0"/>
              <w:bottom w:val="single" w:color="000000" w:sz="4" w:space="0"/>
              <w:right w:val="single" w:color="000000" w:sz="4" w:space="0"/>
            </w:tcBorders>
            <w:vAlign w:val="center"/>
          </w:tcPr>
          <w:p w14:paraId="6C9E9B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与本项目的关系</w:t>
            </w:r>
          </w:p>
        </w:tc>
      </w:tr>
      <w:tr w14:paraId="15BA9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80" w:type="pct"/>
            <w:vMerge w:val="restart"/>
            <w:tcBorders>
              <w:left w:val="single" w:color="000000" w:sz="4" w:space="0"/>
              <w:right w:val="single" w:color="000000" w:sz="4" w:space="0"/>
            </w:tcBorders>
            <w:vAlign w:val="center"/>
          </w:tcPr>
          <w:p w14:paraId="704E9F5A">
            <w:pPr>
              <w:pStyle w:val="28"/>
              <w:rPr>
                <w:color w:val="000000" w:themeColor="text1"/>
                <w14:textFill>
                  <w14:solidFill>
                    <w14:schemeClr w14:val="tx1"/>
                  </w14:solidFill>
                </w14:textFill>
              </w:rPr>
            </w:pPr>
            <w:r>
              <w:rPr>
                <w:color w:val="000000" w:themeColor="text1"/>
                <w14:textFill>
                  <w14:solidFill>
                    <w14:schemeClr w14:val="tx1"/>
                  </w14:solidFill>
                </w14:textFill>
              </w:rPr>
              <w:t>特种纸生产线及电化铝生产线项目</w:t>
            </w:r>
          </w:p>
        </w:tc>
        <w:tc>
          <w:tcPr>
            <w:tcW w:w="276" w:type="pct"/>
            <w:tcBorders>
              <w:left w:val="single" w:color="000000" w:sz="4" w:space="0"/>
              <w:right w:val="single" w:color="000000" w:sz="4" w:space="0"/>
            </w:tcBorders>
            <w:vAlign w:val="center"/>
          </w:tcPr>
          <w:p w14:paraId="13442F31">
            <w:pPr>
              <w:pStyle w:val="28"/>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344" w:type="pct"/>
            <w:tcBorders>
              <w:top w:val="single" w:color="000000" w:sz="4" w:space="0"/>
              <w:left w:val="single" w:color="000000" w:sz="4" w:space="0"/>
              <w:bottom w:val="single" w:color="000000" w:sz="4" w:space="0"/>
              <w:right w:val="single" w:color="000000" w:sz="4" w:space="0"/>
            </w:tcBorders>
            <w:vAlign w:val="center"/>
          </w:tcPr>
          <w:p w14:paraId="39D329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生产厂房</w:t>
            </w:r>
          </w:p>
        </w:tc>
        <w:tc>
          <w:tcPr>
            <w:tcW w:w="2685" w:type="pct"/>
            <w:tcBorders>
              <w:top w:val="single" w:color="000000" w:sz="4" w:space="0"/>
              <w:left w:val="single" w:color="000000" w:sz="4" w:space="0"/>
              <w:bottom w:val="single" w:color="000000" w:sz="4" w:space="0"/>
              <w:right w:val="single" w:color="000000" w:sz="4" w:space="0"/>
            </w:tcBorders>
            <w:vAlign w:val="center"/>
          </w:tcPr>
          <w:p w14:paraId="74DB48D7">
            <w:pPr>
              <w:pStyle w:val="28"/>
              <w:rPr>
                <w:color w:val="000000" w:themeColor="text1"/>
                <w14:textFill>
                  <w14:solidFill>
                    <w14:schemeClr w14:val="tx1"/>
                  </w14:solidFill>
                </w14:textFill>
              </w:rPr>
            </w:pPr>
            <w:r>
              <w:rPr>
                <w:color w:val="000000" w:themeColor="text1"/>
                <w14:textFill>
                  <w14:solidFill>
                    <w14:schemeClr w14:val="tx1"/>
                  </w14:solidFill>
                </w14:textFill>
              </w:rPr>
              <w:t>1个，占地面积14923.84m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建筑面积为14923.84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四周围墙采用砖砌。内设</w:t>
            </w:r>
            <w:r>
              <w:rPr>
                <w:color w:val="000000" w:themeColor="text1"/>
                <w14:textFill>
                  <w14:solidFill>
                    <w14:schemeClr w14:val="tx1"/>
                  </w14:solidFill>
                </w14:textFill>
              </w:rPr>
              <w:t>特种纸生产线一条，电化铝生产线一条</w:t>
            </w:r>
            <w:r>
              <w:rPr>
                <w:rFonts w:hint="eastAsia"/>
                <w:color w:val="000000" w:themeColor="text1"/>
                <w14:textFill>
                  <w14:solidFill>
                    <w14:schemeClr w14:val="tx1"/>
                  </w14:solidFill>
                </w14:textFill>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1B864D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生产厂房已建成，正在进行设备安装。</w:t>
            </w:r>
          </w:p>
        </w:tc>
        <w:tc>
          <w:tcPr>
            <w:tcW w:w="918" w:type="pct"/>
            <w:tcBorders>
              <w:top w:val="single" w:color="000000" w:sz="4" w:space="0"/>
              <w:left w:val="single" w:color="000000" w:sz="4" w:space="0"/>
              <w:bottom w:val="single" w:color="000000" w:sz="4" w:space="0"/>
              <w:right w:val="single" w:color="000000" w:sz="4" w:space="0"/>
            </w:tcBorders>
            <w:vAlign w:val="center"/>
          </w:tcPr>
          <w:p w14:paraId="0A6668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26EE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33192D28">
            <w:pPr>
              <w:pStyle w:val="28"/>
              <w:rPr>
                <w:color w:val="000000" w:themeColor="text1"/>
                <w14:textFill>
                  <w14:solidFill>
                    <w14:schemeClr w14:val="tx1"/>
                  </w14:solidFill>
                </w14:textFill>
              </w:rPr>
            </w:pPr>
          </w:p>
        </w:tc>
        <w:tc>
          <w:tcPr>
            <w:tcW w:w="276" w:type="pct"/>
            <w:vMerge w:val="restart"/>
            <w:tcBorders>
              <w:left w:val="single" w:color="000000" w:sz="4" w:space="0"/>
              <w:right w:val="single" w:color="000000" w:sz="4" w:space="0"/>
            </w:tcBorders>
            <w:vAlign w:val="center"/>
          </w:tcPr>
          <w:p w14:paraId="67E613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344" w:type="pct"/>
            <w:tcBorders>
              <w:top w:val="nil"/>
              <w:left w:val="single" w:color="000000" w:sz="4" w:space="0"/>
              <w:bottom w:val="single" w:color="000000" w:sz="4" w:space="0"/>
              <w:right w:val="single" w:color="000000" w:sz="4" w:space="0"/>
            </w:tcBorders>
            <w:vAlign w:val="center"/>
          </w:tcPr>
          <w:p w14:paraId="008BAE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辅助用房</w:t>
            </w:r>
          </w:p>
        </w:tc>
        <w:tc>
          <w:tcPr>
            <w:tcW w:w="2685" w:type="pct"/>
            <w:tcBorders>
              <w:top w:val="single" w:color="000000" w:sz="4" w:space="0"/>
              <w:left w:val="single" w:color="000000" w:sz="4" w:space="0"/>
              <w:bottom w:val="single" w:color="000000" w:sz="4" w:space="0"/>
              <w:right w:val="single" w:color="000000" w:sz="4" w:space="0"/>
            </w:tcBorders>
            <w:vAlign w:val="center"/>
          </w:tcPr>
          <w:p w14:paraId="09B33CE0">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2104.04m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2441.68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包括配电房、工具房、发电房等，均为1层（层高5.15m或8.15m）浇钢筋混凝土框架结构。</w:t>
            </w:r>
          </w:p>
        </w:tc>
        <w:tc>
          <w:tcPr>
            <w:tcW w:w="495" w:type="pct"/>
            <w:tcBorders>
              <w:top w:val="single" w:color="000000" w:sz="4" w:space="0"/>
              <w:left w:val="single" w:color="000000" w:sz="4" w:space="0"/>
              <w:bottom w:val="single" w:color="000000" w:sz="4" w:space="0"/>
              <w:right w:val="single" w:color="000000" w:sz="4" w:space="0"/>
            </w:tcBorders>
            <w:vAlign w:val="center"/>
          </w:tcPr>
          <w:p w14:paraId="3C3309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0D11E4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BEAE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73CF1B7B">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6B5E42E8">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1A39AD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卸货区</w:t>
            </w:r>
          </w:p>
        </w:tc>
        <w:tc>
          <w:tcPr>
            <w:tcW w:w="2685" w:type="pct"/>
            <w:tcBorders>
              <w:top w:val="single" w:color="000000" w:sz="4" w:space="0"/>
              <w:left w:val="single" w:color="000000" w:sz="4" w:space="0"/>
              <w:bottom w:val="single" w:color="000000" w:sz="4" w:space="0"/>
              <w:right w:val="single" w:color="000000" w:sz="4" w:space="0"/>
            </w:tcBorders>
            <w:vAlign w:val="center"/>
          </w:tcPr>
          <w:p w14:paraId="31C3CA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1个，钢架结构。</w:t>
            </w:r>
          </w:p>
        </w:tc>
        <w:tc>
          <w:tcPr>
            <w:tcW w:w="495" w:type="pct"/>
            <w:tcBorders>
              <w:top w:val="single" w:color="000000" w:sz="4" w:space="0"/>
              <w:left w:val="single" w:color="000000" w:sz="4" w:space="0"/>
              <w:bottom w:val="single" w:color="000000" w:sz="4" w:space="0"/>
              <w:right w:val="single" w:color="000000" w:sz="4" w:space="0"/>
            </w:tcBorders>
            <w:vAlign w:val="center"/>
          </w:tcPr>
          <w:p w14:paraId="3F2A0C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4B3A70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CDFD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1D562451">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0CBC025C">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23B3291D">
            <w:pPr>
              <w:pStyle w:val="28"/>
              <w:rPr>
                <w:color w:val="000000" w:themeColor="text1"/>
                <w14:textFill>
                  <w14:solidFill>
                    <w14:schemeClr w14:val="tx1"/>
                  </w14:solidFill>
                </w14:textFill>
              </w:rPr>
            </w:pPr>
            <w:r>
              <w:rPr>
                <w:color w:val="000000" w:themeColor="text1"/>
                <w14:textFill>
                  <w14:solidFill>
                    <w14:schemeClr w14:val="tx1"/>
                  </w14:solidFill>
                </w14:textFill>
              </w:rPr>
              <w:t>过磅</w:t>
            </w:r>
            <w:r>
              <w:rPr>
                <w:rFonts w:hint="eastAsia"/>
                <w:color w:val="000000" w:themeColor="text1"/>
                <w14:textFill>
                  <w14:solidFill>
                    <w14:schemeClr w14:val="tx1"/>
                  </w14:solidFill>
                </w14:textFill>
              </w:rPr>
              <w:t>处</w:t>
            </w:r>
          </w:p>
        </w:tc>
        <w:tc>
          <w:tcPr>
            <w:tcW w:w="2685" w:type="pct"/>
            <w:tcBorders>
              <w:top w:val="single" w:color="000000" w:sz="4" w:space="0"/>
              <w:left w:val="single" w:color="000000" w:sz="4" w:space="0"/>
              <w:bottom w:val="single" w:color="000000" w:sz="4" w:space="0"/>
              <w:right w:val="single" w:color="000000" w:sz="4" w:space="0"/>
            </w:tcBorders>
            <w:vAlign w:val="center"/>
          </w:tcPr>
          <w:p w14:paraId="2B3CFF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1个，露天。</w:t>
            </w:r>
          </w:p>
        </w:tc>
        <w:tc>
          <w:tcPr>
            <w:tcW w:w="495" w:type="pct"/>
            <w:tcBorders>
              <w:top w:val="single" w:color="000000" w:sz="4" w:space="0"/>
              <w:left w:val="single" w:color="000000" w:sz="4" w:space="0"/>
              <w:bottom w:val="single" w:color="000000" w:sz="4" w:space="0"/>
              <w:right w:val="single" w:color="000000" w:sz="4" w:space="0"/>
            </w:tcBorders>
            <w:vAlign w:val="center"/>
          </w:tcPr>
          <w:p w14:paraId="5E1059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344958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1C4F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336A9926">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1B822870">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6B561E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车位</w:t>
            </w:r>
          </w:p>
        </w:tc>
        <w:tc>
          <w:tcPr>
            <w:tcW w:w="2685" w:type="pct"/>
            <w:tcBorders>
              <w:top w:val="single" w:color="000000" w:sz="4" w:space="0"/>
              <w:left w:val="single" w:color="000000" w:sz="4" w:space="0"/>
              <w:bottom w:val="single" w:color="000000" w:sz="4" w:space="0"/>
              <w:right w:val="single" w:color="000000" w:sz="4" w:space="0"/>
            </w:tcBorders>
            <w:vAlign w:val="center"/>
          </w:tcPr>
          <w:p w14:paraId="61D004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非机动车位共设置497个，机动车位共设置92个。</w:t>
            </w:r>
          </w:p>
        </w:tc>
        <w:tc>
          <w:tcPr>
            <w:tcW w:w="495" w:type="pct"/>
            <w:tcBorders>
              <w:top w:val="single" w:color="000000" w:sz="4" w:space="0"/>
              <w:left w:val="single" w:color="000000" w:sz="4" w:space="0"/>
              <w:bottom w:val="single" w:color="000000" w:sz="4" w:space="0"/>
              <w:right w:val="single" w:color="000000" w:sz="4" w:space="0"/>
            </w:tcBorders>
            <w:vAlign w:val="center"/>
          </w:tcPr>
          <w:p w14:paraId="04385B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012DB6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F7A8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0B81A8A1">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082EE8C8">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0AA4EE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门卫等附属建筑</w:t>
            </w:r>
          </w:p>
        </w:tc>
        <w:tc>
          <w:tcPr>
            <w:tcW w:w="2685" w:type="pct"/>
            <w:tcBorders>
              <w:top w:val="single" w:color="000000" w:sz="4" w:space="0"/>
              <w:left w:val="single" w:color="000000" w:sz="4" w:space="0"/>
              <w:bottom w:val="single" w:color="000000" w:sz="4" w:space="0"/>
              <w:right w:val="single" w:color="000000" w:sz="4" w:space="0"/>
            </w:tcBorders>
            <w:vAlign w:val="center"/>
          </w:tcPr>
          <w:p w14:paraId="7456581C">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51.70m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51.70m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2F7F12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38E620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5913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4B94F7AB">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2CEE43CC">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4BABB9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钢结构雨棚</w:t>
            </w:r>
          </w:p>
        </w:tc>
        <w:tc>
          <w:tcPr>
            <w:tcW w:w="2685" w:type="pct"/>
            <w:tcBorders>
              <w:top w:val="single" w:color="000000" w:sz="4" w:space="0"/>
              <w:left w:val="single" w:color="000000" w:sz="4" w:space="0"/>
              <w:bottom w:val="single" w:color="000000" w:sz="4" w:space="0"/>
              <w:right w:val="single" w:color="000000" w:sz="4" w:space="0"/>
            </w:tcBorders>
            <w:vAlign w:val="center"/>
          </w:tcPr>
          <w:p w14:paraId="15F5A660">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790.84m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790.84m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，层高8.05m。</w:t>
            </w:r>
          </w:p>
        </w:tc>
        <w:tc>
          <w:tcPr>
            <w:tcW w:w="495" w:type="pct"/>
            <w:tcBorders>
              <w:top w:val="single" w:color="000000" w:sz="4" w:space="0"/>
              <w:left w:val="single" w:color="000000" w:sz="4" w:space="0"/>
              <w:bottom w:val="single" w:color="000000" w:sz="4" w:space="0"/>
              <w:right w:val="single" w:color="000000" w:sz="4" w:space="0"/>
            </w:tcBorders>
            <w:vAlign w:val="center"/>
          </w:tcPr>
          <w:p w14:paraId="0BFC7C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704318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42EE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57F8B2DA">
            <w:pPr>
              <w:pStyle w:val="28"/>
              <w:rPr>
                <w:color w:val="000000" w:themeColor="text1"/>
                <w14:textFill>
                  <w14:solidFill>
                    <w14:schemeClr w14:val="tx1"/>
                  </w14:solidFill>
                </w14:textFill>
              </w:rPr>
            </w:pPr>
          </w:p>
        </w:tc>
        <w:tc>
          <w:tcPr>
            <w:tcW w:w="276" w:type="pct"/>
            <w:vMerge w:val="restart"/>
            <w:tcBorders>
              <w:left w:val="single" w:color="000000" w:sz="4" w:space="0"/>
              <w:right w:val="single" w:color="000000" w:sz="4" w:space="0"/>
            </w:tcBorders>
            <w:vAlign w:val="center"/>
          </w:tcPr>
          <w:p w14:paraId="7AF22E5B">
            <w:pPr>
              <w:pStyle w:val="28"/>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344" w:type="pct"/>
            <w:tcBorders>
              <w:top w:val="nil"/>
              <w:left w:val="single" w:color="000000" w:sz="4" w:space="0"/>
              <w:bottom w:val="single" w:color="000000" w:sz="4" w:space="0"/>
              <w:right w:val="single" w:color="000000" w:sz="4" w:space="0"/>
            </w:tcBorders>
            <w:vAlign w:val="center"/>
          </w:tcPr>
          <w:p w14:paraId="37E95F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原料仓库</w:t>
            </w:r>
          </w:p>
        </w:tc>
        <w:tc>
          <w:tcPr>
            <w:tcW w:w="2685" w:type="pct"/>
            <w:tcBorders>
              <w:top w:val="single" w:color="000000" w:sz="4" w:space="0"/>
              <w:left w:val="single" w:color="000000" w:sz="4" w:space="0"/>
              <w:bottom w:val="single" w:color="000000" w:sz="4" w:space="0"/>
              <w:right w:val="single" w:color="000000" w:sz="4" w:space="0"/>
            </w:tcBorders>
            <w:vAlign w:val="center"/>
          </w:tcPr>
          <w:p w14:paraId="0EF26701">
            <w:pPr>
              <w:pStyle w:val="2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分别为1642.43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1582.95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建筑面积分别为1642.43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1582.95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w:t>
            </w:r>
          </w:p>
        </w:tc>
        <w:tc>
          <w:tcPr>
            <w:tcW w:w="495" w:type="pct"/>
            <w:tcBorders>
              <w:top w:val="single" w:color="000000" w:sz="4" w:space="0"/>
              <w:left w:val="single" w:color="000000" w:sz="4" w:space="0"/>
              <w:bottom w:val="single" w:color="000000" w:sz="4" w:space="0"/>
              <w:right w:val="single" w:color="000000" w:sz="4" w:space="0"/>
            </w:tcBorders>
            <w:vAlign w:val="center"/>
          </w:tcPr>
          <w:p w14:paraId="04663C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61382B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58C2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4244061B">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46AAFEBE">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28FB9D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边料仓库</w:t>
            </w:r>
          </w:p>
        </w:tc>
        <w:tc>
          <w:tcPr>
            <w:tcW w:w="2685" w:type="pct"/>
            <w:tcBorders>
              <w:top w:val="single" w:color="000000" w:sz="4" w:space="0"/>
              <w:left w:val="single" w:color="000000" w:sz="4" w:space="0"/>
              <w:bottom w:val="single" w:color="000000" w:sz="4" w:space="0"/>
              <w:right w:val="single" w:color="000000" w:sz="4" w:space="0"/>
            </w:tcBorders>
            <w:vAlign w:val="center"/>
          </w:tcPr>
          <w:p w14:paraId="57C520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690.83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建筑面积分别为690.83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四周围墙采用砖砌，用于存放边角废料和不合格产品。</w:t>
            </w:r>
          </w:p>
        </w:tc>
        <w:tc>
          <w:tcPr>
            <w:tcW w:w="495" w:type="pct"/>
            <w:tcBorders>
              <w:top w:val="single" w:color="000000" w:sz="4" w:space="0"/>
              <w:left w:val="single" w:color="000000" w:sz="4" w:space="0"/>
              <w:bottom w:val="single" w:color="000000" w:sz="4" w:space="0"/>
              <w:right w:val="single" w:color="000000" w:sz="4" w:space="0"/>
            </w:tcBorders>
            <w:vAlign w:val="center"/>
          </w:tcPr>
          <w:p w14:paraId="4084E5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455C6B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D65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6C1F685C">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0BF38E7B">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19ADBE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危废间、溶剂仓库</w:t>
            </w:r>
          </w:p>
        </w:tc>
        <w:tc>
          <w:tcPr>
            <w:tcW w:w="2685" w:type="pct"/>
            <w:tcBorders>
              <w:top w:val="single" w:color="000000" w:sz="4" w:space="0"/>
              <w:left w:val="single" w:color="000000" w:sz="4" w:space="0"/>
              <w:bottom w:val="single" w:color="000000" w:sz="4" w:space="0"/>
              <w:right w:val="single" w:color="000000" w:sz="4" w:space="0"/>
            </w:tcBorders>
            <w:vAlign w:val="center"/>
          </w:tcPr>
          <w:p w14:paraId="396A83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各1间，总</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为290.32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总建筑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290.32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（层高6.15m）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四周围墙采用砖砌，危废间用于存放危险废物，溶剂仓库用于储存有机溶剂。</w:t>
            </w:r>
          </w:p>
        </w:tc>
        <w:tc>
          <w:tcPr>
            <w:tcW w:w="495" w:type="pct"/>
            <w:tcBorders>
              <w:top w:val="single" w:color="000000" w:sz="4" w:space="0"/>
              <w:left w:val="single" w:color="000000" w:sz="4" w:space="0"/>
              <w:bottom w:val="single" w:color="000000" w:sz="4" w:space="0"/>
              <w:right w:val="single" w:color="000000" w:sz="4" w:space="0"/>
            </w:tcBorders>
            <w:vAlign w:val="center"/>
          </w:tcPr>
          <w:p w14:paraId="465555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52AE8D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6DD2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7C0CFD49">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195DE0EB">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418A538A">
            <w:pPr>
              <w:pStyle w:val="28"/>
              <w:rPr>
                <w:color w:val="000000" w:themeColor="text1"/>
                <w14:textFill>
                  <w14:solidFill>
                    <w14:schemeClr w14:val="tx1"/>
                  </w14:solidFill>
                </w14:textFill>
              </w:rPr>
            </w:pPr>
            <w:r>
              <w:rPr>
                <w:color w:val="000000" w:themeColor="text1"/>
                <w14:textFill>
                  <w14:solidFill>
                    <w14:schemeClr w14:val="tx1"/>
                  </w14:solidFill>
                </w14:textFill>
              </w:rPr>
              <w:t>厂区道路</w:t>
            </w:r>
          </w:p>
        </w:tc>
        <w:tc>
          <w:tcPr>
            <w:tcW w:w="2685" w:type="pct"/>
            <w:tcBorders>
              <w:top w:val="single" w:color="000000" w:sz="4" w:space="0"/>
              <w:left w:val="single" w:color="000000" w:sz="4" w:space="0"/>
              <w:bottom w:val="single" w:color="000000" w:sz="4" w:space="0"/>
              <w:right w:val="single" w:color="000000" w:sz="4" w:space="0"/>
            </w:tcBorders>
            <w:vAlign w:val="center"/>
          </w:tcPr>
          <w:p w14:paraId="72B3A980">
            <w:pPr>
              <w:pStyle w:val="28"/>
              <w:rPr>
                <w:color w:val="000000" w:themeColor="text1"/>
                <w14:textFill>
                  <w14:solidFill>
                    <w14:schemeClr w14:val="tx1"/>
                  </w14:solidFill>
                </w14:textFill>
              </w:rPr>
            </w:pPr>
            <w:r>
              <w:rPr>
                <w:color w:val="000000" w:themeColor="text1"/>
                <w14:textFill>
                  <w14:solidFill>
                    <w14:schemeClr w14:val="tx1"/>
                  </w14:solidFill>
                </w14:textFill>
              </w:rPr>
              <w:t>厂区道路</w:t>
            </w:r>
            <w:r>
              <w:rPr>
                <w:rFonts w:hint="eastAsia"/>
                <w:color w:val="000000" w:themeColor="text1"/>
                <w14:textFill>
                  <w14:solidFill>
                    <w14:schemeClr w14:val="tx1"/>
                  </w14:solidFill>
                </w14:textFill>
              </w:rPr>
              <w:t>为城市型道路，砼路面，沿各建筑物四周环形布置，以便消防。</w:t>
            </w:r>
          </w:p>
        </w:tc>
        <w:tc>
          <w:tcPr>
            <w:tcW w:w="495" w:type="pct"/>
            <w:tcBorders>
              <w:top w:val="single" w:color="000000" w:sz="4" w:space="0"/>
              <w:left w:val="single" w:color="000000" w:sz="4" w:space="0"/>
              <w:bottom w:val="single" w:color="000000" w:sz="4" w:space="0"/>
              <w:right w:val="single" w:color="000000" w:sz="4" w:space="0"/>
            </w:tcBorders>
            <w:vAlign w:val="center"/>
          </w:tcPr>
          <w:p w14:paraId="717A81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03C991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16AAF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4E7836CF">
            <w:pPr>
              <w:pStyle w:val="28"/>
              <w:rPr>
                <w:color w:val="000000" w:themeColor="text1"/>
                <w14:textFill>
                  <w14:solidFill>
                    <w14:schemeClr w14:val="tx1"/>
                  </w14:solidFill>
                </w14:textFill>
              </w:rPr>
            </w:pPr>
          </w:p>
        </w:tc>
        <w:tc>
          <w:tcPr>
            <w:tcW w:w="276" w:type="pct"/>
            <w:vMerge w:val="restart"/>
            <w:tcBorders>
              <w:left w:val="single" w:color="000000" w:sz="4" w:space="0"/>
              <w:right w:val="single" w:color="000000" w:sz="4" w:space="0"/>
            </w:tcBorders>
            <w:vAlign w:val="center"/>
          </w:tcPr>
          <w:p w14:paraId="74DB73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依托工程</w:t>
            </w:r>
          </w:p>
        </w:tc>
        <w:tc>
          <w:tcPr>
            <w:tcW w:w="344" w:type="pct"/>
            <w:tcBorders>
              <w:top w:val="nil"/>
              <w:left w:val="single" w:color="000000" w:sz="4" w:space="0"/>
              <w:bottom w:val="single" w:color="000000" w:sz="4" w:space="0"/>
              <w:right w:val="single" w:color="000000" w:sz="4" w:space="0"/>
            </w:tcBorders>
            <w:vAlign w:val="center"/>
          </w:tcPr>
          <w:p w14:paraId="21E8CA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成品仓库</w:t>
            </w:r>
          </w:p>
        </w:tc>
        <w:tc>
          <w:tcPr>
            <w:tcW w:w="2685" w:type="pct"/>
            <w:tcBorders>
              <w:top w:val="single" w:color="000000" w:sz="4" w:space="0"/>
              <w:left w:val="single" w:color="000000" w:sz="4" w:space="0"/>
              <w:bottom w:val="single" w:color="000000" w:sz="4" w:space="0"/>
              <w:right w:val="single" w:color="000000" w:sz="4" w:space="0"/>
            </w:tcBorders>
            <w:vAlign w:val="center"/>
          </w:tcPr>
          <w:p w14:paraId="7ABB29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间，占地面积</w:t>
            </w:r>
            <w:r>
              <w:rPr>
                <w:rFonts w:hint="eastAsia"/>
                <w:color w:val="000000" w:themeColor="text1"/>
                <w14:textFill>
                  <w14:solidFill>
                    <w14:schemeClr w14:val="tx1"/>
                  </w14:solidFill>
                </w14:textFill>
              </w:rPr>
              <w:t>为4319.07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面积4319.07m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四周围墙采用砖砌，用于存放产品。</w:t>
            </w:r>
          </w:p>
        </w:tc>
        <w:tc>
          <w:tcPr>
            <w:tcW w:w="495" w:type="pct"/>
            <w:tcBorders>
              <w:top w:val="single" w:color="000000" w:sz="4" w:space="0"/>
              <w:left w:val="single" w:color="000000" w:sz="4" w:space="0"/>
              <w:bottom w:val="single" w:color="000000" w:sz="4" w:space="0"/>
              <w:right w:val="single" w:color="000000" w:sz="4" w:space="0"/>
            </w:tcBorders>
            <w:vAlign w:val="center"/>
          </w:tcPr>
          <w:p w14:paraId="794222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79358E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6B9F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387DACEB">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485F7F0C">
            <w:pPr>
              <w:pStyle w:val="28"/>
              <w:rPr>
                <w:color w:val="000000" w:themeColor="text1"/>
                <w14:textFill>
                  <w14:solidFill>
                    <w14:schemeClr w14:val="tx1"/>
                  </w14:solidFill>
                </w14:textFill>
              </w:rPr>
            </w:pPr>
          </w:p>
        </w:tc>
        <w:tc>
          <w:tcPr>
            <w:tcW w:w="344" w:type="pct"/>
            <w:tcBorders>
              <w:top w:val="nil"/>
              <w:left w:val="single" w:color="000000" w:sz="4" w:space="0"/>
              <w:bottom w:val="single" w:color="000000" w:sz="4" w:space="0"/>
              <w:right w:val="single" w:color="000000" w:sz="4" w:space="0"/>
            </w:tcBorders>
            <w:vAlign w:val="center"/>
          </w:tcPr>
          <w:p w14:paraId="1299DA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办公室</w:t>
            </w:r>
          </w:p>
        </w:tc>
        <w:tc>
          <w:tcPr>
            <w:tcW w:w="2685" w:type="pct"/>
            <w:tcBorders>
              <w:top w:val="single" w:color="000000" w:sz="4" w:space="0"/>
              <w:left w:val="single" w:color="000000" w:sz="4" w:space="0"/>
              <w:bottom w:val="single" w:color="000000" w:sz="4" w:space="0"/>
              <w:right w:val="single" w:color="000000" w:sz="4" w:space="0"/>
            </w:tcBorders>
            <w:vAlign w:val="center"/>
          </w:tcPr>
          <w:p w14:paraId="33691C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设置于恩印刷业务改扩建项目其他辅助用房内，为2层（层高8.15m）浇钢筋混凝土框架结构。</w:t>
            </w:r>
          </w:p>
        </w:tc>
        <w:tc>
          <w:tcPr>
            <w:tcW w:w="495" w:type="pct"/>
            <w:tcBorders>
              <w:top w:val="single" w:color="000000" w:sz="4" w:space="0"/>
              <w:left w:val="single" w:color="000000" w:sz="4" w:space="0"/>
              <w:bottom w:val="single" w:color="000000" w:sz="4" w:space="0"/>
              <w:right w:val="single" w:color="000000" w:sz="4" w:space="0"/>
            </w:tcBorders>
            <w:vAlign w:val="center"/>
          </w:tcPr>
          <w:p w14:paraId="6287F7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152851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70D5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trPr>
        <w:tc>
          <w:tcPr>
            <w:tcW w:w="280" w:type="pct"/>
            <w:vMerge w:val="continue"/>
            <w:tcBorders>
              <w:left w:val="single" w:color="000000" w:sz="4" w:space="0"/>
              <w:right w:val="single" w:color="000000" w:sz="4" w:space="0"/>
            </w:tcBorders>
            <w:vAlign w:val="center"/>
          </w:tcPr>
          <w:p w14:paraId="669FD553">
            <w:pPr>
              <w:pStyle w:val="28"/>
              <w:rPr>
                <w:color w:val="000000" w:themeColor="text1"/>
                <w14:textFill>
                  <w14:solidFill>
                    <w14:schemeClr w14:val="tx1"/>
                  </w14:solidFill>
                </w14:textFill>
              </w:rPr>
            </w:pPr>
          </w:p>
        </w:tc>
        <w:tc>
          <w:tcPr>
            <w:tcW w:w="276" w:type="pct"/>
            <w:vMerge w:val="restart"/>
            <w:tcBorders>
              <w:left w:val="single" w:color="000000" w:sz="4" w:space="0"/>
              <w:right w:val="single" w:color="000000" w:sz="4" w:space="0"/>
            </w:tcBorders>
            <w:vAlign w:val="center"/>
          </w:tcPr>
          <w:p w14:paraId="1CC7C25F">
            <w:pPr>
              <w:pStyle w:val="28"/>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344" w:type="pct"/>
            <w:tcBorders>
              <w:top w:val="single" w:color="000000" w:sz="4" w:space="0"/>
              <w:left w:val="single" w:color="000000" w:sz="4" w:space="0"/>
              <w:bottom w:val="single" w:color="000000" w:sz="4" w:space="0"/>
              <w:right w:val="single" w:color="000000" w:sz="4" w:space="0"/>
            </w:tcBorders>
            <w:vAlign w:val="center"/>
          </w:tcPr>
          <w:p w14:paraId="36787B99">
            <w:pPr>
              <w:pStyle w:val="28"/>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2685" w:type="pct"/>
            <w:tcBorders>
              <w:top w:val="single" w:color="000000" w:sz="4" w:space="0"/>
              <w:left w:val="single" w:color="000000" w:sz="4" w:space="0"/>
              <w:bottom w:val="single" w:color="000000" w:sz="4" w:space="0"/>
              <w:right w:val="single" w:color="000000" w:sz="4" w:space="0"/>
            </w:tcBorders>
            <w:vAlign w:val="center"/>
          </w:tcPr>
          <w:p w14:paraId="472A6231">
            <w:pPr>
              <w:pStyle w:val="28"/>
              <w:rPr>
                <w:color w:val="000000" w:themeColor="text1"/>
                <w14:textFill>
                  <w14:solidFill>
                    <w14:schemeClr w14:val="tx1"/>
                  </w14:solidFill>
                </w14:textFill>
              </w:rPr>
            </w:pPr>
            <w:r>
              <w:rPr>
                <w:color w:val="000000" w:themeColor="text1"/>
                <w14:textFill>
                  <w14:solidFill>
                    <w14:schemeClr w14:val="tx1"/>
                  </w14:solidFill>
                </w14:textFill>
              </w:rPr>
              <w:t>本项目供水</w:t>
            </w:r>
            <w:r>
              <w:rPr>
                <w:rFonts w:hint="eastAsia"/>
                <w:color w:val="000000" w:themeColor="text1"/>
                <w14:textFill>
                  <w14:solidFill>
                    <w14:schemeClr w14:val="tx1"/>
                  </w14:solidFill>
                </w14:textFill>
              </w:rPr>
              <w:t>由园区管网供给。</w:t>
            </w:r>
          </w:p>
        </w:tc>
        <w:tc>
          <w:tcPr>
            <w:tcW w:w="495" w:type="pct"/>
            <w:tcBorders>
              <w:top w:val="single" w:color="000000" w:sz="4" w:space="0"/>
              <w:left w:val="single" w:color="000000" w:sz="4" w:space="0"/>
              <w:bottom w:val="single" w:color="000000" w:sz="4" w:space="0"/>
              <w:right w:val="single" w:color="000000" w:sz="4" w:space="0"/>
            </w:tcBorders>
            <w:vAlign w:val="center"/>
          </w:tcPr>
          <w:p w14:paraId="4005C1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37E995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0ABAD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trPr>
        <w:tc>
          <w:tcPr>
            <w:tcW w:w="280" w:type="pct"/>
            <w:vMerge w:val="continue"/>
            <w:tcBorders>
              <w:left w:val="single" w:color="000000" w:sz="4" w:space="0"/>
              <w:right w:val="single" w:color="000000" w:sz="4" w:space="0"/>
            </w:tcBorders>
            <w:vAlign w:val="center"/>
          </w:tcPr>
          <w:p w14:paraId="75814B3D">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7C30563F">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6569AF16">
            <w:pPr>
              <w:pStyle w:val="28"/>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2685" w:type="pct"/>
            <w:tcBorders>
              <w:top w:val="single" w:color="000000" w:sz="4" w:space="0"/>
              <w:left w:val="single" w:color="000000" w:sz="4" w:space="0"/>
              <w:bottom w:val="single" w:color="000000" w:sz="4" w:space="0"/>
              <w:right w:val="single" w:color="000000" w:sz="4" w:space="0"/>
            </w:tcBorders>
            <w:vAlign w:val="center"/>
          </w:tcPr>
          <w:p w14:paraId="226ED71B">
            <w:pPr>
              <w:pStyle w:val="28"/>
              <w:rPr>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14:textFill>
                  <w14:solidFill>
                    <w14:schemeClr w14:val="tx1"/>
                  </w14:solidFill>
                </w14:textFill>
              </w:rPr>
              <w:t>园区管网接入</w:t>
            </w:r>
            <w:r>
              <w:rPr>
                <w:color w:val="000000" w:themeColor="text1"/>
                <w14:textFill>
                  <w14:solidFill>
                    <w14:schemeClr w14:val="tx1"/>
                  </w14:solidFill>
                </w14:textFill>
              </w:rPr>
              <w:t>，项目区设置</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间配电房，内置400</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KVA变压器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r>
              <w:rPr>
                <w:rFonts w:hint="eastAsia"/>
                <w:color w:val="000000" w:themeColor="text1"/>
                <w14:textFill>
                  <w14:solidFill>
                    <w14:schemeClr w14:val="tx1"/>
                  </w14:solidFill>
                </w14:textFill>
              </w:rPr>
              <w:t>并设置2台360kw柴油发电机组作为应急备用电源</w:t>
            </w:r>
            <w:r>
              <w:rPr>
                <w:color w:val="000000" w:themeColor="text1"/>
                <w14:textFill>
                  <w14:solidFill>
                    <w14:schemeClr w14:val="tx1"/>
                  </w14:solidFill>
                </w14:textFill>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113EE0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344308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27E56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atLeast"/>
        </w:trPr>
        <w:tc>
          <w:tcPr>
            <w:tcW w:w="280" w:type="pct"/>
            <w:vMerge w:val="continue"/>
            <w:tcBorders>
              <w:left w:val="single" w:color="000000" w:sz="4" w:space="0"/>
              <w:right w:val="single" w:color="000000" w:sz="4" w:space="0"/>
            </w:tcBorders>
            <w:vAlign w:val="center"/>
          </w:tcPr>
          <w:p w14:paraId="3C0AC8AB">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04C11467">
            <w:pPr>
              <w:pStyle w:val="28"/>
              <w:rPr>
                <w:color w:val="000000" w:themeColor="text1"/>
                <w14:textFill>
                  <w14:solidFill>
                    <w14:schemeClr w14:val="tx1"/>
                  </w14:solidFill>
                </w14:textFill>
              </w:rPr>
            </w:pPr>
          </w:p>
        </w:tc>
        <w:tc>
          <w:tcPr>
            <w:tcW w:w="344" w:type="pct"/>
            <w:tcBorders>
              <w:top w:val="single" w:color="000000" w:sz="4" w:space="0"/>
              <w:left w:val="single" w:color="000000" w:sz="4" w:space="0"/>
              <w:right w:val="single" w:color="000000" w:sz="4" w:space="0"/>
            </w:tcBorders>
            <w:vAlign w:val="center"/>
          </w:tcPr>
          <w:p w14:paraId="7E386372">
            <w:pPr>
              <w:pStyle w:val="28"/>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2685" w:type="pct"/>
            <w:tcBorders>
              <w:top w:val="single" w:color="000000" w:sz="4" w:space="0"/>
              <w:left w:val="single" w:color="000000" w:sz="4" w:space="0"/>
              <w:bottom w:val="single" w:color="000000" w:sz="4" w:space="0"/>
              <w:right w:val="single" w:color="000000" w:sz="4" w:space="0"/>
            </w:tcBorders>
            <w:vAlign w:val="center"/>
          </w:tcPr>
          <w:p w14:paraId="544BF6D0">
            <w:pPr>
              <w:pStyle w:val="28"/>
              <w:rPr>
                <w:color w:val="000000" w:themeColor="text1"/>
                <w14:textFill>
                  <w14:solidFill>
                    <w14:schemeClr w14:val="tx1"/>
                  </w14:solidFill>
                </w14:textFill>
              </w:rPr>
            </w:pPr>
            <w:r>
              <w:rPr>
                <w:color w:val="000000" w:themeColor="text1"/>
                <w14:textFill>
                  <w14:solidFill>
                    <w14:schemeClr w14:val="tx1"/>
                  </w14:solidFill>
                </w14:textFill>
              </w:rPr>
              <w:t>项目雨污分流。</w:t>
            </w:r>
          </w:p>
          <w:p w14:paraId="014860B5">
            <w:pPr>
              <w:pStyle w:val="28"/>
              <w:rPr>
                <w:color w:val="000000" w:themeColor="text1"/>
                <w14:textFill>
                  <w14:solidFill>
                    <w14:schemeClr w14:val="tx1"/>
                  </w14:solidFill>
                </w14:textFill>
              </w:rPr>
            </w:pPr>
            <w:r>
              <w:rPr>
                <w:color w:val="000000" w:themeColor="text1"/>
                <w14:textFill>
                  <w14:solidFill>
                    <w14:schemeClr w14:val="tx1"/>
                  </w14:solidFill>
                </w14:textFill>
              </w:rPr>
              <w:t>雨水经厂内雨水沟收集后排至园区雨水管网</w:t>
            </w:r>
            <w:r>
              <w:rPr>
                <w:rFonts w:hint="eastAsia"/>
                <w:color w:val="000000" w:themeColor="text1"/>
                <w14:textFill>
                  <w14:solidFill>
                    <w14:schemeClr w14:val="tx1"/>
                  </w14:solidFill>
                </w14:textFill>
              </w:rPr>
              <w:t>。</w:t>
            </w:r>
          </w:p>
          <w:p w14:paraId="50B2BC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由于项目仅使用有机溶剂擦洗设备，因此不存在设备清洗废水，废水主要为设备冷却水、车间拖把清洁废水、生活污水。其中，设备冷却水经冷却塔冷却后直接返回设备滚筒内循环使用，不外排；车间拖把清洁废水并入生活污水</w:t>
            </w:r>
            <w:r>
              <w:rPr>
                <w:color w:val="000000" w:themeColor="text1"/>
                <w14:textFill>
                  <w14:solidFill>
                    <w14:schemeClr w14:val="tx1"/>
                  </w14:solidFill>
                </w14:textFill>
              </w:rPr>
              <w:t>依托云南恩捷新材料股份有限公司</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即经化粪池</w:t>
            </w:r>
            <w:r>
              <w:rPr>
                <w:color w:val="000000" w:themeColor="text1"/>
                <w14:textFill>
                  <w14:solidFill>
                    <w14:schemeClr w14:val="tx1"/>
                  </w14:solidFill>
                </w14:textFill>
              </w:rPr>
              <w:t>（1个18m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）预</w:t>
            </w:r>
            <w:r>
              <w:rPr>
                <w:rFonts w:hint="eastAsia"/>
                <w:color w:val="000000" w:themeColor="text1"/>
                <w14:textFill>
                  <w14:solidFill>
                    <w14:schemeClr w14:val="tx1"/>
                  </w14:solidFill>
                </w14:textFill>
              </w:rPr>
              <w:t>处理后直接排至园区污水管网，最终进入玉溪市污水处理厂。</w:t>
            </w:r>
          </w:p>
        </w:tc>
        <w:tc>
          <w:tcPr>
            <w:tcW w:w="495" w:type="pct"/>
            <w:tcBorders>
              <w:top w:val="single" w:color="000000" w:sz="4" w:space="0"/>
              <w:left w:val="single" w:color="000000" w:sz="4" w:space="0"/>
              <w:right w:val="single" w:color="000000" w:sz="4" w:space="0"/>
            </w:tcBorders>
            <w:vAlign w:val="center"/>
          </w:tcPr>
          <w:p w14:paraId="73FFBF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right w:val="single" w:color="000000" w:sz="4" w:space="0"/>
            </w:tcBorders>
            <w:vAlign w:val="center"/>
          </w:tcPr>
          <w:p w14:paraId="356968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化粪池、雨污分流管网依托</w:t>
            </w:r>
          </w:p>
        </w:tc>
      </w:tr>
      <w:tr w14:paraId="01BE9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trPr>
        <w:tc>
          <w:tcPr>
            <w:tcW w:w="280" w:type="pct"/>
            <w:vMerge w:val="continue"/>
            <w:tcBorders>
              <w:left w:val="single" w:color="000000" w:sz="4" w:space="0"/>
              <w:right w:val="single" w:color="000000" w:sz="4" w:space="0"/>
            </w:tcBorders>
            <w:vAlign w:val="center"/>
          </w:tcPr>
          <w:p w14:paraId="27185FDF">
            <w:pPr>
              <w:pStyle w:val="28"/>
              <w:rPr>
                <w:color w:val="000000" w:themeColor="text1"/>
                <w14:textFill>
                  <w14:solidFill>
                    <w14:schemeClr w14:val="tx1"/>
                  </w14:solidFill>
                </w14:textFill>
              </w:rPr>
            </w:pPr>
          </w:p>
        </w:tc>
        <w:tc>
          <w:tcPr>
            <w:tcW w:w="276" w:type="pct"/>
            <w:vMerge w:val="restart"/>
            <w:tcBorders>
              <w:left w:val="single" w:color="000000" w:sz="4" w:space="0"/>
              <w:right w:val="single" w:color="000000" w:sz="4" w:space="0"/>
            </w:tcBorders>
            <w:vAlign w:val="center"/>
          </w:tcPr>
          <w:p w14:paraId="6D22C0A8">
            <w:pPr>
              <w:pStyle w:val="28"/>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344" w:type="pct"/>
            <w:vMerge w:val="restart"/>
            <w:tcBorders>
              <w:top w:val="single" w:color="000000" w:sz="4" w:space="0"/>
              <w:left w:val="single" w:color="000000" w:sz="4" w:space="0"/>
              <w:right w:val="single" w:color="000000" w:sz="4" w:space="0"/>
            </w:tcBorders>
            <w:vAlign w:val="center"/>
          </w:tcPr>
          <w:p w14:paraId="6945D448">
            <w:pPr>
              <w:pStyle w:val="28"/>
              <w:rPr>
                <w:color w:val="000000" w:themeColor="text1"/>
                <w14:textFill>
                  <w14:solidFill>
                    <w14:schemeClr w14:val="tx1"/>
                  </w14:solidFill>
                </w14:textFill>
              </w:rPr>
            </w:pPr>
            <w:r>
              <w:rPr>
                <w:color w:val="000000" w:themeColor="text1"/>
                <w14:textFill>
                  <w14:solidFill>
                    <w14:schemeClr w14:val="tx1"/>
                  </w14:solidFill>
                </w14:textFill>
              </w:rPr>
              <w:t>废气处理工程</w:t>
            </w:r>
          </w:p>
        </w:tc>
        <w:tc>
          <w:tcPr>
            <w:tcW w:w="2685" w:type="pct"/>
            <w:tcBorders>
              <w:top w:val="single" w:color="000000" w:sz="4" w:space="0"/>
              <w:left w:val="single" w:color="000000" w:sz="4" w:space="0"/>
              <w:bottom w:val="single" w:color="000000" w:sz="4" w:space="0"/>
              <w:right w:val="single" w:color="000000" w:sz="4" w:space="0"/>
            </w:tcBorders>
            <w:vAlign w:val="center"/>
          </w:tcPr>
          <w:p w14:paraId="36EDB3AF">
            <w:pPr>
              <w:pStyle w:val="28"/>
              <w:rPr>
                <w:color w:val="000000" w:themeColor="text1"/>
                <w14:textFill>
                  <w14:solidFill>
                    <w14:schemeClr w14:val="tx1"/>
                  </w14:solidFill>
                </w14:textFill>
              </w:rPr>
            </w:pPr>
            <w:r>
              <w:rPr>
                <w:color w:val="000000" w:themeColor="text1"/>
                <w14:textFill>
                  <w14:solidFill>
                    <w14:schemeClr w14:val="tx1"/>
                  </w14:solidFill>
                </w14:textFill>
              </w:rPr>
              <w:t>生产车间为一层封闭式结构</w:t>
            </w:r>
            <w:r>
              <w:rPr>
                <w:rFonts w:hint="eastAsia"/>
                <w:color w:val="000000" w:themeColor="text1"/>
                <w14:textFill>
                  <w14:solidFill>
                    <w14:schemeClr w14:val="tx1"/>
                  </w14:solidFill>
                </w14:textFill>
              </w:rPr>
              <w:t>，设置多个通风系统，采用组合式空调器。</w:t>
            </w:r>
          </w:p>
        </w:tc>
        <w:tc>
          <w:tcPr>
            <w:tcW w:w="495" w:type="pct"/>
            <w:tcBorders>
              <w:top w:val="single" w:color="000000" w:sz="4" w:space="0"/>
              <w:left w:val="single" w:color="000000" w:sz="4" w:space="0"/>
              <w:right w:val="single" w:color="000000" w:sz="4" w:space="0"/>
            </w:tcBorders>
            <w:vAlign w:val="center"/>
          </w:tcPr>
          <w:p w14:paraId="58131F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暂无废气产生</w:t>
            </w:r>
          </w:p>
        </w:tc>
        <w:tc>
          <w:tcPr>
            <w:tcW w:w="918" w:type="pct"/>
            <w:vMerge w:val="restart"/>
            <w:tcBorders>
              <w:top w:val="single" w:color="000000" w:sz="4" w:space="0"/>
              <w:left w:val="single" w:color="000000" w:sz="4" w:space="0"/>
              <w:right w:val="single" w:color="000000" w:sz="4" w:space="0"/>
            </w:tcBorders>
            <w:vAlign w:val="center"/>
          </w:tcPr>
          <w:p w14:paraId="709E3E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7180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trPr>
        <w:tc>
          <w:tcPr>
            <w:tcW w:w="280" w:type="pct"/>
            <w:vMerge w:val="continue"/>
            <w:tcBorders>
              <w:left w:val="single" w:color="000000" w:sz="4" w:space="0"/>
              <w:right w:val="single" w:color="000000" w:sz="4" w:space="0"/>
            </w:tcBorders>
            <w:vAlign w:val="center"/>
          </w:tcPr>
          <w:p w14:paraId="08554C73">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4B62857C">
            <w:pPr>
              <w:pStyle w:val="28"/>
              <w:rPr>
                <w:color w:val="000000" w:themeColor="text1"/>
                <w14:textFill>
                  <w14:solidFill>
                    <w14:schemeClr w14:val="tx1"/>
                  </w14:solidFill>
                </w14:textFill>
              </w:rPr>
            </w:pPr>
          </w:p>
        </w:tc>
        <w:tc>
          <w:tcPr>
            <w:tcW w:w="344" w:type="pct"/>
            <w:vMerge w:val="continue"/>
            <w:tcBorders>
              <w:left w:val="single" w:color="000000" w:sz="4" w:space="0"/>
              <w:right w:val="single" w:color="000000" w:sz="4" w:space="0"/>
            </w:tcBorders>
            <w:vAlign w:val="center"/>
          </w:tcPr>
          <w:p w14:paraId="1DA7CF3D">
            <w:pPr>
              <w:pStyle w:val="28"/>
              <w:rPr>
                <w:color w:val="000000" w:themeColor="text1"/>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cBorders>
            <w:vAlign w:val="center"/>
          </w:tcPr>
          <w:p w14:paraId="49C622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项目涂布、设备擦洗废气与溶剂回收机尾气经1套“活性炭吸附/浓缩＋催化燃烧”系统处理后由1根15m高排气筒（DA001）排放；其它废气经车间排风扇排出。</w:t>
            </w:r>
          </w:p>
        </w:tc>
        <w:tc>
          <w:tcPr>
            <w:tcW w:w="495" w:type="pct"/>
            <w:tcBorders>
              <w:left w:val="single" w:color="000000" w:sz="4" w:space="0"/>
              <w:right w:val="single" w:color="000000" w:sz="4" w:space="0"/>
            </w:tcBorders>
            <w:vAlign w:val="center"/>
          </w:tcPr>
          <w:p w14:paraId="512AB7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暂无废气产生</w:t>
            </w:r>
          </w:p>
        </w:tc>
        <w:tc>
          <w:tcPr>
            <w:tcW w:w="918" w:type="pct"/>
            <w:vMerge w:val="continue"/>
            <w:tcBorders>
              <w:left w:val="single" w:color="000000" w:sz="4" w:space="0"/>
              <w:right w:val="single" w:color="000000" w:sz="4" w:space="0"/>
            </w:tcBorders>
            <w:vAlign w:val="center"/>
          </w:tcPr>
          <w:p w14:paraId="6ECE9ADD">
            <w:pPr>
              <w:pStyle w:val="28"/>
              <w:rPr>
                <w:color w:val="000000" w:themeColor="text1"/>
                <w14:textFill>
                  <w14:solidFill>
                    <w14:schemeClr w14:val="tx1"/>
                  </w14:solidFill>
                </w14:textFill>
              </w:rPr>
            </w:pPr>
          </w:p>
        </w:tc>
      </w:tr>
      <w:tr w14:paraId="70EDA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280" w:type="pct"/>
            <w:vMerge w:val="continue"/>
            <w:tcBorders>
              <w:left w:val="single" w:color="000000" w:sz="4" w:space="0"/>
              <w:right w:val="single" w:color="000000" w:sz="4" w:space="0"/>
            </w:tcBorders>
            <w:vAlign w:val="center"/>
          </w:tcPr>
          <w:p w14:paraId="4037C8DA">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372123F8">
            <w:pPr>
              <w:pStyle w:val="28"/>
              <w:rPr>
                <w:color w:val="000000" w:themeColor="text1"/>
                <w14:textFill>
                  <w14:solidFill>
                    <w14:schemeClr w14:val="tx1"/>
                  </w14:solidFill>
                </w14:textFill>
              </w:rPr>
            </w:pPr>
          </w:p>
        </w:tc>
        <w:tc>
          <w:tcPr>
            <w:tcW w:w="344" w:type="pct"/>
            <w:vMerge w:val="restart"/>
            <w:tcBorders>
              <w:top w:val="single" w:color="000000" w:sz="4" w:space="0"/>
              <w:left w:val="single" w:color="000000" w:sz="4" w:space="0"/>
              <w:right w:val="single" w:color="000000" w:sz="4" w:space="0"/>
            </w:tcBorders>
            <w:vAlign w:val="center"/>
          </w:tcPr>
          <w:p w14:paraId="0D6DB398">
            <w:pPr>
              <w:pStyle w:val="28"/>
              <w:rPr>
                <w:color w:val="000000" w:themeColor="text1"/>
                <w14:textFill>
                  <w14:solidFill>
                    <w14:schemeClr w14:val="tx1"/>
                  </w14:solidFill>
                </w14:textFill>
              </w:rPr>
            </w:pPr>
            <w:r>
              <w:rPr>
                <w:color w:val="000000" w:themeColor="text1"/>
                <w14:textFill>
                  <w14:solidFill>
                    <w14:schemeClr w14:val="tx1"/>
                  </w14:solidFill>
                </w14:textFill>
              </w:rPr>
              <w:t>废水处理工程</w:t>
            </w:r>
          </w:p>
        </w:tc>
        <w:tc>
          <w:tcPr>
            <w:tcW w:w="2685" w:type="pct"/>
            <w:tcBorders>
              <w:top w:val="single" w:color="000000" w:sz="4" w:space="0"/>
              <w:left w:val="single" w:color="000000" w:sz="4" w:space="0"/>
              <w:bottom w:val="single" w:color="000000" w:sz="4" w:space="0"/>
              <w:right w:val="single" w:color="000000" w:sz="4" w:space="0"/>
            </w:tcBorders>
            <w:vAlign w:val="center"/>
          </w:tcPr>
          <w:p w14:paraId="448F81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雨水经厂内雨水沟收集后排至园区雨水管网。</w:t>
            </w:r>
          </w:p>
        </w:tc>
        <w:tc>
          <w:tcPr>
            <w:tcW w:w="495" w:type="pct"/>
            <w:tcBorders>
              <w:top w:val="single" w:color="000000" w:sz="4" w:space="0"/>
              <w:left w:val="single" w:color="000000" w:sz="4" w:space="0"/>
              <w:bottom w:val="single" w:color="000000" w:sz="4" w:space="0"/>
              <w:right w:val="single" w:color="000000" w:sz="4" w:space="0"/>
            </w:tcBorders>
            <w:vAlign w:val="center"/>
          </w:tcPr>
          <w:p w14:paraId="505B3C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5722E6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60E40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trPr>
        <w:tc>
          <w:tcPr>
            <w:tcW w:w="280" w:type="pct"/>
            <w:vMerge w:val="continue"/>
            <w:tcBorders>
              <w:left w:val="single" w:color="000000" w:sz="4" w:space="0"/>
              <w:right w:val="single" w:color="000000" w:sz="4" w:space="0"/>
            </w:tcBorders>
            <w:vAlign w:val="center"/>
          </w:tcPr>
          <w:p w14:paraId="6785EB6F">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17A5EA74">
            <w:pPr>
              <w:pStyle w:val="28"/>
              <w:rPr>
                <w:color w:val="000000" w:themeColor="text1"/>
                <w14:textFill>
                  <w14:solidFill>
                    <w14:schemeClr w14:val="tx1"/>
                  </w14:solidFill>
                </w14:textFill>
              </w:rPr>
            </w:pPr>
          </w:p>
        </w:tc>
        <w:tc>
          <w:tcPr>
            <w:tcW w:w="344" w:type="pct"/>
            <w:vMerge w:val="continue"/>
            <w:tcBorders>
              <w:left w:val="single" w:color="000000" w:sz="4" w:space="0"/>
              <w:right w:val="single" w:color="000000" w:sz="4" w:space="0"/>
            </w:tcBorders>
            <w:vAlign w:val="center"/>
          </w:tcPr>
          <w:p w14:paraId="5320118C">
            <w:pPr>
              <w:pStyle w:val="28"/>
              <w:rPr>
                <w:color w:val="000000" w:themeColor="text1"/>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cBorders>
            <w:vAlign w:val="center"/>
          </w:tcPr>
          <w:p w14:paraId="104E04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由于项目仅使用有机溶剂擦洗设备，因此不存在设备清洗废水，废水主要为设备冷却水、车间拖把清洁废水、生活污水。其中，设备冷却水经冷却塔冷却后直接返回设备滚筒内循环使用，不外排；车间拖把清洁废水并入生活污水</w:t>
            </w:r>
            <w:r>
              <w:rPr>
                <w:color w:val="000000" w:themeColor="text1"/>
                <w14:textFill>
                  <w14:solidFill>
                    <w14:schemeClr w14:val="tx1"/>
                  </w14:solidFill>
                </w14:textFill>
              </w:rPr>
              <w:t>依托云南恩捷新材料股份有限公司</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即经化粪池（1个18m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）预处理后直接排至园区污水管网，最终进入玉溪市污水处理厂。</w:t>
            </w:r>
          </w:p>
        </w:tc>
        <w:tc>
          <w:tcPr>
            <w:tcW w:w="495" w:type="pct"/>
            <w:tcBorders>
              <w:top w:val="single" w:color="000000" w:sz="4" w:space="0"/>
              <w:left w:val="single" w:color="000000" w:sz="4" w:space="0"/>
              <w:bottom w:val="single" w:color="000000" w:sz="4" w:space="0"/>
              <w:right w:val="single" w:color="000000" w:sz="4" w:space="0"/>
            </w:tcBorders>
            <w:vAlign w:val="center"/>
          </w:tcPr>
          <w:p w14:paraId="1C113C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暂无废水产生、化粪池、污水管网已建成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5C55C1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化粪池、污水管网依托</w:t>
            </w:r>
          </w:p>
        </w:tc>
      </w:tr>
      <w:tr w14:paraId="3DB5D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0" w:type="pct"/>
            <w:vMerge w:val="continue"/>
            <w:tcBorders>
              <w:left w:val="single" w:color="000000" w:sz="4" w:space="0"/>
              <w:right w:val="single" w:color="000000" w:sz="4" w:space="0"/>
            </w:tcBorders>
            <w:vAlign w:val="center"/>
          </w:tcPr>
          <w:p w14:paraId="2672AEDC">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18AAEA2B">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6FE62898">
            <w:pPr>
              <w:pStyle w:val="28"/>
              <w:rPr>
                <w:color w:val="000000" w:themeColor="text1"/>
                <w14:textFill>
                  <w14:solidFill>
                    <w14:schemeClr w14:val="tx1"/>
                  </w14:solidFill>
                </w14:textFill>
              </w:rPr>
            </w:pPr>
            <w:r>
              <w:rPr>
                <w:color w:val="000000" w:themeColor="text1"/>
                <w14:textFill>
                  <w14:solidFill>
                    <w14:schemeClr w14:val="tx1"/>
                  </w14:solidFill>
                </w14:textFill>
              </w:rPr>
              <w:t>噪声治理工程</w:t>
            </w:r>
          </w:p>
        </w:tc>
        <w:tc>
          <w:tcPr>
            <w:tcW w:w="2685" w:type="pct"/>
            <w:tcBorders>
              <w:top w:val="single" w:color="000000" w:sz="4" w:space="0"/>
              <w:left w:val="single" w:color="000000" w:sz="4" w:space="0"/>
              <w:bottom w:val="single" w:color="000000" w:sz="4" w:space="0"/>
              <w:right w:val="single" w:color="000000" w:sz="4" w:space="0"/>
            </w:tcBorders>
            <w:vAlign w:val="center"/>
          </w:tcPr>
          <w:p w14:paraId="6BB0392A">
            <w:pPr>
              <w:pStyle w:val="28"/>
              <w:rPr>
                <w:color w:val="000000" w:themeColor="text1"/>
                <w14:textFill>
                  <w14:solidFill>
                    <w14:schemeClr w14:val="tx1"/>
                  </w14:solidFill>
                </w14:textFill>
              </w:rPr>
            </w:pPr>
            <w:r>
              <w:rPr>
                <w:color w:val="000000" w:themeColor="text1"/>
                <w14:textFill>
                  <w14:solidFill>
                    <w14:schemeClr w14:val="tx1"/>
                  </w14:solidFill>
                </w14:textFill>
              </w:rPr>
              <w:t>采用厂房隔声、减震以及风机安装消声器等措施。</w:t>
            </w:r>
          </w:p>
        </w:tc>
        <w:tc>
          <w:tcPr>
            <w:tcW w:w="495" w:type="pct"/>
            <w:tcBorders>
              <w:top w:val="single" w:color="000000" w:sz="4" w:space="0"/>
              <w:left w:val="single" w:color="000000" w:sz="4" w:space="0"/>
              <w:bottom w:val="single" w:color="000000" w:sz="4" w:space="0"/>
              <w:right w:val="single" w:color="000000" w:sz="4" w:space="0"/>
            </w:tcBorders>
            <w:vAlign w:val="center"/>
          </w:tcPr>
          <w:p w14:paraId="628DFA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暂未建成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7BCE8A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043C8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280" w:type="pct"/>
            <w:vMerge w:val="continue"/>
            <w:tcBorders>
              <w:left w:val="single" w:color="000000" w:sz="4" w:space="0"/>
              <w:right w:val="single" w:color="000000" w:sz="4" w:space="0"/>
            </w:tcBorders>
            <w:vAlign w:val="center"/>
          </w:tcPr>
          <w:p w14:paraId="02FEC7BA">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0340EB76">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6C95CCE2">
            <w:pPr>
              <w:pStyle w:val="28"/>
              <w:rPr>
                <w:color w:val="000000" w:themeColor="text1"/>
                <w14:textFill>
                  <w14:solidFill>
                    <w14:schemeClr w14:val="tx1"/>
                  </w14:solidFill>
                </w14:textFill>
              </w:rPr>
            </w:pPr>
            <w:r>
              <w:rPr>
                <w:color w:val="000000" w:themeColor="text1"/>
                <w14:textFill>
                  <w14:solidFill>
                    <w14:schemeClr w14:val="tx1"/>
                  </w14:solidFill>
                </w14:textFill>
              </w:rPr>
              <w:t>固废处置工程</w:t>
            </w:r>
          </w:p>
        </w:tc>
        <w:tc>
          <w:tcPr>
            <w:tcW w:w="2685" w:type="pct"/>
            <w:tcBorders>
              <w:top w:val="single" w:color="000000" w:sz="4" w:space="0"/>
              <w:left w:val="single" w:color="000000" w:sz="4" w:space="0"/>
              <w:bottom w:val="single" w:color="000000" w:sz="4" w:space="0"/>
              <w:right w:val="single" w:color="000000" w:sz="4" w:space="0"/>
            </w:tcBorders>
            <w:vAlign w:val="center"/>
          </w:tcPr>
          <w:p w14:paraId="49E1E1B9">
            <w:pPr>
              <w:pStyle w:val="28"/>
              <w:rPr>
                <w:color w:val="000000" w:themeColor="text1"/>
                <w14:textFill>
                  <w14:solidFill>
                    <w14:schemeClr w14:val="tx1"/>
                  </w14:solidFill>
                </w14:textFill>
              </w:rPr>
            </w:pPr>
            <w:r>
              <w:rPr>
                <w:color w:val="000000" w:themeColor="text1"/>
                <w14:textFill>
                  <w14:solidFill>
                    <w14:schemeClr w14:val="tx1"/>
                  </w14:solidFill>
                </w14:textFill>
              </w:rPr>
              <w:t>本项目固体废物主要为生活垃圾、边角废料、不合格产品、废溶剂及其回收后剩余残渣、废包装容器、废抹布、手套、废机油、废胶渣、废活性炭</w:t>
            </w:r>
            <w:r>
              <w:rPr>
                <w:rFonts w:hint="eastAsia"/>
                <w:color w:val="000000" w:themeColor="text1"/>
                <w14:textFill>
                  <w14:solidFill>
                    <w14:schemeClr w14:val="tx1"/>
                  </w14:solidFill>
                </w14:textFill>
              </w:rPr>
              <w:t>、废催化剂。</w:t>
            </w:r>
          </w:p>
          <w:p w14:paraId="799D507E">
            <w:pPr>
              <w:pStyle w:val="28"/>
              <w:rPr>
                <w:color w:val="000000" w:themeColor="text1"/>
                <w14:textFill>
                  <w14:solidFill>
                    <w14:schemeClr w14:val="tx1"/>
                  </w14:solidFill>
                </w14:textFill>
              </w:rPr>
            </w:pPr>
            <w:r>
              <w:rPr>
                <w:color w:val="000000" w:themeColor="text1"/>
                <w14:textFill>
                  <w14:solidFill>
                    <w14:schemeClr w14:val="tx1"/>
                  </w14:solidFill>
                </w14:textFill>
              </w:rPr>
              <w:t>生活垃圾集中收集后由环卫部门清运处置；边角废料、不合格产品暂存于边料仓库，集中收集后外售于造纸厂；废溶剂经厂内1套溶剂</w:t>
            </w:r>
            <w:r>
              <w:rPr>
                <w:rFonts w:hint="eastAsia"/>
                <w:color w:val="000000" w:themeColor="text1"/>
                <w14:textFill>
                  <w14:solidFill>
                    <w14:schemeClr w14:val="tx1"/>
                  </w14:solidFill>
                </w14:textFill>
              </w:rPr>
              <w:t>机（最大处理量为8L/h）通过</w:t>
            </w:r>
            <w:r>
              <w:rPr>
                <w:color w:val="000000" w:themeColor="text1"/>
                <w14:textFill>
                  <w14:solidFill>
                    <w14:schemeClr w14:val="tx1"/>
                  </w14:solidFill>
                </w14:textFill>
              </w:rPr>
              <w:t>蒸馏、过滤处理后，重复使用；废溶剂回收后剩余残渣、废包装容器、废抹布、手套、废机油、废胶渣、废活性炭</w:t>
            </w:r>
            <w:r>
              <w:rPr>
                <w:rFonts w:hint="eastAsia"/>
                <w:color w:val="000000" w:themeColor="text1"/>
                <w14:textFill>
                  <w14:solidFill>
                    <w14:schemeClr w14:val="tx1"/>
                  </w14:solidFill>
                </w14:textFill>
              </w:rPr>
              <w:t>、废催化剂</w:t>
            </w:r>
            <w:r>
              <w:rPr>
                <w:color w:val="000000" w:themeColor="text1"/>
                <w14:textFill>
                  <w14:solidFill>
                    <w14:schemeClr w14:val="tx1"/>
                  </w14:solidFill>
                </w14:textFill>
              </w:rPr>
              <w:t>装在废包装桶内暂存于危险废物暂存间，定期交由有资质单位清运、处置。</w:t>
            </w:r>
          </w:p>
          <w:p w14:paraId="2325ED42">
            <w:pPr>
              <w:pStyle w:val="28"/>
              <w:rPr>
                <w:color w:val="000000" w:themeColor="text1"/>
                <w14:textFill>
                  <w14:solidFill>
                    <w14:schemeClr w14:val="tx1"/>
                  </w14:solidFill>
                </w14:textFill>
              </w:rPr>
            </w:pPr>
            <w:r>
              <w:rPr>
                <w:color w:val="000000" w:themeColor="text1"/>
                <w14:textFill>
                  <w14:solidFill>
                    <w14:schemeClr w14:val="tx1"/>
                  </w14:solidFill>
                </w14:textFill>
              </w:rPr>
              <w:t>固废处置率为100%。</w:t>
            </w:r>
          </w:p>
        </w:tc>
        <w:tc>
          <w:tcPr>
            <w:tcW w:w="495" w:type="pct"/>
            <w:tcBorders>
              <w:top w:val="single" w:color="000000" w:sz="4" w:space="0"/>
              <w:left w:val="single" w:color="000000" w:sz="4" w:space="0"/>
              <w:bottom w:val="single" w:color="000000" w:sz="4" w:space="0"/>
              <w:right w:val="single" w:color="000000" w:sz="4" w:space="0"/>
            </w:tcBorders>
            <w:vAlign w:val="center"/>
          </w:tcPr>
          <w:p w14:paraId="010BBD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暂未产生</w:t>
            </w:r>
          </w:p>
        </w:tc>
        <w:tc>
          <w:tcPr>
            <w:tcW w:w="918" w:type="pct"/>
            <w:tcBorders>
              <w:top w:val="single" w:color="000000" w:sz="4" w:space="0"/>
              <w:left w:val="single" w:color="000000" w:sz="4" w:space="0"/>
              <w:bottom w:val="single" w:color="000000" w:sz="4" w:space="0"/>
              <w:right w:val="single" w:color="000000" w:sz="4" w:space="0"/>
            </w:tcBorders>
            <w:vAlign w:val="center"/>
          </w:tcPr>
          <w:p w14:paraId="3A770D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4A77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tcBorders>
              <w:left w:val="single" w:color="000000" w:sz="4" w:space="0"/>
              <w:right w:val="single" w:color="000000" w:sz="4" w:space="0"/>
            </w:tcBorders>
            <w:vAlign w:val="center"/>
          </w:tcPr>
          <w:p w14:paraId="21557D05">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67A9E68E">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7BFEC9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溶剂仓库</w:t>
            </w:r>
            <w:r>
              <w:rPr>
                <w:color w:val="000000" w:themeColor="text1"/>
                <w14:textFill>
                  <w14:solidFill>
                    <w14:schemeClr w14:val="tx1"/>
                  </w14:solidFill>
                </w14:textFill>
              </w:rPr>
              <w:t>风险防范设施</w:t>
            </w:r>
          </w:p>
        </w:tc>
        <w:tc>
          <w:tcPr>
            <w:tcW w:w="2685" w:type="pct"/>
            <w:tcBorders>
              <w:top w:val="single" w:color="000000" w:sz="4" w:space="0"/>
              <w:left w:val="single" w:color="000000" w:sz="4" w:space="0"/>
              <w:bottom w:val="single" w:color="000000" w:sz="4" w:space="0"/>
              <w:right w:val="single" w:color="000000" w:sz="4" w:space="0"/>
            </w:tcBorders>
            <w:vAlign w:val="center"/>
          </w:tcPr>
          <w:p w14:paraId="78798D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溶剂采用密封容器装盛，溶剂分区储存，溶剂仓库保持通风阴凉的环境，并隔绝热源和火种，溶剂库内采取重点防渗，并设有导流沟、收集池。</w:t>
            </w:r>
          </w:p>
        </w:tc>
        <w:tc>
          <w:tcPr>
            <w:tcW w:w="495" w:type="pct"/>
            <w:tcBorders>
              <w:top w:val="single" w:color="000000" w:sz="4" w:space="0"/>
              <w:left w:val="single" w:color="000000" w:sz="4" w:space="0"/>
              <w:bottom w:val="single" w:color="000000" w:sz="4" w:space="0"/>
              <w:right w:val="single" w:color="000000" w:sz="4" w:space="0"/>
            </w:tcBorders>
            <w:vAlign w:val="center"/>
          </w:tcPr>
          <w:p w14:paraId="6A410C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已建成，暂未采取重点防渗</w:t>
            </w:r>
          </w:p>
        </w:tc>
        <w:tc>
          <w:tcPr>
            <w:tcW w:w="918" w:type="pct"/>
            <w:tcBorders>
              <w:top w:val="single" w:color="000000" w:sz="4" w:space="0"/>
              <w:left w:val="single" w:color="000000" w:sz="4" w:space="0"/>
              <w:bottom w:val="single" w:color="000000" w:sz="4" w:space="0"/>
              <w:right w:val="single" w:color="000000" w:sz="4" w:space="0"/>
            </w:tcBorders>
            <w:vAlign w:val="center"/>
          </w:tcPr>
          <w:p w14:paraId="5C9C56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1587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80" w:type="pct"/>
            <w:vMerge w:val="continue"/>
            <w:tcBorders>
              <w:left w:val="single" w:color="000000" w:sz="4" w:space="0"/>
              <w:right w:val="single" w:color="000000" w:sz="4" w:space="0"/>
            </w:tcBorders>
            <w:vAlign w:val="center"/>
          </w:tcPr>
          <w:p w14:paraId="58575B07">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2A4BEE0A">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3DF7CE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事故池</w:t>
            </w:r>
          </w:p>
        </w:tc>
        <w:tc>
          <w:tcPr>
            <w:tcW w:w="2685" w:type="pct"/>
            <w:tcBorders>
              <w:top w:val="single" w:color="000000" w:sz="4" w:space="0"/>
              <w:left w:val="single" w:color="000000" w:sz="4" w:space="0"/>
              <w:bottom w:val="single" w:color="000000" w:sz="4" w:space="0"/>
              <w:right w:val="single" w:color="000000" w:sz="4" w:space="0"/>
            </w:tcBorders>
            <w:vAlign w:val="center"/>
          </w:tcPr>
          <w:p w14:paraId="66CB07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1个容积不小于195m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的事故池。</w:t>
            </w:r>
          </w:p>
        </w:tc>
        <w:tc>
          <w:tcPr>
            <w:tcW w:w="495" w:type="pct"/>
            <w:tcBorders>
              <w:top w:val="single" w:color="000000" w:sz="4" w:space="0"/>
              <w:left w:val="single" w:color="000000" w:sz="4" w:space="0"/>
              <w:bottom w:val="single" w:color="000000" w:sz="4" w:space="0"/>
              <w:right w:val="single" w:color="000000" w:sz="4" w:space="0"/>
            </w:tcBorders>
            <w:vAlign w:val="center"/>
          </w:tcPr>
          <w:p w14:paraId="15ECE2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建设中</w:t>
            </w:r>
          </w:p>
        </w:tc>
        <w:tc>
          <w:tcPr>
            <w:tcW w:w="918" w:type="pct"/>
            <w:tcBorders>
              <w:top w:val="single" w:color="000000" w:sz="4" w:space="0"/>
              <w:left w:val="single" w:color="000000" w:sz="4" w:space="0"/>
              <w:bottom w:val="single" w:color="000000" w:sz="4" w:space="0"/>
              <w:right w:val="single" w:color="000000" w:sz="4" w:space="0"/>
            </w:tcBorders>
            <w:vAlign w:val="center"/>
          </w:tcPr>
          <w:p w14:paraId="3BBF9F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339BC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tcBorders>
              <w:left w:val="single" w:color="000000" w:sz="4" w:space="0"/>
              <w:right w:val="single" w:color="000000" w:sz="4" w:space="0"/>
            </w:tcBorders>
            <w:vAlign w:val="center"/>
          </w:tcPr>
          <w:p w14:paraId="7A960FAD">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69E459FB">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785CCF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消防水池及消防水泵房</w:t>
            </w:r>
          </w:p>
        </w:tc>
        <w:tc>
          <w:tcPr>
            <w:tcW w:w="2685" w:type="pct"/>
            <w:tcBorders>
              <w:top w:val="single" w:color="000000" w:sz="4" w:space="0"/>
              <w:left w:val="single" w:color="000000" w:sz="4" w:space="0"/>
              <w:bottom w:val="single" w:color="000000" w:sz="4" w:space="0"/>
              <w:right w:val="single" w:color="000000" w:sz="4" w:space="0"/>
            </w:tcBorders>
            <w:vAlign w:val="center"/>
          </w:tcPr>
          <w:p w14:paraId="1B7ECE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消防水池1个，</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为432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432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；消防水泵房1间，</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为51.59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51.59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6ACBB7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24462F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228AE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tcBorders>
              <w:left w:val="single" w:color="000000" w:sz="4" w:space="0"/>
              <w:right w:val="single" w:color="000000" w:sz="4" w:space="0"/>
            </w:tcBorders>
            <w:vAlign w:val="center"/>
          </w:tcPr>
          <w:p w14:paraId="79C612F6">
            <w:pPr>
              <w:pStyle w:val="28"/>
              <w:rPr>
                <w:color w:val="000000" w:themeColor="text1"/>
                <w14:textFill>
                  <w14:solidFill>
                    <w14:schemeClr w14:val="tx1"/>
                  </w14:solidFill>
                </w14:textFill>
              </w:rPr>
            </w:pPr>
          </w:p>
        </w:tc>
        <w:tc>
          <w:tcPr>
            <w:tcW w:w="276" w:type="pct"/>
            <w:vMerge w:val="continue"/>
            <w:tcBorders>
              <w:left w:val="single" w:color="000000" w:sz="4" w:space="0"/>
              <w:right w:val="single" w:color="000000" w:sz="4" w:space="0"/>
            </w:tcBorders>
            <w:vAlign w:val="center"/>
          </w:tcPr>
          <w:p w14:paraId="3ED25D88">
            <w:pPr>
              <w:pStyle w:val="28"/>
              <w:rPr>
                <w:color w:val="000000" w:themeColor="text1"/>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vAlign w:val="center"/>
          </w:tcPr>
          <w:p w14:paraId="275AEF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绿化工程</w:t>
            </w:r>
          </w:p>
        </w:tc>
        <w:tc>
          <w:tcPr>
            <w:tcW w:w="2685" w:type="pct"/>
            <w:tcBorders>
              <w:top w:val="single" w:color="000000" w:sz="4" w:space="0"/>
              <w:left w:val="single" w:color="000000" w:sz="4" w:space="0"/>
              <w:bottom w:val="single" w:color="000000" w:sz="4" w:space="0"/>
              <w:right w:val="single" w:color="000000" w:sz="4" w:space="0"/>
            </w:tcBorders>
            <w:vAlign w:val="center"/>
          </w:tcPr>
          <w:p w14:paraId="66941B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全厂绿化面积约为2737.65m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5ADDC0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tcBorders>
              <w:top w:val="single" w:color="000000" w:sz="4" w:space="0"/>
              <w:left w:val="single" w:color="000000" w:sz="4" w:space="0"/>
              <w:bottom w:val="single" w:color="000000" w:sz="4" w:space="0"/>
              <w:right w:val="single" w:color="000000" w:sz="4" w:space="0"/>
            </w:tcBorders>
            <w:vAlign w:val="center"/>
          </w:tcPr>
          <w:p w14:paraId="08222F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026B1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restart"/>
            <w:vAlign w:val="center"/>
          </w:tcPr>
          <w:p w14:paraId="44E973B6">
            <w:pPr>
              <w:pStyle w:val="28"/>
              <w:rPr>
                <w:color w:val="000000" w:themeColor="text1"/>
                <w14:textFill>
                  <w14:solidFill>
                    <w14:schemeClr w14:val="tx1"/>
                  </w14:solidFill>
                </w14:textFill>
              </w:rPr>
            </w:pPr>
            <w:r>
              <w:rPr>
                <w:color w:val="000000" w:themeColor="text1"/>
                <w14:textFill>
                  <w14:solidFill>
                    <w14:schemeClr w14:val="tx1"/>
                  </w14:solidFill>
                </w14:textFill>
              </w:rPr>
              <w:t>印刷业务改扩建项目</w:t>
            </w:r>
          </w:p>
        </w:tc>
        <w:tc>
          <w:tcPr>
            <w:tcW w:w="276" w:type="pct"/>
            <w:shd w:val="clear" w:color="auto" w:fill="auto"/>
            <w:vAlign w:val="center"/>
          </w:tcPr>
          <w:p w14:paraId="4B08F6D7">
            <w:pPr>
              <w:pStyle w:val="28"/>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344" w:type="pct"/>
            <w:shd w:val="clear" w:color="auto" w:fill="auto"/>
            <w:vAlign w:val="center"/>
          </w:tcPr>
          <w:p w14:paraId="31F27B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生产厂房</w:t>
            </w:r>
          </w:p>
        </w:tc>
        <w:tc>
          <w:tcPr>
            <w:tcW w:w="2685" w:type="pct"/>
            <w:shd w:val="clear" w:color="auto" w:fill="auto"/>
            <w:vAlign w:val="center"/>
          </w:tcPr>
          <w:p w14:paraId="3E6F750F">
            <w:pPr>
              <w:pStyle w:val="28"/>
              <w:rPr>
                <w:color w:val="000000" w:themeColor="text1"/>
                <w14:textFill>
                  <w14:solidFill>
                    <w14:schemeClr w14:val="tx1"/>
                  </w14:solidFill>
                </w14:textFill>
              </w:rPr>
            </w:pPr>
            <w:r>
              <w:rPr>
                <w:color w:val="000000" w:themeColor="text1"/>
                <w14:textFill>
                  <w14:solidFill>
                    <w14:schemeClr w14:val="tx1"/>
                  </w14:solidFill>
                </w14:textFill>
              </w:rPr>
              <w:t>1个，占地面积</w:t>
            </w:r>
            <w:r>
              <w:rPr>
                <w:rFonts w:hint="eastAsia"/>
                <w:color w:val="000000" w:themeColor="text1"/>
                <w14:textFill>
                  <w14:solidFill>
                    <w14:schemeClr w14:val="tx1"/>
                  </w14:solidFill>
                </w14:textFill>
              </w:rPr>
              <w:t>12344.09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面积12344.09m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四周围墙采用砖砌，内置凹印生产线2条、胶印生产线1条以及1间一般固废暂存间、1间配料间，一般固废暂存间用于临时堆放边角废料和不合格产品，配料间用于稀释油墨等。</w:t>
            </w:r>
          </w:p>
        </w:tc>
        <w:tc>
          <w:tcPr>
            <w:tcW w:w="495" w:type="pct"/>
            <w:vAlign w:val="center"/>
          </w:tcPr>
          <w:p w14:paraId="54EA91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厂房已建成</w:t>
            </w:r>
          </w:p>
        </w:tc>
        <w:tc>
          <w:tcPr>
            <w:tcW w:w="918" w:type="pct"/>
            <w:vAlign w:val="center"/>
          </w:tcPr>
          <w:p w14:paraId="45D7C9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本项目租用该厂房西北角作为生产区。</w:t>
            </w:r>
          </w:p>
        </w:tc>
      </w:tr>
      <w:tr w14:paraId="0AABE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80" w:type="pct"/>
            <w:vMerge w:val="continue"/>
            <w:vAlign w:val="center"/>
          </w:tcPr>
          <w:p w14:paraId="61D0C6EA">
            <w:pPr>
              <w:pStyle w:val="28"/>
              <w:rPr>
                <w:color w:val="000000" w:themeColor="text1"/>
                <w14:textFill>
                  <w14:solidFill>
                    <w14:schemeClr w14:val="tx1"/>
                  </w14:solidFill>
                </w14:textFill>
              </w:rPr>
            </w:pPr>
          </w:p>
        </w:tc>
        <w:tc>
          <w:tcPr>
            <w:tcW w:w="276" w:type="pct"/>
            <w:vMerge w:val="restart"/>
            <w:shd w:val="clear" w:color="auto" w:fill="auto"/>
            <w:vAlign w:val="center"/>
          </w:tcPr>
          <w:p w14:paraId="216BEE35">
            <w:pPr>
              <w:pStyle w:val="28"/>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344" w:type="pct"/>
            <w:shd w:val="clear" w:color="auto" w:fill="auto"/>
            <w:vAlign w:val="center"/>
          </w:tcPr>
          <w:p w14:paraId="449E20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厂房辅助用房</w:t>
            </w:r>
          </w:p>
        </w:tc>
        <w:tc>
          <w:tcPr>
            <w:tcW w:w="2685" w:type="pct"/>
            <w:shd w:val="clear" w:color="auto" w:fill="auto"/>
            <w:vAlign w:val="center"/>
          </w:tcPr>
          <w:p w14:paraId="01575F65">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2458.75m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3514.75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设备辅助用房分别为配电房、工具房、发电房等，均为1层（层高5.15m）浇钢筋混凝土框架结构；其他辅助用房为1层（层高5.15m）浇钢筋混凝土框架结构1间，1层（层高4.55m）浇钢筋混凝土框架结构1间，2层（层高8.15m）浇钢筋混凝土框架结构1间（办公室设置在2楼）。</w:t>
            </w:r>
          </w:p>
        </w:tc>
        <w:tc>
          <w:tcPr>
            <w:tcW w:w="495" w:type="pct"/>
            <w:vAlign w:val="center"/>
          </w:tcPr>
          <w:p w14:paraId="0FF346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辅房已建成</w:t>
            </w:r>
          </w:p>
        </w:tc>
        <w:tc>
          <w:tcPr>
            <w:tcW w:w="918" w:type="pct"/>
            <w:vAlign w:val="center"/>
          </w:tcPr>
          <w:p w14:paraId="02D399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本项目租用1层辅房设置原料暂存间、球磨房、除湿机房、清洗间、备品备件库及机修间、办公区、卫生间等</w:t>
            </w:r>
          </w:p>
        </w:tc>
      </w:tr>
      <w:tr w14:paraId="34882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80" w:type="pct"/>
            <w:vMerge w:val="continue"/>
            <w:vAlign w:val="center"/>
          </w:tcPr>
          <w:p w14:paraId="7EBDE9E2">
            <w:pPr>
              <w:pStyle w:val="28"/>
              <w:rPr>
                <w:color w:val="000000" w:themeColor="text1"/>
                <w14:textFill>
                  <w14:solidFill>
                    <w14:schemeClr w14:val="tx1"/>
                  </w14:solidFill>
                </w14:textFill>
              </w:rPr>
            </w:pPr>
          </w:p>
        </w:tc>
        <w:tc>
          <w:tcPr>
            <w:tcW w:w="276" w:type="pct"/>
            <w:vMerge w:val="continue"/>
            <w:vAlign w:val="center"/>
          </w:tcPr>
          <w:p w14:paraId="56C275EB">
            <w:pPr>
              <w:pStyle w:val="28"/>
              <w:rPr>
                <w:color w:val="000000" w:themeColor="text1"/>
                <w14:textFill>
                  <w14:solidFill>
                    <w14:schemeClr w14:val="tx1"/>
                  </w14:solidFill>
                </w14:textFill>
              </w:rPr>
            </w:pPr>
          </w:p>
        </w:tc>
        <w:tc>
          <w:tcPr>
            <w:tcW w:w="344" w:type="pct"/>
            <w:shd w:val="clear" w:color="auto" w:fill="auto"/>
            <w:vAlign w:val="center"/>
          </w:tcPr>
          <w:p w14:paraId="7D32A4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车位</w:t>
            </w:r>
          </w:p>
        </w:tc>
        <w:tc>
          <w:tcPr>
            <w:tcW w:w="2685" w:type="pct"/>
            <w:shd w:val="clear" w:color="auto" w:fill="auto"/>
            <w:vAlign w:val="center"/>
          </w:tcPr>
          <w:p w14:paraId="1AD1D4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非机动车位共设置586个，机动车位共设置171个。</w:t>
            </w:r>
          </w:p>
        </w:tc>
        <w:tc>
          <w:tcPr>
            <w:tcW w:w="495" w:type="pct"/>
            <w:vAlign w:val="center"/>
          </w:tcPr>
          <w:p w14:paraId="7EC87D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6C7737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45B08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65BE12C3">
            <w:pPr>
              <w:pStyle w:val="28"/>
              <w:rPr>
                <w:color w:val="000000" w:themeColor="text1"/>
                <w14:textFill>
                  <w14:solidFill>
                    <w14:schemeClr w14:val="tx1"/>
                  </w14:solidFill>
                </w14:textFill>
              </w:rPr>
            </w:pPr>
          </w:p>
        </w:tc>
        <w:tc>
          <w:tcPr>
            <w:tcW w:w="276" w:type="pct"/>
            <w:vMerge w:val="continue"/>
            <w:vAlign w:val="center"/>
          </w:tcPr>
          <w:p w14:paraId="47E2B6FB">
            <w:pPr>
              <w:pStyle w:val="28"/>
              <w:rPr>
                <w:color w:val="000000" w:themeColor="text1"/>
                <w14:textFill>
                  <w14:solidFill>
                    <w14:schemeClr w14:val="tx1"/>
                  </w14:solidFill>
                </w14:textFill>
              </w:rPr>
            </w:pPr>
          </w:p>
        </w:tc>
        <w:tc>
          <w:tcPr>
            <w:tcW w:w="344" w:type="pct"/>
            <w:shd w:val="clear" w:color="auto" w:fill="auto"/>
            <w:vAlign w:val="center"/>
          </w:tcPr>
          <w:p w14:paraId="5F9283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门卫等附属建筑</w:t>
            </w:r>
          </w:p>
        </w:tc>
        <w:tc>
          <w:tcPr>
            <w:tcW w:w="2685" w:type="pct"/>
            <w:shd w:val="clear" w:color="auto" w:fill="auto"/>
            <w:vAlign w:val="center"/>
          </w:tcPr>
          <w:p w14:paraId="12CB371E">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51.70m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51.70m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495" w:type="pct"/>
            <w:vAlign w:val="center"/>
          </w:tcPr>
          <w:p w14:paraId="190E32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50A785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270E9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0" w:type="pct"/>
            <w:vMerge w:val="continue"/>
            <w:vAlign w:val="center"/>
          </w:tcPr>
          <w:p w14:paraId="201B2B74">
            <w:pPr>
              <w:pStyle w:val="28"/>
              <w:rPr>
                <w:color w:val="000000" w:themeColor="text1"/>
                <w14:textFill>
                  <w14:solidFill>
                    <w14:schemeClr w14:val="tx1"/>
                  </w14:solidFill>
                </w14:textFill>
              </w:rPr>
            </w:pPr>
          </w:p>
        </w:tc>
        <w:tc>
          <w:tcPr>
            <w:tcW w:w="276" w:type="pct"/>
            <w:vMerge w:val="continue"/>
            <w:vAlign w:val="center"/>
          </w:tcPr>
          <w:p w14:paraId="4D5ED1B0">
            <w:pPr>
              <w:pStyle w:val="28"/>
              <w:rPr>
                <w:color w:val="000000" w:themeColor="text1"/>
                <w14:textFill>
                  <w14:solidFill>
                    <w14:schemeClr w14:val="tx1"/>
                  </w14:solidFill>
                </w14:textFill>
              </w:rPr>
            </w:pPr>
          </w:p>
        </w:tc>
        <w:tc>
          <w:tcPr>
            <w:tcW w:w="344" w:type="pct"/>
            <w:shd w:val="clear" w:color="auto" w:fill="auto"/>
            <w:vAlign w:val="center"/>
          </w:tcPr>
          <w:p w14:paraId="499F30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钢结构雨棚</w:t>
            </w:r>
          </w:p>
        </w:tc>
        <w:tc>
          <w:tcPr>
            <w:tcW w:w="2685" w:type="pct"/>
            <w:shd w:val="clear" w:color="auto" w:fill="auto"/>
            <w:vAlign w:val="center"/>
          </w:tcPr>
          <w:p w14:paraId="7B238081">
            <w:pPr>
              <w:pStyle w:val="28"/>
              <w:rPr>
                <w:color w:val="000000" w:themeColor="text1"/>
                <w14:textFill>
                  <w14:solidFill>
                    <w14:schemeClr w14:val="tx1"/>
                  </w14:solidFill>
                </w14:textFill>
              </w:rPr>
            </w:pP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890.41m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890.41m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，层高10.65m。</w:t>
            </w:r>
          </w:p>
        </w:tc>
        <w:tc>
          <w:tcPr>
            <w:tcW w:w="495" w:type="pct"/>
            <w:vAlign w:val="center"/>
          </w:tcPr>
          <w:p w14:paraId="1C05C1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23D7C0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3A284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765C479A">
            <w:pPr>
              <w:pStyle w:val="28"/>
              <w:rPr>
                <w:color w:val="000000" w:themeColor="text1"/>
                <w14:textFill>
                  <w14:solidFill>
                    <w14:schemeClr w14:val="tx1"/>
                  </w14:solidFill>
                </w14:textFill>
              </w:rPr>
            </w:pPr>
          </w:p>
        </w:tc>
        <w:tc>
          <w:tcPr>
            <w:tcW w:w="276" w:type="pct"/>
            <w:vMerge w:val="restart"/>
            <w:shd w:val="clear" w:color="auto" w:fill="auto"/>
            <w:vAlign w:val="center"/>
          </w:tcPr>
          <w:p w14:paraId="4D33D688">
            <w:pPr>
              <w:pStyle w:val="28"/>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344" w:type="pct"/>
            <w:shd w:val="clear" w:color="auto" w:fill="auto"/>
            <w:vAlign w:val="center"/>
          </w:tcPr>
          <w:p w14:paraId="58B9F5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原料仓库</w:t>
            </w:r>
          </w:p>
        </w:tc>
        <w:tc>
          <w:tcPr>
            <w:tcW w:w="2685" w:type="pct"/>
            <w:shd w:val="clear" w:color="auto" w:fill="auto"/>
            <w:vAlign w:val="center"/>
          </w:tcPr>
          <w:p w14:paraId="71063E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占地</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为5402.37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面积5402.37m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四周围墙采用砖砌，主要用于存放纸张、包装材料等原料。</w:t>
            </w:r>
          </w:p>
        </w:tc>
        <w:tc>
          <w:tcPr>
            <w:tcW w:w="495" w:type="pct"/>
            <w:vAlign w:val="center"/>
          </w:tcPr>
          <w:p w14:paraId="179040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13F507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6E37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35E4CB16">
            <w:pPr>
              <w:pStyle w:val="28"/>
              <w:rPr>
                <w:color w:val="000000" w:themeColor="text1"/>
                <w14:textFill>
                  <w14:solidFill>
                    <w14:schemeClr w14:val="tx1"/>
                  </w14:solidFill>
                </w14:textFill>
              </w:rPr>
            </w:pPr>
          </w:p>
        </w:tc>
        <w:tc>
          <w:tcPr>
            <w:tcW w:w="276" w:type="pct"/>
            <w:vMerge w:val="continue"/>
            <w:vAlign w:val="center"/>
          </w:tcPr>
          <w:p w14:paraId="254FD792">
            <w:pPr>
              <w:pStyle w:val="28"/>
              <w:rPr>
                <w:color w:val="000000" w:themeColor="text1"/>
                <w14:textFill>
                  <w14:solidFill>
                    <w14:schemeClr w14:val="tx1"/>
                  </w14:solidFill>
                </w14:textFill>
              </w:rPr>
            </w:pPr>
          </w:p>
        </w:tc>
        <w:tc>
          <w:tcPr>
            <w:tcW w:w="344" w:type="pct"/>
            <w:shd w:val="clear" w:color="auto" w:fill="auto"/>
            <w:vAlign w:val="center"/>
          </w:tcPr>
          <w:p w14:paraId="030DC7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成品仓库</w:t>
            </w:r>
          </w:p>
        </w:tc>
        <w:tc>
          <w:tcPr>
            <w:tcW w:w="2685" w:type="pct"/>
            <w:shd w:val="clear" w:color="auto" w:fill="auto"/>
            <w:vAlign w:val="center"/>
          </w:tcPr>
          <w:p w14:paraId="42BC42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间，占地面积</w:t>
            </w:r>
            <w:r>
              <w:rPr>
                <w:rFonts w:hint="eastAsia"/>
                <w:color w:val="000000" w:themeColor="text1"/>
                <w14:textFill>
                  <w14:solidFill>
                    <w14:schemeClr w14:val="tx1"/>
                  </w14:solidFill>
                </w14:textFill>
              </w:rPr>
              <w:t>为4319.07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面积4319.07m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，为一层</w:t>
            </w:r>
            <w:r>
              <w:rPr>
                <w:rFonts w:hint="eastAsia"/>
                <w:color w:val="000000" w:themeColor="text1"/>
                <w14:textFill>
                  <w14:solidFill>
                    <w14:schemeClr w14:val="tx1"/>
                  </w14:solidFill>
                </w14:textFill>
              </w:rPr>
              <w:t>（层高8.15m）</w:t>
            </w:r>
            <w:r>
              <w:rPr>
                <w:color w:val="000000" w:themeColor="text1"/>
                <w14:textFill>
                  <w14:solidFill>
                    <w14:schemeClr w14:val="tx1"/>
                  </w14:solidFill>
                </w14:textFill>
              </w:rPr>
              <w:t>封闭式</w:t>
            </w:r>
            <w:r>
              <w:rPr>
                <w:rFonts w:hint="eastAsia"/>
                <w:color w:val="000000" w:themeColor="text1"/>
                <w14:textFill>
                  <w14:solidFill>
                    <w14:schemeClr w14:val="tx1"/>
                  </w14:solidFill>
                </w14:textFill>
              </w:rPr>
              <w:t>现浇钢筋混凝土加钢架</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四周围墙采用砖砌，用于存放产品。</w:t>
            </w:r>
          </w:p>
        </w:tc>
        <w:tc>
          <w:tcPr>
            <w:tcW w:w="495" w:type="pct"/>
            <w:vAlign w:val="center"/>
          </w:tcPr>
          <w:p w14:paraId="4B4EA7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238B02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21C0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7E4E9223">
            <w:pPr>
              <w:pStyle w:val="28"/>
              <w:rPr>
                <w:color w:val="000000" w:themeColor="text1"/>
                <w14:textFill>
                  <w14:solidFill>
                    <w14:schemeClr w14:val="tx1"/>
                  </w14:solidFill>
                </w14:textFill>
              </w:rPr>
            </w:pPr>
          </w:p>
        </w:tc>
        <w:tc>
          <w:tcPr>
            <w:tcW w:w="276" w:type="pct"/>
            <w:vMerge w:val="continue"/>
            <w:vAlign w:val="center"/>
          </w:tcPr>
          <w:p w14:paraId="27494CBE">
            <w:pPr>
              <w:pStyle w:val="28"/>
              <w:rPr>
                <w:color w:val="000000" w:themeColor="text1"/>
                <w14:textFill>
                  <w14:solidFill>
                    <w14:schemeClr w14:val="tx1"/>
                  </w14:solidFill>
                </w14:textFill>
              </w:rPr>
            </w:pPr>
          </w:p>
        </w:tc>
        <w:tc>
          <w:tcPr>
            <w:tcW w:w="344" w:type="pct"/>
            <w:shd w:val="clear" w:color="auto" w:fill="auto"/>
            <w:vAlign w:val="center"/>
          </w:tcPr>
          <w:p w14:paraId="4211CA99">
            <w:pPr>
              <w:pStyle w:val="28"/>
              <w:rPr>
                <w:color w:val="000000" w:themeColor="text1"/>
                <w14:textFill>
                  <w14:solidFill>
                    <w14:schemeClr w14:val="tx1"/>
                  </w14:solidFill>
                </w14:textFill>
              </w:rPr>
            </w:pPr>
            <w:r>
              <w:rPr>
                <w:color w:val="000000" w:themeColor="text1"/>
                <w14:textFill>
                  <w14:solidFill>
                    <w14:schemeClr w14:val="tx1"/>
                  </w14:solidFill>
                </w14:textFill>
              </w:rPr>
              <w:t>厂区道路</w:t>
            </w:r>
          </w:p>
        </w:tc>
        <w:tc>
          <w:tcPr>
            <w:tcW w:w="2685" w:type="pct"/>
            <w:shd w:val="clear" w:color="auto" w:fill="auto"/>
            <w:vAlign w:val="center"/>
          </w:tcPr>
          <w:p w14:paraId="3F96248D">
            <w:pPr>
              <w:pStyle w:val="28"/>
              <w:rPr>
                <w:color w:val="000000" w:themeColor="text1"/>
                <w14:textFill>
                  <w14:solidFill>
                    <w14:schemeClr w14:val="tx1"/>
                  </w14:solidFill>
                </w14:textFill>
              </w:rPr>
            </w:pPr>
            <w:r>
              <w:rPr>
                <w:color w:val="000000" w:themeColor="text1"/>
                <w14:textFill>
                  <w14:solidFill>
                    <w14:schemeClr w14:val="tx1"/>
                  </w14:solidFill>
                </w14:textFill>
              </w:rPr>
              <w:t>厂区道路</w:t>
            </w:r>
            <w:r>
              <w:rPr>
                <w:rFonts w:hint="eastAsia"/>
                <w:color w:val="000000" w:themeColor="text1"/>
                <w14:textFill>
                  <w14:solidFill>
                    <w14:schemeClr w14:val="tx1"/>
                  </w14:solidFill>
                </w14:textFill>
              </w:rPr>
              <w:t>为城市型道路，砼路面，沿各建筑物四周环形布置，以便消防。</w:t>
            </w:r>
          </w:p>
        </w:tc>
        <w:tc>
          <w:tcPr>
            <w:tcW w:w="495" w:type="pct"/>
            <w:vAlign w:val="center"/>
          </w:tcPr>
          <w:p w14:paraId="7E050E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2302EB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52A23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280" w:type="pct"/>
            <w:vMerge w:val="continue"/>
            <w:vAlign w:val="center"/>
          </w:tcPr>
          <w:p w14:paraId="493FE4E2">
            <w:pPr>
              <w:pStyle w:val="28"/>
              <w:rPr>
                <w:color w:val="000000" w:themeColor="text1"/>
                <w14:textFill>
                  <w14:solidFill>
                    <w14:schemeClr w14:val="tx1"/>
                  </w14:solidFill>
                </w14:textFill>
              </w:rPr>
            </w:pPr>
          </w:p>
        </w:tc>
        <w:tc>
          <w:tcPr>
            <w:tcW w:w="276" w:type="pct"/>
            <w:vMerge w:val="restart"/>
            <w:shd w:val="clear" w:color="auto" w:fill="auto"/>
            <w:vAlign w:val="center"/>
          </w:tcPr>
          <w:p w14:paraId="333CA112">
            <w:pPr>
              <w:pStyle w:val="28"/>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344" w:type="pct"/>
            <w:shd w:val="clear" w:color="auto" w:fill="auto"/>
            <w:vAlign w:val="center"/>
          </w:tcPr>
          <w:p w14:paraId="37FC09C1">
            <w:pPr>
              <w:pStyle w:val="28"/>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2685" w:type="pct"/>
            <w:shd w:val="clear" w:color="auto" w:fill="auto"/>
            <w:vAlign w:val="center"/>
          </w:tcPr>
          <w:p w14:paraId="5B0EFF43">
            <w:pPr>
              <w:pStyle w:val="28"/>
              <w:rPr>
                <w:color w:val="000000" w:themeColor="text1"/>
                <w14:textFill>
                  <w14:solidFill>
                    <w14:schemeClr w14:val="tx1"/>
                  </w14:solidFill>
                </w14:textFill>
              </w:rPr>
            </w:pPr>
            <w:r>
              <w:rPr>
                <w:color w:val="000000" w:themeColor="text1"/>
                <w14:textFill>
                  <w14:solidFill>
                    <w14:schemeClr w14:val="tx1"/>
                  </w14:solidFill>
                </w14:textFill>
              </w:rPr>
              <w:t>本项目供水</w:t>
            </w:r>
            <w:r>
              <w:rPr>
                <w:rFonts w:hint="eastAsia"/>
                <w:color w:val="000000" w:themeColor="text1"/>
                <w14:textFill>
                  <w14:solidFill>
                    <w14:schemeClr w14:val="tx1"/>
                  </w14:solidFill>
                </w14:textFill>
              </w:rPr>
              <w:t>由园区管网供给。</w:t>
            </w:r>
          </w:p>
        </w:tc>
        <w:tc>
          <w:tcPr>
            <w:tcW w:w="495" w:type="pct"/>
            <w:vAlign w:val="center"/>
          </w:tcPr>
          <w:p w14:paraId="696398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2CDDC3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0A167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33812E57">
            <w:pPr>
              <w:pStyle w:val="28"/>
              <w:rPr>
                <w:color w:val="000000" w:themeColor="text1"/>
                <w14:textFill>
                  <w14:solidFill>
                    <w14:schemeClr w14:val="tx1"/>
                  </w14:solidFill>
                </w14:textFill>
              </w:rPr>
            </w:pPr>
          </w:p>
        </w:tc>
        <w:tc>
          <w:tcPr>
            <w:tcW w:w="276" w:type="pct"/>
            <w:vMerge w:val="continue"/>
            <w:vAlign w:val="center"/>
          </w:tcPr>
          <w:p w14:paraId="7DDB837D">
            <w:pPr>
              <w:pStyle w:val="28"/>
              <w:rPr>
                <w:color w:val="000000" w:themeColor="text1"/>
                <w14:textFill>
                  <w14:solidFill>
                    <w14:schemeClr w14:val="tx1"/>
                  </w14:solidFill>
                </w14:textFill>
              </w:rPr>
            </w:pPr>
          </w:p>
        </w:tc>
        <w:tc>
          <w:tcPr>
            <w:tcW w:w="344" w:type="pct"/>
            <w:shd w:val="clear" w:color="auto" w:fill="auto"/>
            <w:vAlign w:val="center"/>
          </w:tcPr>
          <w:p w14:paraId="695041FA">
            <w:pPr>
              <w:pStyle w:val="28"/>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2685" w:type="pct"/>
            <w:shd w:val="clear" w:color="auto" w:fill="auto"/>
            <w:vAlign w:val="center"/>
          </w:tcPr>
          <w:p w14:paraId="46FFFF7E">
            <w:pPr>
              <w:pStyle w:val="28"/>
              <w:rPr>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14:textFill>
                  <w14:solidFill>
                    <w14:schemeClr w14:val="tx1"/>
                  </w14:solidFill>
                </w14:textFill>
              </w:rPr>
              <w:t>园区管网接入</w:t>
            </w:r>
            <w:r>
              <w:rPr>
                <w:color w:val="000000" w:themeColor="text1"/>
                <w14:textFill>
                  <w14:solidFill>
                    <w14:schemeClr w14:val="tx1"/>
                  </w14:solidFill>
                </w14:textFill>
              </w:rPr>
              <w:t>，项目区设置1间配电房，内置</w:t>
            </w:r>
            <w:r>
              <w:rPr>
                <w:rFonts w:hint="eastAsia"/>
                <w:color w:val="000000" w:themeColor="text1"/>
                <w14:textFill>
                  <w14:solidFill>
                    <w14:schemeClr w14:val="tx1"/>
                  </w14:solidFill>
                </w14:textFill>
              </w:rPr>
              <w:t>1250</w:t>
            </w:r>
            <w:r>
              <w:rPr>
                <w:color w:val="000000" w:themeColor="text1"/>
                <w14:textFill>
                  <w14:solidFill>
                    <w14:schemeClr w14:val="tx1"/>
                  </w14:solidFill>
                </w14:textFill>
              </w:rPr>
              <w:t>KVA变压器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r>
              <w:rPr>
                <w:rFonts w:hint="eastAsia"/>
                <w:color w:val="000000" w:themeColor="text1"/>
                <w14:textFill>
                  <w14:solidFill>
                    <w14:schemeClr w14:val="tx1"/>
                  </w14:solidFill>
                </w14:textFill>
              </w:rPr>
              <w:t>并设置2台360kw柴油发电机组作为应急备用电源</w:t>
            </w:r>
            <w:r>
              <w:rPr>
                <w:color w:val="000000" w:themeColor="text1"/>
                <w14:textFill>
                  <w14:solidFill>
                    <w14:schemeClr w14:val="tx1"/>
                  </w14:solidFill>
                </w14:textFill>
              </w:rPr>
              <w:t>。</w:t>
            </w:r>
          </w:p>
        </w:tc>
        <w:tc>
          <w:tcPr>
            <w:tcW w:w="495" w:type="pct"/>
            <w:vAlign w:val="center"/>
          </w:tcPr>
          <w:p w14:paraId="65F95F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2AC95D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r w14:paraId="2DC04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1B0C8E7E">
            <w:pPr>
              <w:pStyle w:val="28"/>
              <w:rPr>
                <w:color w:val="000000" w:themeColor="text1"/>
                <w14:textFill>
                  <w14:solidFill>
                    <w14:schemeClr w14:val="tx1"/>
                  </w14:solidFill>
                </w14:textFill>
              </w:rPr>
            </w:pPr>
          </w:p>
        </w:tc>
        <w:tc>
          <w:tcPr>
            <w:tcW w:w="276" w:type="pct"/>
            <w:vMerge w:val="continue"/>
            <w:vAlign w:val="center"/>
          </w:tcPr>
          <w:p w14:paraId="4BC34A32">
            <w:pPr>
              <w:pStyle w:val="28"/>
              <w:rPr>
                <w:color w:val="000000" w:themeColor="text1"/>
                <w14:textFill>
                  <w14:solidFill>
                    <w14:schemeClr w14:val="tx1"/>
                  </w14:solidFill>
                </w14:textFill>
              </w:rPr>
            </w:pPr>
          </w:p>
        </w:tc>
        <w:tc>
          <w:tcPr>
            <w:tcW w:w="344" w:type="pct"/>
            <w:shd w:val="clear" w:color="auto" w:fill="auto"/>
            <w:vAlign w:val="center"/>
          </w:tcPr>
          <w:p w14:paraId="1E023283">
            <w:pPr>
              <w:pStyle w:val="28"/>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2685" w:type="pct"/>
            <w:shd w:val="clear" w:color="auto" w:fill="auto"/>
            <w:vAlign w:val="center"/>
          </w:tcPr>
          <w:p w14:paraId="555896F7">
            <w:pPr>
              <w:pStyle w:val="28"/>
              <w:rPr>
                <w:color w:val="000000" w:themeColor="text1"/>
                <w14:textFill>
                  <w14:solidFill>
                    <w14:schemeClr w14:val="tx1"/>
                  </w14:solidFill>
                </w14:textFill>
              </w:rPr>
            </w:pPr>
            <w:r>
              <w:rPr>
                <w:color w:val="000000" w:themeColor="text1"/>
                <w14:textFill>
                  <w14:solidFill>
                    <w14:schemeClr w14:val="tx1"/>
                  </w14:solidFill>
                </w14:textFill>
              </w:rPr>
              <w:t>项目雨污分流。</w:t>
            </w:r>
          </w:p>
          <w:p w14:paraId="42A47798">
            <w:pPr>
              <w:pStyle w:val="28"/>
              <w:rPr>
                <w:color w:val="000000" w:themeColor="text1"/>
                <w14:textFill>
                  <w14:solidFill>
                    <w14:schemeClr w14:val="tx1"/>
                  </w14:solidFill>
                </w14:textFill>
              </w:rPr>
            </w:pPr>
            <w:r>
              <w:rPr>
                <w:color w:val="000000" w:themeColor="text1"/>
                <w14:textFill>
                  <w14:solidFill>
                    <w14:schemeClr w14:val="tx1"/>
                  </w14:solidFill>
                </w14:textFill>
              </w:rPr>
              <w:t>雨水经厂内雨水沟收集后排至园区雨水管网；</w:t>
            </w:r>
            <w:r>
              <w:rPr>
                <w:rFonts w:hint="eastAsia"/>
                <w:color w:val="000000" w:themeColor="text1"/>
                <w14:textFill>
                  <w14:solidFill>
                    <w14:schemeClr w14:val="tx1"/>
                  </w14:solidFill>
                </w14:textFill>
              </w:rPr>
              <w:t>由于项目仅使用有机溶剂擦洗设备，因此不存在设备清洗废水，废水主要为凹印机、胶印机滚筒冷却水、车间拖把清洁废水、生活污水，其中，设备冷却水经冷却塔冷却后循环使用，不外排，车间拖把清洁废水并入生活污水</w:t>
            </w:r>
            <w:r>
              <w:rPr>
                <w:color w:val="000000" w:themeColor="text1"/>
                <w14:textFill>
                  <w14:solidFill>
                    <w14:schemeClr w14:val="tx1"/>
                  </w14:solidFill>
                </w14:textFill>
              </w:rPr>
              <w:t>经化粪池（1个18m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）预处理后直接排至园区污水管网</w:t>
            </w:r>
            <w:r>
              <w:rPr>
                <w:rFonts w:hint="eastAsia"/>
                <w:color w:val="000000" w:themeColor="text1"/>
                <w14:textFill>
                  <w14:solidFill>
                    <w14:schemeClr w14:val="tx1"/>
                  </w14:solidFill>
                </w14:textFill>
              </w:rPr>
              <w:t>，最终进入玉溪市污水处理厂</w:t>
            </w:r>
            <w:r>
              <w:rPr>
                <w:color w:val="000000" w:themeColor="text1"/>
                <w14:textFill>
                  <w14:solidFill>
                    <w14:schemeClr w14:val="tx1"/>
                  </w14:solidFill>
                </w14:textFill>
              </w:rPr>
              <w:t>。</w:t>
            </w:r>
          </w:p>
        </w:tc>
        <w:tc>
          <w:tcPr>
            <w:tcW w:w="495" w:type="pct"/>
            <w:vAlign w:val="center"/>
          </w:tcPr>
          <w:p w14:paraId="3A8CD1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化粪池、雨污分流管网已建成，废水排放口暂未建成</w:t>
            </w:r>
          </w:p>
        </w:tc>
        <w:tc>
          <w:tcPr>
            <w:tcW w:w="918" w:type="pct"/>
            <w:vAlign w:val="center"/>
          </w:tcPr>
          <w:p w14:paraId="4747EF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化粪池、雨污分流管网依托，废水排放口依托</w:t>
            </w:r>
          </w:p>
        </w:tc>
      </w:tr>
      <w:tr w14:paraId="13394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439572E6">
            <w:pPr>
              <w:pStyle w:val="28"/>
              <w:rPr>
                <w:color w:val="000000" w:themeColor="text1"/>
                <w14:textFill>
                  <w14:solidFill>
                    <w14:schemeClr w14:val="tx1"/>
                  </w14:solidFill>
                </w14:textFill>
              </w:rPr>
            </w:pPr>
          </w:p>
        </w:tc>
        <w:tc>
          <w:tcPr>
            <w:tcW w:w="276" w:type="pct"/>
            <w:vMerge w:val="restart"/>
            <w:shd w:val="clear" w:color="auto" w:fill="auto"/>
            <w:vAlign w:val="center"/>
          </w:tcPr>
          <w:p w14:paraId="5765B22D">
            <w:pPr>
              <w:pStyle w:val="28"/>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344" w:type="pct"/>
            <w:vMerge w:val="restart"/>
            <w:shd w:val="clear" w:color="auto" w:fill="auto"/>
            <w:vAlign w:val="center"/>
          </w:tcPr>
          <w:p w14:paraId="73715344">
            <w:pPr>
              <w:pStyle w:val="28"/>
              <w:rPr>
                <w:color w:val="000000" w:themeColor="text1"/>
                <w14:textFill>
                  <w14:solidFill>
                    <w14:schemeClr w14:val="tx1"/>
                  </w14:solidFill>
                </w14:textFill>
              </w:rPr>
            </w:pPr>
            <w:r>
              <w:rPr>
                <w:color w:val="000000" w:themeColor="text1"/>
                <w14:textFill>
                  <w14:solidFill>
                    <w14:schemeClr w14:val="tx1"/>
                  </w14:solidFill>
                </w14:textFill>
              </w:rPr>
              <w:t>废气处理工程</w:t>
            </w:r>
          </w:p>
        </w:tc>
        <w:tc>
          <w:tcPr>
            <w:tcW w:w="2685" w:type="pct"/>
            <w:shd w:val="clear" w:color="auto" w:fill="auto"/>
            <w:vAlign w:val="center"/>
          </w:tcPr>
          <w:p w14:paraId="5D945F9F">
            <w:pPr>
              <w:pStyle w:val="28"/>
              <w:rPr>
                <w:color w:val="000000" w:themeColor="text1"/>
                <w14:textFill>
                  <w14:solidFill>
                    <w14:schemeClr w14:val="tx1"/>
                  </w14:solidFill>
                </w14:textFill>
              </w:rPr>
            </w:pPr>
            <w:r>
              <w:rPr>
                <w:color w:val="000000" w:themeColor="text1"/>
                <w14:textFill>
                  <w14:solidFill>
                    <w14:schemeClr w14:val="tx1"/>
                  </w14:solidFill>
                </w14:textFill>
              </w:rPr>
              <w:t>生产车间为一层封闭式结构</w:t>
            </w:r>
            <w:r>
              <w:rPr>
                <w:rFonts w:hint="eastAsia"/>
                <w:color w:val="000000" w:themeColor="text1"/>
                <w14:textFill>
                  <w14:solidFill>
                    <w14:schemeClr w14:val="tx1"/>
                  </w14:solidFill>
                </w14:textFill>
              </w:rPr>
              <w:t>，设置多个通风系统，采用组合式空调器。</w:t>
            </w:r>
          </w:p>
        </w:tc>
        <w:tc>
          <w:tcPr>
            <w:tcW w:w="495" w:type="pct"/>
            <w:vAlign w:val="center"/>
          </w:tcPr>
          <w:p w14:paraId="202543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暂无废气产生</w:t>
            </w:r>
          </w:p>
        </w:tc>
        <w:tc>
          <w:tcPr>
            <w:tcW w:w="918" w:type="pct"/>
            <w:vAlign w:val="center"/>
          </w:tcPr>
          <w:p w14:paraId="50A634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353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181DB285">
            <w:pPr>
              <w:pStyle w:val="28"/>
              <w:rPr>
                <w:color w:val="000000" w:themeColor="text1"/>
                <w14:textFill>
                  <w14:solidFill>
                    <w14:schemeClr w14:val="tx1"/>
                  </w14:solidFill>
                </w14:textFill>
              </w:rPr>
            </w:pPr>
          </w:p>
        </w:tc>
        <w:tc>
          <w:tcPr>
            <w:tcW w:w="276" w:type="pct"/>
            <w:vMerge w:val="continue"/>
            <w:vAlign w:val="center"/>
          </w:tcPr>
          <w:p w14:paraId="465650E3">
            <w:pPr>
              <w:pStyle w:val="28"/>
              <w:rPr>
                <w:color w:val="000000" w:themeColor="text1"/>
                <w14:textFill>
                  <w14:solidFill>
                    <w14:schemeClr w14:val="tx1"/>
                  </w14:solidFill>
                </w14:textFill>
              </w:rPr>
            </w:pPr>
          </w:p>
        </w:tc>
        <w:tc>
          <w:tcPr>
            <w:tcW w:w="344" w:type="pct"/>
            <w:vMerge w:val="continue"/>
            <w:vAlign w:val="center"/>
          </w:tcPr>
          <w:p w14:paraId="7869F39F">
            <w:pPr>
              <w:pStyle w:val="28"/>
              <w:rPr>
                <w:color w:val="000000" w:themeColor="text1"/>
                <w14:textFill>
                  <w14:solidFill>
                    <w14:schemeClr w14:val="tx1"/>
                  </w14:solidFill>
                </w14:textFill>
              </w:rPr>
            </w:pPr>
          </w:p>
        </w:tc>
        <w:tc>
          <w:tcPr>
            <w:tcW w:w="2685" w:type="pct"/>
            <w:shd w:val="clear" w:color="auto" w:fill="auto"/>
            <w:vAlign w:val="center"/>
          </w:tcPr>
          <w:p w14:paraId="13B40E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气主要为凹印机、胶印机、丝印机以及配料间、溶剂回收机产生的有机废气。项目凹印机（2台）、胶印机（2台）、丝印机（1台）、配料间均设置有集气装置，项目在换色、换墨、擦洗印刷机油墨槽时会产生废溶剂和废油墨，通过1套溶剂回收机回收后用于擦洗设备，集气罩收集后的有机废气与溶剂回收机尾气均经1套“活性炭吸附/浓缩＋催化燃烧”处理后由1根15m高排气筒（DA001）排放。</w:t>
            </w:r>
          </w:p>
        </w:tc>
        <w:tc>
          <w:tcPr>
            <w:tcW w:w="495" w:type="pct"/>
            <w:vAlign w:val="center"/>
          </w:tcPr>
          <w:p w14:paraId="7DA99C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暂无废气产生</w:t>
            </w:r>
          </w:p>
        </w:tc>
        <w:tc>
          <w:tcPr>
            <w:tcW w:w="918" w:type="pct"/>
            <w:vAlign w:val="center"/>
          </w:tcPr>
          <w:p w14:paraId="6EE2F1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6114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280" w:type="pct"/>
            <w:vMerge w:val="continue"/>
            <w:vAlign w:val="center"/>
          </w:tcPr>
          <w:p w14:paraId="011BB9DB">
            <w:pPr>
              <w:pStyle w:val="28"/>
              <w:rPr>
                <w:color w:val="000000" w:themeColor="text1"/>
                <w14:textFill>
                  <w14:solidFill>
                    <w14:schemeClr w14:val="tx1"/>
                  </w14:solidFill>
                </w14:textFill>
              </w:rPr>
            </w:pPr>
          </w:p>
        </w:tc>
        <w:tc>
          <w:tcPr>
            <w:tcW w:w="276" w:type="pct"/>
            <w:vMerge w:val="continue"/>
            <w:vAlign w:val="center"/>
          </w:tcPr>
          <w:p w14:paraId="1FB5B012">
            <w:pPr>
              <w:pStyle w:val="28"/>
              <w:rPr>
                <w:color w:val="000000" w:themeColor="text1"/>
                <w14:textFill>
                  <w14:solidFill>
                    <w14:schemeClr w14:val="tx1"/>
                  </w14:solidFill>
                </w14:textFill>
              </w:rPr>
            </w:pPr>
          </w:p>
        </w:tc>
        <w:tc>
          <w:tcPr>
            <w:tcW w:w="344" w:type="pct"/>
            <w:shd w:val="clear" w:color="auto" w:fill="auto"/>
            <w:vAlign w:val="center"/>
          </w:tcPr>
          <w:p w14:paraId="18306E25">
            <w:pPr>
              <w:pStyle w:val="28"/>
              <w:rPr>
                <w:color w:val="000000" w:themeColor="text1"/>
                <w14:textFill>
                  <w14:solidFill>
                    <w14:schemeClr w14:val="tx1"/>
                  </w14:solidFill>
                </w14:textFill>
              </w:rPr>
            </w:pPr>
            <w:r>
              <w:rPr>
                <w:color w:val="000000" w:themeColor="text1"/>
                <w14:textFill>
                  <w14:solidFill>
                    <w14:schemeClr w14:val="tx1"/>
                  </w14:solidFill>
                </w14:textFill>
              </w:rPr>
              <w:t>废水处理工程</w:t>
            </w:r>
          </w:p>
        </w:tc>
        <w:tc>
          <w:tcPr>
            <w:tcW w:w="2685" w:type="pct"/>
            <w:shd w:val="clear" w:color="auto" w:fill="auto"/>
            <w:vAlign w:val="center"/>
          </w:tcPr>
          <w:p w14:paraId="14FE4AFD">
            <w:pPr>
              <w:pStyle w:val="28"/>
              <w:rPr>
                <w:color w:val="000000" w:themeColor="text1"/>
                <w14:textFill>
                  <w14:solidFill>
                    <w14:schemeClr w14:val="tx1"/>
                  </w14:solidFill>
                </w14:textFill>
              </w:rPr>
            </w:pPr>
            <w:r>
              <w:rPr>
                <w:color w:val="000000" w:themeColor="text1"/>
                <w14:textFill>
                  <w14:solidFill>
                    <w14:schemeClr w14:val="tx1"/>
                  </w14:solidFill>
                </w14:textFill>
              </w:rPr>
              <w:t>项目雨污分流。</w:t>
            </w:r>
          </w:p>
          <w:p w14:paraId="7A8F76F4">
            <w:pPr>
              <w:pStyle w:val="28"/>
              <w:rPr>
                <w:color w:val="000000" w:themeColor="text1"/>
                <w14:textFill>
                  <w14:solidFill>
                    <w14:schemeClr w14:val="tx1"/>
                  </w14:solidFill>
                </w14:textFill>
              </w:rPr>
            </w:pPr>
            <w:r>
              <w:rPr>
                <w:color w:val="000000" w:themeColor="text1"/>
                <w14:textFill>
                  <w14:solidFill>
                    <w14:schemeClr w14:val="tx1"/>
                  </w14:solidFill>
                </w14:textFill>
              </w:rPr>
              <w:t>雨水经厂内雨水沟收集后排至园区雨水管网；</w:t>
            </w:r>
            <w:r>
              <w:rPr>
                <w:rFonts w:hint="eastAsia"/>
                <w:color w:val="000000" w:themeColor="text1"/>
                <w14:textFill>
                  <w14:solidFill>
                    <w14:schemeClr w14:val="tx1"/>
                  </w14:solidFill>
                </w14:textFill>
              </w:rPr>
              <w:t>由于项目仅使用有机溶剂擦洗设备，因此不存在设备清洗废水，废水主要为凹印机、胶印机滚筒冷却水、车间拖把清洁废水、生活污水，其中，设备冷却水循环使用，不外排，车间拖把清洁废水并入生活污水</w:t>
            </w:r>
            <w:r>
              <w:rPr>
                <w:color w:val="000000" w:themeColor="text1"/>
                <w14:textFill>
                  <w14:solidFill>
                    <w14:schemeClr w14:val="tx1"/>
                  </w14:solidFill>
                </w14:textFill>
              </w:rPr>
              <w:t>经化粪池（1个18m3）预处理后直接排至园区污水管网</w:t>
            </w:r>
            <w:r>
              <w:rPr>
                <w:rFonts w:hint="eastAsia"/>
                <w:color w:val="000000" w:themeColor="text1"/>
                <w14:textFill>
                  <w14:solidFill>
                    <w14:schemeClr w14:val="tx1"/>
                  </w14:solidFill>
                </w14:textFill>
              </w:rPr>
              <w:t>，最终进入玉溪市污水处理厂</w:t>
            </w:r>
            <w:r>
              <w:rPr>
                <w:color w:val="000000" w:themeColor="text1"/>
                <w14:textFill>
                  <w14:solidFill>
                    <w14:schemeClr w14:val="tx1"/>
                  </w14:solidFill>
                </w14:textFill>
              </w:rPr>
              <w:t>。</w:t>
            </w:r>
          </w:p>
        </w:tc>
        <w:tc>
          <w:tcPr>
            <w:tcW w:w="495" w:type="pct"/>
            <w:vAlign w:val="center"/>
          </w:tcPr>
          <w:p w14:paraId="6CD369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暂无废水产生，化粪池、雨污分流管网已建成</w:t>
            </w:r>
          </w:p>
        </w:tc>
        <w:tc>
          <w:tcPr>
            <w:tcW w:w="918" w:type="pct"/>
            <w:vAlign w:val="center"/>
          </w:tcPr>
          <w:p w14:paraId="05771F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化粪池、雨污分流管网依托</w:t>
            </w:r>
          </w:p>
        </w:tc>
      </w:tr>
      <w:tr w14:paraId="5C5F0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0" w:type="pct"/>
            <w:vMerge w:val="continue"/>
            <w:vAlign w:val="center"/>
          </w:tcPr>
          <w:p w14:paraId="1F139354">
            <w:pPr>
              <w:pStyle w:val="28"/>
              <w:rPr>
                <w:color w:val="000000" w:themeColor="text1"/>
                <w14:textFill>
                  <w14:solidFill>
                    <w14:schemeClr w14:val="tx1"/>
                  </w14:solidFill>
                </w14:textFill>
              </w:rPr>
            </w:pPr>
          </w:p>
        </w:tc>
        <w:tc>
          <w:tcPr>
            <w:tcW w:w="276" w:type="pct"/>
            <w:vMerge w:val="continue"/>
            <w:vAlign w:val="center"/>
          </w:tcPr>
          <w:p w14:paraId="4D07C2AD">
            <w:pPr>
              <w:pStyle w:val="28"/>
              <w:rPr>
                <w:color w:val="000000" w:themeColor="text1"/>
                <w14:textFill>
                  <w14:solidFill>
                    <w14:schemeClr w14:val="tx1"/>
                  </w14:solidFill>
                </w14:textFill>
              </w:rPr>
            </w:pPr>
          </w:p>
        </w:tc>
        <w:tc>
          <w:tcPr>
            <w:tcW w:w="344" w:type="pct"/>
            <w:shd w:val="clear" w:color="auto" w:fill="auto"/>
            <w:vAlign w:val="center"/>
          </w:tcPr>
          <w:p w14:paraId="3DC4336D">
            <w:pPr>
              <w:pStyle w:val="28"/>
              <w:rPr>
                <w:color w:val="000000" w:themeColor="text1"/>
                <w14:textFill>
                  <w14:solidFill>
                    <w14:schemeClr w14:val="tx1"/>
                  </w14:solidFill>
                </w14:textFill>
              </w:rPr>
            </w:pPr>
            <w:r>
              <w:rPr>
                <w:color w:val="000000" w:themeColor="text1"/>
                <w14:textFill>
                  <w14:solidFill>
                    <w14:schemeClr w14:val="tx1"/>
                  </w14:solidFill>
                </w14:textFill>
              </w:rPr>
              <w:t>噪声治理工程</w:t>
            </w:r>
          </w:p>
        </w:tc>
        <w:tc>
          <w:tcPr>
            <w:tcW w:w="2685" w:type="pct"/>
            <w:shd w:val="clear" w:color="auto" w:fill="auto"/>
            <w:vAlign w:val="center"/>
          </w:tcPr>
          <w:p w14:paraId="2AF5A880">
            <w:pPr>
              <w:pStyle w:val="28"/>
              <w:rPr>
                <w:color w:val="000000" w:themeColor="text1"/>
                <w14:textFill>
                  <w14:solidFill>
                    <w14:schemeClr w14:val="tx1"/>
                  </w14:solidFill>
                </w14:textFill>
              </w:rPr>
            </w:pPr>
            <w:r>
              <w:rPr>
                <w:color w:val="000000" w:themeColor="text1"/>
                <w14:textFill>
                  <w14:solidFill>
                    <w14:schemeClr w14:val="tx1"/>
                  </w14:solidFill>
                </w14:textFill>
              </w:rPr>
              <w:t>采用厂房隔声、减震以及风机安装消声器等措施。</w:t>
            </w:r>
          </w:p>
        </w:tc>
        <w:tc>
          <w:tcPr>
            <w:tcW w:w="495" w:type="pct"/>
            <w:shd w:val="clear" w:color="auto" w:fill="auto"/>
            <w:vAlign w:val="center"/>
          </w:tcPr>
          <w:p w14:paraId="2D4E10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暂未建成</w:t>
            </w:r>
          </w:p>
        </w:tc>
        <w:tc>
          <w:tcPr>
            <w:tcW w:w="918" w:type="pct"/>
            <w:vAlign w:val="center"/>
          </w:tcPr>
          <w:p w14:paraId="26D88B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94FC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80" w:type="pct"/>
            <w:vMerge w:val="continue"/>
            <w:vAlign w:val="center"/>
          </w:tcPr>
          <w:p w14:paraId="4478D581">
            <w:pPr>
              <w:pStyle w:val="28"/>
              <w:rPr>
                <w:color w:val="000000" w:themeColor="text1"/>
                <w14:textFill>
                  <w14:solidFill>
                    <w14:schemeClr w14:val="tx1"/>
                  </w14:solidFill>
                </w14:textFill>
              </w:rPr>
            </w:pPr>
          </w:p>
        </w:tc>
        <w:tc>
          <w:tcPr>
            <w:tcW w:w="276" w:type="pct"/>
            <w:vMerge w:val="continue"/>
            <w:vAlign w:val="center"/>
          </w:tcPr>
          <w:p w14:paraId="6AA37E18">
            <w:pPr>
              <w:pStyle w:val="28"/>
              <w:rPr>
                <w:color w:val="000000" w:themeColor="text1"/>
                <w14:textFill>
                  <w14:solidFill>
                    <w14:schemeClr w14:val="tx1"/>
                  </w14:solidFill>
                </w14:textFill>
              </w:rPr>
            </w:pPr>
          </w:p>
        </w:tc>
        <w:tc>
          <w:tcPr>
            <w:tcW w:w="344" w:type="pct"/>
            <w:shd w:val="clear" w:color="auto" w:fill="auto"/>
            <w:vAlign w:val="center"/>
          </w:tcPr>
          <w:p w14:paraId="1D293C75">
            <w:pPr>
              <w:pStyle w:val="28"/>
              <w:rPr>
                <w:color w:val="000000" w:themeColor="text1"/>
                <w14:textFill>
                  <w14:solidFill>
                    <w14:schemeClr w14:val="tx1"/>
                  </w14:solidFill>
                </w14:textFill>
              </w:rPr>
            </w:pPr>
            <w:r>
              <w:rPr>
                <w:color w:val="000000" w:themeColor="text1"/>
                <w14:textFill>
                  <w14:solidFill>
                    <w14:schemeClr w14:val="tx1"/>
                  </w14:solidFill>
                </w14:textFill>
              </w:rPr>
              <w:t>固废处置工程</w:t>
            </w:r>
          </w:p>
        </w:tc>
        <w:tc>
          <w:tcPr>
            <w:tcW w:w="2685" w:type="pct"/>
            <w:shd w:val="clear" w:color="auto" w:fill="auto"/>
            <w:vAlign w:val="center"/>
          </w:tcPr>
          <w:p w14:paraId="520110E5">
            <w:pPr>
              <w:pStyle w:val="28"/>
              <w:rPr>
                <w:color w:val="000000" w:themeColor="text1"/>
                <w14:textFill>
                  <w14:solidFill>
                    <w14:schemeClr w14:val="tx1"/>
                  </w14:solidFill>
                </w14:textFill>
              </w:rPr>
            </w:pPr>
            <w:r>
              <w:rPr>
                <w:color w:val="000000" w:themeColor="text1"/>
                <w14:textFill>
                  <w14:solidFill>
                    <w14:schemeClr w14:val="tx1"/>
                  </w14:solidFill>
                </w14:textFill>
              </w:rPr>
              <w:t>本项目固体废物主要为边角废料、不合格产品、废溶剂和废油墨及其回收后剩余残渣、废包装容器、废抹布、手套、废印版、废活性炭、</w:t>
            </w:r>
            <w:r>
              <w:rPr>
                <w:rFonts w:hint="eastAsia"/>
                <w:color w:val="000000" w:themeColor="text1"/>
                <w14:textFill>
                  <w14:solidFill>
                    <w14:schemeClr w14:val="tx1"/>
                  </w14:solidFill>
                </w14:textFill>
              </w:rPr>
              <w:t>废催化剂、</w:t>
            </w:r>
            <w:r>
              <w:rPr>
                <w:color w:val="000000" w:themeColor="text1"/>
                <w14:textFill>
                  <w14:solidFill>
                    <w14:schemeClr w14:val="tx1"/>
                  </w14:solidFill>
                </w14:textFill>
              </w:rPr>
              <w:t>生活垃圾、化粪池污泥。</w:t>
            </w:r>
          </w:p>
          <w:p w14:paraId="0DF20A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中，边角废料、不合格产品集中收集后暂存于一般固废暂存间，统一外售于造纸厂；废油墨、废溶剂使用溶剂回收机进行回收，回收后的溶剂回用于擦洗设备，剩余的废渣装在废油墨桶内和废棉布一起委托有资质单位清运处置；废包装容器、废印版、废活性炭、废催化剂、废机油及油桶集中收集后暂存于危废暂存间，委托有资质单位清运处置；生活垃圾集中收集后由环卫部门清运处置；</w:t>
            </w:r>
            <w:r>
              <w:rPr>
                <w:color w:val="000000" w:themeColor="text1"/>
                <w14:textFill>
                  <w14:solidFill>
                    <w14:schemeClr w14:val="tx1"/>
                  </w14:solidFill>
                </w14:textFill>
              </w:rPr>
              <w:t>化粪池污泥</w:t>
            </w:r>
            <w:r>
              <w:rPr>
                <w:rFonts w:hint="eastAsia"/>
                <w:color w:val="000000" w:themeColor="text1"/>
                <w14:textFill>
                  <w14:solidFill>
                    <w14:schemeClr w14:val="tx1"/>
                  </w14:solidFill>
                </w14:textFill>
              </w:rPr>
              <w:t>定期委托当地环卫部门清运处置。</w:t>
            </w:r>
          </w:p>
          <w:p w14:paraId="198858F1">
            <w:pPr>
              <w:pStyle w:val="28"/>
              <w:rPr>
                <w:color w:val="000000" w:themeColor="text1"/>
                <w14:textFill>
                  <w14:solidFill>
                    <w14:schemeClr w14:val="tx1"/>
                  </w14:solidFill>
                </w14:textFill>
              </w:rPr>
            </w:pPr>
            <w:r>
              <w:rPr>
                <w:color w:val="000000" w:themeColor="text1"/>
                <w14:textFill>
                  <w14:solidFill>
                    <w14:schemeClr w14:val="tx1"/>
                  </w14:solidFill>
                </w14:textFill>
              </w:rPr>
              <w:t>固废处置率为100%。</w:t>
            </w:r>
          </w:p>
        </w:tc>
        <w:tc>
          <w:tcPr>
            <w:tcW w:w="495" w:type="pct"/>
            <w:shd w:val="clear" w:color="auto" w:fill="auto"/>
            <w:vAlign w:val="center"/>
          </w:tcPr>
          <w:p w14:paraId="1EC8C3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暂未产生</w:t>
            </w:r>
          </w:p>
        </w:tc>
        <w:tc>
          <w:tcPr>
            <w:tcW w:w="918" w:type="pct"/>
            <w:vAlign w:val="center"/>
          </w:tcPr>
          <w:p w14:paraId="1705EC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5D8C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0" w:type="pct"/>
            <w:vMerge w:val="continue"/>
            <w:vAlign w:val="center"/>
          </w:tcPr>
          <w:p w14:paraId="64751223">
            <w:pPr>
              <w:pStyle w:val="28"/>
              <w:rPr>
                <w:color w:val="000000" w:themeColor="text1"/>
                <w14:textFill>
                  <w14:solidFill>
                    <w14:schemeClr w14:val="tx1"/>
                  </w14:solidFill>
                </w14:textFill>
              </w:rPr>
            </w:pPr>
          </w:p>
        </w:tc>
        <w:tc>
          <w:tcPr>
            <w:tcW w:w="276" w:type="pct"/>
            <w:vMerge w:val="continue"/>
            <w:vAlign w:val="center"/>
          </w:tcPr>
          <w:p w14:paraId="7A45ABD7">
            <w:pPr>
              <w:pStyle w:val="28"/>
              <w:rPr>
                <w:color w:val="000000" w:themeColor="text1"/>
                <w14:textFill>
                  <w14:solidFill>
                    <w14:schemeClr w14:val="tx1"/>
                  </w14:solidFill>
                </w14:textFill>
              </w:rPr>
            </w:pPr>
          </w:p>
        </w:tc>
        <w:tc>
          <w:tcPr>
            <w:tcW w:w="344" w:type="pct"/>
            <w:shd w:val="clear" w:color="auto" w:fill="auto"/>
            <w:vAlign w:val="center"/>
          </w:tcPr>
          <w:p w14:paraId="5DDE63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绿化工程</w:t>
            </w:r>
          </w:p>
        </w:tc>
        <w:tc>
          <w:tcPr>
            <w:tcW w:w="2685" w:type="pct"/>
            <w:shd w:val="clear" w:color="auto" w:fill="auto"/>
            <w:vAlign w:val="center"/>
          </w:tcPr>
          <w:p w14:paraId="37914E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全厂绿化面积约为2865.57m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495" w:type="pct"/>
            <w:vAlign w:val="center"/>
          </w:tcPr>
          <w:p w14:paraId="5C8EF1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已建成</w:t>
            </w:r>
          </w:p>
        </w:tc>
        <w:tc>
          <w:tcPr>
            <w:tcW w:w="918" w:type="pct"/>
            <w:vAlign w:val="center"/>
          </w:tcPr>
          <w:p w14:paraId="72CA4C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w:t>
            </w:r>
          </w:p>
        </w:tc>
      </w:tr>
    </w:tbl>
    <w:p w14:paraId="46EEDAAA">
      <w:pPr>
        <w:ind w:firstLine="482"/>
        <w:rPr>
          <w:b/>
          <w:bCs/>
          <w:color w:val="000000" w:themeColor="text1"/>
          <w14:textFill>
            <w14:solidFill>
              <w14:schemeClr w14:val="tx1"/>
            </w14:solidFill>
          </w14:textFill>
        </w:rPr>
        <w:sectPr>
          <w:pgSz w:w="16838" w:h="11906" w:orient="landscape"/>
          <w:pgMar w:top="1440" w:right="1440" w:bottom="1440" w:left="1803" w:header="907" w:footer="992" w:gutter="0"/>
          <w:cols w:space="425" w:num="1"/>
          <w:docGrid w:type="lines" w:linePitch="312" w:charSpace="0"/>
        </w:sectPr>
      </w:pPr>
    </w:p>
    <w:p w14:paraId="50349D55">
      <w:pPr>
        <w:pStyle w:val="4"/>
        <w:rPr>
          <w:color w:val="000000" w:themeColor="text1"/>
          <w14:textFill>
            <w14:solidFill>
              <w14:schemeClr w14:val="tx1"/>
            </w14:solidFill>
          </w14:textFill>
        </w:rPr>
      </w:pPr>
      <w:bookmarkStart w:id="44" w:name="_Toc10900"/>
      <w:r>
        <w:rPr>
          <w:rFonts w:hint="eastAsia"/>
          <w:color w:val="000000" w:themeColor="text1"/>
          <w14:textFill>
            <w14:solidFill>
              <w14:schemeClr w14:val="tx1"/>
            </w14:solidFill>
          </w14:textFill>
        </w:rPr>
        <w:t>2.2.3环保责任划分情况</w:t>
      </w:r>
      <w:bookmarkEnd w:id="44"/>
    </w:p>
    <w:p w14:paraId="0D849F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w:t>
      </w: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已建成的生产厂房，项目供水、供电、排水设施、化粪池、事故应急池均依托</w:t>
      </w: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建设的。</w:t>
      </w:r>
    </w:p>
    <w:p w14:paraId="33D9288D">
      <w:pPr>
        <w:ind w:firstLine="480"/>
        <w:rPr>
          <w:color w:val="000000" w:themeColor="text1"/>
          <w14:textFill>
            <w14:solidFill>
              <w14:schemeClr w14:val="tx1"/>
            </w14:solidFill>
          </w14:textFill>
        </w:rPr>
      </w:pP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作为出租方，需要制定全厂环保管理制度，以厂区为整体制定综合性环保应急预案，每年至少组织一次两方参与的应急演练，事故发生时协调各方开展联防互救，并及时上报相关部门。</w:t>
      </w:r>
    </w:p>
    <w:p w14:paraId="2CF57D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作为承租方，作为自身生产经营活动的环保责任主体，需按规定办理环评、环保验收、排污许可等相关手续，确保手续齐全合法。针对自身产生的废气、废水、噪声、固废等，配备对应的处理设施，定期开展自行监测，确保污染物达标排放，固废合理处置。</w:t>
      </w:r>
    </w:p>
    <w:p w14:paraId="60D198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本项目化粪池、事故应急池由</w:t>
      </w: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建设，日常管理由</w:t>
      </w: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负责。</w:t>
      </w:r>
    </w:p>
    <w:p w14:paraId="587EEF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活污水依托云南捷辰包装材料有限公司已建成的化粪池处理后通过“印刷业务改扩建项目”已批复的排放口（DW001）进行排放。本项目生产废水排放口设置于废水处理车间外，生产废水通过车间排放口（DW002）排入云南捷辰包装材料有限公司已建成的污水管网，通过已批复的排放口（DW001）接入九纬路市政污水管网，最终进入玉溪市污水处理厂。</w:t>
      </w:r>
    </w:p>
    <w:p w14:paraId="63D700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单位需协助云南捷辰包装材料有限公司办理排污许可相关手续，由云南捷辰包装材料有限公司统一持有排污许可证，化粪池、废水排放口依托云南捷辰包装材料有限公司，本项目无需重复申领，但需在许可证中注明本项目的排放份额。</w:t>
      </w:r>
    </w:p>
    <w:p w14:paraId="4A4CDB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整体遵循“谁生产、谁负责，谁管理、谁统筹”原则，承租方承担自身生产经营的环保主体责任，出租方承担厂区整体统筹管理责任，企业环保责任划分情况见下表：</w:t>
      </w:r>
    </w:p>
    <w:p w14:paraId="44FB3F3A">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5E9DA81D">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表2.2-2 企业环保责任划分情况一览表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570"/>
        <w:gridCol w:w="839"/>
        <w:gridCol w:w="4363"/>
        <w:gridCol w:w="4444"/>
        <w:gridCol w:w="3619"/>
      </w:tblGrid>
      <w:tr w14:paraId="2135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09" w:type="pct"/>
            <w:gridSpan w:val="2"/>
            <w:tcMar>
              <w:top w:w="60" w:type="dxa"/>
              <w:left w:w="120" w:type="dxa"/>
              <w:bottom w:w="30" w:type="dxa"/>
              <w:right w:w="120" w:type="dxa"/>
            </w:tcMar>
            <w:vAlign w:val="center"/>
          </w:tcPr>
          <w:p w14:paraId="614748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576" w:type="pct"/>
            <w:tcMar>
              <w:top w:w="60" w:type="dxa"/>
              <w:left w:w="120" w:type="dxa"/>
              <w:bottom w:w="30" w:type="dxa"/>
              <w:right w:w="120" w:type="dxa"/>
            </w:tcMar>
            <w:vAlign w:val="center"/>
          </w:tcPr>
          <w:p w14:paraId="06BF392F">
            <w:pPr>
              <w:pStyle w:val="28"/>
              <w:rPr>
                <w:color w:val="000000" w:themeColor="text1"/>
                <w14:textFill>
                  <w14:solidFill>
                    <w14:schemeClr w14:val="tx1"/>
                  </w14:solidFill>
                </w14:textFill>
              </w:rPr>
            </w:pPr>
            <w:r>
              <w:rPr>
                <w:color w:val="000000" w:themeColor="text1"/>
                <w14:textFill>
                  <w14:solidFill>
                    <w14:schemeClr w14:val="tx1"/>
                  </w14:solidFill>
                </w14:textFill>
              </w:rPr>
              <w:t>云南捷辰包装材料有限公司</w:t>
            </w:r>
            <w:r>
              <w:rPr>
                <w:rFonts w:hint="eastAsia"/>
                <w:color w:val="000000" w:themeColor="text1"/>
                <w14:textFill>
                  <w14:solidFill>
                    <w14:schemeClr w14:val="tx1"/>
                  </w14:solidFill>
                </w14:textFill>
              </w:rPr>
              <w:t>（出租方）</w:t>
            </w:r>
          </w:p>
        </w:tc>
        <w:tc>
          <w:tcPr>
            <w:tcW w:w="1605" w:type="pct"/>
            <w:tcMar>
              <w:top w:w="60" w:type="dxa"/>
              <w:left w:w="120" w:type="dxa"/>
              <w:bottom w:w="30" w:type="dxa"/>
              <w:right w:w="120" w:type="dxa"/>
            </w:tcMar>
            <w:vAlign w:val="center"/>
          </w:tcPr>
          <w:p w14:paraId="710179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本项目（承租方）</w:t>
            </w:r>
          </w:p>
        </w:tc>
        <w:tc>
          <w:tcPr>
            <w:tcW w:w="1307" w:type="pct"/>
            <w:tcMar>
              <w:top w:w="60" w:type="dxa"/>
              <w:left w:w="120" w:type="dxa"/>
              <w:bottom w:w="30" w:type="dxa"/>
              <w:right w:w="120" w:type="dxa"/>
            </w:tcMar>
            <w:vAlign w:val="center"/>
          </w:tcPr>
          <w:p w14:paraId="609DCFAD">
            <w:pPr>
              <w:pStyle w:val="28"/>
              <w:rPr>
                <w:color w:val="000000" w:themeColor="text1"/>
                <w14:textFill>
                  <w14:solidFill>
                    <w14:schemeClr w14:val="tx1"/>
                  </w14:solidFill>
                </w14:textFill>
              </w:rPr>
            </w:pPr>
            <w:r>
              <w:rPr>
                <w:color w:val="000000" w:themeColor="text1"/>
                <w14:textFill>
                  <w14:solidFill>
                    <w14:schemeClr w14:val="tx1"/>
                  </w14:solidFill>
                </w14:textFill>
              </w:rPr>
              <w:t>责任划分特殊说明</w:t>
            </w:r>
          </w:p>
        </w:tc>
      </w:tr>
      <w:tr w14:paraId="332C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restart"/>
            <w:tcMar>
              <w:top w:w="60" w:type="dxa"/>
              <w:left w:w="120" w:type="dxa"/>
              <w:bottom w:w="30" w:type="dxa"/>
              <w:right w:w="120" w:type="dxa"/>
            </w:tcMar>
            <w:vAlign w:val="center"/>
          </w:tcPr>
          <w:p w14:paraId="0B4145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共用设施</w:t>
            </w:r>
          </w:p>
        </w:tc>
        <w:tc>
          <w:tcPr>
            <w:tcW w:w="303" w:type="pct"/>
            <w:tcMar>
              <w:top w:w="60" w:type="dxa"/>
              <w:left w:w="120" w:type="dxa"/>
              <w:bottom w:w="30" w:type="dxa"/>
              <w:right w:w="120" w:type="dxa"/>
            </w:tcMar>
            <w:vAlign w:val="center"/>
          </w:tcPr>
          <w:p w14:paraId="620A3FDA">
            <w:pPr>
              <w:pStyle w:val="28"/>
              <w:rPr>
                <w:color w:val="000000" w:themeColor="text1"/>
                <w14:textFill>
                  <w14:solidFill>
                    <w14:schemeClr w14:val="tx1"/>
                  </w14:solidFill>
                </w14:textFill>
              </w:rPr>
            </w:pPr>
            <w:r>
              <w:rPr>
                <w:color w:val="000000" w:themeColor="text1"/>
                <w14:textFill>
                  <w14:solidFill>
                    <w14:schemeClr w14:val="tx1"/>
                  </w14:solidFill>
                </w14:textFill>
              </w:rPr>
              <w:t>化粪池</w:t>
            </w:r>
          </w:p>
        </w:tc>
        <w:tc>
          <w:tcPr>
            <w:tcW w:w="1576" w:type="pct"/>
            <w:tcMar>
              <w:top w:w="60" w:type="dxa"/>
              <w:left w:w="120" w:type="dxa"/>
              <w:bottom w:w="30" w:type="dxa"/>
              <w:right w:w="120" w:type="dxa"/>
            </w:tcMar>
            <w:vAlign w:val="center"/>
          </w:tcPr>
          <w:p w14:paraId="3E40705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保障设施建设符合环保及工程标准；</w:t>
            </w:r>
          </w:p>
          <w:p w14:paraId="49230496">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明确清掏周期并督促落实，定期检查设施是否渗漏、堵塞；</w:t>
            </w:r>
          </w:p>
          <w:p w14:paraId="5F73CAC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协调双方确定清掏费用分摊比例；</w:t>
            </w:r>
          </w:p>
          <w:p w14:paraId="7838124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因设施老化或维护不及时引发污染，承担管理责任。</w:t>
            </w:r>
          </w:p>
        </w:tc>
        <w:tc>
          <w:tcPr>
            <w:tcW w:w="1605" w:type="pct"/>
            <w:tcMar>
              <w:top w:w="60" w:type="dxa"/>
              <w:left w:w="120" w:type="dxa"/>
              <w:bottom w:w="30" w:type="dxa"/>
              <w:right w:w="120" w:type="dxa"/>
            </w:tcMar>
            <w:vAlign w:val="center"/>
          </w:tcPr>
          <w:p w14:paraId="1A223F02">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确保排入污水符合接入要求，严禁倾倒强酸强碱、易燃易爆等破坏性物质；</w:t>
            </w:r>
          </w:p>
          <w:p w14:paraId="2ED7E41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因违规排放导致设施故障或污染，承担主要治理及赔偿责任。</w:t>
            </w:r>
          </w:p>
        </w:tc>
        <w:tc>
          <w:tcPr>
            <w:tcW w:w="1307" w:type="pct"/>
            <w:tcMar>
              <w:top w:w="60" w:type="dxa"/>
              <w:left w:w="120" w:type="dxa"/>
              <w:bottom w:w="30" w:type="dxa"/>
              <w:right w:w="120" w:type="dxa"/>
            </w:tcMar>
            <w:vAlign w:val="center"/>
          </w:tcPr>
          <w:p w14:paraId="3BBD0CBB">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单方违规排放引发问题，违规方担责；</w:t>
            </w:r>
          </w:p>
          <w:p w14:paraId="2B56920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无法区分责任时，双方承担连带责任。</w:t>
            </w:r>
          </w:p>
        </w:tc>
      </w:tr>
      <w:tr w14:paraId="3923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tcMar>
              <w:top w:w="60" w:type="dxa"/>
              <w:left w:w="120" w:type="dxa"/>
              <w:bottom w:w="30" w:type="dxa"/>
              <w:right w:w="120" w:type="dxa"/>
            </w:tcMar>
            <w:vAlign w:val="center"/>
          </w:tcPr>
          <w:p w14:paraId="45550E0D">
            <w:pPr>
              <w:pStyle w:val="28"/>
              <w:rPr>
                <w:color w:val="000000" w:themeColor="text1"/>
                <w14:textFill>
                  <w14:solidFill>
                    <w14:schemeClr w14:val="tx1"/>
                  </w14:solidFill>
                </w14:textFill>
              </w:rPr>
            </w:pPr>
          </w:p>
        </w:tc>
        <w:tc>
          <w:tcPr>
            <w:tcW w:w="303" w:type="pct"/>
            <w:tcMar>
              <w:top w:w="60" w:type="dxa"/>
              <w:left w:w="120" w:type="dxa"/>
              <w:bottom w:w="30" w:type="dxa"/>
              <w:right w:w="120" w:type="dxa"/>
            </w:tcMar>
            <w:vAlign w:val="center"/>
          </w:tcPr>
          <w:p w14:paraId="6B08D0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排放口</w:t>
            </w:r>
          </w:p>
        </w:tc>
        <w:tc>
          <w:tcPr>
            <w:tcW w:w="1576" w:type="pct"/>
            <w:tcMar>
              <w:top w:w="60" w:type="dxa"/>
              <w:left w:w="120" w:type="dxa"/>
              <w:bottom w:w="30" w:type="dxa"/>
              <w:right w:w="120" w:type="dxa"/>
            </w:tcMar>
            <w:vAlign w:val="center"/>
          </w:tcPr>
          <w:p w14:paraId="4C369F06">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完成</w:t>
            </w: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排放口规范化建设（设标识牌等）；</w:t>
            </w:r>
          </w:p>
          <w:p w14:paraId="667F7A5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留存排污口审批、论证资料；</w:t>
            </w:r>
          </w:p>
          <w:p w14:paraId="4384B77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监督双方按约定排放量、浓度排污；</w:t>
            </w:r>
          </w:p>
          <w:p w14:paraId="5580217B">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未合规建设导致责任无法区分的，承担管理过错责任。</w:t>
            </w:r>
          </w:p>
        </w:tc>
        <w:tc>
          <w:tcPr>
            <w:tcW w:w="1605" w:type="pct"/>
            <w:tcMar>
              <w:top w:w="60" w:type="dxa"/>
              <w:left w:w="120" w:type="dxa"/>
              <w:bottom w:w="30" w:type="dxa"/>
              <w:right w:w="120" w:type="dxa"/>
            </w:tcMar>
            <w:vAlign w:val="center"/>
          </w:tcPr>
          <w:p w14:paraId="2F915B2E">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提前协商确定各自排放量、污染物种类及浓度，在排污口论证材料中明确区分；</w:t>
            </w:r>
          </w:p>
          <w:p w14:paraId="7663B1F9">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确保自身排放污染物达标；</w:t>
            </w:r>
          </w:p>
          <w:p w14:paraId="69AF9B7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配合出租方及环保部门的监测、检查工作。</w:t>
            </w:r>
          </w:p>
        </w:tc>
        <w:tc>
          <w:tcPr>
            <w:tcW w:w="1307" w:type="pct"/>
            <w:tcMar>
              <w:top w:w="60" w:type="dxa"/>
              <w:left w:w="120" w:type="dxa"/>
              <w:bottom w:w="30" w:type="dxa"/>
              <w:right w:w="120" w:type="dxa"/>
            </w:tcMar>
            <w:vAlign w:val="center"/>
          </w:tcPr>
          <w:p w14:paraId="10ECD1F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单方超标排放，超标方承担主要处罚责任；</w:t>
            </w:r>
          </w:p>
          <w:p w14:paraId="683FDC7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混合排放无法区分超标源头时，双方承担连带责任；</w:t>
            </w:r>
          </w:p>
          <w:p w14:paraId="74FA15C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环保部门可对任一单位先处罚，再由责任方内部追偿。</w:t>
            </w:r>
          </w:p>
        </w:tc>
      </w:tr>
      <w:tr w14:paraId="3A09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tcMar>
              <w:top w:w="60" w:type="dxa"/>
              <w:left w:w="120" w:type="dxa"/>
              <w:bottom w:w="30" w:type="dxa"/>
              <w:right w:w="120" w:type="dxa"/>
            </w:tcMar>
            <w:vAlign w:val="center"/>
          </w:tcPr>
          <w:p w14:paraId="184320EA">
            <w:pPr>
              <w:pStyle w:val="28"/>
              <w:rPr>
                <w:color w:val="000000" w:themeColor="text1"/>
                <w14:textFill>
                  <w14:solidFill>
                    <w14:schemeClr w14:val="tx1"/>
                  </w14:solidFill>
                </w14:textFill>
              </w:rPr>
            </w:pPr>
          </w:p>
        </w:tc>
        <w:tc>
          <w:tcPr>
            <w:tcW w:w="303" w:type="pct"/>
            <w:tcMar>
              <w:top w:w="60" w:type="dxa"/>
              <w:left w:w="120" w:type="dxa"/>
              <w:bottom w:w="30" w:type="dxa"/>
              <w:right w:w="120" w:type="dxa"/>
            </w:tcMar>
            <w:vAlign w:val="center"/>
          </w:tcPr>
          <w:p w14:paraId="62527F15">
            <w:pPr>
              <w:pStyle w:val="28"/>
              <w:rPr>
                <w:color w:val="000000" w:themeColor="text1"/>
                <w14:textFill>
                  <w14:solidFill>
                    <w14:schemeClr w14:val="tx1"/>
                  </w14:solidFill>
                </w14:textFill>
              </w:rPr>
            </w:pPr>
            <w:r>
              <w:rPr>
                <w:color w:val="000000" w:themeColor="text1"/>
                <w14:textFill>
                  <w14:solidFill>
                    <w14:schemeClr w14:val="tx1"/>
                  </w14:solidFill>
                </w14:textFill>
              </w:rPr>
              <w:t>事故应急池</w:t>
            </w:r>
          </w:p>
        </w:tc>
        <w:tc>
          <w:tcPr>
            <w:tcW w:w="1576" w:type="pct"/>
            <w:tcMar>
              <w:top w:w="60" w:type="dxa"/>
              <w:left w:w="120" w:type="dxa"/>
              <w:bottom w:w="30" w:type="dxa"/>
              <w:right w:w="120" w:type="dxa"/>
            </w:tcMar>
            <w:vAlign w:val="center"/>
          </w:tcPr>
          <w:p w14:paraId="11E22CD0">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确保应急池容积满足厂区整体应急需求；</w:t>
            </w:r>
          </w:p>
          <w:p w14:paraId="2CDDD56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定期检查池体及配套管道完好性；</w:t>
            </w:r>
          </w:p>
          <w:p w14:paraId="55514A01">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制定厂区统一突发污染事故应急预案，组织双方开展应急演练；</w:t>
            </w:r>
          </w:p>
          <w:p w14:paraId="2A90E3E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因设施故障或应急协调不力导致污染扩大，承担管理责任。</w:t>
            </w:r>
          </w:p>
        </w:tc>
        <w:tc>
          <w:tcPr>
            <w:tcW w:w="1605" w:type="pct"/>
            <w:tcMar>
              <w:top w:w="60" w:type="dxa"/>
              <w:left w:w="120" w:type="dxa"/>
              <w:bottom w:w="30" w:type="dxa"/>
              <w:right w:w="120" w:type="dxa"/>
            </w:tcMar>
            <w:vAlign w:val="center"/>
          </w:tcPr>
          <w:p w14:paraId="1384D397">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明确自身可能引发应急事件的场景，约定应急池使用优先级；</w:t>
            </w:r>
          </w:p>
          <w:p w14:paraId="69B60F2F">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事故发生时第一时间启动处置，将污染物导入应急池；</w:t>
            </w:r>
          </w:p>
          <w:p w14:paraId="08717B4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承担自身事故引发的应急处置费用及后续治理责任。</w:t>
            </w:r>
          </w:p>
        </w:tc>
        <w:tc>
          <w:tcPr>
            <w:tcW w:w="1307" w:type="pct"/>
            <w:tcMar>
              <w:top w:w="60" w:type="dxa"/>
              <w:left w:w="120" w:type="dxa"/>
              <w:bottom w:w="30" w:type="dxa"/>
              <w:right w:w="120" w:type="dxa"/>
            </w:tcMar>
            <w:vAlign w:val="center"/>
          </w:tcPr>
          <w:p w14:paraId="049340A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单方生产事故引发污染，由责任方担责；</w:t>
            </w:r>
          </w:p>
          <w:p w14:paraId="202391FF">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因双方未及时配合处置导致污染扩散，按过错比例担责；</w:t>
            </w:r>
          </w:p>
          <w:p w14:paraId="0FA4A2E1">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应急池使用需遵循“先应急、后厘清”原则，优先保障污染控制。</w:t>
            </w:r>
          </w:p>
        </w:tc>
      </w:tr>
      <w:tr w14:paraId="4572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restart"/>
            <w:shd w:val="clear" w:color="auto" w:fill="auto"/>
            <w:tcMar>
              <w:top w:w="60" w:type="dxa"/>
              <w:left w:w="120" w:type="dxa"/>
              <w:bottom w:w="30" w:type="dxa"/>
              <w:right w:w="120" w:type="dxa"/>
            </w:tcMar>
            <w:vAlign w:val="center"/>
          </w:tcPr>
          <w:p w14:paraId="12718C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环保手续</w:t>
            </w:r>
          </w:p>
        </w:tc>
        <w:tc>
          <w:tcPr>
            <w:tcW w:w="303" w:type="pct"/>
            <w:shd w:val="clear" w:color="auto" w:fill="auto"/>
            <w:tcMar>
              <w:top w:w="60" w:type="dxa"/>
              <w:left w:w="120" w:type="dxa"/>
              <w:bottom w:w="30" w:type="dxa"/>
              <w:right w:w="120" w:type="dxa"/>
            </w:tcMar>
            <w:vAlign w:val="center"/>
          </w:tcPr>
          <w:p w14:paraId="29270701">
            <w:pPr>
              <w:pStyle w:val="28"/>
              <w:rPr>
                <w:color w:val="000000" w:themeColor="text1"/>
                <w14:textFill>
                  <w14:solidFill>
                    <w14:schemeClr w14:val="tx1"/>
                  </w14:solidFill>
                </w14:textFill>
              </w:rPr>
            </w:pPr>
            <w:r>
              <w:rPr>
                <w:color w:val="000000" w:themeColor="text1"/>
                <w14:textFill>
                  <w14:solidFill>
                    <w14:schemeClr w14:val="tx1"/>
                  </w14:solidFill>
                </w14:textFill>
              </w:rPr>
              <w:t>环评</w:t>
            </w:r>
          </w:p>
        </w:tc>
        <w:tc>
          <w:tcPr>
            <w:tcW w:w="1576" w:type="pct"/>
            <w:shd w:val="clear" w:color="auto" w:fill="auto"/>
            <w:tcMar>
              <w:top w:w="60" w:type="dxa"/>
              <w:left w:w="120" w:type="dxa"/>
              <w:bottom w:w="30" w:type="dxa"/>
              <w:right w:w="120" w:type="dxa"/>
            </w:tcMar>
            <w:vAlign w:val="center"/>
          </w:tcPr>
          <w:p w14:paraId="59446D4E">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统筹提供厂区整体环评相关资料（如厂区规划、原有环保设施审批文件、区域环境质量现状等）；</w:t>
            </w:r>
          </w:p>
          <w:p w14:paraId="31222F2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审核承租方项目是否符合厂区整体环评及产业政策要求，严禁引入不符合环保要求的项目；</w:t>
            </w:r>
          </w:p>
          <w:p w14:paraId="07783255">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若涉及共用环保设施改造，需牵头开展环评变更或补充说明，明确共用设施的承载能力及双方使用份额；4. 留存双方环评文件及审批资料，建立统一环保档案。</w:t>
            </w:r>
          </w:p>
        </w:tc>
        <w:tc>
          <w:tcPr>
            <w:tcW w:w="1605" w:type="pct"/>
            <w:shd w:val="clear" w:color="auto" w:fill="auto"/>
            <w:tcMar>
              <w:top w:w="60" w:type="dxa"/>
              <w:left w:w="120" w:type="dxa"/>
              <w:bottom w:w="30" w:type="dxa"/>
              <w:right w:w="120" w:type="dxa"/>
            </w:tcMar>
            <w:vAlign w:val="center"/>
          </w:tcPr>
          <w:p w14:paraId="292F92B7">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作为自身项目环评责任主体，按规定独立完成自身项目的环评审批，确保手续齐全合法；</w:t>
            </w:r>
          </w:p>
          <w:p w14:paraId="211C33E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向出租方如实提供自身项目的生产工艺、污染物产生种类及量、污染防治措施等环评关键资料；</w:t>
            </w:r>
          </w:p>
          <w:p w14:paraId="5200BC7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配合出租方完成厂区整体环评变更或补充说明工作，明确自身对共用设施的使用需求及污染贡献；</w:t>
            </w:r>
          </w:p>
          <w:p w14:paraId="014B62B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若因自身项目未批先建、环评弄虚作假引发环保问题，承担全部责任。</w:t>
            </w:r>
          </w:p>
        </w:tc>
        <w:tc>
          <w:tcPr>
            <w:tcW w:w="1307" w:type="pct"/>
            <w:shd w:val="clear" w:color="auto" w:fill="auto"/>
            <w:tcMar>
              <w:top w:w="60" w:type="dxa"/>
              <w:left w:w="120" w:type="dxa"/>
              <w:bottom w:w="30" w:type="dxa"/>
              <w:right w:w="120" w:type="dxa"/>
            </w:tcMar>
            <w:vAlign w:val="center"/>
          </w:tcPr>
          <w:p w14:paraId="4416205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双方各自对自身环评文件的真实性、准确性、完整性负责；</w:t>
            </w:r>
          </w:p>
          <w:p w14:paraId="1FE406C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出租方未履行审核义务，引入不符合环保要求的承租方项目，需承担管理过错责任；</w:t>
            </w:r>
          </w:p>
          <w:p w14:paraId="09E586D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共用设施未通过环评变更审核即投入共用的，双方承担连带责任。</w:t>
            </w:r>
          </w:p>
        </w:tc>
      </w:tr>
      <w:tr w14:paraId="1A9F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shd w:val="clear" w:color="auto" w:fill="auto"/>
            <w:tcMar>
              <w:top w:w="60" w:type="dxa"/>
              <w:left w:w="120" w:type="dxa"/>
              <w:bottom w:w="30" w:type="dxa"/>
              <w:right w:w="120" w:type="dxa"/>
            </w:tcMar>
            <w:vAlign w:val="center"/>
          </w:tcPr>
          <w:p w14:paraId="60EC598C">
            <w:pPr>
              <w:pStyle w:val="28"/>
              <w:rPr>
                <w:color w:val="000000" w:themeColor="text1"/>
                <w14:textFill>
                  <w14:solidFill>
                    <w14:schemeClr w14:val="tx1"/>
                  </w14:solidFill>
                </w14:textFill>
              </w:rPr>
            </w:pPr>
          </w:p>
        </w:tc>
        <w:tc>
          <w:tcPr>
            <w:tcW w:w="303" w:type="pct"/>
            <w:shd w:val="clear" w:color="auto" w:fill="auto"/>
            <w:tcMar>
              <w:top w:w="60" w:type="dxa"/>
              <w:left w:w="120" w:type="dxa"/>
              <w:bottom w:w="30" w:type="dxa"/>
              <w:right w:w="120" w:type="dxa"/>
            </w:tcMar>
            <w:vAlign w:val="center"/>
          </w:tcPr>
          <w:p w14:paraId="663431A4">
            <w:pPr>
              <w:pStyle w:val="28"/>
              <w:rPr>
                <w:color w:val="000000" w:themeColor="text1"/>
                <w14:textFill>
                  <w14:solidFill>
                    <w14:schemeClr w14:val="tx1"/>
                  </w14:solidFill>
                </w14:textFill>
              </w:rPr>
            </w:pPr>
            <w:r>
              <w:rPr>
                <w:color w:val="000000" w:themeColor="text1"/>
                <w14:textFill>
                  <w14:solidFill>
                    <w14:schemeClr w14:val="tx1"/>
                  </w14:solidFill>
                </w14:textFill>
              </w:rPr>
              <w:t>验收</w:t>
            </w:r>
          </w:p>
        </w:tc>
        <w:tc>
          <w:tcPr>
            <w:tcW w:w="1576" w:type="pct"/>
            <w:shd w:val="clear" w:color="auto" w:fill="auto"/>
            <w:tcMar>
              <w:top w:w="60" w:type="dxa"/>
              <w:left w:w="120" w:type="dxa"/>
              <w:bottom w:w="30" w:type="dxa"/>
              <w:right w:w="120" w:type="dxa"/>
            </w:tcMar>
            <w:vAlign w:val="center"/>
          </w:tcPr>
          <w:p w14:paraId="7B613BF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统筹组织厂区共用环保设施（如共用排放口、化粪池等）的竣工验收工作，委托有资质单位开展验收监测；</w:t>
            </w:r>
          </w:p>
          <w:p w14:paraId="5C4749D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提供共用设施的建设、运行资料，协调承租方配合验收监测及现场核查；</w:t>
            </w:r>
          </w:p>
          <w:p w14:paraId="35E819A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汇总双方验收相关资料，完成共用设施验收备案手续；</w:t>
            </w:r>
          </w:p>
          <w:p w14:paraId="242D6BD2">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监督承租方完成自身项目环保设施的竣工验收工作。</w:t>
            </w:r>
          </w:p>
        </w:tc>
        <w:tc>
          <w:tcPr>
            <w:tcW w:w="1605" w:type="pct"/>
            <w:shd w:val="clear" w:color="auto" w:fill="auto"/>
            <w:tcMar>
              <w:top w:w="60" w:type="dxa"/>
              <w:left w:w="120" w:type="dxa"/>
              <w:bottom w:w="30" w:type="dxa"/>
              <w:right w:w="120" w:type="dxa"/>
            </w:tcMar>
            <w:vAlign w:val="center"/>
          </w:tcPr>
          <w:p w14:paraId="7D8E21B0">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作为自身项目环保设施验收的责任主体，按规定完成自身项目环保设施的竣工验收及备案；</w:t>
            </w:r>
          </w:p>
          <w:p w14:paraId="50AF6B4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配合出租方开展共用设施的验收监测工作，提供自身生产工况、污染物排放等相关数据，确保验收期间生产负荷符合要求；3. 对自身项目验收资料的真实性、验收监测数据的代表性负责；</w:t>
            </w:r>
          </w:p>
          <w:p w14:paraId="74B4474E">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未按规定完成自身项目验收即投入生产的，承担相应处罚责任。</w:t>
            </w:r>
          </w:p>
        </w:tc>
        <w:tc>
          <w:tcPr>
            <w:tcW w:w="1307" w:type="pct"/>
            <w:shd w:val="clear" w:color="auto" w:fill="auto"/>
            <w:tcMar>
              <w:top w:w="60" w:type="dxa"/>
              <w:left w:w="120" w:type="dxa"/>
              <w:bottom w:w="30" w:type="dxa"/>
              <w:right w:w="120" w:type="dxa"/>
            </w:tcMar>
            <w:vAlign w:val="center"/>
          </w:tcPr>
          <w:p w14:paraId="43206F7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共用设施验收不合格的，双方均不得使用该设施，出租方牵头组织整改；</w:t>
            </w:r>
          </w:p>
          <w:p w14:paraId="4E6163C7">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承租方未配合共用设施验收导致验收延误的，承担相应责任；</w:t>
            </w:r>
          </w:p>
          <w:p w14:paraId="093D959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验收监测费用由双方按协议约定分摊，未约定的按对共用设施的使用份额合理分摊。</w:t>
            </w:r>
          </w:p>
        </w:tc>
      </w:tr>
      <w:tr w14:paraId="7FA0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shd w:val="clear" w:color="auto" w:fill="auto"/>
            <w:vAlign w:val="center"/>
          </w:tcPr>
          <w:p w14:paraId="013EDE5D">
            <w:pPr>
              <w:pStyle w:val="28"/>
              <w:rPr>
                <w:color w:val="000000" w:themeColor="text1"/>
                <w14:textFill>
                  <w14:solidFill>
                    <w14:schemeClr w14:val="tx1"/>
                  </w14:solidFill>
                </w14:textFill>
              </w:rPr>
            </w:pPr>
          </w:p>
        </w:tc>
        <w:tc>
          <w:tcPr>
            <w:tcW w:w="303" w:type="pct"/>
            <w:shd w:val="clear" w:color="auto" w:fill="auto"/>
            <w:vAlign w:val="center"/>
          </w:tcPr>
          <w:p w14:paraId="63E54690">
            <w:pPr>
              <w:pStyle w:val="28"/>
              <w:rPr>
                <w:color w:val="000000" w:themeColor="text1"/>
                <w14:textFill>
                  <w14:solidFill>
                    <w14:schemeClr w14:val="tx1"/>
                  </w14:solidFill>
                </w14:textFill>
              </w:rPr>
            </w:pPr>
            <w:r>
              <w:rPr>
                <w:color w:val="000000" w:themeColor="text1"/>
                <w14:textFill>
                  <w14:solidFill>
                    <w14:schemeClr w14:val="tx1"/>
                  </w14:solidFill>
                </w14:textFill>
              </w:rPr>
              <w:t>突发环境事件应急预案</w:t>
            </w:r>
          </w:p>
        </w:tc>
        <w:tc>
          <w:tcPr>
            <w:tcW w:w="1576" w:type="pct"/>
            <w:shd w:val="clear" w:color="auto" w:fill="auto"/>
            <w:vAlign w:val="center"/>
          </w:tcPr>
          <w:p w14:paraId="6DD0E5AB">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牵头制定厂区综合性突发环境事件应急预案，明确双方在突发环境事件中的职责分工、联动处置流程及共用应急设施（如事故应急池）的使用规则；</w:t>
            </w:r>
          </w:p>
          <w:p w14:paraId="0207B0E2">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组织双方开展应急演练，统筹配备厂区级应急物资，建立应急响应机制；</w:t>
            </w:r>
          </w:p>
          <w:p w14:paraId="7C1986F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完成综合性应急预案的备案工作，留存预案文本及演练记录；</w:t>
            </w:r>
          </w:p>
          <w:p w14:paraId="7A5BD320">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突发环境事件发生时，协调各方开展联防互救，及时上报相关部门。</w:t>
            </w:r>
          </w:p>
        </w:tc>
        <w:tc>
          <w:tcPr>
            <w:tcW w:w="1605" w:type="pct"/>
            <w:shd w:val="clear" w:color="auto" w:fill="auto"/>
            <w:vAlign w:val="center"/>
          </w:tcPr>
          <w:p w14:paraId="2FBF6D49">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依据厂区综合性应急预案，制定自身项目专项应急预案（如危废泄漏、废水超标溢流等场景），明确自身应急处置流程及责任人员；</w:t>
            </w:r>
          </w:p>
          <w:p w14:paraId="5DD04A55">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配备自身项目所需的应急物资，配合出租方开展应急演练；</w:t>
            </w:r>
          </w:p>
          <w:p w14:paraId="1AC07D4B">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向出租方如实提供自身项目的环境风险源信息（如危废种类及量、关键污染防治设施等）；</w:t>
            </w:r>
          </w:p>
          <w:p w14:paraId="659354A0">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突发环境事件由自身原因引发时，第一时间启动专项预案，承担主要应急处置费用及后续治理、赔偿责任。</w:t>
            </w:r>
          </w:p>
        </w:tc>
        <w:tc>
          <w:tcPr>
            <w:tcW w:w="1307" w:type="pct"/>
            <w:shd w:val="clear" w:color="auto" w:fill="auto"/>
            <w:vAlign w:val="center"/>
          </w:tcPr>
          <w:p w14:paraId="602268A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出租方未制定综合性应急预案或未组织应急演练，导致污染扩大的，承担管理责任；</w:t>
            </w:r>
          </w:p>
          <w:p w14:paraId="23167391">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承租方未制定专项预案、未配合应急演练或应急处置不力的，承担相应过错责任；</w:t>
            </w:r>
          </w:p>
          <w:p w14:paraId="2F5C366D">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无法明确事件引发主体时，按双方过错比例承担责任，应急处置费用优先由双方共同垫付。</w:t>
            </w:r>
          </w:p>
        </w:tc>
      </w:tr>
      <w:tr w14:paraId="0F5A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shd w:val="clear" w:color="auto" w:fill="auto"/>
            <w:vAlign w:val="center"/>
          </w:tcPr>
          <w:p w14:paraId="563E1BA3">
            <w:pPr>
              <w:pStyle w:val="28"/>
              <w:rPr>
                <w:color w:val="000000" w:themeColor="text1"/>
                <w14:textFill>
                  <w14:solidFill>
                    <w14:schemeClr w14:val="tx1"/>
                  </w14:solidFill>
                </w14:textFill>
              </w:rPr>
            </w:pPr>
          </w:p>
        </w:tc>
        <w:tc>
          <w:tcPr>
            <w:tcW w:w="303" w:type="pct"/>
            <w:shd w:val="clear" w:color="auto" w:fill="auto"/>
            <w:vAlign w:val="center"/>
          </w:tcPr>
          <w:p w14:paraId="27B710F6">
            <w:pPr>
              <w:pStyle w:val="28"/>
              <w:rPr>
                <w:color w:val="000000" w:themeColor="text1"/>
                <w14:textFill>
                  <w14:solidFill>
                    <w14:schemeClr w14:val="tx1"/>
                  </w14:solidFill>
                </w14:textFill>
              </w:rPr>
            </w:pPr>
            <w:r>
              <w:rPr>
                <w:color w:val="000000" w:themeColor="text1"/>
                <w14:textFill>
                  <w14:solidFill>
                    <w14:schemeClr w14:val="tx1"/>
                  </w14:solidFill>
                </w14:textFill>
              </w:rPr>
              <w:t>排污许可</w:t>
            </w:r>
            <w:r>
              <w:rPr>
                <w:rFonts w:hint="eastAsia"/>
                <w:color w:val="000000" w:themeColor="text1"/>
                <w14:textFill>
                  <w14:solidFill>
                    <w14:schemeClr w14:val="tx1"/>
                  </w14:solidFill>
                </w14:textFill>
              </w:rPr>
              <w:t>证</w:t>
            </w:r>
          </w:p>
        </w:tc>
        <w:tc>
          <w:tcPr>
            <w:tcW w:w="1576" w:type="pct"/>
            <w:shd w:val="clear" w:color="auto" w:fill="auto"/>
            <w:vAlign w:val="center"/>
          </w:tcPr>
          <w:p w14:paraId="3512718E">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若共用排放口以出租方名义申请排污许可证，需在许可证中明确双方的污染物排放种类、浓度及总量控制指标，留存许可审批资料；</w:t>
            </w:r>
          </w:p>
          <w:p w14:paraId="1F9B134E">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监督承租方严格按照排污许可证核定的指标排污，禁止超总量、超浓度排放；</w:t>
            </w:r>
          </w:p>
          <w:p w14:paraId="1B404C17">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配合环保部门对排污许可证执行情况的监督检查，提供共用排放口的监测数据及双方使用记录；4. 若因共用排放口管理不当导致许可证被吊销或变更，需及时告知承租方并协调整改。</w:t>
            </w:r>
          </w:p>
        </w:tc>
        <w:tc>
          <w:tcPr>
            <w:tcW w:w="1605" w:type="pct"/>
            <w:shd w:val="clear" w:color="auto" w:fill="auto"/>
            <w:vAlign w:val="center"/>
          </w:tcPr>
          <w:p w14:paraId="0CB3BD0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按规定申请自身项目的排污许可证（若需单独申领），或在出租方的排污许可证中明确自身排放份额；</w:t>
            </w:r>
          </w:p>
          <w:p w14:paraId="6667E25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严格按照排污许可证要求及双方约定的排放指标排污，建立自身排污台账；</w:t>
            </w:r>
          </w:p>
          <w:p w14:paraId="3A62851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如实记录自身污染物排放情况，配合出租方及环保部门的监督检查，提供自身排污数据及生产工况资料；</w:t>
            </w:r>
          </w:p>
          <w:p w14:paraId="70995FC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若因自身超排、偷排导致排污许可证受限或引发处罚，承担全部责任。</w:t>
            </w:r>
          </w:p>
        </w:tc>
        <w:tc>
          <w:tcPr>
            <w:tcW w:w="1307" w:type="pct"/>
            <w:shd w:val="clear" w:color="auto" w:fill="auto"/>
            <w:vAlign w:val="center"/>
          </w:tcPr>
          <w:p w14:paraId="46FC68F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共用排放口未在排污许可证中明确双方排放份额，导致责任无法区分的，双方承担连带责任；</w:t>
            </w:r>
          </w:p>
          <w:p w14:paraId="5C541942">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出租方未监督到位导致承租方超排的，承担补充责任；</w:t>
            </w:r>
          </w:p>
          <w:p w14:paraId="2159DC09">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环保部门可对超标排放的责任方直接处罚，也可对出租方（许可证持有人）先行处罚，再由出租方向承租方追偿。</w:t>
            </w:r>
          </w:p>
        </w:tc>
      </w:tr>
      <w:tr w14:paraId="62D1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06" w:type="pct"/>
            <w:vMerge w:val="continue"/>
            <w:shd w:val="clear" w:color="auto" w:fill="auto"/>
            <w:vAlign w:val="center"/>
          </w:tcPr>
          <w:p w14:paraId="30C34086">
            <w:pPr>
              <w:pStyle w:val="28"/>
              <w:rPr>
                <w:color w:val="000000" w:themeColor="text1"/>
                <w14:textFill>
                  <w14:solidFill>
                    <w14:schemeClr w14:val="tx1"/>
                  </w14:solidFill>
                </w14:textFill>
              </w:rPr>
            </w:pPr>
          </w:p>
        </w:tc>
        <w:tc>
          <w:tcPr>
            <w:tcW w:w="303" w:type="pct"/>
            <w:shd w:val="clear" w:color="auto" w:fill="auto"/>
            <w:vAlign w:val="center"/>
          </w:tcPr>
          <w:p w14:paraId="4D8F2A9F">
            <w:pPr>
              <w:pStyle w:val="28"/>
              <w:rPr>
                <w:color w:val="000000" w:themeColor="text1"/>
                <w14:textFill>
                  <w14:solidFill>
                    <w14:schemeClr w14:val="tx1"/>
                  </w14:solidFill>
                </w14:textFill>
              </w:rPr>
            </w:pPr>
            <w:r>
              <w:rPr>
                <w:color w:val="000000" w:themeColor="text1"/>
                <w14:textFill>
                  <w14:solidFill>
                    <w14:schemeClr w14:val="tx1"/>
                  </w14:solidFill>
                </w14:textFill>
              </w:rPr>
              <w:t>自行监测</w:t>
            </w:r>
          </w:p>
        </w:tc>
        <w:tc>
          <w:tcPr>
            <w:tcW w:w="1576" w:type="pct"/>
            <w:shd w:val="clear" w:color="auto" w:fill="auto"/>
            <w:vAlign w:val="center"/>
          </w:tcPr>
          <w:p w14:paraId="0862FCB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统筹制定厂区共用环保设施的自行监测方案，明确监测点位、指标、频次及方法，确保符合《排污单位污染物排放口监测点位设置技术规范》等要求；</w:t>
            </w:r>
          </w:p>
          <w:p w14:paraId="5885C1FC">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组织开展共用区域（如共用排放口、危废暂存间周边、化粪池周边）的自行监测，委托有资质单位采样分析；</w:t>
            </w:r>
          </w:p>
          <w:p w14:paraId="1E6FC1A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建立统一的自行监测台账，留存原始监测记录（至少保存5年），按规定公开监测信息；</w:t>
            </w:r>
          </w:p>
          <w:p w14:paraId="40650D1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发现监测数据异常时，及时组织排查，督促相关责任方整改。</w:t>
            </w:r>
          </w:p>
        </w:tc>
        <w:tc>
          <w:tcPr>
            <w:tcW w:w="1605" w:type="pct"/>
            <w:shd w:val="clear" w:color="auto" w:fill="auto"/>
            <w:vAlign w:val="center"/>
          </w:tcPr>
          <w:p w14:paraId="7FB41AFF">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制定自身项目的自行监测方案，明确自身支管监测点位及监测要求，对自身排放污染物开展自行监测；</w:t>
            </w:r>
          </w:p>
          <w:p w14:paraId="3B7C9B3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配合出租方完成共用设施的自行监测工作，提供自身生产负荷、污染防治设施运行情况等资料；</w:t>
            </w:r>
          </w:p>
          <w:p w14:paraId="0C6331E3">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建立自身监测台账，对自身监测数据的真实性、准确性负责，严禁篡改、伪造数据；</w:t>
            </w:r>
          </w:p>
          <w:p w14:paraId="365AE96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发现自身支管监测数据异常时，立即自查整改并告知出租方。</w:t>
            </w:r>
          </w:p>
        </w:tc>
        <w:tc>
          <w:tcPr>
            <w:tcW w:w="1307" w:type="pct"/>
            <w:shd w:val="clear" w:color="auto" w:fill="auto"/>
            <w:vAlign w:val="center"/>
          </w:tcPr>
          <w:p w14:paraId="58B8707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1. 出租方未按规定开展共用设施自行监测、未保存监测记录或监测数据弄虚作假的，承担主要管理责任；</w:t>
            </w:r>
          </w:p>
          <w:p w14:paraId="36BEE4C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2. 承租方未开展自身支管监测、提供虚假数据的，承担全部责任；</w:t>
            </w:r>
          </w:p>
          <w:p w14:paraId="1A7A801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3. 监测费用按协议约定分摊，未约定的按监测点位覆盖范围及使用需求合理分摊；</w:t>
            </w:r>
          </w:p>
          <w:p w14:paraId="545BDA45">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4. 监测数据作为责任认定的核心依据，由对应责任方对数据真实性负责。</w:t>
            </w:r>
          </w:p>
        </w:tc>
      </w:tr>
    </w:tbl>
    <w:p w14:paraId="4C250FAA">
      <w:pPr>
        <w:ind w:firstLine="480"/>
        <w:rPr>
          <w:color w:val="000000" w:themeColor="text1"/>
          <w14:textFill>
            <w14:solidFill>
              <w14:schemeClr w14:val="tx1"/>
            </w14:solidFill>
          </w14:textFill>
        </w:rPr>
        <w:sectPr>
          <w:pgSz w:w="16838" w:h="11906" w:orient="landscape"/>
          <w:pgMar w:top="1440" w:right="1803" w:bottom="1440" w:left="1440" w:header="907" w:footer="992" w:gutter="0"/>
          <w:cols w:space="425" w:num="1"/>
          <w:docGrid w:type="lines" w:linePitch="312" w:charSpace="0"/>
        </w:sectPr>
      </w:pPr>
    </w:p>
    <w:p w14:paraId="2BB43032">
      <w:pPr>
        <w:pStyle w:val="2"/>
        <w:rPr>
          <w:color w:val="000000" w:themeColor="text1"/>
          <w14:textFill>
            <w14:solidFill>
              <w14:schemeClr w14:val="tx1"/>
            </w14:solidFill>
          </w14:textFill>
        </w:rPr>
      </w:pPr>
      <w:bookmarkStart w:id="45" w:name="_Toc17455"/>
      <w:r>
        <w:rPr>
          <w:rFonts w:hint="eastAsia"/>
          <w:color w:val="000000" w:themeColor="text1"/>
          <w14:textFill>
            <w14:solidFill>
              <w14:schemeClr w14:val="tx1"/>
            </w14:solidFill>
          </w14:textFill>
        </w:rPr>
        <w:t>3、工程分析</w:t>
      </w:r>
      <w:bookmarkEnd w:id="45"/>
    </w:p>
    <w:p w14:paraId="3AA9A95C">
      <w:pPr>
        <w:pStyle w:val="3"/>
        <w:rPr>
          <w:color w:val="000000" w:themeColor="text1"/>
          <w14:textFill>
            <w14:solidFill>
              <w14:schemeClr w14:val="tx1"/>
            </w14:solidFill>
          </w14:textFill>
        </w:rPr>
      </w:pPr>
      <w:bookmarkStart w:id="46" w:name="_Toc3207"/>
      <w:r>
        <w:rPr>
          <w:rFonts w:hint="eastAsia"/>
          <w:color w:val="000000" w:themeColor="text1"/>
          <w14:textFill>
            <w14:solidFill>
              <w14:schemeClr w14:val="tx1"/>
            </w14:solidFill>
          </w14:textFill>
        </w:rPr>
        <w:t>3.1施工期工程分析</w:t>
      </w:r>
      <w:bookmarkEnd w:id="46"/>
    </w:p>
    <w:p w14:paraId="19D2F4EF">
      <w:pPr>
        <w:pStyle w:val="4"/>
        <w:rPr>
          <w:color w:val="000000" w:themeColor="text1"/>
          <w14:textFill>
            <w14:solidFill>
              <w14:schemeClr w14:val="tx1"/>
            </w14:solidFill>
          </w14:textFill>
        </w:rPr>
      </w:pPr>
      <w:bookmarkStart w:id="47" w:name="_Toc1784"/>
      <w:r>
        <w:rPr>
          <w:rFonts w:hint="eastAsia"/>
          <w:color w:val="000000" w:themeColor="text1"/>
          <w14:textFill>
            <w14:solidFill>
              <w14:schemeClr w14:val="tx1"/>
            </w14:solidFill>
          </w14:textFill>
        </w:rPr>
        <w:t>3.1.1施工期工艺流程及产污环节</w:t>
      </w:r>
      <w:bookmarkEnd w:id="47"/>
    </w:p>
    <w:p w14:paraId="4D0B25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本项目利用云南捷辰包装材料有限公司建设的现有厂房，购置箱式炉、砂磨机、离心机、干燥机等生产设备及配套环保设备，项目不涉及土建施工，仅涉及设备进场和安装，施工工艺简单。</w:t>
      </w:r>
    </w:p>
    <w:p w14:paraId="3FA5C8B0">
      <w:pPr>
        <w:pStyle w:val="4"/>
        <w:rPr>
          <w:color w:val="000000" w:themeColor="text1"/>
          <w14:textFill>
            <w14:solidFill>
              <w14:schemeClr w14:val="tx1"/>
            </w14:solidFill>
          </w14:textFill>
        </w:rPr>
      </w:pPr>
      <w:bookmarkStart w:id="48" w:name="_Toc9324"/>
      <w:r>
        <w:rPr>
          <w:rFonts w:hint="eastAsia"/>
          <w:color w:val="000000" w:themeColor="text1"/>
          <w14:textFill>
            <w14:solidFill>
              <w14:schemeClr w14:val="tx1"/>
            </w14:solidFill>
          </w14:textFill>
        </w:rPr>
        <w:t>3.1.2施工组织</w:t>
      </w:r>
      <w:bookmarkEnd w:id="48"/>
    </w:p>
    <w:p w14:paraId="5610E898">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（1）施工方式</w:t>
      </w:r>
    </w:p>
    <w:p w14:paraId="61B7F532">
      <w:pPr>
        <w:ind w:firstLine="480"/>
        <w:rPr>
          <w:color w:val="000000" w:themeColor="text1"/>
          <w14:textFill>
            <w14:solidFill>
              <w14:schemeClr w14:val="tx1"/>
            </w14:solidFill>
          </w14:textFill>
        </w:rPr>
      </w:pPr>
      <w:r>
        <w:rPr>
          <w:color w:val="000000" w:themeColor="text1"/>
          <w14:textFill>
            <w14:solidFill>
              <w14:schemeClr w14:val="tx1"/>
            </w14:solidFill>
          </w14:textFill>
        </w:rPr>
        <w:t>项目施工采用人工与机械相结合的方式，设备安装主要使用起重机进行。项目所处位置交通便利，无需修进厂道路。</w:t>
      </w:r>
    </w:p>
    <w:p w14:paraId="6946612B">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（2）施工“三场”</w:t>
      </w:r>
    </w:p>
    <w:p w14:paraId="4C0A9EF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本项目施工工程量较少，无需设置不设置取料场、弃渣场。根据施工需要，本项目施工场地内设置一个施工管理用房，负责施工场地日常监理工作。</w:t>
      </w:r>
    </w:p>
    <w:p w14:paraId="4E8041BE">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（3）主要施工设备</w:t>
      </w:r>
    </w:p>
    <w:p w14:paraId="2966E6B9">
      <w:pPr>
        <w:ind w:firstLine="480"/>
        <w:rPr>
          <w:color w:val="000000" w:themeColor="text1"/>
          <w14:textFill>
            <w14:solidFill>
              <w14:schemeClr w14:val="tx1"/>
            </w14:solidFill>
          </w14:textFill>
        </w:rPr>
      </w:pPr>
      <w:r>
        <w:rPr>
          <w:color w:val="000000" w:themeColor="text1"/>
          <w14:textFill>
            <w14:solidFill>
              <w14:schemeClr w14:val="tx1"/>
            </w14:solidFill>
          </w14:textFill>
        </w:rPr>
        <w:t>项目主要施工设备为电锯、电焊机、电钻</w:t>
      </w:r>
      <w:r>
        <w:rPr>
          <w:rFonts w:hint="eastAsia"/>
          <w:color w:val="000000" w:themeColor="text1"/>
          <w14:textFill>
            <w14:solidFill>
              <w14:schemeClr w14:val="tx1"/>
            </w14:solidFill>
          </w14:textFill>
        </w:rPr>
        <w:t>、起重机</w:t>
      </w:r>
      <w:r>
        <w:rPr>
          <w:color w:val="000000" w:themeColor="text1"/>
          <w14:textFill>
            <w14:solidFill>
              <w14:schemeClr w14:val="tx1"/>
            </w14:solidFill>
          </w14:textFill>
        </w:rPr>
        <w:t>等。</w:t>
      </w:r>
    </w:p>
    <w:p w14:paraId="6BAE12BB">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（4）施工人数及施工时间</w:t>
      </w:r>
    </w:p>
    <w:p w14:paraId="101193B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本项目施工期为</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个月，施工时间为8:00~18:00，施工期平均施工人数为10人/d。施工人员均不在场地内食宿。</w:t>
      </w:r>
    </w:p>
    <w:p w14:paraId="0D5D5A42">
      <w:pPr>
        <w:pStyle w:val="4"/>
        <w:rPr>
          <w:color w:val="000000" w:themeColor="text1"/>
          <w14:textFill>
            <w14:solidFill>
              <w14:schemeClr w14:val="tx1"/>
            </w14:solidFill>
          </w14:textFill>
        </w:rPr>
      </w:pPr>
      <w:bookmarkStart w:id="49" w:name="_Toc20522"/>
      <w:r>
        <w:rPr>
          <w:rFonts w:hint="eastAsia"/>
          <w:color w:val="000000" w:themeColor="text1"/>
          <w14:textFill>
            <w14:solidFill>
              <w14:schemeClr w14:val="tx1"/>
            </w14:solidFill>
          </w14:textFill>
        </w:rPr>
        <w:t>3.1.3施工期污染源强分析</w:t>
      </w:r>
      <w:bookmarkEnd w:id="49"/>
    </w:p>
    <w:p w14:paraId="515C49F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1、废气</w:t>
      </w:r>
    </w:p>
    <w:p w14:paraId="5C8ED7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施工期废气主要是设备安装时少量焊接烟尘，主要成分为颗粒物，排放量较少，呈无组织排放。</w:t>
      </w:r>
    </w:p>
    <w:p w14:paraId="6EFDC22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2、废水</w:t>
      </w:r>
    </w:p>
    <w:p w14:paraId="180F7C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施工期施工人员</w:t>
      </w:r>
      <w:r>
        <w:rPr>
          <w:color w:val="000000" w:themeColor="text1"/>
          <w14:textFill>
            <w14:solidFill>
              <w14:schemeClr w14:val="tx1"/>
            </w14:solidFill>
          </w14:textFill>
        </w:rPr>
        <w:t>均不在场地内食宿，</w:t>
      </w:r>
      <w:r>
        <w:rPr>
          <w:rFonts w:hint="eastAsia"/>
          <w:color w:val="000000" w:themeColor="text1"/>
          <w14:textFill>
            <w14:solidFill>
              <w14:schemeClr w14:val="tx1"/>
            </w14:solidFill>
          </w14:textFill>
        </w:rPr>
        <w:t>如厕依托附近村庄公共卫生间。施工期无废水产生</w:t>
      </w:r>
      <w:r>
        <w:rPr>
          <w:color w:val="000000" w:themeColor="text1"/>
          <w14:textFill>
            <w14:solidFill>
              <w14:schemeClr w14:val="tx1"/>
            </w14:solidFill>
          </w14:textFill>
        </w:rPr>
        <w:t>。</w:t>
      </w:r>
    </w:p>
    <w:p w14:paraId="251FD61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3、噪声</w:t>
      </w:r>
    </w:p>
    <w:p w14:paraId="5163D99C">
      <w:pPr>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噪声主要来自池体开挖、设备运输及安装作业。根据本工程的特点，主要施工噪声源强</w:t>
      </w:r>
      <w:r>
        <w:rPr>
          <w:color w:val="000000" w:themeColor="text1"/>
          <w:kern w:val="0"/>
          <w14:textFill>
            <w14:solidFill>
              <w14:schemeClr w14:val="tx1"/>
            </w14:solidFill>
          </w14:textFill>
        </w:rPr>
        <w:t>见表</w:t>
      </w:r>
      <w:r>
        <w:rPr>
          <w:rFonts w:hint="eastAsia"/>
          <w:color w:val="000000" w:themeColor="text1"/>
          <w:kern w:val="0"/>
          <w14:textFill>
            <w14:solidFill>
              <w14:schemeClr w14:val="tx1"/>
            </w14:solidFill>
          </w14:textFill>
        </w:rPr>
        <w:t>3.1</w:t>
      </w:r>
      <w:r>
        <w:rPr>
          <w:color w:val="000000" w:themeColor="text1"/>
          <w:kern w:val="0"/>
          <w14:textFill>
            <w14:solidFill>
              <w14:schemeClr w14:val="tx1"/>
            </w14:solidFill>
          </w14:textFill>
        </w:rPr>
        <w:t>-1。</w:t>
      </w:r>
    </w:p>
    <w:p w14:paraId="7EA01F8B">
      <w:pPr>
        <w:pStyle w:val="27"/>
        <w:rPr>
          <w:color w:val="000000" w:themeColor="text1"/>
          <w:kern w:val="0"/>
          <w:szCs w:val="20"/>
          <w14:textFill>
            <w14:solidFill>
              <w14:schemeClr w14:val="tx1"/>
            </w14:solidFill>
          </w14:textFill>
        </w:rPr>
      </w:pPr>
      <w:r>
        <w:rPr>
          <w:color w:val="000000" w:themeColor="text1"/>
          <w:kern w:val="0"/>
          <w:szCs w:val="20"/>
          <w14:textFill>
            <w14:solidFill>
              <w14:schemeClr w14:val="tx1"/>
            </w14:solidFill>
          </w14:textFill>
        </w:rPr>
        <w:t>表</w:t>
      </w:r>
      <w:r>
        <w:rPr>
          <w:rFonts w:hint="eastAsia"/>
          <w:color w:val="000000" w:themeColor="text1"/>
          <w:kern w:val="0"/>
          <w:szCs w:val="20"/>
          <w14:textFill>
            <w14:solidFill>
              <w14:schemeClr w14:val="tx1"/>
            </w14:solidFill>
          </w14:textFill>
        </w:rPr>
        <w:t>3.1</w:t>
      </w:r>
      <w:r>
        <w:rPr>
          <w:color w:val="000000" w:themeColor="text1"/>
          <w:kern w:val="0"/>
          <w:szCs w:val="20"/>
          <w14:textFill>
            <w14:solidFill>
              <w14:schemeClr w14:val="tx1"/>
            </w14:solidFill>
          </w14:textFill>
        </w:rPr>
        <w:t>-1  施工设备噪声声级</w:t>
      </w:r>
      <w:r>
        <w:rPr>
          <w:rFonts w:hint="eastAsia"/>
          <w:color w:val="000000" w:themeColor="text1"/>
          <w:kern w:val="0"/>
          <w:szCs w:val="20"/>
          <w14:textFill>
            <w14:solidFill>
              <w14:schemeClr w14:val="tx1"/>
            </w14:solidFill>
          </w14:textFill>
        </w:rPr>
        <w:t xml:space="preserve">   单位：dB（A）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591"/>
        <w:gridCol w:w="2591"/>
        <w:gridCol w:w="2224"/>
      </w:tblGrid>
      <w:tr w14:paraId="7674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653" w:type="pct"/>
            <w:vAlign w:val="center"/>
          </w:tcPr>
          <w:p w14:paraId="5FE70A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20" w:type="pct"/>
            <w:vAlign w:val="center"/>
          </w:tcPr>
          <w:p w14:paraId="3D8DF655">
            <w:pPr>
              <w:pStyle w:val="28"/>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1520" w:type="pct"/>
            <w:vAlign w:val="center"/>
          </w:tcPr>
          <w:p w14:paraId="0A2FEC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噪声声级范围</w:t>
            </w:r>
          </w:p>
        </w:tc>
        <w:tc>
          <w:tcPr>
            <w:tcW w:w="1304" w:type="pct"/>
            <w:vAlign w:val="center"/>
          </w:tcPr>
          <w:p w14:paraId="6B92B6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平均噪声级</w:t>
            </w:r>
          </w:p>
        </w:tc>
      </w:tr>
      <w:tr w14:paraId="4C4A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6C769D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20" w:type="pct"/>
            <w:vAlign w:val="center"/>
          </w:tcPr>
          <w:p w14:paraId="1D756DC6">
            <w:pPr>
              <w:pStyle w:val="28"/>
              <w:rPr>
                <w:color w:val="000000" w:themeColor="text1"/>
                <w14:textFill>
                  <w14:solidFill>
                    <w14:schemeClr w14:val="tx1"/>
                  </w14:solidFill>
                </w14:textFill>
              </w:rPr>
            </w:pPr>
            <w:r>
              <w:rPr>
                <w:color w:val="000000" w:themeColor="text1"/>
                <w14:textFill>
                  <w14:solidFill>
                    <w14:schemeClr w14:val="tx1"/>
                  </w14:solidFill>
                </w14:textFill>
              </w:rPr>
              <w:t>电锯</w:t>
            </w:r>
          </w:p>
        </w:tc>
        <w:tc>
          <w:tcPr>
            <w:tcW w:w="1520" w:type="pct"/>
            <w:vAlign w:val="center"/>
          </w:tcPr>
          <w:p w14:paraId="3D01067E">
            <w:pPr>
              <w:pStyle w:val="28"/>
              <w:rPr>
                <w:color w:val="000000" w:themeColor="text1"/>
                <w14:textFill>
                  <w14:solidFill>
                    <w14:schemeClr w14:val="tx1"/>
                  </w14:solidFill>
                </w14:textFill>
              </w:rPr>
            </w:pPr>
            <w:r>
              <w:rPr>
                <w:color w:val="000000" w:themeColor="text1"/>
                <w14:textFill>
                  <w14:solidFill>
                    <w14:schemeClr w14:val="tx1"/>
                  </w14:solidFill>
                </w14:textFill>
              </w:rPr>
              <w:t>100～110</w:t>
            </w:r>
          </w:p>
        </w:tc>
        <w:tc>
          <w:tcPr>
            <w:tcW w:w="1304" w:type="pct"/>
            <w:vAlign w:val="center"/>
          </w:tcPr>
          <w:p w14:paraId="6B62E7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14:paraId="29D0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53063B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520" w:type="pct"/>
            <w:vAlign w:val="center"/>
          </w:tcPr>
          <w:p w14:paraId="3131FCD9">
            <w:pPr>
              <w:pStyle w:val="28"/>
              <w:rPr>
                <w:color w:val="000000" w:themeColor="text1"/>
                <w14:textFill>
                  <w14:solidFill>
                    <w14:schemeClr w14:val="tx1"/>
                  </w14:solidFill>
                </w14:textFill>
              </w:rPr>
            </w:pPr>
            <w:r>
              <w:rPr>
                <w:color w:val="000000" w:themeColor="text1"/>
                <w14:textFill>
                  <w14:solidFill>
                    <w14:schemeClr w14:val="tx1"/>
                  </w14:solidFill>
                </w14:textFill>
              </w:rPr>
              <w:t>电焊机</w:t>
            </w:r>
          </w:p>
        </w:tc>
        <w:tc>
          <w:tcPr>
            <w:tcW w:w="1520" w:type="pct"/>
            <w:vAlign w:val="center"/>
          </w:tcPr>
          <w:p w14:paraId="65BDD996">
            <w:pPr>
              <w:pStyle w:val="28"/>
              <w:rPr>
                <w:color w:val="000000" w:themeColor="text1"/>
                <w14:textFill>
                  <w14:solidFill>
                    <w14:schemeClr w14:val="tx1"/>
                  </w14:solidFill>
                </w14:textFill>
              </w:rPr>
            </w:pPr>
            <w:r>
              <w:rPr>
                <w:color w:val="000000" w:themeColor="text1"/>
                <w14:textFill>
                  <w14:solidFill>
                    <w14:schemeClr w14:val="tx1"/>
                  </w14:solidFill>
                </w14:textFill>
              </w:rPr>
              <w:t>90～95</w:t>
            </w:r>
          </w:p>
        </w:tc>
        <w:tc>
          <w:tcPr>
            <w:tcW w:w="1304" w:type="pct"/>
            <w:vAlign w:val="center"/>
          </w:tcPr>
          <w:p w14:paraId="3F5137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r>
      <w:tr w14:paraId="55FF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 w:hRule="atLeast"/>
        </w:trPr>
        <w:tc>
          <w:tcPr>
            <w:tcW w:w="653" w:type="pct"/>
            <w:vAlign w:val="center"/>
          </w:tcPr>
          <w:p w14:paraId="3E05C2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520" w:type="pct"/>
            <w:vAlign w:val="center"/>
          </w:tcPr>
          <w:p w14:paraId="7E0C48FC">
            <w:pPr>
              <w:pStyle w:val="28"/>
              <w:rPr>
                <w:color w:val="000000" w:themeColor="text1"/>
                <w14:textFill>
                  <w14:solidFill>
                    <w14:schemeClr w14:val="tx1"/>
                  </w14:solidFill>
                </w14:textFill>
              </w:rPr>
            </w:pPr>
            <w:r>
              <w:rPr>
                <w:color w:val="000000" w:themeColor="text1"/>
                <w14:textFill>
                  <w14:solidFill>
                    <w14:schemeClr w14:val="tx1"/>
                  </w14:solidFill>
                </w14:textFill>
              </w:rPr>
              <w:t>电钻</w:t>
            </w:r>
          </w:p>
        </w:tc>
        <w:tc>
          <w:tcPr>
            <w:tcW w:w="1520" w:type="pct"/>
            <w:vAlign w:val="center"/>
          </w:tcPr>
          <w:p w14:paraId="3858EF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0～115</w:t>
            </w:r>
          </w:p>
        </w:tc>
        <w:tc>
          <w:tcPr>
            <w:tcW w:w="1304" w:type="pct"/>
            <w:vAlign w:val="center"/>
          </w:tcPr>
          <w:p w14:paraId="46EB8F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105</w:t>
            </w:r>
          </w:p>
        </w:tc>
      </w:tr>
      <w:tr w14:paraId="7444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3C18A4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520" w:type="pct"/>
            <w:vAlign w:val="center"/>
          </w:tcPr>
          <w:p w14:paraId="186A8EAD">
            <w:pPr>
              <w:pStyle w:val="28"/>
              <w:rPr>
                <w:color w:val="000000" w:themeColor="text1"/>
                <w14:textFill>
                  <w14:solidFill>
                    <w14:schemeClr w14:val="tx1"/>
                  </w14:solidFill>
                </w14:textFill>
              </w:rPr>
            </w:pPr>
            <w:r>
              <w:rPr>
                <w:color w:val="000000" w:themeColor="text1"/>
                <w14:textFill>
                  <w14:solidFill>
                    <w14:schemeClr w14:val="tx1"/>
                  </w14:solidFill>
                </w14:textFill>
              </w:rPr>
              <w:t>电锤</w:t>
            </w:r>
          </w:p>
        </w:tc>
        <w:tc>
          <w:tcPr>
            <w:tcW w:w="1520" w:type="pct"/>
            <w:vAlign w:val="center"/>
          </w:tcPr>
          <w:p w14:paraId="4AF038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0～105</w:t>
            </w:r>
          </w:p>
        </w:tc>
        <w:tc>
          <w:tcPr>
            <w:tcW w:w="1304" w:type="pct"/>
            <w:vAlign w:val="center"/>
          </w:tcPr>
          <w:p w14:paraId="7CBCDB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r>
      <w:tr w14:paraId="00CB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0B4229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520" w:type="pct"/>
            <w:vAlign w:val="center"/>
          </w:tcPr>
          <w:p w14:paraId="0449D938">
            <w:pPr>
              <w:pStyle w:val="28"/>
              <w:rPr>
                <w:color w:val="000000" w:themeColor="text1"/>
                <w14:textFill>
                  <w14:solidFill>
                    <w14:schemeClr w14:val="tx1"/>
                  </w14:solidFill>
                </w14:textFill>
              </w:rPr>
            </w:pPr>
            <w:r>
              <w:rPr>
                <w:color w:val="000000" w:themeColor="text1"/>
                <w14:textFill>
                  <w14:solidFill>
                    <w14:schemeClr w14:val="tx1"/>
                  </w14:solidFill>
                </w14:textFill>
              </w:rPr>
              <w:t>手工钻</w:t>
            </w:r>
          </w:p>
        </w:tc>
        <w:tc>
          <w:tcPr>
            <w:tcW w:w="1520" w:type="pct"/>
            <w:vAlign w:val="center"/>
          </w:tcPr>
          <w:p w14:paraId="201EDA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0～105</w:t>
            </w:r>
          </w:p>
        </w:tc>
        <w:tc>
          <w:tcPr>
            <w:tcW w:w="1304" w:type="pct"/>
            <w:vAlign w:val="center"/>
          </w:tcPr>
          <w:p w14:paraId="5AB585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r>
      <w:tr w14:paraId="71E5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0771CA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520" w:type="pct"/>
            <w:vAlign w:val="center"/>
          </w:tcPr>
          <w:p w14:paraId="336FB57B">
            <w:pPr>
              <w:pStyle w:val="28"/>
              <w:rPr>
                <w:color w:val="000000" w:themeColor="text1"/>
                <w14:textFill>
                  <w14:solidFill>
                    <w14:schemeClr w14:val="tx1"/>
                  </w14:solidFill>
                </w14:textFill>
              </w:rPr>
            </w:pPr>
            <w:r>
              <w:rPr>
                <w:color w:val="000000" w:themeColor="text1"/>
                <w14:textFill>
                  <w14:solidFill>
                    <w14:schemeClr w14:val="tx1"/>
                  </w14:solidFill>
                </w14:textFill>
              </w:rPr>
              <w:t>无齿锯</w:t>
            </w:r>
          </w:p>
        </w:tc>
        <w:tc>
          <w:tcPr>
            <w:tcW w:w="1520" w:type="pct"/>
            <w:vAlign w:val="center"/>
          </w:tcPr>
          <w:p w14:paraId="5F91F4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～105</w:t>
            </w:r>
          </w:p>
        </w:tc>
        <w:tc>
          <w:tcPr>
            <w:tcW w:w="1304" w:type="pct"/>
            <w:vAlign w:val="center"/>
          </w:tcPr>
          <w:p w14:paraId="7D639F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r>
      <w:tr w14:paraId="7EA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653" w:type="pct"/>
            <w:vAlign w:val="center"/>
          </w:tcPr>
          <w:p w14:paraId="16636A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520" w:type="pct"/>
            <w:vAlign w:val="center"/>
          </w:tcPr>
          <w:p w14:paraId="7F0B3D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起重机</w:t>
            </w:r>
          </w:p>
        </w:tc>
        <w:tc>
          <w:tcPr>
            <w:tcW w:w="1520" w:type="pct"/>
            <w:vAlign w:val="center"/>
          </w:tcPr>
          <w:p w14:paraId="6D4AF02A">
            <w:pPr>
              <w:pStyle w:val="28"/>
              <w:rPr>
                <w:color w:val="000000" w:themeColor="text1"/>
                <w14:textFill>
                  <w14:solidFill>
                    <w14:schemeClr w14:val="tx1"/>
                  </w14:solidFill>
                </w14:textFill>
              </w:rPr>
            </w:pPr>
            <w:r>
              <w:rPr>
                <w:color w:val="000000" w:themeColor="text1"/>
                <w14:textFill>
                  <w14:solidFill>
                    <w14:schemeClr w14:val="tx1"/>
                  </w14:solidFill>
                </w14:textFill>
              </w:rPr>
              <w:t>90～100</w:t>
            </w:r>
          </w:p>
        </w:tc>
        <w:tc>
          <w:tcPr>
            <w:tcW w:w="1304" w:type="pct"/>
            <w:vAlign w:val="center"/>
          </w:tcPr>
          <w:p w14:paraId="6EEC6A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r>
    </w:tbl>
    <w:p w14:paraId="7FE483D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4、固体废物</w:t>
      </w:r>
    </w:p>
    <w:p w14:paraId="7CA26FB2">
      <w:pPr>
        <w:ind w:firstLine="480"/>
        <w:rPr>
          <w:color w:val="000000" w:themeColor="text1"/>
          <w14:textFill>
            <w14:solidFill>
              <w14:schemeClr w14:val="tx1"/>
            </w14:solidFill>
          </w14:textFill>
        </w:rPr>
      </w:pPr>
      <w:r>
        <w:rPr>
          <w:color w:val="000000" w:themeColor="text1"/>
          <w14:textFill>
            <w14:solidFill>
              <w14:schemeClr w14:val="tx1"/>
            </w14:solidFill>
          </w14:textFill>
        </w:rPr>
        <w:t>施工阶段的固体废物主要为废包装材料和施工人员产生的生活垃圾。</w:t>
      </w:r>
    </w:p>
    <w:p w14:paraId="7EA40076">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废包装材料</w:t>
      </w:r>
    </w:p>
    <w:p w14:paraId="74B2B85C">
      <w:pPr>
        <w:ind w:firstLine="480"/>
        <w:rPr>
          <w:color w:val="000000" w:themeColor="text1"/>
          <w14:textFill>
            <w14:solidFill>
              <w14:schemeClr w14:val="tx1"/>
            </w14:solidFill>
          </w14:textFill>
        </w:rPr>
      </w:pPr>
      <w:r>
        <w:rPr>
          <w:color w:val="000000" w:themeColor="text1"/>
          <w14:textFill>
            <w14:solidFill>
              <w14:schemeClr w14:val="tx1"/>
            </w14:solidFill>
          </w14:textFill>
        </w:rPr>
        <w:t>废包装材料主要是纸箱、木箱以及打包条，分类收集，可回收利用的回收利用，不可回收利用并入生活垃圾一起处置。</w:t>
      </w:r>
    </w:p>
    <w:p w14:paraId="0757874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生活垃圾</w:t>
      </w:r>
    </w:p>
    <w:p w14:paraId="43EC766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人数为10人/d，根据《城镇生活源产排污系数手册》并结合项目实际情况，生活垃圾按0.3kg/d·人计，本项目施工期生活垃圾产生量为3kg/d。施工场地内设置垃圾收集桶，生活垃圾定点收集后委托环卫部门统一清运处置。</w:t>
      </w:r>
    </w:p>
    <w:p w14:paraId="6186D9DB">
      <w:pPr>
        <w:pStyle w:val="3"/>
        <w:rPr>
          <w:color w:val="000000" w:themeColor="text1"/>
          <w14:textFill>
            <w14:solidFill>
              <w14:schemeClr w14:val="tx1"/>
            </w14:solidFill>
          </w14:textFill>
        </w:rPr>
      </w:pPr>
      <w:bookmarkStart w:id="50" w:name="_Toc342"/>
      <w:r>
        <w:rPr>
          <w:rFonts w:hint="eastAsia"/>
          <w:color w:val="000000" w:themeColor="text1"/>
          <w14:textFill>
            <w14:solidFill>
              <w14:schemeClr w14:val="tx1"/>
            </w14:solidFill>
          </w14:textFill>
        </w:rPr>
        <w:t>3.2运营期工程分析</w:t>
      </w:r>
      <w:bookmarkEnd w:id="50"/>
    </w:p>
    <w:p w14:paraId="2CDF2016">
      <w:pPr>
        <w:pStyle w:val="4"/>
        <w:rPr>
          <w:color w:val="000000" w:themeColor="text1"/>
          <w14:textFill>
            <w14:solidFill>
              <w14:schemeClr w14:val="tx1"/>
            </w14:solidFill>
          </w14:textFill>
        </w:rPr>
      </w:pPr>
      <w:bookmarkStart w:id="51" w:name="_Toc20108"/>
      <w:r>
        <w:rPr>
          <w:rFonts w:hint="eastAsia"/>
          <w:color w:val="000000" w:themeColor="text1"/>
          <w14:textFill>
            <w14:solidFill>
              <w14:schemeClr w14:val="tx1"/>
            </w14:solidFill>
          </w14:textFill>
        </w:rPr>
        <w:t>3.2.1工艺流程及产污环节</w:t>
      </w:r>
      <w:bookmarkEnd w:id="51"/>
    </w:p>
    <w:p w14:paraId="22474014">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1、反应机理</w:t>
      </w:r>
    </w:p>
    <w:p w14:paraId="464D949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本项目采用五硫化二磷、硫化锂、氯化锂进行硫化物固态电解质材料生产，核心机理是先经反应形成基础硫化物体系，再引入氯元素优化晶体结构与离子传输性能，最终获得硫银锗矿型Li</w:t>
      </w:r>
      <w:r>
        <w:rPr>
          <w:rFonts w:hint="eastAsia" w:cs="Times New Roman"/>
          <w:color w:val="000000" w:themeColor="text1"/>
          <w:vertAlign w:val="subscript"/>
          <w14:textFill>
            <w14:solidFill>
              <w14:schemeClr w14:val="tx1"/>
            </w14:solidFill>
          </w14:textFill>
        </w:rPr>
        <w:t>6</w:t>
      </w:r>
      <w:r>
        <w:rPr>
          <w:rFonts w:hint="eastAsia" w:cs="Times New Roman"/>
          <w:color w:val="000000" w:themeColor="text1"/>
          <w14:textFill>
            <w14:solidFill>
              <w14:schemeClr w14:val="tx1"/>
            </w14:solidFill>
          </w14:textFill>
        </w:rPr>
        <w:t>PS</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Cl（LPSCl）硫化物固态电解质，具体过程反应机理如下：</w:t>
      </w:r>
    </w:p>
    <w:p w14:paraId="5D5C181A">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第一步：</w:t>
      </w:r>
      <w:r>
        <w:rPr>
          <w:rFonts w:cs="Times New Roman"/>
          <w:color w:val="000000" w:themeColor="text1"/>
          <w14:textFill>
            <w14:solidFill>
              <w14:schemeClr w14:val="tx1"/>
            </w14:solidFill>
          </w14:textFill>
        </w:rPr>
        <w:t>基础硫代磷酸盐骨架形成（Li₃PS₄中间体生成）</w:t>
      </w:r>
    </w:p>
    <w:p w14:paraId="44F1399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P₂S₅与Li₂S优先发生化合反应，构建电解质核心硫化物骨架（PS₄³⁻四面体结构），这是离子传输通道的基础：</w:t>
      </w:r>
    </w:p>
    <w:p w14:paraId="44B91F8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P₂S₅ + </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Li₂S</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2Li₃PS₄</w:t>
      </w:r>
    </w:p>
    <w:p w14:paraId="37280742">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第二步：</w:t>
      </w:r>
      <w:r>
        <w:rPr>
          <w:rFonts w:cs="Times New Roman"/>
          <w:color w:val="000000" w:themeColor="text1"/>
          <w14:textFill>
            <w14:solidFill>
              <w14:schemeClr w14:val="tx1"/>
            </w14:solidFill>
          </w14:textFill>
        </w:rPr>
        <w:t>Cl⁻嵌入与晶格重构（生成 Li₆PS₅Cl）</w:t>
      </w:r>
    </w:p>
    <w:p w14:paraId="763017B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剩余Li₂S提供额外Li⁺，LiCl提供Cl⁻，二者与Li₃PS₄中间体在热处理过程中发生晶格掺杂与重构，Cl⁻取代部分S²⁻的晶格位点，形成稳定的硫银锗矿型晶体结构：</w:t>
      </w:r>
    </w:p>
    <w:p w14:paraId="5D2454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2Li₃PS₄</w:t>
      </w:r>
      <w:r>
        <w:rPr>
          <w:rFonts w:hint="eastAsia" w:cs="Times New Roman"/>
          <w:color w:val="000000" w:themeColor="text1"/>
          <w14:textFill>
            <w14:solidFill>
              <w14:schemeClr w14:val="tx1"/>
            </w14:solidFill>
          </w14:textFill>
        </w:rPr>
        <w:t xml:space="preserve"> + 2</w:t>
      </w:r>
      <w:r>
        <w:rPr>
          <w:rFonts w:cs="Times New Roman"/>
          <w:color w:val="000000" w:themeColor="text1"/>
          <w14:textFill>
            <w14:solidFill>
              <w14:schemeClr w14:val="tx1"/>
            </w14:solidFill>
          </w14:textFill>
        </w:rPr>
        <w:t>Li₂S</w:t>
      </w:r>
      <w:r>
        <w:rPr>
          <w:rFonts w:hint="eastAsia" w:cs="Times New Roman"/>
          <w:color w:val="000000" w:themeColor="text1"/>
          <w14:textFill>
            <w14:solidFill>
              <w14:schemeClr w14:val="tx1"/>
            </w14:solidFill>
          </w14:textFill>
        </w:rPr>
        <w:t xml:space="preserve"> + 2</w:t>
      </w:r>
      <w:r>
        <w:rPr>
          <w:rFonts w:cs="Times New Roman"/>
          <w:color w:val="000000" w:themeColor="text1"/>
          <w14:textFill>
            <w14:solidFill>
              <w14:schemeClr w14:val="tx1"/>
            </w14:solidFill>
          </w14:textFill>
        </w:rPr>
        <w:t>LiCl</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 xml:space="preserve"> 2Li</w:t>
      </w:r>
      <w:r>
        <w:rPr>
          <w:rFonts w:hint="eastAsia" w:cs="Times New Roman"/>
          <w:color w:val="000000" w:themeColor="text1"/>
          <w:vertAlign w:val="subscript"/>
          <w14:textFill>
            <w14:solidFill>
              <w14:schemeClr w14:val="tx1"/>
            </w14:solidFill>
          </w14:textFill>
        </w:rPr>
        <w:t>6</w:t>
      </w:r>
      <w:r>
        <w:rPr>
          <w:rFonts w:hint="eastAsia" w:cs="Times New Roman"/>
          <w:color w:val="000000" w:themeColor="text1"/>
          <w14:textFill>
            <w14:solidFill>
              <w14:schemeClr w14:val="tx1"/>
            </w14:solidFill>
          </w14:textFill>
        </w:rPr>
        <w:t>PS</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Cl</w:t>
      </w:r>
    </w:p>
    <w:p w14:paraId="42CE49B8">
      <w:pPr>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总反应方程式：</w:t>
      </w:r>
    </w:p>
    <w:p w14:paraId="02104B8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P₂S₅ + </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Li₂S</w:t>
      </w:r>
      <w:r>
        <w:rPr>
          <w:rFonts w:hint="eastAsia" w:cs="Times New Roman"/>
          <w:color w:val="000000" w:themeColor="text1"/>
          <w14:textFill>
            <w14:solidFill>
              <w14:schemeClr w14:val="tx1"/>
            </w14:solidFill>
          </w14:textFill>
        </w:rPr>
        <w:t xml:space="preserve"> + 2</w:t>
      </w:r>
      <w:r>
        <w:rPr>
          <w:rFonts w:cs="Times New Roman"/>
          <w:color w:val="000000" w:themeColor="text1"/>
          <w14:textFill>
            <w14:solidFill>
              <w14:schemeClr w14:val="tx1"/>
            </w14:solidFill>
          </w14:textFill>
        </w:rPr>
        <w:t>LiCl</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 xml:space="preserve"> 2Li</w:t>
      </w:r>
      <w:r>
        <w:rPr>
          <w:rFonts w:hint="eastAsia" w:cs="Times New Roman"/>
          <w:color w:val="000000" w:themeColor="text1"/>
          <w:vertAlign w:val="subscript"/>
          <w14:textFill>
            <w14:solidFill>
              <w14:schemeClr w14:val="tx1"/>
            </w14:solidFill>
          </w14:textFill>
        </w:rPr>
        <w:t>6</w:t>
      </w:r>
      <w:r>
        <w:rPr>
          <w:rFonts w:hint="eastAsia" w:cs="Times New Roman"/>
          <w:color w:val="000000" w:themeColor="text1"/>
          <w14:textFill>
            <w14:solidFill>
              <w14:schemeClr w14:val="tx1"/>
            </w14:solidFill>
          </w14:textFill>
        </w:rPr>
        <w:t>PS</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Cl</w:t>
      </w:r>
    </w:p>
    <w:p w14:paraId="4338131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该反应</w:t>
      </w:r>
      <w:r>
        <w:rPr>
          <w:rFonts w:cs="Times New Roman"/>
          <w:color w:val="000000" w:themeColor="text1"/>
          <w14:textFill>
            <w14:solidFill>
              <w14:schemeClr w14:val="tx1"/>
            </w14:solidFill>
          </w14:textFill>
        </w:rPr>
        <w:t>仅涉及</w:t>
      </w:r>
      <w:r>
        <w:rPr>
          <w:rFonts w:hint="eastAsia" w:ascii="宋体" w:hAnsi="宋体" w:cs="宋体"/>
          <w:color w:val="000000" w:themeColor="text1"/>
          <w14:textFill>
            <w14:solidFill>
              <w14:schemeClr w14:val="tx1"/>
            </w14:solidFill>
          </w14:textFill>
        </w:rPr>
        <w:t>“骨架构建”和“晶格掺杂”</w:t>
      </w:r>
      <w:r>
        <w:rPr>
          <w:rFonts w:cs="Times New Roman"/>
          <w:color w:val="000000" w:themeColor="text1"/>
          <w14:textFill>
            <w14:solidFill>
              <w14:schemeClr w14:val="tx1"/>
            </w14:solidFill>
          </w14:textFill>
        </w:rPr>
        <w:t>，无多余元素参与，因此无</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副产物</w:t>
      </w:r>
      <w:r>
        <w:rPr>
          <w:rFonts w:hint="eastAsia" w:cs="Times New Roman"/>
          <w:color w:val="000000" w:themeColor="text1"/>
          <w14:textFill>
            <w14:solidFill>
              <w14:schemeClr w14:val="tx1"/>
            </w14:solidFill>
          </w14:textFill>
        </w:rPr>
        <w:t>产生。</w:t>
      </w:r>
    </w:p>
    <w:p w14:paraId="020A08CF">
      <w:pPr>
        <w:ind w:firstLine="482"/>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2、工艺流程及产污环节</w:t>
      </w:r>
    </w:p>
    <w:p w14:paraId="52C4838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本项目生产工艺流程主要包括：</w:t>
      </w:r>
      <w:r>
        <w:rPr>
          <w:rFonts w:hint="eastAsia" w:cs="Times New Roman"/>
          <w:color w:val="000000" w:themeColor="text1"/>
          <w14:textFill>
            <w14:solidFill>
              <w14:schemeClr w14:val="tx1"/>
            </w14:solidFill>
          </w14:textFill>
        </w:rPr>
        <w:t>混合、烧结、破碎、砂磨、离心、干燥、二次破碎、产品测试、打包</w:t>
      </w:r>
      <w:r>
        <w:rPr>
          <w:rFonts w:cs="Times New Roman"/>
          <w:color w:val="000000" w:themeColor="text1"/>
          <w14:textFill>
            <w14:solidFill>
              <w14:schemeClr w14:val="tx1"/>
            </w14:solidFill>
          </w14:textFill>
        </w:rPr>
        <w:t>。工艺流程简述如下：</w:t>
      </w:r>
    </w:p>
    <w:p w14:paraId="4CD60549">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混合：</w:t>
      </w:r>
      <w:r>
        <w:rPr>
          <w:rFonts w:cs="Times New Roman"/>
          <w:color w:val="000000" w:themeColor="text1"/>
          <w14:textFill>
            <w14:solidFill>
              <w14:schemeClr w14:val="tx1"/>
            </w14:solidFill>
          </w14:textFill>
        </w:rPr>
        <w:t>通过人工投料方式将原料硫化锂、五硫化二磷、氯化锂放入</w:t>
      </w:r>
      <w:r>
        <w:rPr>
          <w:rFonts w:hint="eastAsia" w:cs="Times New Roman"/>
          <w:color w:val="000000" w:themeColor="text1"/>
          <w14:textFill>
            <w14:solidFill>
              <w14:schemeClr w14:val="tx1"/>
            </w14:solidFill>
          </w14:textFill>
        </w:rPr>
        <w:t>高混机</w:t>
      </w:r>
      <w:r>
        <w:rPr>
          <w:rFonts w:cs="Times New Roman"/>
          <w:color w:val="000000" w:themeColor="text1"/>
          <w14:textFill>
            <w14:solidFill>
              <w14:schemeClr w14:val="tx1"/>
            </w14:solidFill>
          </w14:textFill>
        </w:rPr>
        <w:t>内充分混合</w:t>
      </w:r>
      <w:r>
        <w:rPr>
          <w:rFonts w:hint="eastAsia" w:cs="Times New Roman"/>
          <w:color w:val="000000" w:themeColor="text1"/>
          <w14:textFill>
            <w14:solidFill>
              <w14:schemeClr w14:val="tx1"/>
            </w14:solidFill>
          </w14:textFill>
        </w:rPr>
        <w:t>。高混机</w:t>
      </w:r>
      <w:r>
        <w:rPr>
          <w:rFonts w:cs="Times New Roman"/>
          <w:color w:val="000000" w:themeColor="text1"/>
          <w14:textFill>
            <w14:solidFill>
              <w14:schemeClr w14:val="tx1"/>
            </w14:solidFill>
          </w14:textFill>
        </w:rPr>
        <w:t>需要用15℃以下低温水进行冷却，间接冷却，冷却水循环使用，定期补充。</w:t>
      </w:r>
      <w:r>
        <w:rPr>
          <w:rFonts w:hint="eastAsia" w:cs="Times New Roman"/>
          <w:color w:val="000000" w:themeColor="text1"/>
          <w14:textFill>
            <w14:solidFill>
              <w14:schemeClr w14:val="tx1"/>
            </w14:solidFill>
          </w14:textFill>
        </w:rPr>
        <w:t>投料过程中会有粉尘产生。</w:t>
      </w:r>
    </w:p>
    <w:p w14:paraId="31FA3468">
      <w:pPr>
        <w:ind w:firstLine="482"/>
        <w:rPr>
          <w:rFonts w:cs="Times New Roman"/>
          <w:color w:val="000000" w:themeColor="text1"/>
          <w:highlight w:val="yellow"/>
          <w14:textFill>
            <w14:solidFill>
              <w14:schemeClr w14:val="tx1"/>
            </w14:solidFill>
          </w14:textFill>
        </w:rPr>
      </w:pPr>
      <w:r>
        <w:rPr>
          <w:rFonts w:hint="eastAsia" w:cs="Times New Roman"/>
          <w:b/>
          <w:bCs/>
          <w:color w:val="000000" w:themeColor="text1"/>
          <w14:textFill>
            <w14:solidFill>
              <w14:schemeClr w14:val="tx1"/>
            </w14:solidFill>
          </w14:textFill>
        </w:rPr>
        <w:t>烧结：</w:t>
      </w:r>
      <w:r>
        <w:rPr>
          <w:rFonts w:cs="Times New Roman"/>
          <w:color w:val="000000" w:themeColor="text1"/>
          <w14:textFill>
            <w14:solidFill>
              <w14:schemeClr w14:val="tx1"/>
            </w14:solidFill>
          </w14:textFill>
        </w:rPr>
        <w:t>混合后的物料通过装钵处理后转移至箱式炉内，在氮气氛围下进行烧结，避免接触水和氧气，发生合成反应，烧结热源采用电能，烧结温度为300~800℃，烧结时间为2~12h。</w:t>
      </w:r>
    </w:p>
    <w:p w14:paraId="60FFA138">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破碎：</w:t>
      </w:r>
      <w:r>
        <w:rPr>
          <w:rFonts w:cs="Times New Roman"/>
          <w:color w:val="000000" w:themeColor="text1"/>
          <w14:textFill>
            <w14:solidFill>
              <w14:schemeClr w14:val="tx1"/>
            </w14:solidFill>
          </w14:textFill>
        </w:rPr>
        <w:t>烧结后得到块状物料，通过人工转移至粉碎系统进行破碎，</w:t>
      </w:r>
      <w:r>
        <w:rPr>
          <w:rFonts w:hint="eastAsia" w:cs="Times New Roman"/>
          <w:color w:val="000000" w:themeColor="text1"/>
          <w14:textFill>
            <w14:solidFill>
              <w14:schemeClr w14:val="tx1"/>
            </w14:solidFill>
          </w14:textFill>
        </w:rPr>
        <w:t>粉碎机为封闭设备，破碎过程中无粉尘产生。</w:t>
      </w:r>
    </w:p>
    <w:p w14:paraId="30C2BF1A">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砂磨：</w:t>
      </w:r>
      <w:r>
        <w:rPr>
          <w:rFonts w:cs="Times New Roman"/>
          <w:color w:val="000000" w:themeColor="text1"/>
          <w14:textFill>
            <w14:solidFill>
              <w14:schemeClr w14:val="tx1"/>
            </w14:solidFill>
          </w14:textFill>
        </w:rPr>
        <w:t>破碎后的物料</w:t>
      </w:r>
      <w:r>
        <w:rPr>
          <w:rFonts w:hint="eastAsia" w:cs="Times New Roman"/>
          <w:color w:val="000000" w:themeColor="text1"/>
          <w14:textFill>
            <w14:solidFill>
              <w14:schemeClr w14:val="tx1"/>
            </w14:solidFill>
          </w14:textFill>
        </w:rPr>
        <w:t>与有机溶剂（球磨介质）</w:t>
      </w:r>
      <w:r>
        <w:rPr>
          <w:rFonts w:cs="Times New Roman"/>
          <w:color w:val="000000" w:themeColor="text1"/>
          <w14:textFill>
            <w14:solidFill>
              <w14:schemeClr w14:val="tx1"/>
            </w14:solidFill>
          </w14:textFill>
        </w:rPr>
        <w:t>按照一定的比例（比例为：1：2~1：8）加入到砂磨机中球磨</w:t>
      </w:r>
      <w:r>
        <w:rPr>
          <w:rFonts w:hint="eastAsia" w:cs="Times New Roman"/>
          <w:color w:val="000000" w:themeColor="text1"/>
          <w14:textFill>
            <w14:solidFill>
              <w14:schemeClr w14:val="tx1"/>
            </w14:solidFill>
          </w14:textFill>
        </w:rPr>
        <w:t>，经球磨</w:t>
      </w:r>
      <w:r>
        <w:rPr>
          <w:rFonts w:cs="Times New Roman"/>
          <w:color w:val="000000" w:themeColor="text1"/>
          <w14:textFill>
            <w14:solidFill>
              <w14:schemeClr w14:val="tx1"/>
            </w14:solidFill>
          </w14:textFill>
        </w:rPr>
        <w:t>0.1~6h后得到浆料。</w:t>
      </w:r>
      <w:r>
        <w:rPr>
          <w:rFonts w:hint="eastAsia" w:cs="Times New Roman"/>
          <w:color w:val="000000" w:themeColor="text1"/>
          <w14:textFill>
            <w14:solidFill>
              <w14:schemeClr w14:val="tx1"/>
            </w14:solidFill>
          </w14:textFill>
        </w:rPr>
        <w:t>根据客户要求，有机溶剂可能是单组分，也可能进行调配后使用，本环评按1：8进行考虑。</w:t>
      </w:r>
      <w:r>
        <w:rPr>
          <w:rFonts w:cs="Times New Roman"/>
          <w:color w:val="000000" w:themeColor="text1"/>
          <w14:textFill>
            <w14:solidFill>
              <w14:schemeClr w14:val="tx1"/>
            </w14:solidFill>
          </w14:textFill>
        </w:rPr>
        <w:t>在球磨过程中需要用氮气进行保护，防止外界水和氧气进入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同时，球磨过程中</w:t>
      </w:r>
      <w:r>
        <w:rPr>
          <w:rFonts w:hint="eastAsia" w:cs="Times New Roman"/>
          <w:color w:val="000000" w:themeColor="text1"/>
          <w14:textFill>
            <w14:solidFill>
              <w14:schemeClr w14:val="tx1"/>
            </w14:solidFill>
          </w14:textFill>
        </w:rPr>
        <w:t>球磨设备</w:t>
      </w:r>
      <w:r>
        <w:rPr>
          <w:rFonts w:cs="Times New Roman"/>
          <w:color w:val="000000" w:themeColor="text1"/>
          <w14:textFill>
            <w14:solidFill>
              <w14:schemeClr w14:val="tx1"/>
            </w14:solidFill>
          </w14:textFill>
        </w:rPr>
        <w:t>需要用15℃以下低温水进行冷却，</w:t>
      </w:r>
      <w:r>
        <w:rPr>
          <w:rFonts w:hint="eastAsia" w:cs="Times New Roman"/>
          <w:color w:val="000000" w:themeColor="text1"/>
          <w14:textFill>
            <w14:solidFill>
              <w14:schemeClr w14:val="tx1"/>
            </w14:solidFill>
          </w14:textFill>
        </w:rPr>
        <w:t>间接冷却</w:t>
      </w:r>
      <w:r>
        <w:rPr>
          <w:rFonts w:cs="Times New Roman"/>
          <w:color w:val="000000" w:themeColor="text1"/>
          <w14:textFill>
            <w14:solidFill>
              <w14:schemeClr w14:val="tx1"/>
            </w14:solidFill>
          </w14:textFill>
        </w:rPr>
        <w:t>，冷却水循环使用，定期补充。</w:t>
      </w:r>
      <w:r>
        <w:rPr>
          <w:rFonts w:hint="eastAsia" w:cs="Times New Roman"/>
          <w:color w:val="000000" w:themeColor="text1"/>
          <w14:textFill>
            <w14:solidFill>
              <w14:schemeClr w14:val="tx1"/>
            </w14:solidFill>
          </w14:textFill>
        </w:rPr>
        <w:t>砂磨机每3~6个月先用有机溶剂清洗，再用NaOH碱液清洗。清洗过程中产生的废有机溶剂、砂磨机碱洗废碱液采用废液桶收集后，暂存于危废暂存间内交由有资质的单位清运处置。</w:t>
      </w:r>
    </w:p>
    <w:p w14:paraId="10484BA0">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离心：</w:t>
      </w:r>
      <w:r>
        <w:rPr>
          <w:rFonts w:cs="Times New Roman"/>
          <w:color w:val="000000" w:themeColor="text1"/>
          <w14:textFill>
            <w14:solidFill>
              <w14:schemeClr w14:val="tx1"/>
            </w14:solidFill>
          </w14:textFill>
        </w:rPr>
        <w:t>球磨后得到的浆料</w:t>
      </w:r>
      <w:r>
        <w:rPr>
          <w:rFonts w:hint="eastAsia" w:cs="Times New Roman"/>
          <w:color w:val="000000" w:themeColor="text1"/>
          <w14:textFill>
            <w14:solidFill>
              <w14:schemeClr w14:val="tx1"/>
            </w14:solidFill>
          </w14:textFill>
        </w:rPr>
        <w:t>采用离心机进行固液分离</w:t>
      </w:r>
      <w:r>
        <w:rPr>
          <w:rFonts w:cs="Times New Roman"/>
          <w:color w:val="000000" w:themeColor="text1"/>
          <w14:textFill>
            <w14:solidFill>
              <w14:schemeClr w14:val="tx1"/>
            </w14:solidFill>
          </w14:textFill>
        </w:rPr>
        <w:t>，大部分有机溶剂经分离出来，极少部分随浆料带出，</w:t>
      </w:r>
      <w:r>
        <w:rPr>
          <w:rFonts w:hint="eastAsia" w:cs="Times New Roman"/>
          <w:color w:val="000000" w:themeColor="text1"/>
          <w14:textFill>
            <w14:solidFill>
              <w14:schemeClr w14:val="tx1"/>
            </w14:solidFill>
          </w14:textFill>
        </w:rPr>
        <w:t>离心后的废有机溶剂</w:t>
      </w:r>
      <w:r>
        <w:rPr>
          <w:rFonts w:cs="Times New Roman"/>
          <w:color w:val="000000" w:themeColor="text1"/>
          <w14:textFill>
            <w14:solidFill>
              <w14:schemeClr w14:val="tx1"/>
            </w14:solidFill>
          </w14:textFill>
        </w:rPr>
        <w:t>作危废处理。</w:t>
      </w:r>
      <w:r>
        <w:rPr>
          <w:rFonts w:hint="eastAsia" w:cs="Times New Roman"/>
          <w:color w:val="000000" w:themeColor="text1"/>
          <w14:textFill>
            <w14:solidFill>
              <w14:schemeClr w14:val="tx1"/>
            </w14:solidFill>
          </w14:textFill>
        </w:rPr>
        <w:t>在离心过程中需要用氮气进行保护，避免物料与空气中的水和氧气发生反应。</w:t>
      </w:r>
    </w:p>
    <w:p w14:paraId="55BF0CEC">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干燥：</w:t>
      </w:r>
      <w:r>
        <w:rPr>
          <w:rFonts w:hint="eastAsia" w:cs="Times New Roman"/>
          <w:color w:val="000000" w:themeColor="text1"/>
          <w14:textFill>
            <w14:solidFill>
              <w14:schemeClr w14:val="tx1"/>
            </w14:solidFill>
          </w14:textFill>
        </w:rPr>
        <w:t>离心后的物料通过</w:t>
      </w:r>
      <w:r>
        <w:rPr>
          <w:rFonts w:cs="Times New Roman"/>
          <w:color w:val="000000" w:themeColor="text1"/>
          <w14:textFill>
            <w14:solidFill>
              <w14:schemeClr w14:val="tx1"/>
            </w14:solidFill>
          </w14:textFill>
        </w:rPr>
        <w:t>人工转移方式置于干燥机在50~200℃真空条件下干燥0.1~6h。干燥过程蒸发的有机溶剂</w:t>
      </w:r>
      <w:r>
        <w:rPr>
          <w:rFonts w:hint="eastAsia" w:cs="Times New Roman"/>
          <w:color w:val="000000" w:themeColor="text1"/>
          <w14:textFill>
            <w14:solidFill>
              <w14:schemeClr w14:val="tx1"/>
            </w14:solidFill>
          </w14:textFill>
        </w:rPr>
        <w:t>进入废气处理系统。干燥</w:t>
      </w:r>
      <w:r>
        <w:rPr>
          <w:rFonts w:cs="Times New Roman"/>
          <w:color w:val="000000" w:themeColor="text1"/>
          <w14:textFill>
            <w14:solidFill>
              <w14:schemeClr w14:val="tx1"/>
            </w14:solidFill>
          </w14:textFill>
        </w:rPr>
        <w:t>热源采用电能</w:t>
      </w:r>
      <w:r>
        <w:rPr>
          <w:rFonts w:hint="eastAsia" w:cs="Times New Roman"/>
          <w:color w:val="000000" w:themeColor="text1"/>
          <w14:textFill>
            <w14:solidFill>
              <w14:schemeClr w14:val="tx1"/>
            </w14:solidFill>
          </w14:textFill>
        </w:rPr>
        <w:t>，介质为导热油，间接干燥</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导热油2-5年进行更换，更换后的废导热油交由有资质的单位进行清运处置。干燥机</w:t>
      </w:r>
      <w:r>
        <w:rPr>
          <w:rFonts w:cs="Times New Roman"/>
          <w:color w:val="000000" w:themeColor="text1"/>
          <w14:textFill>
            <w14:solidFill>
              <w14:schemeClr w14:val="tx1"/>
            </w14:solidFill>
          </w14:textFill>
        </w:rPr>
        <w:t>需要用15℃以下低温水进行冷却，间接冷却，冷却水循环使用，定期补充</w:t>
      </w:r>
      <w:r>
        <w:rPr>
          <w:rFonts w:hint="eastAsia" w:cs="Times New Roman"/>
          <w:color w:val="000000" w:themeColor="text1"/>
          <w14:textFill>
            <w14:solidFill>
              <w14:schemeClr w14:val="tx1"/>
            </w14:solidFill>
          </w14:textFill>
        </w:rPr>
        <w:t>。</w:t>
      </w:r>
    </w:p>
    <w:p w14:paraId="19A279BD">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二次破碎：</w:t>
      </w: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客户需求</w:t>
      </w:r>
      <w:r>
        <w:rPr>
          <w:rFonts w:cs="Times New Roman"/>
          <w:color w:val="000000" w:themeColor="text1"/>
          <w14:textFill>
            <w14:solidFill>
              <w14:schemeClr w14:val="tx1"/>
            </w14:solidFill>
          </w14:textFill>
        </w:rPr>
        <w:t>，干燥后的物料需要通过人工转移至粉碎系统进行二次破碎处理</w:t>
      </w:r>
      <w:r>
        <w:rPr>
          <w:rFonts w:hint="eastAsia" w:cs="Times New Roman"/>
          <w:color w:val="000000" w:themeColor="text1"/>
          <w14:textFill>
            <w14:solidFill>
              <w14:schemeClr w14:val="tx1"/>
            </w14:solidFill>
          </w14:textFill>
        </w:rPr>
        <w:t>。</w:t>
      </w:r>
    </w:p>
    <w:p w14:paraId="75D6B9D5">
      <w:pPr>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产品测试、打包：</w:t>
      </w:r>
      <w:r>
        <w:rPr>
          <w:rFonts w:hint="eastAsia" w:cs="Times New Roman"/>
          <w:color w:val="000000" w:themeColor="text1"/>
          <w14:textFill>
            <w14:solidFill>
              <w14:schemeClr w14:val="tx1"/>
            </w14:solidFill>
          </w14:textFill>
        </w:rPr>
        <w:t>最终生产的产品需进行电流阻抗分析、激光粒度测试，满足产品要求后</w:t>
      </w:r>
      <w:r>
        <w:rPr>
          <w:rFonts w:cs="Times New Roman"/>
          <w:color w:val="000000" w:themeColor="text1"/>
          <w14:textFill>
            <w14:solidFill>
              <w14:schemeClr w14:val="tx1"/>
            </w14:solidFill>
          </w14:textFill>
        </w:rPr>
        <w:t>经人工包装后用推车送至成品堆放区</w:t>
      </w:r>
      <w:r>
        <w:rPr>
          <w:rFonts w:hint="eastAsia" w:cs="Times New Roman"/>
          <w:color w:val="000000" w:themeColor="text1"/>
          <w14:textFill>
            <w14:solidFill>
              <w14:schemeClr w14:val="tx1"/>
            </w14:solidFill>
          </w14:textFill>
        </w:rPr>
        <w:t>。</w:t>
      </w:r>
    </w:p>
    <w:p w14:paraId="26D0EF06">
      <w:pPr>
        <w:ind w:firstLine="480"/>
        <w:rPr>
          <w:rFonts w:cs="Times New Roman"/>
          <w:color w:val="000000" w:themeColor="text1"/>
          <w:highlight w:val="yellow"/>
          <w14:textFill>
            <w14:solidFill>
              <w14:schemeClr w14:val="tx1"/>
            </w14:solidFill>
          </w14:textFill>
        </w:rPr>
      </w:pPr>
      <w:r>
        <w:rPr>
          <w:rFonts w:hint="eastAsia" w:cs="Times New Roman"/>
          <w:color w:val="000000" w:themeColor="text1"/>
          <w14:textFill>
            <w14:solidFill>
              <w14:schemeClr w14:val="tx1"/>
            </w14:solidFill>
          </w14:textFill>
        </w:rPr>
        <w:t>产品测试过程中会产生测试残渣（主要是不合格的产品、测试器具上残留的残渣等），测试残渣收集后放置于通风橱内静置除味，残渣中的五硫化二磷/硫化锂与空气中的水份接触发生化学反应生产硫化氢。</w:t>
      </w:r>
    </w:p>
    <w:p w14:paraId="48470386">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产品测试过程中盛装过物料的测试器皿需要用到纯水进行清洗，清洗废水收集后经自建一体化污水处理站处理后排入玉溪市污水处理厂。清洗过程中残留的原料</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硫化</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磷/硫化锂遇水发生化学反应生产硫化氢</w:t>
      </w:r>
      <w:r>
        <w:rPr>
          <w:rFonts w:hint="eastAsia"/>
          <w:color w:val="000000" w:themeColor="text1"/>
          <w14:textFill>
            <w14:solidFill>
              <w14:schemeClr w14:val="tx1"/>
            </w14:solidFill>
          </w14:textFill>
        </w:rPr>
        <w:t>，有刺激性气味，废水收集池加盖密闭，预留废气溢散口，溢散口上方设置集气罩，废水处理站废气经收集并入废气处理系统处理后通过DA001排气筒排放。遇水化学反应如下：</w:t>
      </w:r>
    </w:p>
    <w:p w14:paraId="34CB23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+ 8H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2H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PO</w:t>
      </w:r>
      <w:r>
        <w:rPr>
          <w:rFonts w:hint="eastAsia"/>
          <w:color w:val="000000" w:themeColor="text1"/>
          <w:vertAlign w:val="subscript"/>
          <w14:textFill>
            <w14:solidFill>
              <w14:schemeClr w14:val="tx1"/>
            </w14:solidFill>
          </w14:textFill>
        </w:rPr>
        <w:t xml:space="preserve">4 </w:t>
      </w:r>
      <w:r>
        <w:rPr>
          <w:rFonts w:hint="eastAsia"/>
          <w:color w:val="000000" w:themeColor="text1"/>
          <w14:textFill>
            <w14:solidFill>
              <w14:schemeClr w14:val="tx1"/>
            </w14:solidFill>
          </w14:textFill>
        </w:rPr>
        <w:t>+ 5H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 （1）</w:t>
      </w:r>
    </w:p>
    <w:p w14:paraId="5ED1B4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Li</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LiHS + LiOH （2）</w:t>
      </w:r>
    </w:p>
    <w:p w14:paraId="18B350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LiHS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 + LiOH （3）：</w:t>
      </w:r>
    </w:p>
    <w:p w14:paraId="5694918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具体工艺流程</w:t>
      </w:r>
      <w:r>
        <w:rPr>
          <w:rFonts w:hint="eastAsia" w:cs="Times New Roman"/>
          <w:color w:val="000000" w:themeColor="text1"/>
          <w14:textFill>
            <w14:solidFill>
              <w14:schemeClr w14:val="tx1"/>
            </w14:solidFill>
          </w14:textFill>
        </w:rPr>
        <w:t>及产污环节</w:t>
      </w:r>
      <w:r>
        <w:rPr>
          <w:rFonts w:cs="Times New Roman"/>
          <w:color w:val="000000" w:themeColor="text1"/>
          <w14:textFill>
            <w14:solidFill>
              <w14:schemeClr w14:val="tx1"/>
            </w14:solidFill>
          </w14:textFill>
        </w:rPr>
        <w:t>见图2-</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所示。</w:t>
      </w:r>
    </w:p>
    <w:p w14:paraId="0D0FDBB9">
      <w:pPr>
        <w:pStyle w:val="27"/>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318.65pt;width:415.15pt;" o:ole="t" filled="f" o:preferrelative="t" stroked="f" coordsize="21600,21600">
            <v:path/>
            <v:fill on="f" focussize="0,0"/>
            <v:stroke on="f" joinstyle="miter"/>
            <v:imagedata r:id="rId24" o:title=""/>
            <o:lock v:ext="edit" aspectratio="f"/>
            <w10:wrap type="none"/>
            <w10:anchorlock/>
          </v:shape>
          <o:OLEObject Type="Embed" ProgID="Visio.Drawing.11" ShapeID="_x0000_i1026" DrawAspect="Content" ObjectID="_1468075726" r:id="rId23">
            <o:LockedField>false</o:LockedField>
          </o:OLEObject>
        </w:object>
      </w:r>
    </w:p>
    <w:p w14:paraId="6904CD21">
      <w:pPr>
        <w:pStyle w:val="27"/>
        <w:rPr>
          <w:color w:val="000000" w:themeColor="text1"/>
          <w14:textFill>
            <w14:solidFill>
              <w14:schemeClr w14:val="tx1"/>
            </w14:solidFill>
          </w14:textFill>
        </w:rPr>
      </w:pPr>
      <w:r>
        <w:rPr>
          <w:rStyle w:val="30"/>
          <w:b/>
          <w:color w:val="000000" w:themeColor="text1"/>
          <w14:textFill>
            <w14:solidFill>
              <w14:schemeClr w14:val="tx1"/>
            </w14:solidFill>
          </w14:textFill>
        </w:rPr>
        <w:t>图</w:t>
      </w:r>
      <w:r>
        <w:rPr>
          <w:rStyle w:val="30"/>
          <w:rFonts w:hint="eastAsia"/>
          <w:b/>
          <w:color w:val="000000" w:themeColor="text1"/>
          <w14:textFill>
            <w14:solidFill>
              <w14:schemeClr w14:val="tx1"/>
            </w14:solidFill>
          </w14:textFill>
        </w:rPr>
        <w:t>3.2-1</w:t>
      </w:r>
      <w:r>
        <w:rPr>
          <w:rStyle w:val="30"/>
          <w:b/>
          <w:color w:val="000000" w:themeColor="text1"/>
          <w14:textFill>
            <w14:solidFill>
              <w14:schemeClr w14:val="tx1"/>
            </w14:solidFill>
          </w14:textFill>
        </w:rPr>
        <w:t xml:space="preserve"> 项目工艺流程及产污环节图</w:t>
      </w:r>
    </w:p>
    <w:p w14:paraId="75EAC5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本项目污染源及污染物种类识别情况见下表：</w:t>
      </w:r>
    </w:p>
    <w:p w14:paraId="3E3CD188">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表3.2-1  污染源及污染物种类识别情况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917"/>
        <w:gridCol w:w="3479"/>
        <w:gridCol w:w="3432"/>
      </w:tblGrid>
      <w:tr w14:paraId="2EF6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93D4B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38" w:type="pct"/>
            <w:vAlign w:val="center"/>
          </w:tcPr>
          <w:p w14:paraId="07E117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2041" w:type="pct"/>
            <w:vAlign w:val="center"/>
          </w:tcPr>
          <w:p w14:paraId="39B633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c>
        <w:tc>
          <w:tcPr>
            <w:tcW w:w="2013" w:type="pct"/>
            <w:vAlign w:val="center"/>
          </w:tcPr>
          <w:p w14:paraId="6B3C31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r>
      <w:tr w14:paraId="095E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2D024D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38" w:type="pct"/>
            <w:vAlign w:val="center"/>
          </w:tcPr>
          <w:p w14:paraId="06443E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2041" w:type="pct"/>
            <w:vAlign w:val="center"/>
          </w:tcPr>
          <w:p w14:paraId="450FFFBC">
            <w:pPr>
              <w:pStyle w:val="28"/>
              <w:rPr>
                <w:color w:val="000000" w:themeColor="text1"/>
                <w14:textFill>
                  <w14:solidFill>
                    <w14:schemeClr w14:val="tx1"/>
                  </w14:solidFill>
                </w14:textFill>
              </w:rPr>
            </w:pPr>
            <w:r>
              <w:rPr>
                <w:color w:val="000000" w:themeColor="text1"/>
                <w14:textFill>
                  <w14:solidFill>
                    <w14:schemeClr w14:val="tx1"/>
                  </w14:solidFill>
                </w14:textFill>
              </w:rPr>
              <w:t>投料</w:t>
            </w:r>
            <w:r>
              <w:rPr>
                <w:rFonts w:hint="eastAsia"/>
                <w:color w:val="000000" w:themeColor="text1"/>
                <w14:textFill>
                  <w14:solidFill>
                    <w14:schemeClr w14:val="tx1"/>
                  </w14:solidFill>
                </w14:textFill>
              </w:rPr>
              <w:t>环节</w:t>
            </w:r>
            <w:r>
              <w:rPr>
                <w:color w:val="000000" w:themeColor="text1"/>
                <w14:textFill>
                  <w14:solidFill>
                    <w14:schemeClr w14:val="tx1"/>
                  </w14:solidFill>
                </w14:textFill>
              </w:rPr>
              <w:t>、研磨</w:t>
            </w:r>
            <w:r>
              <w:rPr>
                <w:rFonts w:hint="eastAsia"/>
                <w:color w:val="000000" w:themeColor="text1"/>
                <w14:textFill>
                  <w14:solidFill>
                    <w14:schemeClr w14:val="tx1"/>
                  </w14:solidFill>
                </w14:textFill>
              </w:rPr>
              <w:t>环节</w:t>
            </w:r>
            <w:r>
              <w:rPr>
                <w:color w:val="000000" w:themeColor="text1"/>
                <w14:textFill>
                  <w14:solidFill>
                    <w14:schemeClr w14:val="tx1"/>
                  </w14:solidFill>
                </w14:textFill>
              </w:rPr>
              <w:t>、干燥</w:t>
            </w:r>
            <w:r>
              <w:rPr>
                <w:rFonts w:hint="eastAsia"/>
                <w:color w:val="000000" w:themeColor="text1"/>
                <w14:textFill>
                  <w14:solidFill>
                    <w14:schemeClr w14:val="tx1"/>
                  </w14:solidFill>
                </w14:textFill>
              </w:rPr>
              <w:t>环节</w:t>
            </w:r>
            <w:r>
              <w:rPr>
                <w:color w:val="000000" w:themeColor="text1"/>
                <w14:textFill>
                  <w14:solidFill>
                    <w14:schemeClr w14:val="tx1"/>
                  </w14:solidFill>
                </w14:textFill>
              </w:rPr>
              <w:t>、测试残渣处理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废水处理</w:t>
            </w:r>
            <w:r>
              <w:rPr>
                <w:rFonts w:hint="eastAsia"/>
                <w:color w:val="000000" w:themeColor="text1"/>
                <w14:textFill>
                  <w14:solidFill>
                    <w14:schemeClr w14:val="tx1"/>
                  </w14:solidFill>
                </w14:textFill>
              </w:rPr>
              <w:t>环节</w:t>
            </w:r>
          </w:p>
        </w:tc>
        <w:tc>
          <w:tcPr>
            <w:tcW w:w="2013" w:type="pct"/>
            <w:vAlign w:val="center"/>
          </w:tcPr>
          <w:p w14:paraId="5645EC55">
            <w:pPr>
              <w:pStyle w:val="28"/>
              <w:rPr>
                <w:color w:val="000000" w:themeColor="text1"/>
                <w14:textFill>
                  <w14:solidFill>
                    <w14:schemeClr w14:val="tx1"/>
                  </w14:solidFill>
                </w14:textFill>
              </w:rPr>
            </w:pPr>
            <w:r>
              <w:rPr>
                <w:color w:val="000000" w:themeColor="text1"/>
                <w14:textFill>
                  <w14:solidFill>
                    <w14:schemeClr w14:val="tx1"/>
                  </w14:solidFill>
                </w14:textFill>
              </w:rPr>
              <w:t>颗粒物、挥发性有机物、硫化氢</w:t>
            </w:r>
          </w:p>
        </w:tc>
      </w:tr>
      <w:tr w14:paraId="5926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6BD178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38" w:type="pct"/>
            <w:vAlign w:val="center"/>
          </w:tcPr>
          <w:p w14:paraId="3591E0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2041" w:type="pct"/>
            <w:vAlign w:val="center"/>
          </w:tcPr>
          <w:p w14:paraId="0A56A6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r>
              <w:rPr>
                <w:color w:val="000000" w:themeColor="text1"/>
                <w14:textFill>
                  <w14:solidFill>
                    <w14:schemeClr w14:val="tx1"/>
                  </w14:solidFill>
                </w14:textFill>
              </w:rPr>
              <w:t>、车间</w:t>
            </w:r>
            <w:r>
              <w:rPr>
                <w:rFonts w:hint="eastAsia"/>
                <w:color w:val="000000" w:themeColor="text1"/>
                <w14:textFill>
                  <w14:solidFill>
                    <w14:schemeClr w14:val="tx1"/>
                  </w14:solidFill>
                </w14:textFill>
              </w:rPr>
              <w:t>地面</w:t>
            </w:r>
            <w:r>
              <w:rPr>
                <w:color w:val="000000" w:themeColor="text1"/>
                <w14:textFill>
                  <w14:solidFill>
                    <w14:schemeClr w14:val="tx1"/>
                  </w14:solidFill>
                </w14:textFill>
              </w:rPr>
              <w:t>清洁、纯水制备、测试器具清洗、设备冷却、</w:t>
            </w: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喷淋</w:t>
            </w:r>
          </w:p>
        </w:tc>
        <w:tc>
          <w:tcPr>
            <w:tcW w:w="2013" w:type="pct"/>
            <w:vAlign w:val="center"/>
          </w:tcPr>
          <w:p w14:paraId="62C69455">
            <w:pPr>
              <w:pStyle w:val="28"/>
              <w:rPr>
                <w:color w:val="000000" w:themeColor="text1"/>
                <w14:textFill>
                  <w14:solidFill>
                    <w14:schemeClr w14:val="tx1"/>
                  </w14:solidFill>
                </w14:textFill>
              </w:rPr>
            </w:pPr>
            <w:r>
              <w:rPr>
                <w:color w:val="000000" w:themeColor="text1"/>
                <w14:textFill>
                  <w14:solidFill>
                    <w14:schemeClr w14:val="tx1"/>
                  </w14:solidFill>
                </w14:textFill>
              </w:rPr>
              <w:t>SS、CODcr、BOD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、氨氮</w:t>
            </w:r>
            <w:r>
              <w:rPr>
                <w:rFonts w:hint="eastAsia"/>
                <w:color w:val="000000" w:themeColor="text1"/>
                <w14:textFill>
                  <w14:solidFill>
                    <w14:schemeClr w14:val="tx1"/>
                  </w14:solidFill>
                </w14:textFill>
              </w:rPr>
              <w:t>、总磷、硫化物</w:t>
            </w:r>
          </w:p>
        </w:tc>
      </w:tr>
      <w:tr w14:paraId="5D91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4DF58E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38" w:type="pct"/>
            <w:vAlign w:val="center"/>
          </w:tcPr>
          <w:p w14:paraId="4910F5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041" w:type="pct"/>
            <w:vAlign w:val="center"/>
          </w:tcPr>
          <w:p w14:paraId="61D8E12B">
            <w:pPr>
              <w:pStyle w:val="28"/>
              <w:rPr>
                <w:color w:val="000000" w:themeColor="text1"/>
                <w14:textFill>
                  <w14:solidFill>
                    <w14:schemeClr w14:val="tx1"/>
                  </w14:solidFill>
                </w14:textFill>
              </w:rPr>
            </w:pPr>
            <w:r>
              <w:rPr>
                <w:color w:val="000000" w:themeColor="text1"/>
                <w14:textFill>
                  <w14:solidFill>
                    <w14:schemeClr w14:val="tx1"/>
                  </w14:solidFill>
                </w14:textFill>
              </w:rPr>
              <w:t>高混机、气流粉碎机、砂磨机、干燥塔、除湿机组、空压机、风机、水泵等机械设备噪声</w:t>
            </w:r>
          </w:p>
        </w:tc>
        <w:tc>
          <w:tcPr>
            <w:tcW w:w="2013" w:type="pct"/>
            <w:vAlign w:val="center"/>
          </w:tcPr>
          <w:p w14:paraId="43F0D8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r>
      <w:tr w14:paraId="4088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14:paraId="0B7916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38" w:type="pct"/>
            <w:vAlign w:val="center"/>
          </w:tcPr>
          <w:p w14:paraId="472445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2041" w:type="pct"/>
            <w:vAlign w:val="center"/>
          </w:tcPr>
          <w:p w14:paraId="669E6FCE">
            <w:pPr>
              <w:pStyle w:val="28"/>
              <w:rPr>
                <w:color w:val="000000" w:themeColor="text1"/>
                <w14:textFill>
                  <w14:solidFill>
                    <w14:schemeClr w14:val="tx1"/>
                  </w14:solidFill>
                </w14:textFill>
              </w:rPr>
            </w:pPr>
            <w:r>
              <w:rPr>
                <w:color w:val="000000" w:themeColor="text1"/>
                <w14:textFill>
                  <w14:solidFill>
                    <w14:schemeClr w14:val="tx1"/>
                  </w14:solidFill>
                </w14:textFill>
              </w:rPr>
              <w:t>投料</w:t>
            </w:r>
            <w:r>
              <w:rPr>
                <w:rFonts w:hint="eastAsia"/>
                <w:color w:val="000000" w:themeColor="text1"/>
                <w14:textFill>
                  <w14:solidFill>
                    <w14:schemeClr w14:val="tx1"/>
                  </w14:solidFill>
                </w14:textFill>
              </w:rPr>
              <w:t>环节</w:t>
            </w:r>
            <w:r>
              <w:rPr>
                <w:color w:val="000000" w:themeColor="text1"/>
                <w14:textFill>
                  <w14:solidFill>
                    <w14:schemeClr w14:val="tx1"/>
                  </w14:solidFill>
                </w14:textFill>
              </w:rPr>
              <w:t>、研磨</w:t>
            </w:r>
            <w:r>
              <w:rPr>
                <w:rFonts w:hint="eastAsia"/>
                <w:color w:val="000000" w:themeColor="text1"/>
                <w14:textFill>
                  <w14:solidFill>
                    <w14:schemeClr w14:val="tx1"/>
                  </w14:solidFill>
                </w14:textFill>
              </w:rPr>
              <w:t>环节</w:t>
            </w:r>
            <w:r>
              <w:rPr>
                <w:color w:val="000000" w:themeColor="text1"/>
                <w14:textFill>
                  <w14:solidFill>
                    <w14:schemeClr w14:val="tx1"/>
                  </w14:solidFill>
                </w14:textFill>
              </w:rPr>
              <w:t>、测试残渣处理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废水处理</w:t>
            </w:r>
            <w:r>
              <w:rPr>
                <w:rFonts w:hint="eastAsia"/>
                <w:color w:val="000000" w:themeColor="text1"/>
                <w14:textFill>
                  <w14:solidFill>
                    <w14:schemeClr w14:val="tx1"/>
                  </w14:solidFill>
                </w14:textFill>
              </w:rPr>
              <w:t>、废气处理环节、员工生活</w:t>
            </w:r>
          </w:p>
        </w:tc>
        <w:tc>
          <w:tcPr>
            <w:tcW w:w="2013" w:type="pct"/>
            <w:vAlign w:val="center"/>
          </w:tcPr>
          <w:p w14:paraId="27A198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、废有机溶剂、</w:t>
            </w:r>
            <w:r>
              <w:rPr>
                <w:rFonts w:hint="eastAsia"/>
                <w:color w:val="000000" w:themeColor="text1"/>
                <w14:textFill>
                  <w14:solidFill>
                    <w14:schemeClr w14:val="tx1"/>
                  </w14:solidFill>
                </w14:textFill>
              </w:rPr>
              <w:t>砂磨机碱洗废碱液</w:t>
            </w:r>
            <w:r>
              <w:rPr>
                <w:color w:val="000000" w:themeColor="text1"/>
                <w14:textFill>
                  <w14:solidFill>
                    <w14:schemeClr w14:val="tx1"/>
                  </w14:solidFill>
                </w14:textFill>
              </w:rPr>
              <w:t>、污水处理污泥、废活性炭、废导热油、测试残渣、</w:t>
            </w:r>
            <w:r>
              <w:rPr>
                <w:rFonts w:hint="eastAsia"/>
                <w:color w:val="000000" w:themeColor="text1"/>
                <w14:textFill>
                  <w14:solidFill>
                    <w14:schemeClr w14:val="tx1"/>
                  </w14:solidFill>
                </w14:textFill>
              </w:rPr>
              <w:t>废抹布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废手套</w:t>
            </w:r>
            <w:r>
              <w:rPr>
                <w:color w:val="000000" w:themeColor="text1"/>
                <w14:textFill>
                  <w14:solidFill>
                    <w14:schemeClr w14:val="tx1"/>
                  </w14:solidFill>
                </w14:textFill>
              </w:rPr>
              <w:t>和生活垃圾</w:t>
            </w:r>
          </w:p>
        </w:tc>
      </w:tr>
    </w:tbl>
    <w:p w14:paraId="6CF10B0E">
      <w:pPr>
        <w:pStyle w:val="4"/>
        <w:rPr>
          <w:color w:val="000000" w:themeColor="text1"/>
          <w14:textFill>
            <w14:solidFill>
              <w14:schemeClr w14:val="tx1"/>
            </w14:solidFill>
          </w14:textFill>
        </w:rPr>
      </w:pPr>
      <w:bookmarkStart w:id="52" w:name="_Toc2790"/>
      <w:r>
        <w:rPr>
          <w:rFonts w:hint="eastAsia"/>
          <w:color w:val="000000" w:themeColor="text1"/>
          <w14:textFill>
            <w14:solidFill>
              <w14:schemeClr w14:val="tx1"/>
            </w14:solidFill>
          </w14:textFill>
        </w:rPr>
        <w:t>3.2.2源强分析</w:t>
      </w:r>
      <w:bookmarkEnd w:id="52"/>
    </w:p>
    <w:p w14:paraId="7642141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3.2.2.1废气</w:t>
      </w:r>
    </w:p>
    <w:p w14:paraId="6009A7DF">
      <w:pPr>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本项目运营过程中的废气主要是投料粉尘、研磨废气、干燥废气、测试残渣处理废气和废水处理站废气。主要污染物为颗粒物、挥发性有机物、硫化氢。</w:t>
      </w:r>
    </w:p>
    <w:p w14:paraId="6D79F70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（1）颗粒物</w:t>
      </w:r>
    </w:p>
    <w:p w14:paraId="7B07437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本项目加料在手套箱中进行，物料投加时，采用人工操作，会有少量粉尘逸散。</w:t>
      </w:r>
      <w:r>
        <w:rPr>
          <w:rFonts w:hint="eastAsia"/>
          <w:color w:val="000000" w:themeColor="text1"/>
          <w14:textFill>
            <w14:solidFill>
              <w14:schemeClr w14:val="tx1"/>
            </w14:solidFill>
          </w14:textFill>
        </w:rPr>
        <w:t>参照《逸散性工业粉尘控制技术》及类比同类型粉状物料投料项目，粉尘产生量约为粉状物料使用量的1‰，本项目硫化锂使用量为5.354t/a，五硫化二磷使用量为5.168t/a，氯化锂使用量为1.98t/a，粉状物料使用量为12.502t/a，则投料粉尘产生量为0.013t/a，年工作时间为7200h，产生速率为1.806kg/h，本项目生产车间为全封闭，投料粉尘通过车间废气管道收集后采用碱喷淋+除雾+活性炭吸附后通过15m高的排气筒排放，车间废气处理系统配套风机风量8000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根据喷淋塔工程实践，喷淋塔对颗粒物的去除效率主要取决于粉尘粒径、亲水性、液气比，取值范围为30%-80%，喷淋措施对于粒径在1-10微米的颗粒物，去除率达到60%-80%，粒径小于1微米的超细颗粒物，去除率一般在30%-50%之间，除雾装置为DPA漆雾过滤袋，过滤效率高，对不同粒径的颗粒拦截效果突出，20微米以上颗粒去除率达100%，10微米以上可达99.8%，本项目物料粒径大于15微米，因此本项目废气处理系统颗粒物去除效率按99%考虑，则颗粒物排放量为0.0001t/a，排放速率为0.0181kg/h，排放浓度为2.2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0B386B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（2）挥发性有机物</w:t>
      </w:r>
    </w:p>
    <w:p w14:paraId="65585F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有机溶剂，研磨、干燥过程中有机溶剂会挥发，使用的有机溶剂主要为环戊基甲醚、碳酸二甲酯、正庚烷、三乙胺、环己烷、碳酸甲乙酯、异丁酸异丁酯、无水乙醇。本项目研磨过程为室温，不加热，研磨后采用采用离心机进行固液分离，随分离后的固相物料进入干燥环节，经与建设单位核实工艺参数，离心过程中容积回收效率约为85%，干燥环节冷凝回收，回收效率90%。</w:t>
      </w:r>
    </w:p>
    <w:p w14:paraId="41824CC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艺设计，物料和有机溶剂的添加比例为：1：2~1：8，本次物料平衡按1：8考虑，本项目物料使用量为12.502t/a，则有机溶剂的添加量为100.016t/a，挥发性有机物产生量为1.5t/a，通过负压车间废气收集管道收集后采用碱喷淋+除雾+活性炭吸附后通过15m高的排气筒排放，车间废气处理系统配套风机风量8000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根据《吸附法工业有机废气治理工程技术规范》（HJ2026-2013）、《挥发性有机物治理实用手册（第二版）》要求，活性炭装置吸附效率不低于90%，结合工程实践来看，当中低浓度（≤1000mg/m³）非水溶性VOCs采用颗粒活性炭吸附时，受废气波动、活性炭运维等实际工况影响，长期稳定运行的吸附效率难以始终维持90%的高标准，除此之外，《重点行业挥发性有机物综合治理方案》中要求除确保排放浓度稳定达标外，还应实行去除效率控制，去除效率不低于80%，因此，本项目活性炭采用椰壳炭（蜂窝状）活性炭，比表面积约800-1500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/g，碘值为1000 mg/g，活性炭装置吸附效率取80%，则挥发性有机物排放量为0.3t/a，排放速率为0.04kg/h，排放浓度为5mg/m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3EC73B2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（3）硫化氢</w:t>
      </w:r>
    </w:p>
    <w:p w14:paraId="7C34A2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测试残渣需收集后静置于通风橱内，静置过程中，残渣中的五</w:t>
      </w:r>
      <w:r>
        <w:rPr>
          <w:color w:val="000000" w:themeColor="text1"/>
          <w14:textFill>
            <w14:solidFill>
              <w14:schemeClr w14:val="tx1"/>
            </w14:solidFill>
          </w14:textFill>
        </w:rPr>
        <w:t>硫化</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磷/硫化锂</w:t>
      </w:r>
      <w:r>
        <w:rPr>
          <w:rFonts w:hint="eastAsia"/>
          <w:color w:val="000000" w:themeColor="text1"/>
          <w14:textFill>
            <w14:solidFill>
              <w14:schemeClr w14:val="tx1"/>
            </w14:solidFill>
          </w14:textFill>
        </w:rPr>
        <w:t>与空气接触</w:t>
      </w:r>
      <w:r>
        <w:rPr>
          <w:color w:val="000000" w:themeColor="text1"/>
          <w14:textFill>
            <w14:solidFill>
              <w14:schemeClr w14:val="tx1"/>
            </w14:solidFill>
          </w14:textFill>
        </w:rPr>
        <w:t>发生化学反应生产硫化氢</w:t>
      </w:r>
      <w:r>
        <w:rPr>
          <w:rFonts w:hint="eastAsia"/>
          <w:color w:val="000000" w:themeColor="text1"/>
          <w14:textFill>
            <w14:solidFill>
              <w14:schemeClr w14:val="tx1"/>
            </w14:solidFill>
          </w14:textFill>
        </w:rPr>
        <w:t>，待其反应后再委托第三方进行处置，测试器具采用纯水进行清洗。由于测试器具中会沾染少量原料，清洗过程中五</w:t>
      </w:r>
      <w:r>
        <w:rPr>
          <w:color w:val="000000" w:themeColor="text1"/>
          <w14:textFill>
            <w14:solidFill>
              <w14:schemeClr w14:val="tx1"/>
            </w14:solidFill>
          </w14:textFill>
        </w:rPr>
        <w:t>硫化</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磷/硫化锂遇水发生化学反应生产硫化氢</w:t>
      </w:r>
      <w:r>
        <w:rPr>
          <w:rFonts w:hint="eastAsia"/>
          <w:color w:val="000000" w:themeColor="text1"/>
          <w14:textFill>
            <w14:solidFill>
              <w14:schemeClr w14:val="tx1"/>
            </w14:solidFill>
          </w14:textFill>
        </w:rPr>
        <w:t>，遇水化学反应如下：</w:t>
      </w:r>
    </w:p>
    <w:p w14:paraId="0A4356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+ 8H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2H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PO</w:t>
      </w:r>
      <w:r>
        <w:rPr>
          <w:rFonts w:hint="eastAsia"/>
          <w:color w:val="000000" w:themeColor="text1"/>
          <w:vertAlign w:val="subscript"/>
          <w14:textFill>
            <w14:solidFill>
              <w14:schemeClr w14:val="tx1"/>
            </w14:solidFill>
          </w14:textFill>
        </w:rPr>
        <w:t xml:space="preserve">4 </w:t>
      </w:r>
      <w:r>
        <w:rPr>
          <w:rFonts w:hint="eastAsia"/>
          <w:color w:val="000000" w:themeColor="text1"/>
          <w14:textFill>
            <w14:solidFill>
              <w14:schemeClr w14:val="tx1"/>
            </w14:solidFill>
          </w14:textFill>
        </w:rPr>
        <w:t>+ 5H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S↑（1）</w:t>
      </w:r>
    </w:p>
    <w:p w14:paraId="544A7C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Li</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LiHS + LiOH（2）</w:t>
      </w:r>
    </w:p>
    <w:p w14:paraId="489389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LiHS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 → 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 LiOH（3）</w:t>
      </w:r>
    </w:p>
    <w:p w14:paraId="5F13DC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因此静置</w:t>
      </w:r>
      <w:r>
        <w:rPr>
          <w:color w:val="000000" w:themeColor="text1"/>
          <w14:textFill>
            <w14:solidFill>
              <w14:schemeClr w14:val="tx1"/>
            </w14:solidFill>
          </w14:textFill>
        </w:rPr>
        <w:t>、清洗过程中</w:t>
      </w:r>
      <w:r>
        <w:rPr>
          <w:rFonts w:hint="eastAsia"/>
          <w:color w:val="000000" w:themeColor="text1"/>
          <w14:textFill>
            <w14:solidFill>
              <w14:schemeClr w14:val="tx1"/>
            </w14:solidFill>
          </w14:textFill>
        </w:rPr>
        <w:t>会有硫化氢废气产生，清洗废水产生量较小，需要收集后定期处理，因此废水收集池内也会有硫化氢气体产生。类比恩捷股份已建成的其他试验生产线数据，测试残渣产生量约为0.05t/a，按照原料投加比例进行估算，残渣中五</w:t>
      </w:r>
      <w:r>
        <w:rPr>
          <w:color w:val="000000" w:themeColor="text1"/>
          <w14:textFill>
            <w14:solidFill>
              <w14:schemeClr w14:val="tx1"/>
            </w14:solidFill>
          </w14:textFill>
        </w:rPr>
        <w:t>硫化</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硫化锂</w:t>
      </w:r>
      <w:r>
        <w:rPr>
          <w:rFonts w:hint="eastAsia"/>
          <w:color w:val="000000" w:themeColor="text1"/>
          <w14:textFill>
            <w14:solidFill>
              <w14:schemeClr w14:val="tx1"/>
            </w14:solidFill>
          </w14:textFill>
        </w:rPr>
        <w:t>均为0.025t/a，计算得硫化氢产生量为0.0376t/a，通风橱正面为可拉伸玻璃门，其余三面为固定封闭式玻璃橱窗，通风橱内残渣预处理过程中产生废气通过橱窗顶部设置的废气收集管道负压收集，清洗废水采用带盖收集 池进行收集，废水收集池设置逸散口，逸散口上方设置集气罩及废气管道，收集效率按90%考虑，则有组织硫化氢产生量为0.0338t/a，无组织硫化氢产生量为0.0038t/a。</w:t>
      </w:r>
    </w:p>
    <w:p w14:paraId="17F559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通过废气管道收集后采用碱喷淋+除雾+活性炭吸附后通过15m高的排气筒排，废气处理系统配套风机风量8000m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/h，类比同类项目，碱喷淋对硫化氢的去处效率约为95%，则有组织硫化氢排放量为0.0017t/a，排放速率为0.0002kg/h，排放浓度为0.0251mg/m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3A6E73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本项目运营废气污染物产排情况见下表。</w:t>
      </w:r>
    </w:p>
    <w:p w14:paraId="33D80BF0">
      <w:pPr>
        <w:pStyle w:val="27"/>
        <w:rPr>
          <w:color w:val="000000" w:themeColor="text1"/>
          <w14:textFill>
            <w14:solidFill>
              <w14:schemeClr w14:val="tx1"/>
            </w14:solidFill>
          </w14:textFill>
        </w:rPr>
      </w:pPr>
    </w:p>
    <w:p w14:paraId="542F4FFB">
      <w:pPr>
        <w:pStyle w:val="27"/>
        <w:rPr>
          <w:color w:val="000000" w:themeColor="text1"/>
          <w14:textFill>
            <w14:solidFill>
              <w14:schemeClr w14:val="tx1"/>
            </w14:solidFill>
          </w14:textFill>
        </w:rPr>
      </w:pPr>
    </w:p>
    <w:p w14:paraId="78A762FA">
      <w:pPr>
        <w:pStyle w:val="27"/>
        <w:rPr>
          <w:color w:val="000000" w:themeColor="text1"/>
          <w14:textFill>
            <w14:solidFill>
              <w14:schemeClr w14:val="tx1"/>
            </w14:solidFill>
          </w14:textFill>
        </w:rPr>
      </w:pPr>
    </w:p>
    <w:p w14:paraId="3A56868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表3.2-2 运营废气污染物产排情况一览表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51"/>
        <w:gridCol w:w="825"/>
        <w:gridCol w:w="2381"/>
        <w:gridCol w:w="687"/>
        <w:gridCol w:w="832"/>
        <w:gridCol w:w="1103"/>
        <w:gridCol w:w="1144"/>
      </w:tblGrid>
      <w:tr w14:paraId="596A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24730A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c>
        <w:tc>
          <w:tcPr>
            <w:tcW w:w="440" w:type="pct"/>
            <w:vAlign w:val="center"/>
          </w:tcPr>
          <w:p w14:paraId="6C6EA7A7">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污染物</w:t>
            </w:r>
          </w:p>
        </w:tc>
        <w:tc>
          <w:tcPr>
            <w:tcW w:w="484" w:type="pct"/>
            <w:vAlign w:val="center"/>
          </w:tcPr>
          <w:p w14:paraId="6C22B31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产生量（t/a）</w:t>
            </w:r>
          </w:p>
        </w:tc>
        <w:tc>
          <w:tcPr>
            <w:tcW w:w="1396" w:type="pct"/>
            <w:vAlign w:val="center"/>
          </w:tcPr>
          <w:p w14:paraId="0A3C87B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治理措施</w:t>
            </w:r>
          </w:p>
        </w:tc>
        <w:tc>
          <w:tcPr>
            <w:tcW w:w="403" w:type="pct"/>
            <w:vAlign w:val="center"/>
          </w:tcPr>
          <w:p w14:paraId="4F2E56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排放方式</w:t>
            </w:r>
          </w:p>
        </w:tc>
        <w:tc>
          <w:tcPr>
            <w:tcW w:w="488" w:type="pct"/>
            <w:vAlign w:val="center"/>
          </w:tcPr>
          <w:p w14:paraId="3FAC39F6">
            <w:pPr>
              <w:pStyle w:val="28"/>
              <w:rPr>
                <w:color w:val="000000" w:themeColor="text1"/>
                <w14:textFill>
                  <w14:solidFill>
                    <w14:schemeClr w14:val="tx1"/>
                  </w14:solidFill>
                </w14:textFill>
              </w:rPr>
            </w:pPr>
            <w:r>
              <w:rPr>
                <w:color w:val="000000" w:themeColor="text1"/>
                <w14:textFill>
                  <w14:solidFill>
                    <w14:schemeClr w14:val="tx1"/>
                  </w14:solidFill>
                </w14:textFill>
              </w:rPr>
              <w:t>排放量</w:t>
            </w:r>
          </w:p>
          <w:p w14:paraId="4D386EC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（t/a）</w:t>
            </w:r>
          </w:p>
        </w:tc>
        <w:tc>
          <w:tcPr>
            <w:tcW w:w="647" w:type="pct"/>
            <w:vAlign w:val="center"/>
          </w:tcPr>
          <w:p w14:paraId="08FDBA88">
            <w:pPr>
              <w:pStyle w:val="28"/>
              <w:rPr>
                <w:color w:val="000000" w:themeColor="text1"/>
                <w14:textFill>
                  <w14:solidFill>
                    <w14:schemeClr w14:val="tx1"/>
                  </w14:solidFill>
                </w14:textFill>
              </w:rPr>
            </w:pPr>
            <w:r>
              <w:rPr>
                <w:color w:val="000000" w:themeColor="text1"/>
                <w14:textFill>
                  <w14:solidFill>
                    <w14:schemeClr w14:val="tx1"/>
                  </w14:solidFill>
                </w14:textFill>
              </w:rPr>
              <w:t>排放速率</w:t>
            </w:r>
          </w:p>
          <w:p w14:paraId="08E9B3C6">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（kg/h）</w:t>
            </w:r>
          </w:p>
        </w:tc>
        <w:tc>
          <w:tcPr>
            <w:tcW w:w="671" w:type="pct"/>
            <w:vAlign w:val="center"/>
          </w:tcPr>
          <w:p w14:paraId="08A26788">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14:paraId="003B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68A9F0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440" w:type="pct"/>
            <w:vAlign w:val="center"/>
          </w:tcPr>
          <w:p w14:paraId="5A8B2E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484" w:type="pct"/>
            <w:shd w:val="clear" w:color="auto" w:fill="auto"/>
            <w:vAlign w:val="center"/>
          </w:tcPr>
          <w:p w14:paraId="288A60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0.013</w:t>
            </w:r>
          </w:p>
        </w:tc>
        <w:tc>
          <w:tcPr>
            <w:tcW w:w="1396" w:type="pct"/>
            <w:vMerge w:val="restart"/>
            <w:vAlign w:val="center"/>
          </w:tcPr>
          <w:p w14:paraId="5F970E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设备密闭+风管（负压车间，收集效率100%）+碱喷淋+除雾+活性炭吸附（颗粒物去除效率95%，非甲烷总烃去除效率80%）+15m高的排气筒（DA001）</w:t>
            </w:r>
          </w:p>
        </w:tc>
        <w:tc>
          <w:tcPr>
            <w:tcW w:w="403" w:type="pct"/>
            <w:vAlign w:val="center"/>
          </w:tcPr>
          <w:p w14:paraId="4122CAB8">
            <w:pPr>
              <w:pStyle w:val="28"/>
              <w:rPr>
                <w:color w:val="000000" w:themeColor="text1"/>
                <w14:textFill>
                  <w14:solidFill>
                    <w14:schemeClr w14:val="tx1"/>
                  </w14:solidFill>
                </w14:textFill>
              </w:rPr>
            </w:pPr>
            <w:r>
              <w:rPr>
                <w:rFonts w:hint="eastAsia" w:cs="黑体"/>
                <w:color w:val="000000" w:themeColor="text1"/>
                <w:szCs w:val="22"/>
                <w14:textFill>
                  <w14:solidFill>
                    <w14:schemeClr w14:val="tx1"/>
                  </w14:solidFill>
                </w14:textFill>
              </w:rPr>
              <w:t>有组织</w:t>
            </w:r>
          </w:p>
        </w:tc>
        <w:tc>
          <w:tcPr>
            <w:tcW w:w="488" w:type="pct"/>
            <w:shd w:val="clear" w:color="auto" w:fill="auto"/>
            <w:vAlign w:val="center"/>
          </w:tcPr>
          <w:p w14:paraId="6EC7CD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c>
          <w:tcPr>
            <w:tcW w:w="647" w:type="pct"/>
            <w:shd w:val="clear" w:color="auto" w:fill="auto"/>
            <w:vAlign w:val="center"/>
          </w:tcPr>
          <w:p w14:paraId="022E62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0.0181</w:t>
            </w:r>
          </w:p>
        </w:tc>
        <w:tc>
          <w:tcPr>
            <w:tcW w:w="671" w:type="pct"/>
            <w:shd w:val="clear" w:color="auto" w:fill="auto"/>
            <w:vAlign w:val="center"/>
          </w:tcPr>
          <w:p w14:paraId="489110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r>
      <w:tr w14:paraId="5086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17FF46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研磨、干燥</w:t>
            </w:r>
          </w:p>
        </w:tc>
        <w:tc>
          <w:tcPr>
            <w:tcW w:w="440" w:type="pct"/>
            <w:vAlign w:val="center"/>
          </w:tcPr>
          <w:p w14:paraId="3750C6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484" w:type="pct"/>
            <w:shd w:val="clear" w:color="auto" w:fill="auto"/>
            <w:vAlign w:val="center"/>
          </w:tcPr>
          <w:p w14:paraId="30E91F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396" w:type="pct"/>
            <w:vMerge w:val="continue"/>
            <w:vAlign w:val="center"/>
          </w:tcPr>
          <w:p w14:paraId="7A57EAF7">
            <w:pPr>
              <w:pStyle w:val="28"/>
              <w:rPr>
                <w:color w:val="000000" w:themeColor="text1"/>
                <w14:textFill>
                  <w14:solidFill>
                    <w14:schemeClr w14:val="tx1"/>
                  </w14:solidFill>
                </w14:textFill>
              </w:rPr>
            </w:pPr>
          </w:p>
        </w:tc>
        <w:tc>
          <w:tcPr>
            <w:tcW w:w="403" w:type="pct"/>
            <w:vAlign w:val="center"/>
          </w:tcPr>
          <w:p w14:paraId="19DDF201">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有组织</w:t>
            </w:r>
          </w:p>
        </w:tc>
        <w:tc>
          <w:tcPr>
            <w:tcW w:w="488" w:type="pct"/>
            <w:shd w:val="clear" w:color="auto" w:fill="auto"/>
            <w:vAlign w:val="center"/>
          </w:tcPr>
          <w:p w14:paraId="7299D5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647" w:type="pct"/>
            <w:shd w:val="clear" w:color="auto" w:fill="auto"/>
            <w:vAlign w:val="center"/>
          </w:tcPr>
          <w:p w14:paraId="12B281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671" w:type="pct"/>
            <w:shd w:val="clear" w:color="auto" w:fill="auto"/>
            <w:vAlign w:val="center"/>
          </w:tcPr>
          <w:p w14:paraId="651E25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26D8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14:paraId="601449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测试残渣和清洗废水处理</w:t>
            </w:r>
          </w:p>
        </w:tc>
        <w:tc>
          <w:tcPr>
            <w:tcW w:w="440" w:type="pct"/>
            <w:vMerge w:val="restart"/>
            <w:vAlign w:val="center"/>
          </w:tcPr>
          <w:p w14:paraId="055566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484" w:type="pct"/>
            <w:shd w:val="clear" w:color="auto" w:fill="auto"/>
            <w:vAlign w:val="center"/>
          </w:tcPr>
          <w:p w14:paraId="38467D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0.0338</w:t>
            </w:r>
          </w:p>
        </w:tc>
        <w:tc>
          <w:tcPr>
            <w:tcW w:w="1396" w:type="pct"/>
            <w:vAlign w:val="center"/>
          </w:tcPr>
          <w:p w14:paraId="034E0E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风管（收集效率90%）+碱喷淋+除雾+活性炭吸附（去除效率95%）+15m高的排气筒（DA001）</w:t>
            </w:r>
          </w:p>
        </w:tc>
        <w:tc>
          <w:tcPr>
            <w:tcW w:w="403" w:type="pct"/>
            <w:vAlign w:val="center"/>
          </w:tcPr>
          <w:p w14:paraId="648C91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488" w:type="pct"/>
            <w:shd w:val="clear" w:color="auto" w:fill="auto"/>
            <w:vAlign w:val="center"/>
          </w:tcPr>
          <w:p w14:paraId="7FBEE7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c>
          <w:tcPr>
            <w:tcW w:w="647" w:type="pct"/>
            <w:shd w:val="clear" w:color="auto" w:fill="auto"/>
            <w:vAlign w:val="center"/>
          </w:tcPr>
          <w:p w14:paraId="59CBED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w:t>
            </w:r>
          </w:p>
        </w:tc>
        <w:tc>
          <w:tcPr>
            <w:tcW w:w="671" w:type="pct"/>
            <w:shd w:val="clear" w:color="auto" w:fill="auto"/>
            <w:vAlign w:val="center"/>
          </w:tcPr>
          <w:p w14:paraId="7F637D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r>
      <w:tr w14:paraId="096F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00D8EA1">
            <w:pPr>
              <w:pStyle w:val="28"/>
              <w:rPr>
                <w:color w:val="000000" w:themeColor="text1"/>
                <w14:textFill>
                  <w14:solidFill>
                    <w14:schemeClr w14:val="tx1"/>
                  </w14:solidFill>
                </w14:textFill>
              </w:rPr>
            </w:pPr>
          </w:p>
        </w:tc>
        <w:tc>
          <w:tcPr>
            <w:tcW w:w="440" w:type="pct"/>
            <w:vMerge w:val="continue"/>
            <w:vAlign w:val="center"/>
          </w:tcPr>
          <w:p w14:paraId="332593DA">
            <w:pPr>
              <w:pStyle w:val="28"/>
              <w:rPr>
                <w:color w:val="000000" w:themeColor="text1"/>
                <w14:textFill>
                  <w14:solidFill>
                    <w14:schemeClr w14:val="tx1"/>
                  </w14:solidFill>
                </w14:textFill>
              </w:rPr>
            </w:pPr>
          </w:p>
        </w:tc>
        <w:tc>
          <w:tcPr>
            <w:tcW w:w="484" w:type="pct"/>
            <w:shd w:val="clear" w:color="auto" w:fill="auto"/>
            <w:vAlign w:val="center"/>
          </w:tcPr>
          <w:p w14:paraId="43A5D2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1396" w:type="pct"/>
            <w:vAlign w:val="center"/>
          </w:tcPr>
          <w:p w14:paraId="4B7A53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车间封闭，自然扩散</w:t>
            </w:r>
          </w:p>
        </w:tc>
        <w:tc>
          <w:tcPr>
            <w:tcW w:w="403" w:type="pct"/>
            <w:vAlign w:val="center"/>
          </w:tcPr>
          <w:p w14:paraId="2EE966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488" w:type="pct"/>
            <w:shd w:val="clear" w:color="auto" w:fill="auto"/>
            <w:vAlign w:val="center"/>
          </w:tcPr>
          <w:p w14:paraId="4B1879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647" w:type="pct"/>
            <w:shd w:val="clear" w:color="auto" w:fill="auto"/>
            <w:vAlign w:val="center"/>
          </w:tcPr>
          <w:p w14:paraId="04FE8B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0.0005</w:t>
            </w:r>
          </w:p>
        </w:tc>
        <w:tc>
          <w:tcPr>
            <w:tcW w:w="671" w:type="pct"/>
            <w:shd w:val="clear" w:color="auto" w:fill="auto"/>
            <w:vAlign w:val="center"/>
          </w:tcPr>
          <w:p w14:paraId="3435A7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1CB399C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3.2.2.2废水</w:t>
      </w:r>
    </w:p>
    <w:p w14:paraId="311E380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本项目用水环节主要是生活用水、车间拖把清洁用水、生产用水。生产用水主要是纯水制备用水、测试器具清洗水、设备冷却水、喷淋用水。本项目废水主要是纯水制备废水、测试器具清洗废水、</w:t>
      </w:r>
      <w:r>
        <w:rPr>
          <w:rFonts w:hint="eastAsia"/>
          <w:color w:val="000000" w:themeColor="text1"/>
          <w14:textFill>
            <w14:solidFill>
              <w14:schemeClr w14:val="tx1"/>
            </w14:solidFill>
          </w14:textFill>
        </w:rPr>
        <w:t>冷却水循环系统定期排污水、生活污水、</w:t>
      </w:r>
      <w:r>
        <w:rPr>
          <w:rFonts w:hint="eastAsia" w:cs="Times New Roman"/>
          <w:color w:val="000000" w:themeColor="text1"/>
          <w14:textFill>
            <w14:solidFill>
              <w14:schemeClr w14:val="tx1"/>
            </w14:solidFill>
          </w14:textFill>
        </w:rPr>
        <w:t>车间拖把清洁废水。</w:t>
      </w:r>
    </w:p>
    <w:p w14:paraId="6F58909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1、纯水制备废水</w:t>
      </w:r>
    </w:p>
    <w:p w14:paraId="33AF59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产品测试过程中需要用到纯水进行测试器具清洗，清洗用纯水由纯水机组提供，制水设备需要进行反冲洗，类比同类项目，纯水制备废水主要污染物为SS及盐分，纯水制备废水（包含反冲洗废水）SS浓度为200mg/L。本项目纯水制备废水产生量为0.033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/d，9.936m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/a，SS产生量为0.0020t/a，经自建污水处理站处理达标后通过市政污水管网排入玉溪市污水处理厂，处理工艺为“PH调节+混凝沉淀”，一体化废水污水处理处理效率SS≥90%，SS出口浓度为20mg/L、排放量为0.0002t/a。</w:t>
      </w:r>
    </w:p>
    <w:p w14:paraId="6905A3F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2、测试器具清洗废水</w:t>
      </w:r>
    </w:p>
    <w:p w14:paraId="186F91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类比同类型生产项目，测试器具清洗废水主要污染物是COD、SS、TP、硫化物，污染物进口浓度为700mg/L、900mg/L、1mg/L、10mg/L，</w:t>
      </w:r>
      <w:r>
        <w:rPr>
          <w:rFonts w:hint="eastAsia" w:cs="Times New Roman"/>
          <w:color w:val="000000" w:themeColor="text1"/>
          <w14:textFill>
            <w14:solidFill>
              <w14:schemeClr w14:val="tx1"/>
            </w14:solidFill>
          </w14:textFill>
        </w:rPr>
        <w:t>试验过程产生的器具清洗废水产生量为0.08</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d，24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计算得COD、SS、TP、硫化物产生量为0.0168t/a，0.0216t/a，0.00002t/a，0.0002t/a，经自建一体化污水处理站处理后外排，处理工艺为“PH调节+混凝沉淀”，一体化废水污水处理处理效率COD≥40%，SS≥90%，TP≥60%，硫化物≥90%，COD、SS、TP、硫化物污染物出口浓度为420mg/L、90mg/L、0.4mg/L、1mg/L，COD、SS、TP、硫化物排放量为0.0101t/a，0.0022t/a，0.00001t/a，0.00002t/a。</w:t>
      </w:r>
    </w:p>
    <w:p w14:paraId="0B39F86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3、冷却水循环系统定期排污水</w:t>
      </w:r>
    </w:p>
    <w:p w14:paraId="073932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类比其他项目间接冷却系统定期排污水，主要污染物</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，浓度为100mg/L，本项目冷却水循环系统定期排污水产生量为1.8m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/次，1年排放1次，SS排放量量为0.18kg/a，经自建污水处理站处理达标后通过市政污水管网排入玉溪市污水处理厂，处理工艺为“</w:t>
      </w:r>
      <w:bookmarkStart w:id="53" w:name="_Hlk226618601"/>
      <w:r>
        <w:rPr>
          <w:rFonts w:hint="eastAsia"/>
          <w:color w:val="000000" w:themeColor="text1"/>
          <w14:textFill>
            <w14:solidFill>
              <w14:schemeClr w14:val="tx1"/>
            </w14:solidFill>
          </w14:textFill>
        </w:rPr>
        <w:t>PH调节+混凝沉淀</w:t>
      </w:r>
      <w:bookmarkEnd w:id="53"/>
      <w:r>
        <w:rPr>
          <w:rFonts w:hint="eastAsia"/>
          <w:color w:val="000000" w:themeColor="text1"/>
          <w14:textFill>
            <w14:solidFill>
              <w14:schemeClr w14:val="tx1"/>
            </w14:solidFill>
          </w14:textFill>
        </w:rPr>
        <w:t>”，一体化废水污水处理处理效率SS≥90%，SS出口浓度为10mg/L，排放量为0.018kg/a。</w:t>
      </w:r>
    </w:p>
    <w:p w14:paraId="5868286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4、生活污水、车间拖把清洁废水</w:t>
      </w:r>
    </w:p>
    <w:p w14:paraId="2EE3DCF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生活污水、车间拖把清洁废水主要污染物是SS、CODcr、BOD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、氨氮，类比“新平彝族倷族自治县扬武镇卫生院改扩建项目”竣工环境保护验收检测结果，生活污水处理前SS、CODcr、BOD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、氨氮浓度为23mg/L、179.5mg/L、69.1mg/L、46.65mg/LL，本项目生活污水、车间拖把清洁废水产生量为1.44m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/d，432m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产生量为0.0099t/a，0.0775t/a，0.0299t/a，0.0202t/a，生活污水、车间拖把清洁废水经化粪池处理后通过市政污水管网，排入玉溪市污水处理厂，类比玉溪市渠成机械制造有限公司“年产2000吨机械制造配件生产加工铸造技术改造项目”竣工环境保护验收检测结果，生活污水经化粪池处理后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、氨氮排放浓度为7mg/L、83.5mg/L、45.35mg/L、14.075mg/L，计算得SS、CODcr、BOD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、氨氮排放量为0.0030t/a，0.0361t/a，0.0196t/a，0.0061t/a。</w:t>
      </w:r>
    </w:p>
    <w:p w14:paraId="76A134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综上，本项目废水产排情况见下表：</w:t>
      </w:r>
    </w:p>
    <w:p w14:paraId="7CA7D502">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0D98468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表3.2-3 项目废水源强及排放情况一览表</w:t>
      </w:r>
    </w:p>
    <w:tbl>
      <w:tblPr>
        <w:tblStyle w:val="21"/>
        <w:tblW w:w="5000" w:type="pct"/>
        <w:tblInd w:w="0" w:type="dxa"/>
        <w:tblLayout w:type="autofit"/>
        <w:tblCellMar>
          <w:top w:w="0" w:type="dxa"/>
          <w:left w:w="108" w:type="dxa"/>
          <w:bottom w:w="0" w:type="dxa"/>
          <w:right w:w="108" w:type="dxa"/>
        </w:tblCellMar>
      </w:tblPr>
      <w:tblGrid>
        <w:gridCol w:w="1948"/>
        <w:gridCol w:w="1515"/>
        <w:gridCol w:w="1348"/>
        <w:gridCol w:w="1501"/>
        <w:gridCol w:w="1329"/>
        <w:gridCol w:w="1897"/>
        <w:gridCol w:w="1278"/>
        <w:gridCol w:w="1340"/>
        <w:gridCol w:w="1292"/>
      </w:tblGrid>
      <w:tr w14:paraId="515A10DA">
        <w:tblPrEx>
          <w:tblCellMar>
            <w:top w:w="0" w:type="dxa"/>
            <w:left w:w="108" w:type="dxa"/>
            <w:bottom w:w="0" w:type="dxa"/>
            <w:right w:w="108" w:type="dxa"/>
          </w:tblCellMar>
        </w:tblPrEx>
        <w:trPr>
          <w:trHeight w:val="285" w:hRule="atLeast"/>
        </w:trPr>
        <w:tc>
          <w:tcPr>
            <w:tcW w:w="72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D65C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废水种类</w:t>
            </w:r>
          </w:p>
        </w:tc>
        <w:tc>
          <w:tcPr>
            <w:tcW w:w="56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BB0CB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155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87F9F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产生情况</w:t>
            </w:r>
          </w:p>
        </w:tc>
        <w:tc>
          <w:tcPr>
            <w:tcW w:w="70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328E2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治理工艺</w:t>
            </w:r>
          </w:p>
        </w:tc>
        <w:tc>
          <w:tcPr>
            <w:tcW w:w="145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291E0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排放情况</w:t>
            </w:r>
          </w:p>
        </w:tc>
      </w:tr>
      <w:tr w14:paraId="00B32E6B">
        <w:tblPrEx>
          <w:tblCellMar>
            <w:top w:w="0" w:type="dxa"/>
            <w:left w:w="108" w:type="dxa"/>
            <w:bottom w:w="0" w:type="dxa"/>
            <w:right w:w="108" w:type="dxa"/>
          </w:tblCellMar>
        </w:tblPrEx>
        <w:trPr>
          <w:trHeight w:val="454" w:hRule="atLeast"/>
        </w:trPr>
        <w:tc>
          <w:tcPr>
            <w:tcW w:w="7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74561B3">
            <w:pPr>
              <w:pStyle w:val="28"/>
              <w:rPr>
                <w:color w:val="000000" w:themeColor="text1"/>
                <w14:textFill>
                  <w14:solidFill>
                    <w14:schemeClr w14:val="tx1"/>
                  </w14:solidFill>
                </w14:textFill>
              </w:rPr>
            </w:pPr>
          </w:p>
        </w:tc>
        <w:tc>
          <w:tcPr>
            <w:tcW w:w="5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BC1D617">
            <w:pPr>
              <w:pStyle w:val="28"/>
              <w:rPr>
                <w:color w:val="000000" w:themeColor="text1"/>
                <w14:textFill>
                  <w14:solidFill>
                    <w14:schemeClr w14:val="tx1"/>
                  </w14:solidFill>
                </w14:textFill>
              </w:rPr>
            </w:pPr>
          </w:p>
        </w:tc>
        <w:tc>
          <w:tcPr>
            <w:tcW w:w="501" w:type="pct"/>
            <w:tcBorders>
              <w:top w:val="nil"/>
              <w:left w:val="single" w:color="000000" w:sz="8" w:space="0"/>
              <w:bottom w:val="single" w:color="000000" w:sz="8" w:space="0"/>
              <w:right w:val="single" w:color="000000" w:sz="8" w:space="0"/>
            </w:tcBorders>
            <w:shd w:val="clear" w:color="auto" w:fill="auto"/>
            <w:vAlign w:val="center"/>
          </w:tcPr>
          <w:p w14:paraId="263EDD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废水产生量（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54C2DF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52F387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7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9E7586">
            <w:pPr>
              <w:pStyle w:val="28"/>
              <w:rPr>
                <w:color w:val="000000" w:themeColor="text1"/>
                <w14:textFill>
                  <w14:solidFill>
                    <w14:schemeClr w14:val="tx1"/>
                  </w14:solidFill>
                </w14:textFill>
              </w:rPr>
            </w:pPr>
          </w:p>
        </w:tc>
        <w:tc>
          <w:tcPr>
            <w:tcW w:w="4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0F80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49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B716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48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D98A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r>
      <w:tr w14:paraId="677700AC">
        <w:tblPrEx>
          <w:tblCellMar>
            <w:top w:w="0" w:type="dxa"/>
            <w:left w:w="108" w:type="dxa"/>
            <w:bottom w:w="0" w:type="dxa"/>
            <w:right w:w="108" w:type="dxa"/>
          </w:tblCellMar>
        </w:tblPrEx>
        <w:trPr>
          <w:trHeight w:val="57" w:hRule="atLeast"/>
        </w:trPr>
        <w:tc>
          <w:tcPr>
            <w:tcW w:w="724" w:type="pct"/>
            <w:tcBorders>
              <w:top w:val="nil"/>
              <w:left w:val="single" w:color="000000" w:sz="8" w:space="0"/>
              <w:bottom w:val="single" w:color="000000" w:sz="8" w:space="0"/>
              <w:right w:val="single" w:color="000000" w:sz="8" w:space="0"/>
            </w:tcBorders>
            <w:shd w:val="clear" w:color="auto" w:fill="auto"/>
            <w:vAlign w:val="center"/>
          </w:tcPr>
          <w:p w14:paraId="750878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纯水制备废水</w:t>
            </w:r>
          </w:p>
        </w:tc>
        <w:tc>
          <w:tcPr>
            <w:tcW w:w="563" w:type="pct"/>
            <w:tcBorders>
              <w:top w:val="nil"/>
              <w:left w:val="single" w:color="000000" w:sz="8" w:space="0"/>
              <w:bottom w:val="single" w:color="000000" w:sz="8" w:space="0"/>
              <w:right w:val="single" w:color="000000" w:sz="8" w:space="0"/>
            </w:tcBorders>
            <w:shd w:val="clear" w:color="auto" w:fill="auto"/>
            <w:vAlign w:val="center"/>
          </w:tcPr>
          <w:p w14:paraId="61062745">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441D6A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9.936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37838C20">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94" w:type="pct"/>
            <w:tcBorders>
              <w:top w:val="nil"/>
              <w:left w:val="single" w:color="000000" w:sz="8" w:space="0"/>
              <w:bottom w:val="single" w:color="000000" w:sz="8" w:space="0"/>
              <w:right w:val="single" w:color="000000" w:sz="8" w:space="0"/>
            </w:tcBorders>
            <w:shd w:val="clear" w:color="auto" w:fill="auto"/>
          </w:tcPr>
          <w:p w14:paraId="4CA369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0.0020 </w:t>
            </w:r>
          </w:p>
        </w:tc>
        <w:tc>
          <w:tcPr>
            <w:tcW w:w="705" w:type="pct"/>
            <w:tcBorders>
              <w:top w:val="nil"/>
              <w:left w:val="single" w:color="000000" w:sz="8" w:space="0"/>
              <w:bottom w:val="single" w:color="000000" w:sz="8" w:space="0"/>
              <w:right w:val="single" w:color="000000" w:sz="8" w:space="0"/>
            </w:tcBorders>
            <w:shd w:val="clear" w:color="auto" w:fill="auto"/>
            <w:vAlign w:val="center"/>
          </w:tcPr>
          <w:p w14:paraId="34016E10">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调节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混凝沉淀</w:t>
            </w:r>
          </w:p>
        </w:tc>
        <w:tc>
          <w:tcPr>
            <w:tcW w:w="475" w:type="pct"/>
            <w:tcBorders>
              <w:top w:val="nil"/>
              <w:left w:val="single" w:color="000000" w:sz="8" w:space="0"/>
              <w:bottom w:val="single" w:color="000000" w:sz="8" w:space="0"/>
              <w:right w:val="single" w:color="000000" w:sz="8" w:space="0"/>
            </w:tcBorders>
            <w:shd w:val="clear" w:color="auto" w:fill="auto"/>
            <w:vAlign w:val="center"/>
          </w:tcPr>
          <w:p w14:paraId="35E835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9.936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286A98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480" w:type="pct"/>
            <w:tcBorders>
              <w:top w:val="nil"/>
              <w:left w:val="single" w:color="000000" w:sz="8" w:space="0"/>
              <w:bottom w:val="single" w:color="000000" w:sz="8" w:space="0"/>
              <w:right w:val="single" w:color="000000" w:sz="8" w:space="0"/>
            </w:tcBorders>
            <w:shd w:val="clear" w:color="auto" w:fill="auto"/>
          </w:tcPr>
          <w:p w14:paraId="1C759F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0.0002 </w:t>
            </w:r>
          </w:p>
        </w:tc>
      </w:tr>
      <w:tr w14:paraId="6D9085DB">
        <w:tblPrEx>
          <w:tblCellMar>
            <w:top w:w="0" w:type="dxa"/>
            <w:left w:w="108" w:type="dxa"/>
            <w:bottom w:w="0" w:type="dxa"/>
            <w:right w:w="108" w:type="dxa"/>
          </w:tblCellMar>
        </w:tblPrEx>
        <w:trPr>
          <w:trHeight w:val="285" w:hRule="atLeast"/>
        </w:trPr>
        <w:tc>
          <w:tcPr>
            <w:tcW w:w="724" w:type="pct"/>
            <w:vMerge w:val="restart"/>
            <w:tcBorders>
              <w:top w:val="nil"/>
              <w:left w:val="single" w:color="000000" w:sz="8" w:space="0"/>
              <w:bottom w:val="single" w:color="000000" w:sz="8" w:space="0"/>
              <w:right w:val="single" w:color="000000" w:sz="8" w:space="0"/>
            </w:tcBorders>
            <w:shd w:val="clear" w:color="auto" w:fill="auto"/>
            <w:vAlign w:val="center"/>
          </w:tcPr>
          <w:p w14:paraId="5B61AA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w:t>
            </w:r>
          </w:p>
        </w:tc>
        <w:tc>
          <w:tcPr>
            <w:tcW w:w="563" w:type="pct"/>
            <w:tcBorders>
              <w:top w:val="nil"/>
              <w:left w:val="single" w:color="000000" w:sz="8" w:space="0"/>
              <w:bottom w:val="single" w:color="000000" w:sz="8" w:space="0"/>
              <w:right w:val="single" w:color="000000" w:sz="8" w:space="0"/>
            </w:tcBorders>
            <w:shd w:val="clear" w:color="auto" w:fill="auto"/>
            <w:vAlign w:val="center"/>
          </w:tcPr>
          <w:p w14:paraId="4CD7503C">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7B2DF6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2D49D0CD">
            <w:pPr>
              <w:pStyle w:val="28"/>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494" w:type="pct"/>
            <w:tcBorders>
              <w:top w:val="nil"/>
              <w:left w:val="single" w:color="000000" w:sz="8" w:space="0"/>
              <w:bottom w:val="single" w:color="000000" w:sz="8" w:space="0"/>
              <w:right w:val="single" w:color="000000" w:sz="8" w:space="0"/>
            </w:tcBorders>
            <w:shd w:val="clear" w:color="auto" w:fill="auto"/>
          </w:tcPr>
          <w:p w14:paraId="03DC01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0.0168</w:t>
            </w:r>
          </w:p>
        </w:tc>
        <w:tc>
          <w:tcPr>
            <w:tcW w:w="705" w:type="pct"/>
            <w:vMerge w:val="restart"/>
            <w:tcBorders>
              <w:top w:val="nil"/>
              <w:left w:val="single" w:color="000000" w:sz="8" w:space="0"/>
              <w:bottom w:val="single" w:color="000000" w:sz="8" w:space="0"/>
              <w:right w:val="single" w:color="000000" w:sz="8" w:space="0"/>
            </w:tcBorders>
            <w:shd w:val="clear" w:color="auto" w:fill="auto"/>
            <w:vAlign w:val="center"/>
          </w:tcPr>
          <w:p w14:paraId="2A37E11F">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调节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混凝沉淀</w:t>
            </w:r>
          </w:p>
        </w:tc>
        <w:tc>
          <w:tcPr>
            <w:tcW w:w="475" w:type="pct"/>
            <w:tcBorders>
              <w:top w:val="nil"/>
              <w:left w:val="single" w:color="000000" w:sz="8" w:space="0"/>
              <w:bottom w:val="single" w:color="000000" w:sz="8" w:space="0"/>
              <w:right w:val="single" w:color="000000" w:sz="8" w:space="0"/>
            </w:tcBorders>
            <w:shd w:val="clear" w:color="auto" w:fill="auto"/>
            <w:vAlign w:val="center"/>
          </w:tcPr>
          <w:p w14:paraId="3CC435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4E3FCEC2">
            <w:pPr>
              <w:pStyle w:val="28"/>
              <w:rPr>
                <w:color w:val="000000" w:themeColor="text1"/>
                <w14:textFill>
                  <w14:solidFill>
                    <w14:schemeClr w14:val="tx1"/>
                  </w14:solidFill>
                </w14:textFill>
              </w:rPr>
            </w:pPr>
            <w:r>
              <w:rPr>
                <w:color w:val="000000" w:themeColor="text1"/>
                <w14:textFill>
                  <w14:solidFill>
                    <w14:schemeClr w14:val="tx1"/>
                  </w14:solidFill>
                </w14:textFill>
              </w:rPr>
              <w:t>420</w:t>
            </w:r>
          </w:p>
        </w:tc>
        <w:tc>
          <w:tcPr>
            <w:tcW w:w="480" w:type="pct"/>
            <w:tcBorders>
              <w:top w:val="nil"/>
              <w:left w:val="single" w:color="000000" w:sz="8" w:space="0"/>
              <w:bottom w:val="single" w:color="000000" w:sz="8" w:space="0"/>
              <w:right w:val="single" w:color="000000" w:sz="8" w:space="0"/>
            </w:tcBorders>
            <w:shd w:val="clear" w:color="auto" w:fill="auto"/>
          </w:tcPr>
          <w:p w14:paraId="00EBB5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0.0101 </w:t>
            </w:r>
          </w:p>
        </w:tc>
      </w:tr>
      <w:tr w14:paraId="2F1216E2">
        <w:tblPrEx>
          <w:tblCellMar>
            <w:top w:w="0" w:type="dxa"/>
            <w:left w:w="108" w:type="dxa"/>
            <w:bottom w:w="0" w:type="dxa"/>
            <w:right w:w="108" w:type="dxa"/>
          </w:tblCellMar>
        </w:tblPrEx>
        <w:trPr>
          <w:trHeight w:val="28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5C6C1EB7">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3AE3371C">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39C604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7CB47382">
            <w:pPr>
              <w:pStyle w:val="28"/>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494" w:type="pct"/>
            <w:tcBorders>
              <w:top w:val="nil"/>
              <w:left w:val="single" w:color="000000" w:sz="8" w:space="0"/>
              <w:bottom w:val="single" w:color="000000" w:sz="8" w:space="0"/>
              <w:right w:val="single" w:color="000000" w:sz="8" w:space="0"/>
            </w:tcBorders>
            <w:shd w:val="clear" w:color="auto" w:fill="auto"/>
          </w:tcPr>
          <w:p w14:paraId="31C046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0.0216</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3859A0C8">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6179D7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1A4B127F">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c>
          <w:tcPr>
            <w:tcW w:w="480" w:type="pct"/>
            <w:tcBorders>
              <w:top w:val="nil"/>
              <w:left w:val="single" w:color="000000" w:sz="8" w:space="0"/>
              <w:bottom w:val="single" w:color="000000" w:sz="8" w:space="0"/>
              <w:right w:val="single" w:color="000000" w:sz="8" w:space="0"/>
            </w:tcBorders>
            <w:shd w:val="clear" w:color="auto" w:fill="auto"/>
          </w:tcPr>
          <w:p w14:paraId="4D1163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0.0022 </w:t>
            </w:r>
          </w:p>
        </w:tc>
      </w:tr>
      <w:tr w14:paraId="5F651FEE">
        <w:tblPrEx>
          <w:tblCellMar>
            <w:top w:w="0" w:type="dxa"/>
            <w:left w:w="108" w:type="dxa"/>
            <w:bottom w:w="0" w:type="dxa"/>
            <w:right w:w="108" w:type="dxa"/>
          </w:tblCellMar>
        </w:tblPrEx>
        <w:trPr>
          <w:trHeight w:val="28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6404AD2C">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22745F5B">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657AEE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382B6996">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494" w:type="pct"/>
            <w:tcBorders>
              <w:top w:val="nil"/>
              <w:left w:val="single" w:color="000000" w:sz="8" w:space="0"/>
              <w:bottom w:val="single" w:color="000000" w:sz="8" w:space="0"/>
              <w:right w:val="single" w:color="000000" w:sz="8" w:space="0"/>
            </w:tcBorders>
            <w:shd w:val="clear" w:color="auto" w:fill="auto"/>
          </w:tcPr>
          <w:p w14:paraId="747E61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0.000024</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2F66CD11">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15D5CA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45D1510B">
            <w:pPr>
              <w:pStyle w:val="28"/>
              <w:rPr>
                <w:color w:val="000000" w:themeColor="text1"/>
                <w14:textFill>
                  <w14:solidFill>
                    <w14:schemeClr w14:val="tx1"/>
                  </w14:solidFill>
                </w14:textFill>
              </w:rPr>
            </w:pPr>
            <w:r>
              <w:rPr>
                <w:color w:val="000000" w:themeColor="text1"/>
                <w14:textFill>
                  <w14:solidFill>
                    <w14:schemeClr w14:val="tx1"/>
                  </w14:solidFill>
                </w14:textFill>
              </w:rPr>
              <w:t>0.4</w:t>
            </w:r>
          </w:p>
        </w:tc>
        <w:tc>
          <w:tcPr>
            <w:tcW w:w="480" w:type="pct"/>
            <w:tcBorders>
              <w:top w:val="nil"/>
              <w:left w:val="single" w:color="000000" w:sz="8" w:space="0"/>
              <w:bottom w:val="single" w:color="000000" w:sz="8" w:space="0"/>
              <w:right w:val="single" w:color="000000" w:sz="8" w:space="0"/>
            </w:tcBorders>
            <w:shd w:val="clear" w:color="auto" w:fill="auto"/>
          </w:tcPr>
          <w:p w14:paraId="0A1EEC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0.00001 </w:t>
            </w:r>
          </w:p>
        </w:tc>
      </w:tr>
      <w:tr w14:paraId="500F4B03">
        <w:tblPrEx>
          <w:tblCellMar>
            <w:top w:w="0" w:type="dxa"/>
            <w:left w:w="108" w:type="dxa"/>
            <w:bottom w:w="0" w:type="dxa"/>
            <w:right w:w="108" w:type="dxa"/>
          </w:tblCellMar>
        </w:tblPrEx>
        <w:trPr>
          <w:trHeight w:val="28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4586D756">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60FFCA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501A65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1FC55380">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94" w:type="pct"/>
            <w:tcBorders>
              <w:top w:val="nil"/>
              <w:left w:val="single" w:color="000000" w:sz="8" w:space="0"/>
              <w:bottom w:val="single" w:color="000000" w:sz="8" w:space="0"/>
              <w:right w:val="single" w:color="000000" w:sz="8" w:space="0"/>
            </w:tcBorders>
            <w:shd w:val="clear" w:color="auto" w:fill="auto"/>
          </w:tcPr>
          <w:p w14:paraId="702108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0.00024</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3E50F145">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4244AF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6019D744">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0" w:type="pct"/>
            <w:tcBorders>
              <w:top w:val="nil"/>
              <w:left w:val="single" w:color="000000" w:sz="8" w:space="0"/>
              <w:bottom w:val="single" w:color="000000" w:sz="8" w:space="0"/>
              <w:right w:val="single" w:color="000000" w:sz="8" w:space="0"/>
            </w:tcBorders>
            <w:shd w:val="clear" w:color="auto" w:fill="auto"/>
          </w:tcPr>
          <w:p w14:paraId="5A642C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0.00002 </w:t>
            </w:r>
          </w:p>
        </w:tc>
      </w:tr>
      <w:tr w14:paraId="3B27D363">
        <w:tblPrEx>
          <w:tblCellMar>
            <w:top w:w="0" w:type="dxa"/>
            <w:left w:w="108" w:type="dxa"/>
            <w:bottom w:w="0" w:type="dxa"/>
            <w:right w:w="108" w:type="dxa"/>
          </w:tblCellMar>
        </w:tblPrEx>
        <w:trPr>
          <w:trHeight w:val="285" w:hRule="atLeast"/>
        </w:trPr>
        <w:tc>
          <w:tcPr>
            <w:tcW w:w="724" w:type="pct"/>
            <w:vMerge w:val="restart"/>
            <w:tcBorders>
              <w:top w:val="nil"/>
              <w:left w:val="single" w:color="000000" w:sz="8" w:space="0"/>
              <w:bottom w:val="single" w:color="000000" w:sz="8" w:space="0"/>
              <w:right w:val="single" w:color="000000" w:sz="8" w:space="0"/>
            </w:tcBorders>
            <w:shd w:val="clear" w:color="auto" w:fill="auto"/>
            <w:vAlign w:val="center"/>
          </w:tcPr>
          <w:p w14:paraId="75BD87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生活污水、车间拖把清洁废水</w:t>
            </w:r>
          </w:p>
        </w:tc>
        <w:tc>
          <w:tcPr>
            <w:tcW w:w="563" w:type="pct"/>
            <w:tcBorders>
              <w:top w:val="nil"/>
              <w:left w:val="single" w:color="000000" w:sz="8" w:space="0"/>
              <w:bottom w:val="single" w:color="000000" w:sz="8" w:space="0"/>
              <w:right w:val="single" w:color="000000" w:sz="8" w:space="0"/>
            </w:tcBorders>
            <w:shd w:val="clear" w:color="auto" w:fill="auto"/>
            <w:vAlign w:val="center"/>
          </w:tcPr>
          <w:p w14:paraId="030D0261">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2520F7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7CB11BA2">
            <w:pPr>
              <w:pStyle w:val="28"/>
              <w:rPr>
                <w:color w:val="000000" w:themeColor="text1"/>
                <w14:textFill>
                  <w14:solidFill>
                    <w14:schemeClr w14:val="tx1"/>
                  </w14:solidFill>
                </w14:textFill>
              </w:rPr>
            </w:pPr>
            <w:r>
              <w:rPr>
                <w:color w:val="000000" w:themeColor="text1"/>
                <w14:textFill>
                  <w14:solidFill>
                    <w14:schemeClr w14:val="tx1"/>
                  </w14:solidFill>
                </w14:textFill>
              </w:rPr>
              <w:t>179.5</w:t>
            </w:r>
          </w:p>
        </w:tc>
        <w:tc>
          <w:tcPr>
            <w:tcW w:w="494" w:type="pct"/>
            <w:tcBorders>
              <w:top w:val="nil"/>
              <w:left w:val="single" w:color="000000" w:sz="8" w:space="0"/>
              <w:bottom w:val="single" w:color="000000" w:sz="8" w:space="0"/>
              <w:right w:val="single" w:color="000000" w:sz="8" w:space="0"/>
            </w:tcBorders>
            <w:shd w:val="clear" w:color="auto" w:fill="auto"/>
          </w:tcPr>
          <w:p w14:paraId="317E1C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0.0775 </w:t>
            </w:r>
          </w:p>
        </w:tc>
        <w:tc>
          <w:tcPr>
            <w:tcW w:w="705" w:type="pct"/>
            <w:vMerge w:val="restart"/>
            <w:tcBorders>
              <w:top w:val="nil"/>
              <w:left w:val="single" w:color="000000" w:sz="8" w:space="0"/>
              <w:bottom w:val="single" w:color="000000" w:sz="8" w:space="0"/>
              <w:right w:val="single" w:color="000000" w:sz="8" w:space="0"/>
            </w:tcBorders>
            <w:shd w:val="clear" w:color="auto" w:fill="auto"/>
            <w:vAlign w:val="center"/>
          </w:tcPr>
          <w:p w14:paraId="4E09BE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w:t>
            </w:r>
          </w:p>
        </w:tc>
        <w:tc>
          <w:tcPr>
            <w:tcW w:w="475" w:type="pct"/>
            <w:tcBorders>
              <w:top w:val="nil"/>
              <w:left w:val="single" w:color="000000" w:sz="8" w:space="0"/>
              <w:bottom w:val="single" w:color="000000" w:sz="8" w:space="0"/>
              <w:right w:val="single" w:color="000000" w:sz="8" w:space="0"/>
            </w:tcBorders>
            <w:shd w:val="clear" w:color="auto" w:fill="auto"/>
            <w:vAlign w:val="center"/>
          </w:tcPr>
          <w:p w14:paraId="66D5B5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2F8DFA4D">
            <w:pPr>
              <w:pStyle w:val="28"/>
              <w:rPr>
                <w:color w:val="000000" w:themeColor="text1"/>
                <w14:textFill>
                  <w14:solidFill>
                    <w14:schemeClr w14:val="tx1"/>
                  </w14:solidFill>
                </w14:textFill>
              </w:rPr>
            </w:pPr>
            <w:r>
              <w:rPr>
                <w:color w:val="000000" w:themeColor="text1"/>
                <w14:textFill>
                  <w14:solidFill>
                    <w14:schemeClr w14:val="tx1"/>
                  </w14:solidFill>
                </w14:textFill>
              </w:rPr>
              <w:t>83.5</w:t>
            </w:r>
          </w:p>
        </w:tc>
        <w:tc>
          <w:tcPr>
            <w:tcW w:w="480" w:type="pct"/>
            <w:tcBorders>
              <w:top w:val="nil"/>
              <w:left w:val="single" w:color="000000" w:sz="8" w:space="0"/>
              <w:bottom w:val="single" w:color="000000" w:sz="8" w:space="0"/>
              <w:right w:val="single" w:color="000000" w:sz="8" w:space="0"/>
            </w:tcBorders>
            <w:shd w:val="clear" w:color="auto" w:fill="auto"/>
          </w:tcPr>
          <w:p w14:paraId="74C817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0.0361 </w:t>
            </w:r>
          </w:p>
        </w:tc>
      </w:tr>
      <w:tr w14:paraId="60618593">
        <w:tblPrEx>
          <w:tblCellMar>
            <w:top w:w="0" w:type="dxa"/>
            <w:left w:w="108" w:type="dxa"/>
            <w:bottom w:w="0" w:type="dxa"/>
            <w:right w:w="108" w:type="dxa"/>
          </w:tblCellMar>
        </w:tblPrEx>
        <w:trPr>
          <w:trHeight w:val="34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01E55C34">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570EE532">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717B92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2CB9833A">
            <w:pPr>
              <w:pStyle w:val="28"/>
              <w:rPr>
                <w:color w:val="000000" w:themeColor="text1"/>
                <w14:textFill>
                  <w14:solidFill>
                    <w14:schemeClr w14:val="tx1"/>
                  </w14:solidFill>
                </w14:textFill>
              </w:rPr>
            </w:pPr>
            <w:r>
              <w:rPr>
                <w:color w:val="000000" w:themeColor="text1"/>
                <w14:textFill>
                  <w14:solidFill>
                    <w14:schemeClr w14:val="tx1"/>
                  </w14:solidFill>
                </w14:textFill>
              </w:rPr>
              <w:t>69.1</w:t>
            </w:r>
          </w:p>
        </w:tc>
        <w:tc>
          <w:tcPr>
            <w:tcW w:w="494" w:type="pct"/>
            <w:tcBorders>
              <w:top w:val="nil"/>
              <w:left w:val="single" w:color="000000" w:sz="8" w:space="0"/>
              <w:bottom w:val="single" w:color="000000" w:sz="8" w:space="0"/>
              <w:right w:val="single" w:color="000000" w:sz="8" w:space="0"/>
            </w:tcBorders>
            <w:shd w:val="clear" w:color="auto" w:fill="auto"/>
          </w:tcPr>
          <w:p w14:paraId="63EC19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0.0299 </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73A74748">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736685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3F211754">
            <w:pPr>
              <w:pStyle w:val="28"/>
              <w:rPr>
                <w:color w:val="000000" w:themeColor="text1"/>
                <w14:textFill>
                  <w14:solidFill>
                    <w14:schemeClr w14:val="tx1"/>
                  </w14:solidFill>
                </w14:textFill>
              </w:rPr>
            </w:pPr>
            <w:r>
              <w:rPr>
                <w:color w:val="000000" w:themeColor="text1"/>
                <w14:textFill>
                  <w14:solidFill>
                    <w14:schemeClr w14:val="tx1"/>
                  </w14:solidFill>
                </w14:textFill>
              </w:rPr>
              <w:t>45.35</w:t>
            </w:r>
          </w:p>
        </w:tc>
        <w:tc>
          <w:tcPr>
            <w:tcW w:w="480" w:type="pct"/>
            <w:tcBorders>
              <w:top w:val="nil"/>
              <w:left w:val="single" w:color="000000" w:sz="8" w:space="0"/>
              <w:bottom w:val="single" w:color="000000" w:sz="8" w:space="0"/>
              <w:right w:val="single" w:color="000000" w:sz="8" w:space="0"/>
            </w:tcBorders>
            <w:shd w:val="clear" w:color="auto" w:fill="auto"/>
          </w:tcPr>
          <w:p w14:paraId="7388C1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0.0196 </w:t>
            </w:r>
          </w:p>
        </w:tc>
      </w:tr>
      <w:tr w14:paraId="6477F2B8">
        <w:tblPrEx>
          <w:tblCellMar>
            <w:top w:w="0" w:type="dxa"/>
            <w:left w:w="108" w:type="dxa"/>
            <w:bottom w:w="0" w:type="dxa"/>
            <w:right w:w="108" w:type="dxa"/>
          </w:tblCellMar>
        </w:tblPrEx>
        <w:trPr>
          <w:trHeight w:val="170"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184E516A">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0F961066">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0AFFD8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1410FB2A">
            <w:pPr>
              <w:pStyle w:val="28"/>
              <w:rPr>
                <w:color w:val="000000" w:themeColor="text1"/>
                <w14:textFill>
                  <w14:solidFill>
                    <w14:schemeClr w14:val="tx1"/>
                  </w14:solidFill>
                </w14:textFill>
              </w:rPr>
            </w:pPr>
            <w:r>
              <w:rPr>
                <w:color w:val="000000" w:themeColor="text1"/>
                <w14:textFill>
                  <w14:solidFill>
                    <w14:schemeClr w14:val="tx1"/>
                  </w14:solidFill>
                </w14:textFill>
              </w:rPr>
              <w:t>23</w:t>
            </w:r>
          </w:p>
        </w:tc>
        <w:tc>
          <w:tcPr>
            <w:tcW w:w="494" w:type="pct"/>
            <w:tcBorders>
              <w:top w:val="nil"/>
              <w:left w:val="single" w:color="000000" w:sz="8" w:space="0"/>
              <w:bottom w:val="single" w:color="000000" w:sz="8" w:space="0"/>
              <w:right w:val="single" w:color="000000" w:sz="8" w:space="0"/>
            </w:tcBorders>
            <w:shd w:val="clear" w:color="auto" w:fill="auto"/>
          </w:tcPr>
          <w:p w14:paraId="6A803E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0.0099 </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54F6B97B">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183690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00546E82">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c>
          <w:tcPr>
            <w:tcW w:w="480" w:type="pct"/>
            <w:tcBorders>
              <w:top w:val="nil"/>
              <w:left w:val="single" w:color="000000" w:sz="8" w:space="0"/>
              <w:bottom w:val="single" w:color="000000" w:sz="8" w:space="0"/>
              <w:right w:val="single" w:color="000000" w:sz="8" w:space="0"/>
            </w:tcBorders>
            <w:shd w:val="clear" w:color="auto" w:fill="auto"/>
          </w:tcPr>
          <w:p w14:paraId="422019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0.0030 </w:t>
            </w:r>
          </w:p>
        </w:tc>
      </w:tr>
      <w:tr w14:paraId="68161093">
        <w:tblPrEx>
          <w:tblCellMar>
            <w:top w:w="0" w:type="dxa"/>
            <w:left w:w="108" w:type="dxa"/>
            <w:bottom w:w="0" w:type="dxa"/>
            <w:right w:w="108" w:type="dxa"/>
          </w:tblCellMar>
        </w:tblPrEx>
        <w:trPr>
          <w:trHeight w:val="360"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68A77135">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7AAEDB76">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21263C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52EE8CDF">
            <w:pPr>
              <w:pStyle w:val="28"/>
              <w:rPr>
                <w:color w:val="000000" w:themeColor="text1"/>
                <w14:textFill>
                  <w14:solidFill>
                    <w14:schemeClr w14:val="tx1"/>
                  </w14:solidFill>
                </w14:textFill>
              </w:rPr>
            </w:pPr>
            <w:r>
              <w:rPr>
                <w:color w:val="000000" w:themeColor="text1"/>
                <w14:textFill>
                  <w14:solidFill>
                    <w14:schemeClr w14:val="tx1"/>
                  </w14:solidFill>
                </w14:textFill>
              </w:rPr>
              <w:t>46.65</w:t>
            </w:r>
          </w:p>
        </w:tc>
        <w:tc>
          <w:tcPr>
            <w:tcW w:w="494" w:type="pct"/>
            <w:tcBorders>
              <w:top w:val="nil"/>
              <w:left w:val="single" w:color="000000" w:sz="8" w:space="0"/>
              <w:bottom w:val="single" w:color="000000" w:sz="8" w:space="0"/>
              <w:right w:val="single" w:color="000000" w:sz="8" w:space="0"/>
            </w:tcBorders>
            <w:shd w:val="clear" w:color="auto" w:fill="auto"/>
          </w:tcPr>
          <w:p w14:paraId="249F2D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0.0202 </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0990A7CA">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0D81B6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443840E9">
            <w:pPr>
              <w:pStyle w:val="28"/>
              <w:rPr>
                <w:color w:val="000000" w:themeColor="text1"/>
                <w14:textFill>
                  <w14:solidFill>
                    <w14:schemeClr w14:val="tx1"/>
                  </w14:solidFill>
                </w14:textFill>
              </w:rPr>
            </w:pPr>
            <w:r>
              <w:rPr>
                <w:color w:val="000000" w:themeColor="text1"/>
                <w14:textFill>
                  <w14:solidFill>
                    <w14:schemeClr w14:val="tx1"/>
                  </w14:solidFill>
                </w14:textFill>
              </w:rPr>
              <w:t>14.075</w:t>
            </w:r>
          </w:p>
        </w:tc>
        <w:tc>
          <w:tcPr>
            <w:tcW w:w="480" w:type="pct"/>
            <w:tcBorders>
              <w:top w:val="nil"/>
              <w:left w:val="single" w:color="000000" w:sz="8" w:space="0"/>
              <w:bottom w:val="single" w:color="000000" w:sz="8" w:space="0"/>
              <w:right w:val="single" w:color="000000" w:sz="8" w:space="0"/>
            </w:tcBorders>
            <w:shd w:val="clear" w:color="auto" w:fill="auto"/>
          </w:tcPr>
          <w:p w14:paraId="3D1EF7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0.0061 </w:t>
            </w:r>
          </w:p>
        </w:tc>
      </w:tr>
      <w:tr w14:paraId="4683D296">
        <w:tblPrEx>
          <w:tblCellMar>
            <w:top w:w="0" w:type="dxa"/>
            <w:left w:w="108" w:type="dxa"/>
            <w:bottom w:w="0" w:type="dxa"/>
            <w:right w:w="108" w:type="dxa"/>
          </w:tblCellMar>
        </w:tblPrEx>
        <w:trPr>
          <w:trHeight w:val="510" w:hRule="atLeast"/>
        </w:trPr>
        <w:tc>
          <w:tcPr>
            <w:tcW w:w="724" w:type="pct"/>
            <w:tcBorders>
              <w:top w:val="nil"/>
              <w:left w:val="single" w:color="000000" w:sz="8" w:space="0"/>
              <w:bottom w:val="single" w:color="000000" w:sz="8" w:space="0"/>
              <w:right w:val="single" w:color="000000" w:sz="8" w:space="0"/>
            </w:tcBorders>
            <w:shd w:val="clear" w:color="auto" w:fill="auto"/>
            <w:vAlign w:val="center"/>
          </w:tcPr>
          <w:p w14:paraId="3186B6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w:t>
            </w:r>
          </w:p>
        </w:tc>
        <w:tc>
          <w:tcPr>
            <w:tcW w:w="563" w:type="pct"/>
            <w:tcBorders>
              <w:top w:val="nil"/>
              <w:left w:val="single" w:color="000000" w:sz="8" w:space="0"/>
              <w:bottom w:val="single" w:color="000000" w:sz="8" w:space="0"/>
              <w:right w:val="single" w:color="000000" w:sz="8" w:space="0"/>
            </w:tcBorders>
            <w:shd w:val="clear" w:color="auto" w:fill="auto"/>
            <w:vAlign w:val="center"/>
          </w:tcPr>
          <w:p w14:paraId="181C3FC2">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0EC6AE93">
            <w:pPr>
              <w:pStyle w:val="28"/>
              <w:rPr>
                <w:color w:val="000000" w:themeColor="text1"/>
                <w14:textFill>
                  <w14:solidFill>
                    <w14:schemeClr w14:val="tx1"/>
                  </w14:solidFill>
                </w14:textFill>
              </w:rPr>
            </w:pPr>
            <w:r>
              <w:rPr>
                <w:color w:val="000000" w:themeColor="text1"/>
                <w14:textFill>
                  <w14:solidFill>
                    <w14:schemeClr w14:val="tx1"/>
                  </w14:solidFill>
                </w14:textFill>
              </w:rPr>
              <w:t>1.8</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7724009C">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3B385E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0.00018</w:t>
            </w:r>
          </w:p>
        </w:tc>
        <w:tc>
          <w:tcPr>
            <w:tcW w:w="705" w:type="pct"/>
            <w:tcBorders>
              <w:top w:val="nil"/>
              <w:left w:val="single" w:color="000000" w:sz="8" w:space="0"/>
              <w:bottom w:val="single" w:color="000000" w:sz="8" w:space="0"/>
              <w:right w:val="single" w:color="000000" w:sz="8" w:space="0"/>
            </w:tcBorders>
            <w:shd w:val="clear" w:color="auto" w:fill="auto"/>
            <w:vAlign w:val="center"/>
          </w:tcPr>
          <w:p w14:paraId="7C84A792">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调节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混凝沉淀</w:t>
            </w:r>
          </w:p>
        </w:tc>
        <w:tc>
          <w:tcPr>
            <w:tcW w:w="475" w:type="pct"/>
            <w:tcBorders>
              <w:top w:val="nil"/>
              <w:left w:val="single" w:color="000000" w:sz="8" w:space="0"/>
              <w:bottom w:val="single" w:color="000000" w:sz="8" w:space="0"/>
              <w:right w:val="single" w:color="000000" w:sz="8" w:space="0"/>
            </w:tcBorders>
            <w:shd w:val="clear" w:color="auto" w:fill="auto"/>
            <w:vAlign w:val="center"/>
          </w:tcPr>
          <w:p w14:paraId="081D8294">
            <w:pPr>
              <w:pStyle w:val="28"/>
              <w:rPr>
                <w:color w:val="000000" w:themeColor="text1"/>
                <w14:textFill>
                  <w14:solidFill>
                    <w14:schemeClr w14:val="tx1"/>
                  </w14:solidFill>
                </w14:textFill>
              </w:rPr>
            </w:pPr>
            <w:r>
              <w:rPr>
                <w:color w:val="000000" w:themeColor="text1"/>
                <w14:textFill>
                  <w14:solidFill>
                    <w14:schemeClr w14:val="tx1"/>
                  </w14:solidFill>
                </w14:textFill>
              </w:rPr>
              <w:t>1.8</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6F2729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4C5DD3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0.000018</w:t>
            </w:r>
          </w:p>
        </w:tc>
      </w:tr>
      <w:tr w14:paraId="0036F9AA">
        <w:tblPrEx>
          <w:tblCellMar>
            <w:top w:w="0" w:type="dxa"/>
            <w:left w:w="108" w:type="dxa"/>
            <w:bottom w:w="0" w:type="dxa"/>
            <w:right w:w="108" w:type="dxa"/>
          </w:tblCellMar>
        </w:tblPrEx>
        <w:trPr>
          <w:trHeight w:val="360" w:hRule="atLeast"/>
        </w:trPr>
        <w:tc>
          <w:tcPr>
            <w:tcW w:w="724" w:type="pct"/>
            <w:vMerge w:val="restart"/>
            <w:tcBorders>
              <w:top w:val="nil"/>
              <w:left w:val="single" w:color="000000" w:sz="8" w:space="0"/>
              <w:bottom w:val="single" w:color="000000" w:sz="8" w:space="0"/>
              <w:right w:val="single" w:color="000000" w:sz="8" w:space="0"/>
            </w:tcBorders>
            <w:shd w:val="clear" w:color="auto" w:fill="auto"/>
            <w:vAlign w:val="center"/>
          </w:tcPr>
          <w:p w14:paraId="31876E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综合废水</w:t>
            </w:r>
          </w:p>
        </w:tc>
        <w:tc>
          <w:tcPr>
            <w:tcW w:w="563" w:type="pct"/>
            <w:tcBorders>
              <w:top w:val="nil"/>
              <w:left w:val="single" w:color="000000" w:sz="8" w:space="0"/>
              <w:bottom w:val="single" w:color="000000" w:sz="8" w:space="0"/>
              <w:right w:val="single" w:color="000000" w:sz="8" w:space="0"/>
            </w:tcBorders>
            <w:shd w:val="clear" w:color="auto" w:fill="auto"/>
            <w:vAlign w:val="center"/>
          </w:tcPr>
          <w:p w14:paraId="33967378">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2DD88E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67E537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201.61</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5F9A37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0.0943</w:t>
            </w:r>
          </w:p>
        </w:tc>
        <w:tc>
          <w:tcPr>
            <w:tcW w:w="705" w:type="pct"/>
            <w:vMerge w:val="restart"/>
            <w:tcBorders>
              <w:top w:val="nil"/>
              <w:left w:val="single" w:color="000000" w:sz="8" w:space="0"/>
              <w:bottom w:val="single" w:color="000000" w:sz="8" w:space="0"/>
              <w:right w:val="single" w:color="000000" w:sz="8" w:space="0"/>
            </w:tcBorders>
            <w:shd w:val="clear" w:color="auto" w:fill="auto"/>
            <w:vAlign w:val="center"/>
          </w:tcPr>
          <w:p w14:paraId="3A425C7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75" w:type="pct"/>
            <w:tcBorders>
              <w:top w:val="nil"/>
              <w:left w:val="single" w:color="000000" w:sz="8" w:space="0"/>
              <w:bottom w:val="single" w:color="000000" w:sz="8" w:space="0"/>
              <w:right w:val="single" w:color="000000" w:sz="8" w:space="0"/>
            </w:tcBorders>
            <w:shd w:val="clear" w:color="auto" w:fill="auto"/>
            <w:vAlign w:val="center"/>
          </w:tcPr>
          <w:p w14:paraId="1EE1E2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5AB834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98.77</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67D562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0.0462</w:t>
            </w:r>
          </w:p>
        </w:tc>
      </w:tr>
      <w:tr w14:paraId="0584CC64">
        <w:tblPrEx>
          <w:tblCellMar>
            <w:top w:w="0" w:type="dxa"/>
            <w:left w:w="108" w:type="dxa"/>
            <w:bottom w:w="0" w:type="dxa"/>
            <w:right w:w="108" w:type="dxa"/>
          </w:tblCellMar>
        </w:tblPrEx>
        <w:trPr>
          <w:trHeight w:val="360"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5814A36E">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2ACEA767">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54F8E6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6BB431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63.92</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7ACFC6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0.0299</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10028C10">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4CC409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17A846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41.92</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2DB4A0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0.0196</w:t>
            </w:r>
          </w:p>
        </w:tc>
      </w:tr>
      <w:tr w14:paraId="5037EFDE">
        <w:tblPrEx>
          <w:tblCellMar>
            <w:top w:w="0" w:type="dxa"/>
            <w:left w:w="108" w:type="dxa"/>
            <w:bottom w:w="0" w:type="dxa"/>
            <w:right w:w="108" w:type="dxa"/>
          </w:tblCellMar>
        </w:tblPrEx>
        <w:trPr>
          <w:trHeight w:val="90"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52A1CD00">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24426D71">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236D45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321E29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72.00</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4A3909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0.0337</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09391939">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6E8951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251546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11.58</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3C2E1D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0.0054</w:t>
            </w:r>
          </w:p>
        </w:tc>
      </w:tr>
      <w:tr w14:paraId="2D19D447">
        <w:tblPrEx>
          <w:tblCellMar>
            <w:top w:w="0" w:type="dxa"/>
            <w:left w:w="108" w:type="dxa"/>
            <w:bottom w:w="0" w:type="dxa"/>
            <w:right w:w="108" w:type="dxa"/>
          </w:tblCellMar>
        </w:tblPrEx>
        <w:trPr>
          <w:trHeight w:val="34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0CF9FC6E">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6D55C733">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0EC7D5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234558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43.19</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366974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0.0202</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06A6E3F6">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4B8414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250805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13.04</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3FD36D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0.0061</w:t>
            </w:r>
          </w:p>
        </w:tc>
      </w:tr>
      <w:tr w14:paraId="19AC9F9E">
        <w:tblPrEx>
          <w:tblCellMar>
            <w:top w:w="0" w:type="dxa"/>
            <w:left w:w="108" w:type="dxa"/>
            <w:bottom w:w="0" w:type="dxa"/>
            <w:right w:w="108" w:type="dxa"/>
          </w:tblCellMar>
        </w:tblPrEx>
        <w:trPr>
          <w:trHeight w:val="28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52F16DED">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1312F78A">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59AF25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2F4AEE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0.051</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68AA0F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0.000024</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5F313396">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7D94E8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54A626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0.021</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052FE6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r>
      <w:tr w14:paraId="1A02309F">
        <w:tblPrEx>
          <w:tblCellMar>
            <w:top w:w="0" w:type="dxa"/>
            <w:left w:w="108" w:type="dxa"/>
            <w:bottom w:w="0" w:type="dxa"/>
            <w:right w:w="108" w:type="dxa"/>
          </w:tblCellMar>
        </w:tblPrEx>
        <w:trPr>
          <w:trHeight w:val="285" w:hRule="atLeast"/>
        </w:trPr>
        <w:tc>
          <w:tcPr>
            <w:tcW w:w="724" w:type="pct"/>
            <w:vMerge w:val="continue"/>
            <w:tcBorders>
              <w:top w:val="nil"/>
              <w:left w:val="single" w:color="000000" w:sz="8" w:space="0"/>
              <w:bottom w:val="single" w:color="000000" w:sz="8" w:space="0"/>
              <w:right w:val="single" w:color="000000" w:sz="8" w:space="0"/>
            </w:tcBorders>
            <w:shd w:val="clear" w:color="auto" w:fill="auto"/>
            <w:vAlign w:val="center"/>
          </w:tcPr>
          <w:p w14:paraId="0E743590">
            <w:pPr>
              <w:pStyle w:val="28"/>
              <w:rPr>
                <w:color w:val="000000" w:themeColor="text1"/>
                <w14:textFill>
                  <w14:solidFill>
                    <w14:schemeClr w14:val="tx1"/>
                  </w14:solidFill>
                </w14:textFill>
              </w:rPr>
            </w:pPr>
          </w:p>
        </w:tc>
        <w:tc>
          <w:tcPr>
            <w:tcW w:w="563" w:type="pct"/>
            <w:tcBorders>
              <w:top w:val="nil"/>
              <w:left w:val="single" w:color="000000" w:sz="8" w:space="0"/>
              <w:bottom w:val="single" w:color="000000" w:sz="8" w:space="0"/>
              <w:right w:val="single" w:color="000000" w:sz="8" w:space="0"/>
            </w:tcBorders>
            <w:shd w:val="clear" w:color="auto" w:fill="auto"/>
            <w:vAlign w:val="center"/>
          </w:tcPr>
          <w:p w14:paraId="1B377B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501" w:type="pct"/>
            <w:tcBorders>
              <w:top w:val="nil"/>
              <w:left w:val="single" w:color="000000" w:sz="8" w:space="0"/>
              <w:bottom w:val="single" w:color="000000" w:sz="8" w:space="0"/>
              <w:right w:val="single" w:color="000000" w:sz="8" w:space="0"/>
            </w:tcBorders>
            <w:shd w:val="clear" w:color="auto" w:fill="auto"/>
            <w:vAlign w:val="center"/>
          </w:tcPr>
          <w:p w14:paraId="3A8AB5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558" w:type="pct"/>
            <w:tcBorders>
              <w:top w:val="nil"/>
              <w:left w:val="single" w:color="000000" w:sz="8" w:space="0"/>
              <w:bottom w:val="single" w:color="000000" w:sz="8" w:space="0"/>
              <w:right w:val="single" w:color="000000" w:sz="8" w:space="0"/>
            </w:tcBorders>
            <w:shd w:val="clear" w:color="auto" w:fill="auto"/>
            <w:vAlign w:val="center"/>
          </w:tcPr>
          <w:p w14:paraId="7672DE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0.5131</w:t>
            </w:r>
          </w:p>
        </w:tc>
        <w:tc>
          <w:tcPr>
            <w:tcW w:w="494" w:type="pct"/>
            <w:tcBorders>
              <w:top w:val="nil"/>
              <w:left w:val="single" w:color="000000" w:sz="8" w:space="0"/>
              <w:bottom w:val="single" w:color="000000" w:sz="8" w:space="0"/>
              <w:right w:val="single" w:color="000000" w:sz="8" w:space="0"/>
            </w:tcBorders>
            <w:shd w:val="clear" w:color="auto" w:fill="auto"/>
            <w:vAlign w:val="center"/>
          </w:tcPr>
          <w:p w14:paraId="2FDB43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0.00024</w:t>
            </w:r>
          </w:p>
        </w:tc>
        <w:tc>
          <w:tcPr>
            <w:tcW w:w="705" w:type="pct"/>
            <w:vMerge w:val="continue"/>
            <w:tcBorders>
              <w:top w:val="nil"/>
              <w:left w:val="single" w:color="000000" w:sz="8" w:space="0"/>
              <w:bottom w:val="single" w:color="000000" w:sz="8" w:space="0"/>
              <w:right w:val="single" w:color="000000" w:sz="8" w:space="0"/>
            </w:tcBorders>
            <w:shd w:val="clear" w:color="auto" w:fill="auto"/>
            <w:vAlign w:val="center"/>
          </w:tcPr>
          <w:p w14:paraId="09BF5961">
            <w:pPr>
              <w:pStyle w:val="28"/>
              <w:rPr>
                <w:color w:val="000000" w:themeColor="text1"/>
                <w14:textFill>
                  <w14:solidFill>
                    <w14:schemeClr w14:val="tx1"/>
                  </w14:solidFill>
                </w14:textFill>
              </w:rPr>
            </w:pPr>
          </w:p>
        </w:tc>
        <w:tc>
          <w:tcPr>
            <w:tcW w:w="475" w:type="pct"/>
            <w:tcBorders>
              <w:top w:val="nil"/>
              <w:left w:val="single" w:color="000000" w:sz="8" w:space="0"/>
              <w:bottom w:val="single" w:color="000000" w:sz="8" w:space="0"/>
              <w:right w:val="single" w:color="000000" w:sz="8" w:space="0"/>
            </w:tcBorders>
            <w:shd w:val="clear" w:color="auto" w:fill="auto"/>
            <w:vAlign w:val="center"/>
          </w:tcPr>
          <w:p w14:paraId="0CD48D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498" w:type="pct"/>
            <w:tcBorders>
              <w:top w:val="nil"/>
              <w:left w:val="single" w:color="000000" w:sz="8" w:space="0"/>
              <w:bottom w:val="single" w:color="000000" w:sz="8" w:space="0"/>
              <w:right w:val="single" w:color="000000" w:sz="8" w:space="0"/>
            </w:tcBorders>
            <w:shd w:val="clear" w:color="auto" w:fill="auto"/>
            <w:vAlign w:val="center"/>
          </w:tcPr>
          <w:p w14:paraId="514312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0.0428</w:t>
            </w:r>
          </w:p>
        </w:tc>
        <w:tc>
          <w:tcPr>
            <w:tcW w:w="480" w:type="pct"/>
            <w:tcBorders>
              <w:top w:val="nil"/>
              <w:left w:val="single" w:color="000000" w:sz="8" w:space="0"/>
              <w:bottom w:val="single" w:color="000000" w:sz="8" w:space="0"/>
              <w:right w:val="single" w:color="000000" w:sz="8" w:space="0"/>
            </w:tcBorders>
            <w:shd w:val="clear" w:color="auto" w:fill="auto"/>
            <w:vAlign w:val="center"/>
          </w:tcPr>
          <w:p w14:paraId="152A7C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r>
    </w:tbl>
    <w:p w14:paraId="379CB85A">
      <w:pPr>
        <w:ind w:firstLine="480"/>
        <w:rPr>
          <w:rFonts w:cs="Times New Roman"/>
          <w:color w:val="000000" w:themeColor="text1"/>
          <w14:textFill>
            <w14:solidFill>
              <w14:schemeClr w14:val="tx1"/>
            </w14:solidFill>
          </w14:textFill>
        </w:rPr>
        <w:sectPr>
          <w:pgSz w:w="16838" w:h="11906" w:orient="landscape"/>
          <w:pgMar w:top="1440" w:right="1803" w:bottom="1440" w:left="1803" w:header="907" w:footer="992" w:gutter="0"/>
          <w:cols w:space="425" w:num="1"/>
          <w:docGrid w:type="lines" w:linePitch="312" w:charSpace="0"/>
        </w:sectPr>
      </w:pPr>
    </w:p>
    <w:p w14:paraId="3BC659C2">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3.2.2.3噪声</w:t>
      </w:r>
    </w:p>
    <w:p w14:paraId="436E2A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本项目噪声源主要是高混机、气流粉碎机、砂磨机、干燥塔、除湿机组、空压机、风机、水泵等机械设备噪声，具体见表3.2-4。</w:t>
      </w:r>
    </w:p>
    <w:p w14:paraId="745A19C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表3.2-4  主要噪声源一览表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451"/>
        <w:gridCol w:w="849"/>
        <w:gridCol w:w="1149"/>
        <w:gridCol w:w="666"/>
        <w:gridCol w:w="2865"/>
        <w:gridCol w:w="1045"/>
      </w:tblGrid>
      <w:tr w14:paraId="6715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1" w:type="pct"/>
            <w:vAlign w:val="center"/>
          </w:tcPr>
          <w:p w14:paraId="3F9CA6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50" w:type="pct"/>
            <w:vAlign w:val="center"/>
          </w:tcPr>
          <w:p w14:paraId="779A9C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设备名称</w:t>
            </w:r>
          </w:p>
        </w:tc>
        <w:tc>
          <w:tcPr>
            <w:tcW w:w="498" w:type="pct"/>
            <w:vAlign w:val="center"/>
          </w:tcPr>
          <w:p w14:paraId="0162B2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p w14:paraId="425E80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74" w:type="pct"/>
            <w:vAlign w:val="center"/>
          </w:tcPr>
          <w:p w14:paraId="3E7A29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噪声源强</w:t>
            </w:r>
          </w:p>
          <w:p w14:paraId="6FA5B6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dB（A）</w:t>
            </w:r>
          </w:p>
        </w:tc>
        <w:tc>
          <w:tcPr>
            <w:tcW w:w="391" w:type="pct"/>
            <w:vAlign w:val="center"/>
          </w:tcPr>
          <w:p w14:paraId="435C8E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排放方式</w:t>
            </w:r>
          </w:p>
        </w:tc>
        <w:tc>
          <w:tcPr>
            <w:tcW w:w="1680" w:type="pct"/>
            <w:vAlign w:val="center"/>
          </w:tcPr>
          <w:p w14:paraId="50E193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采取措施</w:t>
            </w:r>
          </w:p>
        </w:tc>
        <w:tc>
          <w:tcPr>
            <w:tcW w:w="613" w:type="pct"/>
            <w:vAlign w:val="center"/>
          </w:tcPr>
          <w:p w14:paraId="78EAE9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治理后噪声dB（A）</w:t>
            </w:r>
          </w:p>
        </w:tc>
      </w:tr>
      <w:tr w14:paraId="05F6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3A0D314E">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850" w:type="pct"/>
            <w:shd w:val="clear" w:color="auto" w:fill="auto"/>
            <w:vAlign w:val="center"/>
          </w:tcPr>
          <w:p w14:paraId="27295800">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高混机</w:t>
            </w:r>
          </w:p>
        </w:tc>
        <w:tc>
          <w:tcPr>
            <w:tcW w:w="498" w:type="pct"/>
            <w:shd w:val="clear" w:color="auto" w:fill="auto"/>
            <w:vAlign w:val="center"/>
          </w:tcPr>
          <w:p w14:paraId="7821C9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433FC5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391" w:type="pct"/>
            <w:vAlign w:val="center"/>
          </w:tcPr>
          <w:p w14:paraId="007589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3830D6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44A195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r>
      <w:tr w14:paraId="26C3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591F7177">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2</w:t>
            </w:r>
          </w:p>
        </w:tc>
        <w:tc>
          <w:tcPr>
            <w:tcW w:w="850" w:type="pct"/>
            <w:shd w:val="clear" w:color="auto" w:fill="auto"/>
            <w:vAlign w:val="center"/>
          </w:tcPr>
          <w:p w14:paraId="2650B8C6">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滚筒球磨机</w:t>
            </w:r>
          </w:p>
        </w:tc>
        <w:tc>
          <w:tcPr>
            <w:tcW w:w="498" w:type="pct"/>
            <w:shd w:val="clear" w:color="auto" w:fill="auto"/>
            <w:vAlign w:val="center"/>
          </w:tcPr>
          <w:p w14:paraId="01CD55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3D654D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72672F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7B842A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185242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7B5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3DFB522B">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3</w:t>
            </w:r>
          </w:p>
        </w:tc>
        <w:tc>
          <w:tcPr>
            <w:tcW w:w="850" w:type="pct"/>
            <w:shd w:val="clear" w:color="auto" w:fill="auto"/>
            <w:vAlign w:val="center"/>
          </w:tcPr>
          <w:p w14:paraId="6D8C0D37">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旋轮磨</w:t>
            </w:r>
          </w:p>
        </w:tc>
        <w:tc>
          <w:tcPr>
            <w:tcW w:w="498" w:type="pct"/>
            <w:shd w:val="clear" w:color="auto" w:fill="auto"/>
            <w:vAlign w:val="center"/>
          </w:tcPr>
          <w:p w14:paraId="30E3EF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337204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382560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0CF7C3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1811BB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61D6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71510C8B">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4</w:t>
            </w:r>
          </w:p>
        </w:tc>
        <w:tc>
          <w:tcPr>
            <w:tcW w:w="850" w:type="pct"/>
            <w:shd w:val="clear" w:color="auto" w:fill="auto"/>
            <w:vAlign w:val="center"/>
          </w:tcPr>
          <w:p w14:paraId="4D5B1606">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气流磨</w:t>
            </w:r>
          </w:p>
        </w:tc>
        <w:tc>
          <w:tcPr>
            <w:tcW w:w="498" w:type="pct"/>
            <w:shd w:val="clear" w:color="auto" w:fill="auto"/>
            <w:vAlign w:val="center"/>
          </w:tcPr>
          <w:p w14:paraId="3A68C2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60068F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76B0E8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7BDFE6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57A14B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22AA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743D907D">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5</w:t>
            </w:r>
          </w:p>
        </w:tc>
        <w:tc>
          <w:tcPr>
            <w:tcW w:w="850" w:type="pct"/>
            <w:shd w:val="clear" w:color="auto" w:fill="auto"/>
            <w:vAlign w:val="center"/>
          </w:tcPr>
          <w:p w14:paraId="78DCF3C8">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砂磨机</w:t>
            </w:r>
          </w:p>
        </w:tc>
        <w:tc>
          <w:tcPr>
            <w:tcW w:w="498" w:type="pct"/>
            <w:shd w:val="clear" w:color="auto" w:fill="auto"/>
            <w:vAlign w:val="center"/>
          </w:tcPr>
          <w:p w14:paraId="4F8140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4" w:type="pct"/>
            <w:vAlign w:val="center"/>
          </w:tcPr>
          <w:p w14:paraId="2CA3EA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2775C6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6C5E27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73230C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7770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742F899D">
            <w:pPr>
              <w:pStyle w:val="28"/>
              <w:rPr>
                <w:color w:val="000000" w:themeColor="text1"/>
                <w14:textFill>
                  <w14:solidFill>
                    <w14:schemeClr w14:val="tx1"/>
                  </w14:solidFill>
                </w14:textFill>
              </w:rPr>
            </w:pPr>
            <w:r>
              <w:rPr>
                <w:color w:val="000000" w:themeColor="text1"/>
                <w14:textFill>
                  <w14:solidFill>
                    <w14:schemeClr w14:val="tx1"/>
                  </w14:solidFill>
                </w14:textFill>
              </w:rPr>
              <w:t>6</w:t>
            </w:r>
          </w:p>
        </w:tc>
        <w:tc>
          <w:tcPr>
            <w:tcW w:w="850" w:type="pct"/>
            <w:shd w:val="clear" w:color="auto" w:fill="auto"/>
            <w:vAlign w:val="center"/>
          </w:tcPr>
          <w:p w14:paraId="5EBF37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离心机</w:t>
            </w:r>
          </w:p>
        </w:tc>
        <w:tc>
          <w:tcPr>
            <w:tcW w:w="498" w:type="pct"/>
            <w:shd w:val="clear" w:color="auto" w:fill="auto"/>
            <w:vAlign w:val="center"/>
          </w:tcPr>
          <w:p w14:paraId="68B4D6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7C8EF6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391" w:type="pct"/>
            <w:shd w:val="clear" w:color="auto" w:fill="auto"/>
            <w:vAlign w:val="center"/>
          </w:tcPr>
          <w:p w14:paraId="13892B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shd w:val="clear" w:color="auto" w:fill="auto"/>
            <w:vAlign w:val="center"/>
          </w:tcPr>
          <w:p w14:paraId="105A51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73ED73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r>
      <w:tr w14:paraId="7CA7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20E9429B">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7</w:t>
            </w:r>
          </w:p>
        </w:tc>
        <w:tc>
          <w:tcPr>
            <w:tcW w:w="850" w:type="pct"/>
            <w:shd w:val="clear" w:color="auto" w:fill="auto"/>
            <w:vAlign w:val="center"/>
          </w:tcPr>
          <w:p w14:paraId="2FAD02C3">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吸附式干燥塔</w:t>
            </w:r>
          </w:p>
        </w:tc>
        <w:tc>
          <w:tcPr>
            <w:tcW w:w="498" w:type="pct"/>
            <w:shd w:val="clear" w:color="auto" w:fill="auto"/>
            <w:vAlign w:val="center"/>
          </w:tcPr>
          <w:p w14:paraId="1B4FAD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5AB1D7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739E93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258E45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5E123C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619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3077CE1A">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8</w:t>
            </w:r>
          </w:p>
        </w:tc>
        <w:tc>
          <w:tcPr>
            <w:tcW w:w="850" w:type="pct"/>
            <w:shd w:val="clear" w:color="auto" w:fill="auto"/>
            <w:vAlign w:val="center"/>
          </w:tcPr>
          <w:p w14:paraId="7F2A9954">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真空干燥机</w:t>
            </w:r>
          </w:p>
        </w:tc>
        <w:tc>
          <w:tcPr>
            <w:tcW w:w="498" w:type="pct"/>
            <w:shd w:val="clear" w:color="auto" w:fill="auto"/>
            <w:vAlign w:val="center"/>
          </w:tcPr>
          <w:p w14:paraId="20491C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2FCBFE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3FE718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1FB5FC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2399E2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3091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174E6D3F">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9</w:t>
            </w:r>
          </w:p>
        </w:tc>
        <w:tc>
          <w:tcPr>
            <w:tcW w:w="850" w:type="pct"/>
            <w:shd w:val="clear" w:color="auto" w:fill="auto"/>
            <w:vAlign w:val="center"/>
          </w:tcPr>
          <w:p w14:paraId="36C1B86B">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耙式干燥机</w:t>
            </w:r>
          </w:p>
        </w:tc>
        <w:tc>
          <w:tcPr>
            <w:tcW w:w="498" w:type="pct"/>
            <w:shd w:val="clear" w:color="auto" w:fill="auto"/>
            <w:vAlign w:val="center"/>
          </w:tcPr>
          <w:p w14:paraId="40CCB2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07FB97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59E0E9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2458CC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7DA150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14:paraId="276F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5AB9D42F">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10</w:t>
            </w:r>
          </w:p>
        </w:tc>
        <w:tc>
          <w:tcPr>
            <w:tcW w:w="850" w:type="pct"/>
            <w:shd w:val="clear" w:color="auto" w:fill="auto"/>
            <w:vAlign w:val="center"/>
          </w:tcPr>
          <w:p w14:paraId="260DF5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真空泵</w:t>
            </w:r>
          </w:p>
        </w:tc>
        <w:tc>
          <w:tcPr>
            <w:tcW w:w="498" w:type="pct"/>
            <w:shd w:val="clear" w:color="auto" w:fill="auto"/>
            <w:vAlign w:val="center"/>
          </w:tcPr>
          <w:p w14:paraId="0081B5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0B209A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391" w:type="pct"/>
            <w:vAlign w:val="center"/>
          </w:tcPr>
          <w:p w14:paraId="7CDEA9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050EC8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232A43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r>
      <w:tr w14:paraId="3B42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6F54E522">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11</w:t>
            </w:r>
          </w:p>
        </w:tc>
        <w:tc>
          <w:tcPr>
            <w:tcW w:w="850" w:type="pct"/>
            <w:shd w:val="clear" w:color="auto" w:fill="auto"/>
            <w:vAlign w:val="center"/>
          </w:tcPr>
          <w:p w14:paraId="26E74B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包装机</w:t>
            </w:r>
          </w:p>
        </w:tc>
        <w:tc>
          <w:tcPr>
            <w:tcW w:w="498" w:type="pct"/>
            <w:shd w:val="clear" w:color="auto" w:fill="auto"/>
            <w:vAlign w:val="center"/>
          </w:tcPr>
          <w:p w14:paraId="1256BA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2439B5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391" w:type="pct"/>
            <w:vAlign w:val="center"/>
          </w:tcPr>
          <w:p w14:paraId="54FD25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0E9232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19A71E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r>
      <w:tr w14:paraId="5CAD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7CAB78FA">
            <w:pPr>
              <w:pStyle w:val="28"/>
              <w:rPr>
                <w:color w:val="000000" w:themeColor="text1"/>
                <w:lang w:val="zh-CN"/>
                <w14:textFill>
                  <w14:solidFill>
                    <w14:schemeClr w14:val="tx1"/>
                  </w14:solidFill>
                </w14:textFill>
              </w:rPr>
            </w:pPr>
            <w:r>
              <w:rPr>
                <w:color w:val="000000" w:themeColor="text1"/>
                <w14:textFill>
                  <w14:solidFill>
                    <w14:schemeClr w14:val="tx1"/>
                  </w14:solidFill>
                </w14:textFill>
              </w:rPr>
              <w:t>12</w:t>
            </w:r>
          </w:p>
        </w:tc>
        <w:tc>
          <w:tcPr>
            <w:tcW w:w="850" w:type="pct"/>
            <w:shd w:val="clear" w:color="auto" w:fill="auto"/>
            <w:vAlign w:val="center"/>
          </w:tcPr>
          <w:p w14:paraId="594D04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除湿机组</w:t>
            </w:r>
          </w:p>
        </w:tc>
        <w:tc>
          <w:tcPr>
            <w:tcW w:w="498" w:type="pct"/>
            <w:shd w:val="clear" w:color="auto" w:fill="auto"/>
            <w:vAlign w:val="center"/>
          </w:tcPr>
          <w:p w14:paraId="7AAB1D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1191A0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91" w:type="pct"/>
            <w:vAlign w:val="center"/>
          </w:tcPr>
          <w:p w14:paraId="1ABC69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49366E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483CB9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r>
      <w:tr w14:paraId="5F87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0D6559A3">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13</w:t>
            </w:r>
          </w:p>
        </w:tc>
        <w:tc>
          <w:tcPr>
            <w:tcW w:w="850" w:type="pct"/>
            <w:shd w:val="clear" w:color="auto" w:fill="auto"/>
            <w:vAlign w:val="center"/>
          </w:tcPr>
          <w:p w14:paraId="042C6F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冷冻机组</w:t>
            </w:r>
          </w:p>
        </w:tc>
        <w:tc>
          <w:tcPr>
            <w:tcW w:w="498" w:type="pct"/>
            <w:shd w:val="clear" w:color="auto" w:fill="auto"/>
            <w:vAlign w:val="center"/>
          </w:tcPr>
          <w:p w14:paraId="37CE82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0881C8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91" w:type="pct"/>
            <w:vAlign w:val="center"/>
          </w:tcPr>
          <w:p w14:paraId="75ECB0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1439D3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097EC6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r>
      <w:tr w14:paraId="6530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643D44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850" w:type="pct"/>
            <w:shd w:val="clear" w:color="auto" w:fill="auto"/>
            <w:vAlign w:val="center"/>
          </w:tcPr>
          <w:p w14:paraId="1D7EA2B7">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空压机</w:t>
            </w:r>
          </w:p>
        </w:tc>
        <w:tc>
          <w:tcPr>
            <w:tcW w:w="498" w:type="pct"/>
            <w:shd w:val="clear" w:color="auto" w:fill="auto"/>
            <w:vAlign w:val="center"/>
          </w:tcPr>
          <w:p w14:paraId="1E3512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4" w:type="pct"/>
            <w:vAlign w:val="center"/>
          </w:tcPr>
          <w:p w14:paraId="750953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91" w:type="pct"/>
            <w:vAlign w:val="center"/>
          </w:tcPr>
          <w:p w14:paraId="01DFB3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7E0207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w:t>
            </w:r>
          </w:p>
        </w:tc>
        <w:tc>
          <w:tcPr>
            <w:tcW w:w="613" w:type="pct"/>
            <w:vAlign w:val="center"/>
          </w:tcPr>
          <w:p w14:paraId="2ED966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r>
      <w:tr w14:paraId="6FAF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0F645B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50" w:type="pct"/>
            <w:shd w:val="solid" w:color="FFFFFF" w:fill="auto"/>
            <w:vAlign w:val="center"/>
          </w:tcPr>
          <w:p w14:paraId="181A6249">
            <w:pPr>
              <w:pStyle w:val="28"/>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污水泵</w:t>
            </w:r>
          </w:p>
        </w:tc>
        <w:tc>
          <w:tcPr>
            <w:tcW w:w="498" w:type="pct"/>
            <w:shd w:val="clear" w:color="auto" w:fill="auto"/>
            <w:vAlign w:val="center"/>
          </w:tcPr>
          <w:p w14:paraId="473947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4" w:type="pct"/>
            <w:vAlign w:val="center"/>
          </w:tcPr>
          <w:p w14:paraId="7B7381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391" w:type="pct"/>
            <w:vAlign w:val="center"/>
          </w:tcPr>
          <w:p w14:paraId="192E31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间断</w:t>
            </w:r>
          </w:p>
        </w:tc>
        <w:tc>
          <w:tcPr>
            <w:tcW w:w="1680" w:type="pct"/>
            <w:vAlign w:val="center"/>
          </w:tcPr>
          <w:p w14:paraId="1C2AD3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选用低噪声设备，泵与进出口管道间安装软橡胶接头，泵体基础减振，利用车间墙体隔声</w:t>
            </w:r>
          </w:p>
        </w:tc>
        <w:tc>
          <w:tcPr>
            <w:tcW w:w="613" w:type="pct"/>
            <w:vAlign w:val="center"/>
          </w:tcPr>
          <w:p w14:paraId="31F06D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r>
      <w:tr w14:paraId="23AB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2BFEB9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850" w:type="pct"/>
            <w:shd w:val="clear" w:color="auto" w:fill="auto"/>
            <w:vAlign w:val="center"/>
          </w:tcPr>
          <w:p w14:paraId="662D1273">
            <w:pPr>
              <w:pStyle w:val="28"/>
              <w:rPr>
                <w:bCs/>
                <w:color w:val="000000" w:themeColor="text1"/>
                <w:lang w:val="zh-CN"/>
                <w14:textFill>
                  <w14:solidFill>
                    <w14:schemeClr w14:val="tx1"/>
                  </w14:solidFill>
                </w14:textFill>
              </w:rPr>
            </w:pPr>
            <w:r>
              <w:rPr>
                <w:rFonts w:hint="eastAsia"/>
                <w:bCs/>
                <w:color w:val="000000" w:themeColor="text1"/>
                <w14:textFill>
                  <w14:solidFill>
                    <w14:schemeClr w14:val="tx1"/>
                  </w14:solidFill>
                </w14:textFill>
              </w:rPr>
              <w:t>风机</w:t>
            </w:r>
          </w:p>
        </w:tc>
        <w:tc>
          <w:tcPr>
            <w:tcW w:w="498" w:type="pct"/>
            <w:shd w:val="clear" w:color="auto" w:fill="auto"/>
            <w:vAlign w:val="center"/>
          </w:tcPr>
          <w:p w14:paraId="6A29A4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4" w:type="pct"/>
            <w:vAlign w:val="center"/>
          </w:tcPr>
          <w:p w14:paraId="5A9259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91" w:type="pct"/>
            <w:vAlign w:val="center"/>
          </w:tcPr>
          <w:p w14:paraId="3B9095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34B286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w:t>
            </w:r>
          </w:p>
        </w:tc>
        <w:tc>
          <w:tcPr>
            <w:tcW w:w="613" w:type="pct"/>
            <w:vAlign w:val="center"/>
          </w:tcPr>
          <w:p w14:paraId="3FDD30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r>
      <w:tr w14:paraId="6D5B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14:paraId="7AC548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850" w:type="pct"/>
            <w:shd w:val="clear" w:color="auto" w:fill="auto"/>
            <w:vAlign w:val="center"/>
          </w:tcPr>
          <w:p w14:paraId="7D779585">
            <w:pPr>
              <w:pStyle w:val="28"/>
              <w:rPr>
                <w:bCs/>
                <w:color w:val="000000" w:themeColor="text1"/>
                <w:lang w:val="zh-CN"/>
                <w14:textFill>
                  <w14:solidFill>
                    <w14:schemeClr w14:val="tx1"/>
                  </w14:solidFill>
                </w14:textFill>
              </w:rPr>
            </w:pPr>
            <w:r>
              <w:rPr>
                <w:rFonts w:hint="eastAsia"/>
                <w:bCs/>
                <w:color w:val="000000" w:themeColor="text1"/>
                <w14:textFill>
                  <w14:solidFill>
                    <w14:schemeClr w14:val="tx1"/>
                  </w14:solidFill>
                </w14:textFill>
              </w:rPr>
              <w:t>喷淋循环泵</w:t>
            </w:r>
          </w:p>
        </w:tc>
        <w:tc>
          <w:tcPr>
            <w:tcW w:w="498" w:type="pct"/>
            <w:shd w:val="clear" w:color="auto" w:fill="auto"/>
            <w:vAlign w:val="center"/>
          </w:tcPr>
          <w:p w14:paraId="6FB004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4" w:type="pct"/>
            <w:vAlign w:val="center"/>
          </w:tcPr>
          <w:p w14:paraId="4E9B46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391" w:type="pct"/>
            <w:vAlign w:val="center"/>
          </w:tcPr>
          <w:p w14:paraId="35F4ED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680" w:type="pct"/>
            <w:vAlign w:val="center"/>
          </w:tcPr>
          <w:p w14:paraId="10561C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选用低噪声设备，固定减振泵与进出口管道间安装软橡胶接头</w:t>
            </w:r>
          </w:p>
        </w:tc>
        <w:tc>
          <w:tcPr>
            <w:tcW w:w="613" w:type="pct"/>
            <w:vAlign w:val="center"/>
          </w:tcPr>
          <w:p w14:paraId="528257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bl>
    <w:p w14:paraId="676E9F0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3.2.2.4固体废物</w:t>
      </w:r>
    </w:p>
    <w:p w14:paraId="19D7D52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本项目固废主要为</w:t>
      </w:r>
      <w:r>
        <w:rPr>
          <w:rFonts w:hint="eastAsia"/>
          <w:color w:val="000000" w:themeColor="text1"/>
          <w14:textFill>
            <w14:solidFill>
              <w14:schemeClr w14:val="tx1"/>
            </w14:solidFill>
          </w14:textFill>
        </w:rPr>
        <w:t>废包装材料、废有机溶剂、砂磨机碱洗废碱液、污水处理污泥、喷淋循环系统定期排污废液、废活性炭、废导热油、测试残渣、废抹布、废手套和生活垃圾。</w:t>
      </w:r>
    </w:p>
    <w:p w14:paraId="08189AC0">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（1）废包装材料</w:t>
      </w:r>
    </w:p>
    <w:p w14:paraId="56D5571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本项目原料主要是</w:t>
      </w:r>
      <w:r>
        <w:rPr>
          <w:color w:val="000000" w:themeColor="text1"/>
          <w14:textFill>
            <w14:solidFill>
              <w14:schemeClr w14:val="tx1"/>
            </w14:solidFill>
          </w14:textFill>
        </w:rPr>
        <w:t>五硫化二磷、硫化锂、氯化锂</w:t>
      </w:r>
      <w:r>
        <w:rPr>
          <w:rFonts w:hint="eastAsia"/>
          <w:color w:val="000000" w:themeColor="text1"/>
          <w14:textFill>
            <w14:solidFill>
              <w14:schemeClr w14:val="tx1"/>
            </w14:solidFill>
          </w14:textFill>
        </w:rPr>
        <w:t>及有机溶剂，</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生产过程</w:t>
      </w:r>
      <w:r>
        <w:rPr>
          <w:color w:val="000000" w:themeColor="text1"/>
          <w14:textFill>
            <w14:solidFill>
              <w14:schemeClr w14:val="tx1"/>
            </w14:solidFill>
          </w14:textFill>
        </w:rPr>
        <w:t>使用的原辅材料采用</w:t>
      </w:r>
      <w:r>
        <w:rPr>
          <w:rFonts w:hint="eastAsia"/>
          <w:color w:val="000000" w:themeColor="text1"/>
          <w14:textFill>
            <w14:solidFill>
              <w14:schemeClr w14:val="tx1"/>
            </w14:solidFill>
          </w14:textFill>
        </w:rPr>
        <w:t>塑料包装物进行包装，</w:t>
      </w:r>
      <w:r>
        <w:rPr>
          <w:color w:val="000000" w:themeColor="text1"/>
          <w14:textFill>
            <w14:solidFill>
              <w14:schemeClr w14:val="tx1"/>
            </w14:solidFill>
          </w14:textFill>
        </w:rPr>
        <w:t>在使用过程会产生</w:t>
      </w: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，预计产生量为0.2t/a</w:t>
      </w:r>
      <w:r>
        <w:rPr>
          <w:rFonts w:hint="eastAsia"/>
          <w:color w:val="000000" w:themeColor="text1"/>
          <w14:textFill>
            <w14:solidFill>
              <w14:schemeClr w14:val="tx1"/>
            </w14:solidFill>
          </w14:textFill>
        </w:rPr>
        <w:t>。</w:t>
      </w:r>
    </w:p>
    <w:p w14:paraId="4C00159C">
      <w:pPr>
        <w:ind w:firstLine="480"/>
        <w:rPr>
          <w:color w:val="000000" w:themeColor="text1"/>
          <w14:textFill>
            <w14:solidFill>
              <w14:schemeClr w14:val="tx1"/>
            </w14:solidFill>
          </w14:textFill>
        </w:rPr>
      </w:pPr>
      <w:r>
        <w:rPr>
          <w:color w:val="000000" w:themeColor="text1"/>
          <w14:textFill>
            <w14:solidFill>
              <w14:schemeClr w14:val="tx1"/>
            </w14:solidFill>
          </w14:textFill>
        </w:rPr>
        <w:t>五硫化二磷、硫化锂、氯化锂</w:t>
      </w:r>
      <w:r>
        <w:rPr>
          <w:rFonts w:hint="eastAsia"/>
          <w:color w:val="000000" w:themeColor="text1"/>
          <w14:textFill>
            <w14:solidFill>
              <w14:schemeClr w14:val="tx1"/>
            </w14:solidFill>
          </w14:textFill>
        </w:rPr>
        <w:t>采用袋装，包装物上残留的原料的量极少。包装物上残留的五硫化二磷、硫化锂与空气中的水发生发应后生成硫化氢的微乎其微，不足以危害人体健康或环境，因此</w:t>
      </w:r>
      <w:r>
        <w:rPr>
          <w:color w:val="000000" w:themeColor="text1"/>
          <w14:textFill>
            <w14:solidFill>
              <w14:schemeClr w14:val="tx1"/>
            </w14:solidFill>
          </w14:textFill>
        </w:rPr>
        <w:t>五硫化二磷、硫化锂、氯化锂</w:t>
      </w:r>
      <w:r>
        <w:rPr>
          <w:rFonts w:hint="eastAsia"/>
          <w:color w:val="000000" w:themeColor="text1"/>
          <w14:textFill>
            <w14:solidFill>
              <w14:schemeClr w14:val="tx1"/>
            </w14:solidFill>
          </w14:textFill>
        </w:rPr>
        <w:t>废包装物不属于危险废物。根据《固体废物分类与代码目录》（生态环境部公告 2024年第4号），未沾染上述物料的废包装材料废物种类为SW17可再生类废物（非特定行业）中的废塑料（工业生产活动中产生的塑料废弃边角料、废弃塑料包装等废物），废物代码：900-003-S17，废包装材料，本项目原料包装物统一收集后外售至废品回收站。</w:t>
      </w:r>
    </w:p>
    <w:p w14:paraId="3E803A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的有机溶剂主要是环戊基甲醚、碳酸二甲酯、正庚烷、三乙胺、环己烷、碳酸甲乙酯、异丁酸异丁酯、无水乙醇。本项目废有机溶剂属于危险废物，盛装过有机溶剂的废包装桶属于危险废物，根据《国家危险废物名录》（2025年版），属于HW49其他废物，废物代码为900-041-49含有或者沾染毒性、感染性危险废物的废弃的包装物、容器、过滤吸附介质。本项目废有机溶剂包装物收集后暂存于危废暂存间内交由有资质的单位清运处置。</w:t>
      </w:r>
    </w:p>
    <w:p w14:paraId="6D632C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综上，根据本项目原辅材料分类，本项目废包装材料属性分类见下表：</w:t>
      </w:r>
    </w:p>
    <w:p w14:paraId="039685B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表3.2-5   废包装材料属性分类一览表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493"/>
        <w:gridCol w:w="1505"/>
        <w:gridCol w:w="1411"/>
        <w:gridCol w:w="1411"/>
        <w:gridCol w:w="1754"/>
      </w:tblGrid>
      <w:tr w14:paraId="71DC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4" w:type="pct"/>
            <w:gridSpan w:val="3"/>
          </w:tcPr>
          <w:p w14:paraId="19A377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tc>
          <w:tcPr>
            <w:tcW w:w="828" w:type="pct"/>
          </w:tcPr>
          <w:p w14:paraId="75BA8F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属性</w:t>
            </w:r>
          </w:p>
        </w:tc>
        <w:tc>
          <w:tcPr>
            <w:tcW w:w="828" w:type="pct"/>
            <w:shd w:val="clear" w:color="auto" w:fill="auto"/>
            <w:vAlign w:val="center"/>
          </w:tcPr>
          <w:p w14:paraId="6D5D18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废物类别</w:t>
            </w:r>
          </w:p>
        </w:tc>
        <w:tc>
          <w:tcPr>
            <w:tcW w:w="1029" w:type="pct"/>
            <w:shd w:val="clear" w:color="auto" w:fill="auto"/>
            <w:vAlign w:val="center"/>
          </w:tcPr>
          <w:p w14:paraId="60691F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废物代码</w:t>
            </w:r>
          </w:p>
        </w:tc>
      </w:tr>
      <w:tr w14:paraId="44B0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restart"/>
            <w:shd w:val="clear" w:color="auto" w:fill="auto"/>
            <w:vAlign w:val="center"/>
          </w:tcPr>
          <w:p w14:paraId="73E080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p>
        </w:tc>
        <w:tc>
          <w:tcPr>
            <w:tcW w:w="876" w:type="pct"/>
            <w:vMerge w:val="restart"/>
            <w:shd w:val="clear" w:color="auto" w:fill="auto"/>
            <w:vAlign w:val="center"/>
          </w:tcPr>
          <w:p w14:paraId="7D51C5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882" w:type="pct"/>
            <w:shd w:val="clear" w:color="auto" w:fill="auto"/>
            <w:vAlign w:val="center"/>
          </w:tcPr>
          <w:p w14:paraId="4B1D7271">
            <w:pPr>
              <w:pStyle w:val="28"/>
              <w:rPr>
                <w:color w:val="000000" w:themeColor="text1"/>
                <w14:textFill>
                  <w14:solidFill>
                    <w14:schemeClr w14:val="tx1"/>
                  </w14:solidFill>
                </w14:textFill>
              </w:rPr>
            </w:pPr>
            <w:r>
              <w:rPr>
                <w:color w:val="000000" w:themeColor="text1"/>
                <w14:textFill>
                  <w14:solidFill>
                    <w14:schemeClr w14:val="tx1"/>
                  </w14:solidFill>
                </w14:textFill>
              </w:rPr>
              <w:t>硫化锂</w:t>
            </w:r>
          </w:p>
        </w:tc>
        <w:tc>
          <w:tcPr>
            <w:tcW w:w="828" w:type="pct"/>
            <w:shd w:val="clear" w:color="auto" w:fill="auto"/>
          </w:tcPr>
          <w:p w14:paraId="0C4694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828" w:type="pct"/>
            <w:shd w:val="clear" w:color="auto" w:fill="auto"/>
          </w:tcPr>
          <w:p w14:paraId="0ADD2274">
            <w:pPr>
              <w:pStyle w:val="28"/>
              <w:rPr>
                <w:color w:val="000000" w:themeColor="text1"/>
                <w14:textFill>
                  <w14:solidFill>
                    <w14:schemeClr w14:val="tx1"/>
                  </w14:solidFill>
                </w14:textFill>
              </w:rPr>
            </w:pPr>
            <w:r>
              <w:rPr>
                <w:color w:val="000000" w:themeColor="text1"/>
                <w14:textFill>
                  <w14:solidFill>
                    <w14:schemeClr w14:val="tx1"/>
                  </w14:solidFill>
                </w14:textFill>
              </w:rPr>
              <w:t>SW17</w:t>
            </w:r>
          </w:p>
        </w:tc>
        <w:tc>
          <w:tcPr>
            <w:tcW w:w="1029" w:type="pct"/>
            <w:shd w:val="clear" w:color="auto" w:fill="auto"/>
          </w:tcPr>
          <w:p w14:paraId="0D1EDD80">
            <w:pPr>
              <w:pStyle w:val="28"/>
              <w:rPr>
                <w:color w:val="000000" w:themeColor="text1"/>
                <w14:textFill>
                  <w14:solidFill>
                    <w14:schemeClr w14:val="tx1"/>
                  </w14:solidFill>
                </w14:textFill>
              </w:rPr>
            </w:pPr>
            <w:r>
              <w:rPr>
                <w:color w:val="000000" w:themeColor="text1"/>
                <w14:textFill>
                  <w14:solidFill>
                    <w14:schemeClr w14:val="tx1"/>
                  </w14:solidFill>
                </w14:textFill>
              </w:rPr>
              <w:t>900-003-S17</w:t>
            </w:r>
          </w:p>
        </w:tc>
      </w:tr>
      <w:tr w14:paraId="291C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1E28729E">
            <w:pPr>
              <w:pStyle w:val="28"/>
              <w:rPr>
                <w:color w:val="000000" w:themeColor="text1"/>
                <w14:textFill>
                  <w14:solidFill>
                    <w14:schemeClr w14:val="tx1"/>
                  </w14:solidFill>
                </w14:textFill>
              </w:rPr>
            </w:pPr>
          </w:p>
        </w:tc>
        <w:tc>
          <w:tcPr>
            <w:tcW w:w="876" w:type="pct"/>
            <w:vMerge w:val="continue"/>
            <w:shd w:val="clear" w:color="auto" w:fill="auto"/>
            <w:vAlign w:val="center"/>
          </w:tcPr>
          <w:p w14:paraId="57FC1402">
            <w:pPr>
              <w:pStyle w:val="28"/>
              <w:rPr>
                <w:color w:val="000000" w:themeColor="text1"/>
                <w14:textFill>
                  <w14:solidFill>
                    <w14:schemeClr w14:val="tx1"/>
                  </w14:solidFill>
                </w14:textFill>
              </w:rPr>
            </w:pPr>
          </w:p>
        </w:tc>
        <w:tc>
          <w:tcPr>
            <w:tcW w:w="882" w:type="pct"/>
            <w:shd w:val="clear" w:color="auto" w:fill="auto"/>
            <w:vAlign w:val="center"/>
          </w:tcPr>
          <w:p w14:paraId="4FC09703">
            <w:pPr>
              <w:pStyle w:val="28"/>
              <w:rPr>
                <w:color w:val="000000" w:themeColor="text1"/>
                <w14:textFill>
                  <w14:solidFill>
                    <w14:schemeClr w14:val="tx1"/>
                  </w14:solidFill>
                </w14:textFill>
              </w:rPr>
            </w:pPr>
            <w:r>
              <w:rPr>
                <w:color w:val="000000" w:themeColor="text1"/>
                <w14:textFill>
                  <w14:solidFill>
                    <w14:schemeClr w14:val="tx1"/>
                  </w14:solidFill>
                </w14:textFill>
              </w:rPr>
              <w:t>五硫化二磷</w:t>
            </w:r>
          </w:p>
        </w:tc>
        <w:tc>
          <w:tcPr>
            <w:tcW w:w="828" w:type="pct"/>
            <w:shd w:val="clear" w:color="auto" w:fill="auto"/>
          </w:tcPr>
          <w:p w14:paraId="39E0B1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828" w:type="pct"/>
            <w:shd w:val="clear" w:color="auto" w:fill="auto"/>
          </w:tcPr>
          <w:p w14:paraId="73E865A3">
            <w:pPr>
              <w:pStyle w:val="28"/>
              <w:rPr>
                <w:color w:val="000000" w:themeColor="text1"/>
                <w14:textFill>
                  <w14:solidFill>
                    <w14:schemeClr w14:val="tx1"/>
                  </w14:solidFill>
                </w14:textFill>
              </w:rPr>
            </w:pPr>
            <w:r>
              <w:rPr>
                <w:color w:val="000000" w:themeColor="text1"/>
                <w14:textFill>
                  <w14:solidFill>
                    <w14:schemeClr w14:val="tx1"/>
                  </w14:solidFill>
                </w14:textFill>
              </w:rPr>
              <w:t>SW17</w:t>
            </w:r>
          </w:p>
        </w:tc>
        <w:tc>
          <w:tcPr>
            <w:tcW w:w="1029" w:type="pct"/>
            <w:shd w:val="clear" w:color="auto" w:fill="auto"/>
          </w:tcPr>
          <w:p w14:paraId="7DA567BF">
            <w:pPr>
              <w:pStyle w:val="28"/>
              <w:rPr>
                <w:color w:val="000000" w:themeColor="text1"/>
                <w14:textFill>
                  <w14:solidFill>
                    <w14:schemeClr w14:val="tx1"/>
                  </w14:solidFill>
                </w14:textFill>
              </w:rPr>
            </w:pPr>
            <w:r>
              <w:rPr>
                <w:color w:val="000000" w:themeColor="text1"/>
                <w14:textFill>
                  <w14:solidFill>
                    <w14:schemeClr w14:val="tx1"/>
                  </w14:solidFill>
                </w14:textFill>
              </w:rPr>
              <w:t>900-003-S17</w:t>
            </w:r>
          </w:p>
        </w:tc>
      </w:tr>
      <w:tr w14:paraId="24A3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3CB55E90">
            <w:pPr>
              <w:pStyle w:val="28"/>
              <w:rPr>
                <w:color w:val="000000" w:themeColor="text1"/>
                <w14:textFill>
                  <w14:solidFill>
                    <w14:schemeClr w14:val="tx1"/>
                  </w14:solidFill>
                </w14:textFill>
              </w:rPr>
            </w:pPr>
          </w:p>
        </w:tc>
        <w:tc>
          <w:tcPr>
            <w:tcW w:w="876" w:type="pct"/>
            <w:vMerge w:val="continue"/>
            <w:shd w:val="clear" w:color="auto" w:fill="auto"/>
            <w:vAlign w:val="center"/>
          </w:tcPr>
          <w:p w14:paraId="5EC1A91A">
            <w:pPr>
              <w:pStyle w:val="28"/>
              <w:rPr>
                <w:color w:val="000000" w:themeColor="text1"/>
                <w14:textFill>
                  <w14:solidFill>
                    <w14:schemeClr w14:val="tx1"/>
                  </w14:solidFill>
                </w14:textFill>
              </w:rPr>
            </w:pPr>
          </w:p>
        </w:tc>
        <w:tc>
          <w:tcPr>
            <w:tcW w:w="882" w:type="pct"/>
            <w:shd w:val="clear" w:color="auto" w:fill="auto"/>
            <w:vAlign w:val="center"/>
          </w:tcPr>
          <w:p w14:paraId="05FFD952">
            <w:pPr>
              <w:pStyle w:val="28"/>
              <w:rPr>
                <w:color w:val="000000" w:themeColor="text1"/>
                <w14:textFill>
                  <w14:solidFill>
                    <w14:schemeClr w14:val="tx1"/>
                  </w14:solidFill>
                </w14:textFill>
              </w:rPr>
            </w:pPr>
            <w:r>
              <w:rPr>
                <w:color w:val="000000" w:themeColor="text1"/>
                <w14:textFill>
                  <w14:solidFill>
                    <w14:schemeClr w14:val="tx1"/>
                  </w14:solidFill>
                </w14:textFill>
              </w:rPr>
              <w:t>氯化锂</w:t>
            </w:r>
          </w:p>
        </w:tc>
        <w:tc>
          <w:tcPr>
            <w:tcW w:w="828" w:type="pct"/>
          </w:tcPr>
          <w:p w14:paraId="5DBD0A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828" w:type="pct"/>
          </w:tcPr>
          <w:p w14:paraId="2BBE23E8">
            <w:pPr>
              <w:pStyle w:val="28"/>
              <w:rPr>
                <w:color w:val="000000" w:themeColor="text1"/>
                <w14:textFill>
                  <w14:solidFill>
                    <w14:schemeClr w14:val="tx1"/>
                  </w14:solidFill>
                </w14:textFill>
              </w:rPr>
            </w:pPr>
            <w:r>
              <w:rPr>
                <w:color w:val="000000" w:themeColor="text1"/>
                <w14:textFill>
                  <w14:solidFill>
                    <w14:schemeClr w14:val="tx1"/>
                  </w14:solidFill>
                </w14:textFill>
              </w:rPr>
              <w:t>SW17</w:t>
            </w:r>
          </w:p>
        </w:tc>
        <w:tc>
          <w:tcPr>
            <w:tcW w:w="1029" w:type="pct"/>
          </w:tcPr>
          <w:p w14:paraId="53BE6651">
            <w:pPr>
              <w:pStyle w:val="28"/>
              <w:rPr>
                <w:color w:val="000000" w:themeColor="text1"/>
                <w14:textFill>
                  <w14:solidFill>
                    <w14:schemeClr w14:val="tx1"/>
                  </w14:solidFill>
                </w14:textFill>
              </w:rPr>
            </w:pPr>
            <w:r>
              <w:rPr>
                <w:color w:val="000000" w:themeColor="text1"/>
                <w14:textFill>
                  <w14:solidFill>
                    <w14:schemeClr w14:val="tx1"/>
                  </w14:solidFill>
                </w14:textFill>
              </w:rPr>
              <w:t>900-003-S17</w:t>
            </w:r>
          </w:p>
        </w:tc>
      </w:tr>
      <w:tr w14:paraId="111C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21A403E7">
            <w:pPr>
              <w:pStyle w:val="28"/>
              <w:rPr>
                <w:color w:val="000000" w:themeColor="text1"/>
                <w14:textFill>
                  <w14:solidFill>
                    <w14:schemeClr w14:val="tx1"/>
                  </w14:solidFill>
                </w14:textFill>
              </w:rPr>
            </w:pPr>
          </w:p>
        </w:tc>
        <w:tc>
          <w:tcPr>
            <w:tcW w:w="876" w:type="pct"/>
            <w:vMerge w:val="restart"/>
            <w:shd w:val="clear" w:color="auto" w:fill="auto"/>
            <w:vAlign w:val="center"/>
          </w:tcPr>
          <w:p w14:paraId="54D1BA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w:t>
            </w:r>
          </w:p>
        </w:tc>
        <w:tc>
          <w:tcPr>
            <w:tcW w:w="882" w:type="pct"/>
            <w:shd w:val="clear" w:color="auto" w:fill="auto"/>
            <w:vAlign w:val="center"/>
          </w:tcPr>
          <w:p w14:paraId="7AFCBB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环戊基甲醚</w:t>
            </w:r>
          </w:p>
        </w:tc>
        <w:tc>
          <w:tcPr>
            <w:tcW w:w="828" w:type="pct"/>
            <w:shd w:val="clear" w:color="auto" w:fill="auto"/>
            <w:vAlign w:val="center"/>
          </w:tcPr>
          <w:p w14:paraId="1B3DAD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2645C7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7A60D2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493A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7642C67D">
            <w:pPr>
              <w:pStyle w:val="28"/>
              <w:rPr>
                <w:color w:val="000000" w:themeColor="text1"/>
                <w14:textFill>
                  <w14:solidFill>
                    <w14:schemeClr w14:val="tx1"/>
                  </w14:solidFill>
                </w14:textFill>
              </w:rPr>
            </w:pPr>
          </w:p>
        </w:tc>
        <w:tc>
          <w:tcPr>
            <w:tcW w:w="876" w:type="pct"/>
            <w:vMerge w:val="continue"/>
            <w:shd w:val="clear" w:color="auto" w:fill="auto"/>
            <w:vAlign w:val="center"/>
          </w:tcPr>
          <w:p w14:paraId="7367E577">
            <w:pPr>
              <w:pStyle w:val="28"/>
              <w:rPr>
                <w:color w:val="000000" w:themeColor="text1"/>
                <w14:textFill>
                  <w14:solidFill>
                    <w14:schemeClr w14:val="tx1"/>
                  </w14:solidFill>
                </w14:textFill>
              </w:rPr>
            </w:pPr>
          </w:p>
        </w:tc>
        <w:tc>
          <w:tcPr>
            <w:tcW w:w="882" w:type="pct"/>
            <w:shd w:val="clear" w:color="auto" w:fill="auto"/>
            <w:vAlign w:val="center"/>
          </w:tcPr>
          <w:p w14:paraId="2BBD32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碳酸二甲酯</w:t>
            </w:r>
          </w:p>
        </w:tc>
        <w:tc>
          <w:tcPr>
            <w:tcW w:w="828" w:type="pct"/>
            <w:shd w:val="clear" w:color="auto" w:fill="auto"/>
            <w:vAlign w:val="center"/>
          </w:tcPr>
          <w:p w14:paraId="2D4F7F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1DBB16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6898B4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2874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1A96A276">
            <w:pPr>
              <w:pStyle w:val="28"/>
              <w:rPr>
                <w:color w:val="000000" w:themeColor="text1"/>
                <w14:textFill>
                  <w14:solidFill>
                    <w14:schemeClr w14:val="tx1"/>
                  </w14:solidFill>
                </w14:textFill>
              </w:rPr>
            </w:pPr>
          </w:p>
        </w:tc>
        <w:tc>
          <w:tcPr>
            <w:tcW w:w="876" w:type="pct"/>
            <w:vMerge w:val="continue"/>
            <w:shd w:val="clear" w:color="auto" w:fill="auto"/>
            <w:vAlign w:val="center"/>
          </w:tcPr>
          <w:p w14:paraId="7B79C7E0">
            <w:pPr>
              <w:pStyle w:val="28"/>
              <w:rPr>
                <w:color w:val="000000" w:themeColor="text1"/>
                <w14:textFill>
                  <w14:solidFill>
                    <w14:schemeClr w14:val="tx1"/>
                  </w14:solidFill>
                </w14:textFill>
              </w:rPr>
            </w:pPr>
          </w:p>
        </w:tc>
        <w:tc>
          <w:tcPr>
            <w:tcW w:w="882" w:type="pct"/>
            <w:shd w:val="clear" w:color="auto" w:fill="auto"/>
            <w:vAlign w:val="center"/>
          </w:tcPr>
          <w:p w14:paraId="36C499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正庚烷</w:t>
            </w:r>
          </w:p>
        </w:tc>
        <w:tc>
          <w:tcPr>
            <w:tcW w:w="828" w:type="pct"/>
            <w:shd w:val="clear" w:color="auto" w:fill="auto"/>
            <w:vAlign w:val="center"/>
          </w:tcPr>
          <w:p w14:paraId="525BEB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205212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7737DE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3D3A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1F9FE641">
            <w:pPr>
              <w:pStyle w:val="28"/>
              <w:rPr>
                <w:color w:val="000000" w:themeColor="text1"/>
                <w14:textFill>
                  <w14:solidFill>
                    <w14:schemeClr w14:val="tx1"/>
                  </w14:solidFill>
                </w14:textFill>
              </w:rPr>
            </w:pPr>
          </w:p>
        </w:tc>
        <w:tc>
          <w:tcPr>
            <w:tcW w:w="876" w:type="pct"/>
            <w:vMerge w:val="continue"/>
            <w:shd w:val="clear" w:color="auto" w:fill="auto"/>
            <w:vAlign w:val="center"/>
          </w:tcPr>
          <w:p w14:paraId="21252124">
            <w:pPr>
              <w:pStyle w:val="28"/>
              <w:rPr>
                <w:color w:val="000000" w:themeColor="text1"/>
                <w14:textFill>
                  <w14:solidFill>
                    <w14:schemeClr w14:val="tx1"/>
                  </w14:solidFill>
                </w14:textFill>
              </w:rPr>
            </w:pPr>
          </w:p>
        </w:tc>
        <w:tc>
          <w:tcPr>
            <w:tcW w:w="882" w:type="pct"/>
            <w:shd w:val="clear" w:color="auto" w:fill="auto"/>
            <w:vAlign w:val="center"/>
          </w:tcPr>
          <w:p w14:paraId="6738E1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三乙胺</w:t>
            </w:r>
          </w:p>
        </w:tc>
        <w:tc>
          <w:tcPr>
            <w:tcW w:w="828" w:type="pct"/>
            <w:shd w:val="clear" w:color="auto" w:fill="auto"/>
            <w:vAlign w:val="center"/>
          </w:tcPr>
          <w:p w14:paraId="050D75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7DFCED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6F6839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2FD8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147BC668">
            <w:pPr>
              <w:pStyle w:val="28"/>
              <w:rPr>
                <w:color w:val="000000" w:themeColor="text1"/>
                <w14:textFill>
                  <w14:solidFill>
                    <w14:schemeClr w14:val="tx1"/>
                  </w14:solidFill>
                </w14:textFill>
              </w:rPr>
            </w:pPr>
          </w:p>
        </w:tc>
        <w:tc>
          <w:tcPr>
            <w:tcW w:w="876" w:type="pct"/>
            <w:vMerge w:val="continue"/>
            <w:shd w:val="clear" w:color="auto" w:fill="auto"/>
            <w:vAlign w:val="center"/>
          </w:tcPr>
          <w:p w14:paraId="174038EF">
            <w:pPr>
              <w:pStyle w:val="28"/>
              <w:rPr>
                <w:color w:val="000000" w:themeColor="text1"/>
                <w14:textFill>
                  <w14:solidFill>
                    <w14:schemeClr w14:val="tx1"/>
                  </w14:solidFill>
                </w14:textFill>
              </w:rPr>
            </w:pPr>
          </w:p>
        </w:tc>
        <w:tc>
          <w:tcPr>
            <w:tcW w:w="882" w:type="pct"/>
            <w:shd w:val="clear" w:color="auto" w:fill="auto"/>
            <w:vAlign w:val="center"/>
          </w:tcPr>
          <w:p w14:paraId="5A663A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环己烷</w:t>
            </w:r>
          </w:p>
        </w:tc>
        <w:tc>
          <w:tcPr>
            <w:tcW w:w="828" w:type="pct"/>
            <w:shd w:val="clear" w:color="auto" w:fill="auto"/>
            <w:vAlign w:val="center"/>
          </w:tcPr>
          <w:p w14:paraId="04E6E4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699AD6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6A3F25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4BC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36EDC1C1">
            <w:pPr>
              <w:pStyle w:val="28"/>
              <w:rPr>
                <w:color w:val="000000" w:themeColor="text1"/>
                <w14:textFill>
                  <w14:solidFill>
                    <w14:schemeClr w14:val="tx1"/>
                  </w14:solidFill>
                </w14:textFill>
              </w:rPr>
            </w:pPr>
          </w:p>
        </w:tc>
        <w:tc>
          <w:tcPr>
            <w:tcW w:w="876" w:type="pct"/>
            <w:vMerge w:val="continue"/>
            <w:shd w:val="clear" w:color="auto" w:fill="auto"/>
            <w:vAlign w:val="center"/>
          </w:tcPr>
          <w:p w14:paraId="31C5171E">
            <w:pPr>
              <w:pStyle w:val="28"/>
              <w:rPr>
                <w:color w:val="000000" w:themeColor="text1"/>
                <w14:textFill>
                  <w14:solidFill>
                    <w14:schemeClr w14:val="tx1"/>
                  </w14:solidFill>
                </w14:textFill>
              </w:rPr>
            </w:pPr>
          </w:p>
        </w:tc>
        <w:tc>
          <w:tcPr>
            <w:tcW w:w="882" w:type="pct"/>
            <w:shd w:val="clear" w:color="auto" w:fill="auto"/>
            <w:vAlign w:val="center"/>
          </w:tcPr>
          <w:p w14:paraId="5A13C2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碳酸甲乙酯</w:t>
            </w:r>
          </w:p>
        </w:tc>
        <w:tc>
          <w:tcPr>
            <w:tcW w:w="828" w:type="pct"/>
            <w:shd w:val="clear" w:color="auto" w:fill="auto"/>
            <w:vAlign w:val="center"/>
          </w:tcPr>
          <w:p w14:paraId="039102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50F2A2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4DE68A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408C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15C944BF">
            <w:pPr>
              <w:pStyle w:val="28"/>
              <w:rPr>
                <w:color w:val="000000" w:themeColor="text1"/>
                <w14:textFill>
                  <w14:solidFill>
                    <w14:schemeClr w14:val="tx1"/>
                  </w14:solidFill>
                </w14:textFill>
              </w:rPr>
            </w:pPr>
          </w:p>
        </w:tc>
        <w:tc>
          <w:tcPr>
            <w:tcW w:w="876" w:type="pct"/>
            <w:vMerge w:val="continue"/>
            <w:shd w:val="clear" w:color="auto" w:fill="auto"/>
            <w:vAlign w:val="center"/>
          </w:tcPr>
          <w:p w14:paraId="46369E3A">
            <w:pPr>
              <w:pStyle w:val="28"/>
              <w:rPr>
                <w:color w:val="000000" w:themeColor="text1"/>
                <w14:textFill>
                  <w14:solidFill>
                    <w14:schemeClr w14:val="tx1"/>
                  </w14:solidFill>
                </w14:textFill>
              </w:rPr>
            </w:pPr>
          </w:p>
        </w:tc>
        <w:tc>
          <w:tcPr>
            <w:tcW w:w="882" w:type="pct"/>
            <w:shd w:val="clear" w:color="auto" w:fill="auto"/>
            <w:vAlign w:val="center"/>
          </w:tcPr>
          <w:p w14:paraId="3D6EE4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异丁酸异丁酯</w:t>
            </w:r>
          </w:p>
        </w:tc>
        <w:tc>
          <w:tcPr>
            <w:tcW w:w="828" w:type="pct"/>
            <w:shd w:val="clear" w:color="auto" w:fill="auto"/>
            <w:vAlign w:val="center"/>
          </w:tcPr>
          <w:p w14:paraId="6545B0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6E965C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22AE68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r w14:paraId="091B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Merge w:val="continue"/>
            <w:shd w:val="clear" w:color="auto" w:fill="auto"/>
            <w:vAlign w:val="center"/>
          </w:tcPr>
          <w:p w14:paraId="2643B59F">
            <w:pPr>
              <w:pStyle w:val="28"/>
              <w:rPr>
                <w:color w:val="000000" w:themeColor="text1"/>
                <w14:textFill>
                  <w14:solidFill>
                    <w14:schemeClr w14:val="tx1"/>
                  </w14:solidFill>
                </w14:textFill>
              </w:rPr>
            </w:pPr>
          </w:p>
        </w:tc>
        <w:tc>
          <w:tcPr>
            <w:tcW w:w="876" w:type="pct"/>
            <w:vMerge w:val="continue"/>
            <w:shd w:val="clear" w:color="auto" w:fill="auto"/>
            <w:vAlign w:val="center"/>
          </w:tcPr>
          <w:p w14:paraId="73467BBF">
            <w:pPr>
              <w:pStyle w:val="28"/>
              <w:rPr>
                <w:color w:val="000000" w:themeColor="text1"/>
                <w14:textFill>
                  <w14:solidFill>
                    <w14:schemeClr w14:val="tx1"/>
                  </w14:solidFill>
                </w14:textFill>
              </w:rPr>
            </w:pPr>
          </w:p>
        </w:tc>
        <w:tc>
          <w:tcPr>
            <w:tcW w:w="882" w:type="pct"/>
            <w:shd w:val="clear" w:color="auto" w:fill="auto"/>
            <w:vAlign w:val="center"/>
          </w:tcPr>
          <w:p w14:paraId="6E5685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无水乙醇</w:t>
            </w:r>
          </w:p>
        </w:tc>
        <w:tc>
          <w:tcPr>
            <w:tcW w:w="828" w:type="pct"/>
            <w:shd w:val="clear" w:color="auto" w:fill="auto"/>
            <w:vAlign w:val="center"/>
          </w:tcPr>
          <w:p w14:paraId="0A2993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828" w:type="pct"/>
            <w:shd w:val="clear" w:color="auto" w:fill="auto"/>
          </w:tcPr>
          <w:p w14:paraId="2533BF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029" w:type="pct"/>
            <w:shd w:val="clear" w:color="auto" w:fill="auto"/>
          </w:tcPr>
          <w:p w14:paraId="73BCC9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r>
    </w:tbl>
    <w:p w14:paraId="0D9510E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（2）废有机溶剂</w:t>
      </w:r>
    </w:p>
    <w:p w14:paraId="2AB755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的有机溶剂主要是环戊基甲醚、碳酸二甲酯、正庚烷、三乙胺、环己烷、碳酸甲乙酯、异丁酸异丁酯、无水乙醇，其中碳酸二甲酯、正庚烷、三乙胺、环己烷、异丁酸异丁酯、无水乙醇列入《危险化学品目录》。本项目有机溶剂使用量为100.016t/a，经与建设单位核实工艺参数，离心过程中容积回收效率约为85%，干燥环节冷凝回收，回收效率90%，则工艺上回收的废有机溶剂为98.516t/a。根据建设单位提供资料，本项目球磨机罐体每3~6个月先用有机溶剂清洗，再用NaOH碱液清洗，废有机溶剂产生量为0.06t/a，综上，本项目废有机溶剂产生量为98.576t/a。</w:t>
      </w:r>
    </w:p>
    <w:p w14:paraId="564C5E1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2025年版），属于HW06废有机溶剂与含有机溶剂废物，废物代码为900-402-06、900-404-06，900-402-06为工业生产过程中作为清洗剂、萃取剂、溶剂或者反应介质使用后废弃的有机溶剂，包括苯、苯乙烯、丁醇、丙酮、正已烷、甲苯、邻二甲苯、间二甲苯、对二甲苯、1,2,4-三甲苯、乙苯、乙醇、异丙醇、乙醚、丙醚、乙酸甲醋、乙酸乙酯、乙酸丁醋、丙酸丁酯、苯酚，以及在使用前混合的含有一种或者多种上述溶剂的混合/调和溶剂；900-404-06为工业生产中作为清洗剂、萃取剂、溶剂或者反应介质使用后废弃的其他列入《危险化学品目录》的有机溶剂，以及在使用前混合的含有一种或者多种上述溶剂的混合/调和溶剂。本项目废有机溶剂采用废液桶收集后，暂存于危废暂存间内交由有资质的单位清运处置。</w:t>
      </w:r>
    </w:p>
    <w:p w14:paraId="4AC28D0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（3）砂磨机碱洗废碱液</w:t>
      </w:r>
    </w:p>
    <w:p w14:paraId="24A8CB8A">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根据建设单位提供资料，本项目球磨机每3~6个月先用有机溶剂清洗，再用NaOH碱液清洗，干燥机每3~6个月用NaOH碱液清洗，烧结中</w:t>
      </w:r>
      <w:r>
        <w:rPr>
          <w:rFonts w:hint="eastAsia"/>
          <w:color w:val="000000" w:themeColor="text1"/>
          <w14:textFill>
            <w14:solidFill>
              <w14:schemeClr w14:val="tx1"/>
            </w14:solidFill>
          </w14:textFill>
        </w:rPr>
        <w:t>盛装物料的</w:t>
      </w:r>
      <w:r>
        <w:rPr>
          <w:color w:val="000000" w:themeColor="text1"/>
          <w14:textFill>
            <w14:solidFill>
              <w14:schemeClr w14:val="tx1"/>
            </w14:solidFill>
          </w14:textFill>
        </w:rPr>
        <w:t>匣钵每次用完都需用碱液清洗，清洗</w:t>
      </w:r>
      <w:r>
        <w:rPr>
          <w:rFonts w:hint="eastAsia"/>
          <w:color w:val="000000" w:themeColor="text1"/>
          <w14:textFill>
            <w14:solidFill>
              <w14:schemeClr w14:val="tx1"/>
            </w14:solidFill>
          </w14:textFill>
        </w:rPr>
        <w:t>砂磨机碱洗废碱液</w:t>
      </w:r>
      <w:r>
        <w:rPr>
          <w:color w:val="000000" w:themeColor="text1"/>
          <w14:textFill>
            <w14:solidFill>
              <w14:schemeClr w14:val="tx1"/>
            </w14:solidFill>
          </w14:textFill>
        </w:rPr>
        <w:t>产生量为1t/a</w:t>
      </w:r>
      <w:r>
        <w:rPr>
          <w:rFonts w:hint="eastAsia"/>
          <w:color w:val="000000" w:themeColor="text1"/>
          <w14:textFill>
            <w14:solidFill>
              <w14:schemeClr w14:val="tx1"/>
            </w14:solidFill>
          </w14:textFill>
        </w:rPr>
        <w:t>。根据《国家危险废物名录》（2025年版），属于HW35废碱，危废代码为900-356-35使用碱溶液进行碱性清洗、图形显影产生的砂磨机碱洗废碱液，本项目砂磨机碱洗废碱液采用废液桶收集后，暂存于危废暂存间内交由有资质的单位清运处置。</w:t>
      </w:r>
    </w:p>
    <w:p w14:paraId="7A9534F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（3）污水处理污泥</w:t>
      </w:r>
    </w:p>
    <w:p w14:paraId="10887D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站处理生产废水时产生的污泥，根据物料平衡可知，污泥产生量较少，为3.6464t/a。污水处理污泥中主要是原料残留及SS，残留的原料主要是五硫化二磷、硫化锂、氯化锂，不含有机溶剂。污泥中的五硫化二磷、硫化锂残留的量较少，遇水生成了硫化氢，且产生的量微乎其微，不足以危害人体健康或环境，因此本项目污泥不属于危险废物，根据《固体废物分类与代码目录》（生态环境部公告 2024年第4号），污水处理污泥废物种类为SW07非特定行业中的其他污泥，废物代码：900-099-S07。本项目污水处理污泥清掏后送至周边砖厂制砖使用。</w:t>
      </w:r>
    </w:p>
    <w:p w14:paraId="10B07A5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（4）喷淋循环系统定期排污废液</w:t>
      </w:r>
    </w:p>
    <w:p w14:paraId="5788A4A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气处理系统采用碱喷淋+除雾+活性炭吸附的处理工艺，喷淋水循环使用，定期排污，通常排污水pH≥12.5，属于强腐蚀性物质，据《国家危险废物名录》（2025年版），属于HW35废碱，危废代码为900-356-35使用碱溶液进行碱性清洗、图形显影产生的砂磨机碱洗废碱液。本项目</w:t>
      </w:r>
      <w:r>
        <w:rPr>
          <w:rFonts w:hint="eastAsia"/>
          <w:color w:val="000000" w:themeColor="text1"/>
          <w14:textFill>
            <w14:solidFill>
              <w14:schemeClr w14:val="tx1"/>
            </w14:solidFill>
          </w14:textFill>
        </w:rPr>
        <w:t>喷淋循环系统定期排污废液</w:t>
      </w:r>
      <w:r>
        <w:rPr>
          <w:rFonts w:hint="eastAsia" w:cs="Times New Roman"/>
          <w:color w:val="000000" w:themeColor="text1"/>
          <w14:textFill>
            <w14:solidFill>
              <w14:schemeClr w14:val="tx1"/>
            </w14:solidFill>
          </w14:textFill>
        </w:rPr>
        <w:t>采用废液桶收集后，暂存于危废暂存间内交由有资质的单位清运处置。</w:t>
      </w:r>
    </w:p>
    <w:p w14:paraId="3932D5C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（5）废活性炭</w:t>
      </w:r>
    </w:p>
    <w:p w14:paraId="6E3FB5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根据建设单位提供的废气治理方案，活性炭填充量为300kg，活性炭更换周期根据《挥发性有机物治理实用手册（第二版）》活性炭更换周期计算公式进行估算，计算方法如下:</w:t>
      </w:r>
    </w:p>
    <w:p w14:paraId="1D245A3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598930" cy="495935"/>
            <wp:effectExtent l="0" t="0" r="1270" b="18415"/>
            <wp:docPr id="12" name="图片 12" descr="169865862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658628485"/>
                    <pic:cNvPicPr>
                      <a:picLocks noChangeAspect="1"/>
                    </pic:cNvPicPr>
                  </pic:nvPicPr>
                  <pic:blipFill>
                    <a:blip r:embed="rId25"/>
                    <a:srcRect t="14979" b="3128"/>
                    <a:stretch>
                      <a:fillRect/>
                    </a:stretch>
                  </pic:blipFill>
                  <pic:spPr>
                    <a:xfrm>
                      <a:off x="0" y="0"/>
                      <a:ext cx="1598930" cy="495935"/>
                    </a:xfrm>
                    <a:prstGeom prst="rect">
                      <a:avLst/>
                    </a:prstGeom>
                  </pic:spPr>
                </pic:pic>
              </a:graphicData>
            </a:graphic>
          </wp:inline>
        </w:drawing>
      </w:r>
    </w:p>
    <w:p w14:paraId="16A56C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式中：M：活性炭质量，kg；</w:t>
      </w:r>
    </w:p>
    <w:p w14:paraId="633EB0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S：平衡保持量，%。在20℃时，非甲烷总烃保持量S平均为15%；</w:t>
      </w:r>
    </w:p>
    <w:p w14:paraId="76F6A8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Q：风量，m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/h，8000m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p>
    <w:p w14:paraId="6FBDE0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C：进口VOCs浓度，mg/m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。根据废气源强核算，本项目有机废气产生量为1.5t/a，0.2kg/h，进口浓度约为25mg/m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24953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t：吸附设备每日运行时间，h/d，本项目按24h/d计。</w:t>
      </w:r>
    </w:p>
    <w:p w14:paraId="32161E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公式计算，本项目活性炭吸附装置的活性炭的更换周期为18.75d，考虑安全余量，本环评建议半个月更换一次，则其废活性炭生产量约为7.2t/a，根据《国家危险废物名录（2025年版）》，废活性炭属于HW49类危险废物，废物代码900-039-49，烟气、VOCs治理过程（不包括餐饮行业油烟治理过程）产生的废活性炭。本项目废活性炭用带盖收集桶</w:t>
      </w:r>
      <w:r>
        <w:rPr>
          <w:color w:val="000000" w:themeColor="text1"/>
          <w14:textFill>
            <w14:solidFill>
              <w14:schemeClr w14:val="tx1"/>
            </w14:solidFill>
          </w14:textFill>
        </w:rPr>
        <w:t>收集后暂存于危废暂存间内</w:t>
      </w:r>
      <w:r>
        <w:rPr>
          <w:rFonts w:hint="eastAsia"/>
          <w:color w:val="000000" w:themeColor="text1"/>
          <w14:textFill>
            <w14:solidFill>
              <w14:schemeClr w14:val="tx1"/>
            </w14:solidFill>
          </w14:textFill>
        </w:rPr>
        <w:t>交由有资质的单位清运处置。</w:t>
      </w:r>
    </w:p>
    <w:p w14:paraId="15A8D0F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（6）废导热油</w:t>
      </w:r>
    </w:p>
    <w:p w14:paraId="0864EDB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干燥设备采用导热油作为传热介质，导热油定期需要更换，更换周期一般为2-5年，本项目导热油使用量为0.06t，则更换下来的废导热油为0.06/a。根据《国家危险废物名录（2025年版）》，废导热油属于HW08废矿物油与含矿物油废物，废物代码为</w:t>
      </w:r>
      <w:r>
        <w:rPr>
          <w:color w:val="000000" w:themeColor="text1"/>
          <w14:textFill>
            <w14:solidFill>
              <w14:schemeClr w14:val="tx1"/>
            </w14:solidFill>
          </w14:textFill>
        </w:rPr>
        <w:t>900-249-08</w:t>
      </w:r>
      <w:r>
        <w:rPr>
          <w:rFonts w:hint="eastAsia"/>
          <w:color w:val="000000" w:themeColor="text1"/>
          <w14:textFill>
            <w14:solidFill>
              <w14:schemeClr w14:val="tx1"/>
            </w14:solidFill>
          </w14:textFill>
        </w:rPr>
        <w:t>，其他生产、销售、使用过程中产生的废矿物油及沾染矿物油的废弃包装物，属于废矿物油，更换后采用带盖废油桶收集后暂存于危废暂存间内委托有资质的单位进行清运处置。</w:t>
      </w:r>
    </w:p>
    <w:p w14:paraId="2301685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（7）测试残渣</w:t>
      </w:r>
    </w:p>
    <w:p w14:paraId="4EAD37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根据建设单位提供的经验数据，测试残渣产生量约为0.05t/a，收集后放置于通风橱内，与空气接触反应后</w:t>
      </w:r>
      <w:r>
        <w:rPr>
          <w:rStyle w:val="26"/>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t>残留的物料中的五硫化二磷与空气中的水份反应完全，生成了硫化氢，且产生的量微乎其微，不足以危害人体健康或环境，因此本项目污泥不属于危险废物，根据《固体废物分类与代码目录》（生态环境部公告 2024年第4号），测试残渣废物种类为SW59非特定行业中的其他工业固体废物，废物代码：900-099-S59，其他工业生产过程中产生的固体废物。本项目测试残渣收集后送至周边砖厂制砖使用。</w:t>
      </w:r>
    </w:p>
    <w:p w14:paraId="6A89F58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（8）废抹布</w:t>
      </w:r>
    </w:p>
    <w:p w14:paraId="3E7EE05A">
      <w:pPr>
        <w:ind w:firstLine="480"/>
        <w:rPr>
          <w:color w:val="000000" w:themeColor="text1"/>
          <w14:textFill>
            <w14:solidFill>
              <w14:schemeClr w14:val="tx1"/>
            </w14:solidFill>
          </w14:textFill>
        </w:rPr>
      </w:pPr>
      <w:r>
        <w:rPr>
          <w:color w:val="000000" w:themeColor="text1"/>
          <w14:textFill>
            <w14:solidFill>
              <w14:schemeClr w14:val="tx1"/>
            </w14:solidFill>
          </w14:textFill>
        </w:rPr>
        <w:t>项目在运营过程中需要使用到</w:t>
      </w:r>
      <w:r>
        <w:rPr>
          <w:rFonts w:hint="eastAsia"/>
          <w:color w:val="000000" w:themeColor="text1"/>
          <w14:textFill>
            <w14:solidFill>
              <w14:schemeClr w14:val="tx1"/>
            </w14:solidFill>
          </w14:textFill>
        </w:rPr>
        <w:t>有机溶剂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密闭输送</w:t>
      </w:r>
      <w:r>
        <w:rPr>
          <w:color w:val="000000" w:themeColor="text1"/>
          <w14:textFill>
            <w14:solidFill>
              <w14:schemeClr w14:val="tx1"/>
            </w14:solidFill>
          </w14:textFill>
        </w:rPr>
        <w:t>、转移，出现跑冒滴漏的可能性较小，若出现跑冒滴漏，由在岗员工及时使用抹布擦拭</w:t>
      </w:r>
      <w:r>
        <w:rPr>
          <w:rFonts w:hint="eastAsia"/>
          <w:color w:val="000000" w:themeColor="text1"/>
          <w14:textFill>
            <w14:solidFill>
              <w14:schemeClr w14:val="tx1"/>
            </w14:solidFill>
          </w14:textFill>
        </w:rPr>
        <w:t>，废抹布产生量为0.001t/a。本项目废有机溶剂属于危险废物，沾染废有机溶剂的抹布属于危险废物，根据《国家危险废物名录》（2025年版），属于HW49其他废物，废物代码为900-041-49含有或者沾染毒性、感染性危险废物的废弃的包装物、容器、过滤吸附介质。本项目废抹布收集后暂存于危废暂存间内交由有资质的单位清运处置。</w:t>
      </w:r>
    </w:p>
    <w:p w14:paraId="317BBEC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（9）废手套</w:t>
      </w:r>
    </w:p>
    <w:p w14:paraId="7352D3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本项目采用手套箱进行人工投料，手套需要定期更换，更换后的废手套产生量约为0.01t/a，收集后放置于通风橱内，与空气接触反应后</w:t>
      </w:r>
      <w:r>
        <w:rPr>
          <w:rStyle w:val="26"/>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t>残留的物料中的五硫化二磷等于空气中的水分反应生成了硫化氢，且产生的量微乎其微，不足以危害人体健康或环境，因此本项目污泥不属于危险废物，并入生活垃圾一起处置。根据《固体废物分类与代码目录》（生态环境部公告 2024年第4号），废物种类为SW62非特定行业中的可回收物，废物代码：900-005-S62 废纺织物。家庭日常生活或者为日常生活提供服务的活动中产生的适宜回收利用的各类废旧衣物、穿戴用品、床上用品、布艺用品等纺织物。</w:t>
      </w:r>
    </w:p>
    <w:p w14:paraId="4B9BD99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（10）生活垃圾</w:t>
      </w:r>
    </w:p>
    <w:p w14:paraId="34F67A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本项目劳动定员13人，生活垃圾产量按照0.2kg/人·d计算，则生活垃圾产生量为2.6kg/d，0.78t/a，根据《固体废物分类与代码目录》（生态环境部公告 2024年第4号），生活垃圾废物种类包括SW62可回收物中的废纸、废塑料以及SW64其他垃圾中的清扫垃圾，废纸废物代码为900-001-S62，家庭日常生活或者为日常生活提供服务的活动中产生的适宜回收利用的各类废书籍、报纸、纸板箱、纸塑铝复合包装等纸制品；废塑料废物代码为900-002-S62，家庭日常生活或者为日常生活提供服务的活动中产生的适宜回收利用的各类塑料瓶、塑料桶、塑料餐盒等塑料制品。清扫垃圾废物代码为900-002-S64，环境卫生管理服务中从公共场所清扫的垃圾、化粪池污泥、厕所粪便等。统一收集后委托当地环卫部门清运。</w:t>
      </w:r>
    </w:p>
    <w:p w14:paraId="5628F569">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224C810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3.2-6</w:t>
      </w:r>
      <w:r>
        <w:rPr>
          <w:color w:val="000000" w:themeColor="text1"/>
          <w14:textFill>
            <w14:solidFill>
              <w14:schemeClr w14:val="tx1"/>
            </w14:solidFill>
          </w14:textFill>
        </w:rPr>
        <w:t xml:space="preserve">  本项目固体废物产排情况一览表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174"/>
        <w:gridCol w:w="1141"/>
        <w:gridCol w:w="951"/>
        <w:gridCol w:w="1313"/>
        <w:gridCol w:w="870"/>
        <w:gridCol w:w="823"/>
        <w:gridCol w:w="942"/>
        <w:gridCol w:w="1321"/>
        <w:gridCol w:w="1133"/>
        <w:gridCol w:w="940"/>
        <w:gridCol w:w="2081"/>
      </w:tblGrid>
      <w:tr w14:paraId="2EDE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6BFE98AC">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25" w:type="pct"/>
            <w:shd w:val="clear" w:color="auto" w:fill="auto"/>
            <w:vAlign w:val="center"/>
          </w:tcPr>
          <w:p w14:paraId="2133E1FE">
            <w:pPr>
              <w:pStyle w:val="28"/>
              <w:rPr>
                <w:color w:val="000000" w:themeColor="text1"/>
                <w14:textFill>
                  <w14:solidFill>
                    <w14:schemeClr w14:val="tx1"/>
                  </w14:solidFill>
                </w14:textFill>
              </w:rPr>
            </w:pPr>
            <w:r>
              <w:rPr>
                <w:color w:val="000000" w:themeColor="text1"/>
                <w14:textFill>
                  <w14:solidFill>
                    <w14:schemeClr w14:val="tx1"/>
                  </w14:solidFill>
                </w14:textFill>
              </w:rPr>
              <w:t>产生环节</w:t>
            </w:r>
          </w:p>
        </w:tc>
        <w:tc>
          <w:tcPr>
            <w:tcW w:w="413" w:type="pct"/>
            <w:shd w:val="clear" w:color="auto" w:fill="auto"/>
            <w:vAlign w:val="center"/>
          </w:tcPr>
          <w:p w14:paraId="5E718924">
            <w:pPr>
              <w:pStyle w:val="28"/>
              <w:rPr>
                <w:color w:val="000000" w:themeColor="text1"/>
                <w14:textFill>
                  <w14:solidFill>
                    <w14:schemeClr w14:val="tx1"/>
                  </w14:solidFill>
                </w14:textFill>
              </w:rPr>
            </w:pPr>
            <w:r>
              <w:rPr>
                <w:color w:val="000000" w:themeColor="text1"/>
                <w14:textFill>
                  <w14:solidFill>
                    <w14:schemeClr w14:val="tx1"/>
                  </w14:solidFill>
                </w14:textFill>
              </w:rPr>
              <w:t>属性</w:t>
            </w:r>
          </w:p>
        </w:tc>
        <w:tc>
          <w:tcPr>
            <w:tcW w:w="344" w:type="pct"/>
            <w:shd w:val="clear" w:color="auto" w:fill="auto"/>
            <w:vAlign w:val="center"/>
          </w:tcPr>
          <w:p w14:paraId="44A708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废物类别</w:t>
            </w:r>
          </w:p>
        </w:tc>
        <w:tc>
          <w:tcPr>
            <w:tcW w:w="475" w:type="pct"/>
            <w:shd w:val="clear" w:color="auto" w:fill="auto"/>
            <w:vAlign w:val="center"/>
          </w:tcPr>
          <w:p w14:paraId="570EB7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废物代码</w:t>
            </w:r>
          </w:p>
        </w:tc>
        <w:tc>
          <w:tcPr>
            <w:tcW w:w="315" w:type="pct"/>
            <w:shd w:val="clear" w:color="auto" w:fill="auto"/>
            <w:vAlign w:val="center"/>
          </w:tcPr>
          <w:p w14:paraId="6A9DD6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危险特性</w:t>
            </w:r>
          </w:p>
        </w:tc>
        <w:tc>
          <w:tcPr>
            <w:tcW w:w="298" w:type="pct"/>
            <w:shd w:val="clear" w:color="auto" w:fill="auto"/>
            <w:vAlign w:val="center"/>
          </w:tcPr>
          <w:p w14:paraId="4429E4C7">
            <w:pPr>
              <w:pStyle w:val="28"/>
              <w:rPr>
                <w:color w:val="000000" w:themeColor="text1"/>
                <w14:textFill>
                  <w14:solidFill>
                    <w14:schemeClr w14:val="tx1"/>
                  </w14:solidFill>
                </w14:textFill>
              </w:rPr>
            </w:pPr>
            <w:r>
              <w:rPr>
                <w:color w:val="000000" w:themeColor="text1"/>
                <w14:textFill>
                  <w14:solidFill>
                    <w14:schemeClr w14:val="tx1"/>
                  </w14:solidFill>
                </w14:textFill>
              </w:rPr>
              <w:t>物理性状</w:t>
            </w:r>
          </w:p>
        </w:tc>
        <w:tc>
          <w:tcPr>
            <w:tcW w:w="341" w:type="pct"/>
            <w:shd w:val="clear" w:color="auto" w:fill="auto"/>
            <w:vAlign w:val="center"/>
          </w:tcPr>
          <w:p w14:paraId="163A6C47">
            <w:pPr>
              <w:pStyle w:val="28"/>
              <w:rPr>
                <w:color w:val="000000" w:themeColor="text1"/>
                <w14:textFill>
                  <w14:solidFill>
                    <w14:schemeClr w14:val="tx1"/>
                  </w14:solidFill>
                </w14:textFill>
              </w:rPr>
            </w:pP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478" w:type="pct"/>
            <w:shd w:val="clear" w:color="auto" w:fill="auto"/>
            <w:vAlign w:val="center"/>
          </w:tcPr>
          <w:p w14:paraId="5A58AC4B">
            <w:pPr>
              <w:pStyle w:val="28"/>
              <w:rPr>
                <w:color w:val="000000" w:themeColor="text1"/>
                <w14:textFill>
                  <w14:solidFill>
                    <w14:schemeClr w14:val="tx1"/>
                  </w14:solidFill>
                </w14:textFill>
              </w:rPr>
            </w:pPr>
            <w:r>
              <w:rPr>
                <w:color w:val="000000" w:themeColor="text1"/>
                <w14:textFill>
                  <w14:solidFill>
                    <w14:schemeClr w14:val="tx1"/>
                  </w14:solidFill>
                </w14:textFill>
              </w:rPr>
              <w:t>贮存</w:t>
            </w:r>
            <w:r>
              <w:rPr>
                <w:rFonts w:hint="eastAsia"/>
                <w:color w:val="000000" w:themeColor="text1"/>
                <w14:textFill>
                  <w14:solidFill>
                    <w14:schemeClr w14:val="tx1"/>
                  </w14:solidFill>
                </w14:textFill>
              </w:rPr>
              <w:t>位置</w:t>
            </w:r>
          </w:p>
        </w:tc>
        <w:tc>
          <w:tcPr>
            <w:tcW w:w="410" w:type="pct"/>
            <w:shd w:val="clear" w:color="auto" w:fill="auto"/>
            <w:vAlign w:val="center"/>
          </w:tcPr>
          <w:p w14:paraId="16D6A4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贮存方式</w:t>
            </w:r>
          </w:p>
        </w:tc>
        <w:tc>
          <w:tcPr>
            <w:tcW w:w="340" w:type="pct"/>
            <w:shd w:val="clear" w:color="auto" w:fill="auto"/>
            <w:vAlign w:val="center"/>
          </w:tcPr>
          <w:p w14:paraId="437346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贮存周期</w:t>
            </w:r>
          </w:p>
        </w:tc>
        <w:tc>
          <w:tcPr>
            <w:tcW w:w="753" w:type="pct"/>
            <w:shd w:val="clear" w:color="auto" w:fill="auto"/>
            <w:vAlign w:val="center"/>
          </w:tcPr>
          <w:p w14:paraId="3865A7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去向</w:t>
            </w:r>
          </w:p>
        </w:tc>
      </w:tr>
      <w:tr w14:paraId="19DC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03" w:type="pct"/>
            <w:shd w:val="clear" w:color="auto" w:fill="auto"/>
            <w:vAlign w:val="center"/>
          </w:tcPr>
          <w:p w14:paraId="20D442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原料废包装物</w:t>
            </w:r>
          </w:p>
        </w:tc>
        <w:tc>
          <w:tcPr>
            <w:tcW w:w="425" w:type="pct"/>
            <w:shd w:val="clear" w:color="auto" w:fill="auto"/>
            <w:vAlign w:val="center"/>
          </w:tcPr>
          <w:p w14:paraId="0A0D2D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413" w:type="pct"/>
            <w:shd w:val="clear" w:color="auto" w:fill="auto"/>
            <w:vAlign w:val="center"/>
          </w:tcPr>
          <w:p w14:paraId="369A29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44" w:type="pct"/>
            <w:shd w:val="clear" w:color="auto" w:fill="auto"/>
            <w:vAlign w:val="center"/>
          </w:tcPr>
          <w:p w14:paraId="53326B4B">
            <w:pPr>
              <w:pStyle w:val="28"/>
              <w:rPr>
                <w:color w:val="000000" w:themeColor="text1"/>
                <w14:textFill>
                  <w14:solidFill>
                    <w14:schemeClr w14:val="tx1"/>
                  </w14:solidFill>
                </w14:textFill>
              </w:rPr>
            </w:pPr>
            <w:r>
              <w:rPr>
                <w:color w:val="000000" w:themeColor="text1"/>
                <w14:textFill>
                  <w14:solidFill>
                    <w14:schemeClr w14:val="tx1"/>
                  </w14:solidFill>
                </w14:textFill>
              </w:rPr>
              <w:t>SW17</w:t>
            </w:r>
          </w:p>
        </w:tc>
        <w:tc>
          <w:tcPr>
            <w:tcW w:w="475" w:type="pct"/>
            <w:shd w:val="clear" w:color="auto" w:fill="auto"/>
            <w:vAlign w:val="center"/>
          </w:tcPr>
          <w:p w14:paraId="504AFC27">
            <w:pPr>
              <w:pStyle w:val="28"/>
              <w:rPr>
                <w:color w:val="000000" w:themeColor="text1"/>
                <w14:textFill>
                  <w14:solidFill>
                    <w14:schemeClr w14:val="tx1"/>
                  </w14:solidFill>
                </w14:textFill>
              </w:rPr>
            </w:pPr>
            <w:r>
              <w:rPr>
                <w:color w:val="000000" w:themeColor="text1"/>
                <w14:textFill>
                  <w14:solidFill>
                    <w14:schemeClr w14:val="tx1"/>
                  </w14:solidFill>
                </w14:textFill>
              </w:rPr>
              <w:t>900-003-S17</w:t>
            </w:r>
          </w:p>
        </w:tc>
        <w:tc>
          <w:tcPr>
            <w:tcW w:w="315" w:type="pct"/>
            <w:shd w:val="clear" w:color="auto" w:fill="auto"/>
            <w:vAlign w:val="center"/>
          </w:tcPr>
          <w:p w14:paraId="67B851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8" w:type="pct"/>
            <w:shd w:val="clear" w:color="auto" w:fill="auto"/>
            <w:vAlign w:val="center"/>
          </w:tcPr>
          <w:p w14:paraId="250F83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vMerge w:val="restart"/>
            <w:shd w:val="clear" w:color="auto" w:fill="auto"/>
            <w:vAlign w:val="center"/>
          </w:tcPr>
          <w:p w14:paraId="5F2C9A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478" w:type="pct"/>
            <w:shd w:val="clear" w:color="auto" w:fill="auto"/>
            <w:vAlign w:val="center"/>
          </w:tcPr>
          <w:p w14:paraId="4D2E35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410" w:type="pct"/>
            <w:shd w:val="clear" w:color="auto" w:fill="auto"/>
            <w:vAlign w:val="center"/>
          </w:tcPr>
          <w:p w14:paraId="00C91A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340" w:type="pct"/>
            <w:shd w:val="clear" w:color="auto" w:fill="auto"/>
            <w:vAlign w:val="center"/>
          </w:tcPr>
          <w:p w14:paraId="3E15BC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62FCDD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统一收集后外售至废品回收站</w:t>
            </w:r>
          </w:p>
        </w:tc>
      </w:tr>
      <w:tr w14:paraId="4FDE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03" w:type="pct"/>
            <w:shd w:val="clear" w:color="auto" w:fill="auto"/>
            <w:vAlign w:val="center"/>
          </w:tcPr>
          <w:p w14:paraId="1B0263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有机溶剂废包装物</w:t>
            </w:r>
          </w:p>
        </w:tc>
        <w:tc>
          <w:tcPr>
            <w:tcW w:w="425" w:type="pct"/>
            <w:shd w:val="clear" w:color="auto" w:fill="auto"/>
            <w:vAlign w:val="center"/>
          </w:tcPr>
          <w:p w14:paraId="56CEE7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413" w:type="pct"/>
            <w:shd w:val="clear" w:color="auto" w:fill="auto"/>
            <w:vAlign w:val="center"/>
          </w:tcPr>
          <w:p w14:paraId="5A6C0E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0330AF9F">
            <w:pPr>
              <w:pStyle w:val="28"/>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75" w:type="pct"/>
            <w:shd w:val="clear" w:color="auto" w:fill="auto"/>
            <w:vAlign w:val="center"/>
          </w:tcPr>
          <w:p w14:paraId="5D4D85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c>
          <w:tcPr>
            <w:tcW w:w="315" w:type="pct"/>
            <w:shd w:val="clear" w:color="auto" w:fill="auto"/>
            <w:vAlign w:val="center"/>
          </w:tcPr>
          <w:p w14:paraId="6C48E0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T/In</w:t>
            </w:r>
          </w:p>
        </w:tc>
        <w:tc>
          <w:tcPr>
            <w:tcW w:w="298" w:type="pct"/>
            <w:shd w:val="clear" w:color="auto" w:fill="auto"/>
            <w:vAlign w:val="center"/>
          </w:tcPr>
          <w:p w14:paraId="3CA8D4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vMerge w:val="continue"/>
            <w:shd w:val="clear" w:color="auto" w:fill="auto"/>
            <w:vAlign w:val="center"/>
          </w:tcPr>
          <w:p w14:paraId="57916193">
            <w:pPr>
              <w:pStyle w:val="28"/>
              <w:rPr>
                <w:color w:val="000000" w:themeColor="text1"/>
                <w14:textFill>
                  <w14:solidFill>
                    <w14:schemeClr w14:val="tx1"/>
                  </w14:solidFill>
                </w14:textFill>
              </w:rPr>
            </w:pPr>
          </w:p>
        </w:tc>
        <w:tc>
          <w:tcPr>
            <w:tcW w:w="478" w:type="pct"/>
            <w:shd w:val="clear" w:color="auto" w:fill="auto"/>
            <w:vAlign w:val="center"/>
          </w:tcPr>
          <w:p w14:paraId="4ACC56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0691C0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45CA40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1C2A83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4674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488B0C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425" w:type="pct"/>
            <w:shd w:val="clear" w:color="auto" w:fill="auto"/>
            <w:vAlign w:val="center"/>
          </w:tcPr>
          <w:p w14:paraId="195D8E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w:t>
            </w:r>
          </w:p>
        </w:tc>
        <w:tc>
          <w:tcPr>
            <w:tcW w:w="413" w:type="pct"/>
            <w:shd w:val="clear" w:color="auto" w:fill="auto"/>
            <w:vAlign w:val="center"/>
          </w:tcPr>
          <w:p w14:paraId="353590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62EBD8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HW06</w:t>
            </w:r>
          </w:p>
        </w:tc>
        <w:tc>
          <w:tcPr>
            <w:tcW w:w="475" w:type="pct"/>
            <w:shd w:val="clear" w:color="auto" w:fill="auto"/>
            <w:vAlign w:val="center"/>
          </w:tcPr>
          <w:p w14:paraId="0CD678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900-402-06</w:t>
            </w:r>
          </w:p>
          <w:p w14:paraId="1AEA5D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900-404-06</w:t>
            </w:r>
          </w:p>
        </w:tc>
        <w:tc>
          <w:tcPr>
            <w:tcW w:w="315" w:type="pct"/>
            <w:shd w:val="clear" w:color="auto" w:fill="auto"/>
            <w:vAlign w:val="center"/>
          </w:tcPr>
          <w:p w14:paraId="2C0017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T/I/R</w:t>
            </w:r>
          </w:p>
        </w:tc>
        <w:tc>
          <w:tcPr>
            <w:tcW w:w="298" w:type="pct"/>
            <w:shd w:val="clear" w:color="auto" w:fill="auto"/>
            <w:vAlign w:val="center"/>
          </w:tcPr>
          <w:p w14:paraId="1AA1FF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41" w:type="pct"/>
            <w:shd w:val="clear" w:color="auto" w:fill="auto"/>
            <w:vAlign w:val="center"/>
          </w:tcPr>
          <w:p w14:paraId="53E1A0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98.576</w:t>
            </w:r>
          </w:p>
        </w:tc>
        <w:tc>
          <w:tcPr>
            <w:tcW w:w="478" w:type="pct"/>
            <w:shd w:val="clear" w:color="auto" w:fill="auto"/>
            <w:vAlign w:val="center"/>
          </w:tcPr>
          <w:p w14:paraId="11CF43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575883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79B7E1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c>
          <w:tcPr>
            <w:tcW w:w="753" w:type="pct"/>
            <w:shd w:val="clear" w:color="auto" w:fill="auto"/>
            <w:vAlign w:val="center"/>
          </w:tcPr>
          <w:p w14:paraId="1E47E0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3E1B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6F1CF9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w:t>
            </w:r>
          </w:p>
        </w:tc>
        <w:tc>
          <w:tcPr>
            <w:tcW w:w="425" w:type="pct"/>
            <w:shd w:val="clear" w:color="auto" w:fill="auto"/>
            <w:vAlign w:val="center"/>
          </w:tcPr>
          <w:p w14:paraId="458A62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设备清洗</w:t>
            </w:r>
          </w:p>
        </w:tc>
        <w:tc>
          <w:tcPr>
            <w:tcW w:w="413" w:type="pct"/>
            <w:shd w:val="clear" w:color="auto" w:fill="auto"/>
            <w:vAlign w:val="center"/>
          </w:tcPr>
          <w:p w14:paraId="68FA43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64030F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HW35</w:t>
            </w:r>
          </w:p>
        </w:tc>
        <w:tc>
          <w:tcPr>
            <w:tcW w:w="475" w:type="pct"/>
            <w:shd w:val="clear" w:color="auto" w:fill="auto"/>
            <w:vAlign w:val="center"/>
          </w:tcPr>
          <w:p w14:paraId="6488B246">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900-356-35</w:t>
            </w:r>
          </w:p>
        </w:tc>
        <w:tc>
          <w:tcPr>
            <w:tcW w:w="315" w:type="pct"/>
            <w:shd w:val="clear" w:color="auto" w:fill="auto"/>
            <w:vAlign w:val="center"/>
          </w:tcPr>
          <w:p w14:paraId="6B2C1A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C/T</w:t>
            </w:r>
          </w:p>
        </w:tc>
        <w:tc>
          <w:tcPr>
            <w:tcW w:w="298" w:type="pct"/>
            <w:shd w:val="clear" w:color="auto" w:fill="auto"/>
            <w:vAlign w:val="center"/>
          </w:tcPr>
          <w:p w14:paraId="15F0FA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41" w:type="pct"/>
            <w:shd w:val="clear" w:color="auto" w:fill="auto"/>
            <w:vAlign w:val="center"/>
          </w:tcPr>
          <w:p w14:paraId="58D766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78" w:type="pct"/>
            <w:shd w:val="clear" w:color="auto" w:fill="auto"/>
            <w:vAlign w:val="center"/>
          </w:tcPr>
          <w:p w14:paraId="5A94BC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1720FC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6772A0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337582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4BCB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03" w:type="pct"/>
            <w:shd w:val="clear" w:color="auto" w:fill="auto"/>
            <w:vAlign w:val="center"/>
          </w:tcPr>
          <w:p w14:paraId="3CF8A8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w:t>
            </w:r>
          </w:p>
        </w:tc>
        <w:tc>
          <w:tcPr>
            <w:tcW w:w="425" w:type="pct"/>
            <w:shd w:val="clear" w:color="auto" w:fill="auto"/>
            <w:vAlign w:val="center"/>
          </w:tcPr>
          <w:p w14:paraId="2A53F9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413" w:type="pct"/>
            <w:shd w:val="clear" w:color="auto" w:fill="auto"/>
            <w:vAlign w:val="center"/>
          </w:tcPr>
          <w:p w14:paraId="729D49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44" w:type="pct"/>
            <w:shd w:val="clear" w:color="auto" w:fill="auto"/>
            <w:vAlign w:val="center"/>
          </w:tcPr>
          <w:p w14:paraId="172B81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SW07</w:t>
            </w:r>
          </w:p>
        </w:tc>
        <w:tc>
          <w:tcPr>
            <w:tcW w:w="475" w:type="pct"/>
            <w:shd w:val="clear" w:color="auto" w:fill="auto"/>
            <w:vAlign w:val="center"/>
          </w:tcPr>
          <w:p w14:paraId="7B1FF6C7">
            <w:pPr>
              <w:pStyle w:val="28"/>
              <w:rPr>
                <w:color w:val="000000" w:themeColor="text1"/>
                <w14:textFill>
                  <w14:solidFill>
                    <w14:schemeClr w14:val="tx1"/>
                  </w14:solidFill>
                </w14:textFill>
              </w:rPr>
            </w:pPr>
            <w:r>
              <w:rPr>
                <w:color w:val="000000" w:themeColor="text1"/>
                <w14:textFill>
                  <w14:solidFill>
                    <w14:schemeClr w14:val="tx1"/>
                  </w14:solidFill>
                </w14:textFill>
              </w:rPr>
              <w:t>900-099-S07</w:t>
            </w:r>
          </w:p>
        </w:tc>
        <w:tc>
          <w:tcPr>
            <w:tcW w:w="315" w:type="pct"/>
            <w:shd w:val="clear" w:color="auto" w:fill="auto"/>
            <w:vAlign w:val="center"/>
          </w:tcPr>
          <w:p w14:paraId="144B37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8" w:type="pct"/>
            <w:shd w:val="clear" w:color="auto" w:fill="auto"/>
            <w:vAlign w:val="center"/>
          </w:tcPr>
          <w:p w14:paraId="24ACDD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16AD16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3.6464</w:t>
            </w:r>
          </w:p>
        </w:tc>
        <w:tc>
          <w:tcPr>
            <w:tcW w:w="478" w:type="pct"/>
            <w:shd w:val="clear" w:color="auto" w:fill="auto"/>
            <w:vAlign w:val="center"/>
          </w:tcPr>
          <w:p w14:paraId="09453D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10" w:type="pct"/>
            <w:shd w:val="clear" w:color="auto" w:fill="auto"/>
            <w:vAlign w:val="center"/>
          </w:tcPr>
          <w:p w14:paraId="4065E9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封闭桶装</w:t>
            </w:r>
          </w:p>
        </w:tc>
        <w:tc>
          <w:tcPr>
            <w:tcW w:w="340" w:type="pct"/>
            <w:shd w:val="clear" w:color="auto" w:fill="auto"/>
            <w:vAlign w:val="center"/>
          </w:tcPr>
          <w:p w14:paraId="20B4AD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即产及清</w:t>
            </w:r>
          </w:p>
        </w:tc>
        <w:tc>
          <w:tcPr>
            <w:tcW w:w="753" w:type="pct"/>
            <w:shd w:val="clear" w:color="auto" w:fill="auto"/>
            <w:vAlign w:val="center"/>
          </w:tcPr>
          <w:p w14:paraId="4E5FC9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r>
      <w:tr w14:paraId="3430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03" w:type="pct"/>
            <w:shd w:val="clear" w:color="auto" w:fill="auto"/>
            <w:vAlign w:val="center"/>
          </w:tcPr>
          <w:p w14:paraId="255123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喷淋循环系统定期排污废液</w:t>
            </w:r>
          </w:p>
        </w:tc>
        <w:tc>
          <w:tcPr>
            <w:tcW w:w="425" w:type="pct"/>
            <w:shd w:val="clear" w:color="auto" w:fill="auto"/>
            <w:vAlign w:val="center"/>
          </w:tcPr>
          <w:p w14:paraId="675884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413" w:type="pct"/>
            <w:shd w:val="clear" w:color="auto" w:fill="auto"/>
            <w:vAlign w:val="center"/>
          </w:tcPr>
          <w:p w14:paraId="5E82DB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5F719D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HW35</w:t>
            </w:r>
          </w:p>
        </w:tc>
        <w:tc>
          <w:tcPr>
            <w:tcW w:w="475" w:type="pct"/>
            <w:shd w:val="clear" w:color="auto" w:fill="auto"/>
            <w:vAlign w:val="center"/>
          </w:tcPr>
          <w:p w14:paraId="26DA5835">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900-356-35</w:t>
            </w:r>
          </w:p>
        </w:tc>
        <w:tc>
          <w:tcPr>
            <w:tcW w:w="315" w:type="pct"/>
            <w:shd w:val="clear" w:color="auto" w:fill="auto"/>
            <w:vAlign w:val="center"/>
          </w:tcPr>
          <w:p w14:paraId="2F4CCC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C/T</w:t>
            </w:r>
          </w:p>
        </w:tc>
        <w:tc>
          <w:tcPr>
            <w:tcW w:w="298" w:type="pct"/>
            <w:shd w:val="clear" w:color="auto" w:fill="auto"/>
            <w:vAlign w:val="center"/>
          </w:tcPr>
          <w:p w14:paraId="58A08B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41" w:type="pct"/>
            <w:shd w:val="clear" w:color="auto" w:fill="auto"/>
            <w:vAlign w:val="center"/>
          </w:tcPr>
          <w:p w14:paraId="49D62C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78" w:type="pct"/>
            <w:shd w:val="clear" w:color="auto" w:fill="auto"/>
            <w:vAlign w:val="center"/>
          </w:tcPr>
          <w:p w14:paraId="74507A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3E05EF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746139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即产及清</w:t>
            </w:r>
          </w:p>
        </w:tc>
        <w:tc>
          <w:tcPr>
            <w:tcW w:w="753" w:type="pct"/>
            <w:shd w:val="clear" w:color="auto" w:fill="auto"/>
            <w:vAlign w:val="center"/>
          </w:tcPr>
          <w:p w14:paraId="466AC3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41DB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6172A4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425" w:type="pct"/>
            <w:shd w:val="clear" w:color="auto" w:fill="auto"/>
            <w:vAlign w:val="center"/>
          </w:tcPr>
          <w:p w14:paraId="060F49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413" w:type="pct"/>
            <w:shd w:val="clear" w:color="auto" w:fill="auto"/>
            <w:vAlign w:val="center"/>
          </w:tcPr>
          <w:p w14:paraId="137DC0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5A4E3720">
            <w:pPr>
              <w:pStyle w:val="28"/>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14:textFill>
                  <w14:solidFill>
                    <w14:schemeClr w14:val="tx1"/>
                  </w14:solidFill>
                </w14:textFill>
              </w:rPr>
              <w:t>08</w:t>
            </w:r>
          </w:p>
        </w:tc>
        <w:tc>
          <w:tcPr>
            <w:tcW w:w="475" w:type="pct"/>
            <w:shd w:val="clear" w:color="auto" w:fill="auto"/>
            <w:vAlign w:val="center"/>
          </w:tcPr>
          <w:p w14:paraId="05A5BD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900-039-49</w:t>
            </w:r>
          </w:p>
        </w:tc>
        <w:tc>
          <w:tcPr>
            <w:tcW w:w="315" w:type="pct"/>
            <w:shd w:val="clear" w:color="auto" w:fill="auto"/>
            <w:vAlign w:val="center"/>
          </w:tcPr>
          <w:p w14:paraId="427374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298" w:type="pct"/>
            <w:shd w:val="clear" w:color="auto" w:fill="auto"/>
            <w:vAlign w:val="center"/>
          </w:tcPr>
          <w:p w14:paraId="6238F4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3E0275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478" w:type="pct"/>
            <w:shd w:val="clear" w:color="auto" w:fill="auto"/>
            <w:vAlign w:val="center"/>
          </w:tcPr>
          <w:p w14:paraId="7F66D0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26679D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700E60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c>
          <w:tcPr>
            <w:tcW w:w="753" w:type="pct"/>
            <w:shd w:val="clear" w:color="auto" w:fill="auto"/>
            <w:vAlign w:val="center"/>
          </w:tcPr>
          <w:p w14:paraId="729E66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147A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14604D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w:t>
            </w:r>
          </w:p>
        </w:tc>
        <w:tc>
          <w:tcPr>
            <w:tcW w:w="425" w:type="pct"/>
            <w:shd w:val="clear" w:color="auto" w:fill="auto"/>
            <w:vAlign w:val="center"/>
          </w:tcPr>
          <w:p w14:paraId="4D8F3F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c>
        <w:tc>
          <w:tcPr>
            <w:tcW w:w="413" w:type="pct"/>
            <w:shd w:val="clear" w:color="auto" w:fill="auto"/>
            <w:vAlign w:val="center"/>
          </w:tcPr>
          <w:p w14:paraId="0B73CC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7476CD49">
            <w:pPr>
              <w:pStyle w:val="28"/>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14:textFill>
                  <w14:solidFill>
                    <w14:schemeClr w14:val="tx1"/>
                  </w14:solidFill>
                </w14:textFill>
              </w:rPr>
              <w:t>08</w:t>
            </w:r>
          </w:p>
        </w:tc>
        <w:tc>
          <w:tcPr>
            <w:tcW w:w="475" w:type="pct"/>
            <w:shd w:val="clear" w:color="auto" w:fill="auto"/>
            <w:vAlign w:val="center"/>
          </w:tcPr>
          <w:p w14:paraId="0CAE59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900-249-08</w:t>
            </w:r>
          </w:p>
        </w:tc>
        <w:tc>
          <w:tcPr>
            <w:tcW w:w="315" w:type="pct"/>
            <w:shd w:val="clear" w:color="auto" w:fill="auto"/>
            <w:vAlign w:val="center"/>
          </w:tcPr>
          <w:p w14:paraId="17A24C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w:t>
            </w:r>
          </w:p>
        </w:tc>
        <w:tc>
          <w:tcPr>
            <w:tcW w:w="298" w:type="pct"/>
            <w:shd w:val="clear" w:color="auto" w:fill="auto"/>
            <w:vAlign w:val="center"/>
          </w:tcPr>
          <w:p w14:paraId="485A04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41" w:type="pct"/>
            <w:shd w:val="clear" w:color="auto" w:fill="auto"/>
            <w:vAlign w:val="center"/>
          </w:tcPr>
          <w:p w14:paraId="405A51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478" w:type="pct"/>
            <w:shd w:val="clear" w:color="auto" w:fill="auto"/>
            <w:vAlign w:val="center"/>
          </w:tcPr>
          <w:p w14:paraId="63F548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53F509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7A6FCC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2DFB15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2F8A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03" w:type="pct"/>
            <w:shd w:val="clear" w:color="auto" w:fill="auto"/>
            <w:vAlign w:val="center"/>
          </w:tcPr>
          <w:p w14:paraId="3C3CD9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w:t>
            </w:r>
          </w:p>
        </w:tc>
        <w:tc>
          <w:tcPr>
            <w:tcW w:w="425" w:type="pct"/>
            <w:shd w:val="clear" w:color="auto" w:fill="auto"/>
            <w:vAlign w:val="center"/>
          </w:tcPr>
          <w:p w14:paraId="0560FB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产品测试</w:t>
            </w:r>
          </w:p>
        </w:tc>
        <w:tc>
          <w:tcPr>
            <w:tcW w:w="413" w:type="pct"/>
            <w:shd w:val="clear" w:color="auto" w:fill="auto"/>
            <w:vAlign w:val="center"/>
          </w:tcPr>
          <w:p w14:paraId="74A60D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44" w:type="pct"/>
            <w:shd w:val="clear" w:color="auto" w:fill="auto"/>
            <w:vAlign w:val="center"/>
          </w:tcPr>
          <w:p w14:paraId="2160B5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SW59</w:t>
            </w:r>
          </w:p>
        </w:tc>
        <w:tc>
          <w:tcPr>
            <w:tcW w:w="475" w:type="pct"/>
            <w:shd w:val="clear" w:color="auto" w:fill="auto"/>
            <w:vAlign w:val="center"/>
          </w:tcPr>
          <w:p w14:paraId="162B4C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900-099-S59</w:t>
            </w:r>
          </w:p>
        </w:tc>
        <w:tc>
          <w:tcPr>
            <w:tcW w:w="315" w:type="pct"/>
            <w:shd w:val="clear" w:color="auto" w:fill="auto"/>
            <w:vAlign w:val="center"/>
          </w:tcPr>
          <w:p w14:paraId="1619C1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8" w:type="pct"/>
            <w:shd w:val="clear" w:color="auto" w:fill="auto"/>
            <w:vAlign w:val="center"/>
          </w:tcPr>
          <w:p w14:paraId="753024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5306E9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478" w:type="pct"/>
            <w:shd w:val="clear" w:color="auto" w:fill="auto"/>
            <w:vAlign w:val="center"/>
          </w:tcPr>
          <w:p w14:paraId="4B296E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410" w:type="pct"/>
            <w:shd w:val="clear" w:color="auto" w:fill="auto"/>
            <w:vAlign w:val="center"/>
          </w:tcPr>
          <w:p w14:paraId="0F8004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340" w:type="pct"/>
            <w:shd w:val="clear" w:color="auto" w:fill="auto"/>
            <w:vAlign w:val="center"/>
          </w:tcPr>
          <w:p w14:paraId="3D3D70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790AD4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r>
      <w:tr w14:paraId="38AE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0144F3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废抹布</w:t>
            </w:r>
          </w:p>
        </w:tc>
        <w:tc>
          <w:tcPr>
            <w:tcW w:w="425" w:type="pct"/>
            <w:shd w:val="clear" w:color="auto" w:fill="auto"/>
            <w:vAlign w:val="center"/>
          </w:tcPr>
          <w:p w14:paraId="4D4F18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车间地面清洗</w:t>
            </w:r>
          </w:p>
        </w:tc>
        <w:tc>
          <w:tcPr>
            <w:tcW w:w="413" w:type="pct"/>
            <w:shd w:val="clear" w:color="auto" w:fill="auto"/>
            <w:vAlign w:val="center"/>
          </w:tcPr>
          <w:p w14:paraId="6E6235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44" w:type="pct"/>
            <w:shd w:val="clear" w:color="auto" w:fill="auto"/>
            <w:vAlign w:val="center"/>
          </w:tcPr>
          <w:p w14:paraId="48B7DE81">
            <w:pPr>
              <w:pStyle w:val="28"/>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75" w:type="pct"/>
            <w:shd w:val="clear" w:color="auto" w:fill="auto"/>
            <w:vAlign w:val="center"/>
          </w:tcPr>
          <w:p w14:paraId="50DFE8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c>
          <w:tcPr>
            <w:tcW w:w="315" w:type="pct"/>
            <w:shd w:val="clear" w:color="auto" w:fill="auto"/>
            <w:vAlign w:val="center"/>
          </w:tcPr>
          <w:p w14:paraId="38EC6C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T/In</w:t>
            </w:r>
          </w:p>
        </w:tc>
        <w:tc>
          <w:tcPr>
            <w:tcW w:w="298" w:type="pct"/>
            <w:shd w:val="clear" w:color="auto" w:fill="auto"/>
            <w:vAlign w:val="center"/>
          </w:tcPr>
          <w:p w14:paraId="611179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766059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w:t>
            </w:r>
          </w:p>
        </w:tc>
        <w:tc>
          <w:tcPr>
            <w:tcW w:w="478" w:type="pct"/>
            <w:shd w:val="clear" w:color="auto" w:fill="auto"/>
            <w:vAlign w:val="center"/>
          </w:tcPr>
          <w:p w14:paraId="694529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410" w:type="pct"/>
            <w:shd w:val="clear" w:color="auto" w:fill="auto"/>
            <w:vAlign w:val="center"/>
          </w:tcPr>
          <w:p w14:paraId="1D6194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340" w:type="pct"/>
            <w:shd w:val="clear" w:color="auto" w:fill="auto"/>
            <w:vAlign w:val="center"/>
          </w:tcPr>
          <w:p w14:paraId="439796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298043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261A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19735E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废手套</w:t>
            </w:r>
          </w:p>
        </w:tc>
        <w:tc>
          <w:tcPr>
            <w:tcW w:w="425" w:type="pct"/>
            <w:shd w:val="clear" w:color="auto" w:fill="auto"/>
            <w:vAlign w:val="center"/>
          </w:tcPr>
          <w:p w14:paraId="79F923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413" w:type="pct"/>
            <w:shd w:val="clear" w:color="auto" w:fill="auto"/>
            <w:vAlign w:val="center"/>
          </w:tcPr>
          <w:p w14:paraId="65C86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44" w:type="pct"/>
            <w:shd w:val="clear" w:color="auto" w:fill="auto"/>
            <w:vAlign w:val="center"/>
          </w:tcPr>
          <w:p w14:paraId="54E0CA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SW62</w:t>
            </w:r>
          </w:p>
        </w:tc>
        <w:tc>
          <w:tcPr>
            <w:tcW w:w="475" w:type="pct"/>
            <w:shd w:val="clear" w:color="auto" w:fill="auto"/>
            <w:vAlign w:val="center"/>
          </w:tcPr>
          <w:p w14:paraId="4ECED9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900-005-S62</w:t>
            </w:r>
          </w:p>
        </w:tc>
        <w:tc>
          <w:tcPr>
            <w:tcW w:w="315" w:type="pct"/>
            <w:shd w:val="clear" w:color="auto" w:fill="auto"/>
            <w:vAlign w:val="center"/>
          </w:tcPr>
          <w:p w14:paraId="708C33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8" w:type="pct"/>
            <w:shd w:val="clear" w:color="auto" w:fill="auto"/>
            <w:vAlign w:val="center"/>
          </w:tcPr>
          <w:p w14:paraId="4DB177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2C3980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78" w:type="pct"/>
            <w:shd w:val="clear" w:color="auto" w:fill="auto"/>
            <w:vAlign w:val="center"/>
          </w:tcPr>
          <w:p w14:paraId="34FB51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410" w:type="pct"/>
            <w:shd w:val="clear" w:color="auto" w:fill="auto"/>
            <w:vAlign w:val="center"/>
          </w:tcPr>
          <w:p w14:paraId="287D10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340" w:type="pct"/>
            <w:shd w:val="clear" w:color="auto" w:fill="auto"/>
            <w:vAlign w:val="center"/>
          </w:tcPr>
          <w:p w14:paraId="60E6CE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753" w:type="pct"/>
            <w:shd w:val="clear" w:color="auto" w:fill="auto"/>
            <w:vAlign w:val="center"/>
          </w:tcPr>
          <w:p w14:paraId="118493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r>
      <w:tr w14:paraId="6E5C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shd w:val="clear" w:color="auto" w:fill="auto"/>
            <w:vAlign w:val="center"/>
          </w:tcPr>
          <w:p w14:paraId="5AAF3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425" w:type="pct"/>
            <w:shd w:val="clear" w:color="auto" w:fill="auto"/>
            <w:vAlign w:val="center"/>
          </w:tcPr>
          <w:p w14:paraId="0F9A5A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413" w:type="pct"/>
            <w:shd w:val="clear" w:color="auto" w:fill="auto"/>
            <w:vAlign w:val="center"/>
          </w:tcPr>
          <w:p w14:paraId="2F8F8A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44" w:type="pct"/>
            <w:shd w:val="clear" w:color="auto" w:fill="auto"/>
            <w:vAlign w:val="center"/>
          </w:tcPr>
          <w:p w14:paraId="30BB0645">
            <w:pPr>
              <w:pStyle w:val="28"/>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62、</w:t>
            </w:r>
            <w:r>
              <w:rPr>
                <w:color w:val="000000" w:themeColor="text1"/>
                <w14:textFill>
                  <w14:solidFill>
                    <w14:schemeClr w14:val="tx1"/>
                  </w14:solidFill>
                </w14:textFill>
              </w:rPr>
              <w:t>SW</w:t>
            </w:r>
            <w:r>
              <w:rPr>
                <w:rFonts w:hint="eastAsia"/>
                <w:color w:val="000000" w:themeColor="text1"/>
                <w14:textFill>
                  <w14:solidFill>
                    <w14:schemeClr w14:val="tx1"/>
                  </w14:solidFill>
                </w14:textFill>
              </w:rPr>
              <w:t>64</w:t>
            </w:r>
          </w:p>
        </w:tc>
        <w:tc>
          <w:tcPr>
            <w:tcW w:w="475" w:type="pct"/>
            <w:shd w:val="clear" w:color="auto" w:fill="auto"/>
            <w:vAlign w:val="center"/>
          </w:tcPr>
          <w:p w14:paraId="11EC56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900-001-S62</w:t>
            </w:r>
          </w:p>
          <w:p w14:paraId="32C58A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900-002-S62</w:t>
            </w:r>
          </w:p>
          <w:p w14:paraId="5F52D9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900-002-S64</w:t>
            </w:r>
          </w:p>
        </w:tc>
        <w:tc>
          <w:tcPr>
            <w:tcW w:w="315" w:type="pct"/>
            <w:shd w:val="clear" w:color="auto" w:fill="auto"/>
            <w:vAlign w:val="center"/>
          </w:tcPr>
          <w:p w14:paraId="085DDF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8" w:type="pct"/>
            <w:shd w:val="clear" w:color="auto" w:fill="auto"/>
            <w:vAlign w:val="center"/>
          </w:tcPr>
          <w:p w14:paraId="146097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41" w:type="pct"/>
            <w:shd w:val="clear" w:color="auto" w:fill="auto"/>
            <w:vAlign w:val="center"/>
          </w:tcPr>
          <w:p w14:paraId="58A172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0.78</w:t>
            </w:r>
          </w:p>
        </w:tc>
        <w:tc>
          <w:tcPr>
            <w:tcW w:w="478" w:type="pct"/>
            <w:shd w:val="clear" w:color="auto" w:fill="auto"/>
            <w:vAlign w:val="center"/>
          </w:tcPr>
          <w:p w14:paraId="44A23B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10" w:type="pct"/>
            <w:shd w:val="clear" w:color="auto" w:fill="auto"/>
            <w:vAlign w:val="center"/>
          </w:tcPr>
          <w:p w14:paraId="1EE140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40" w:type="pct"/>
            <w:shd w:val="clear" w:color="auto" w:fill="auto"/>
            <w:vAlign w:val="center"/>
          </w:tcPr>
          <w:p w14:paraId="428376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53" w:type="pct"/>
            <w:shd w:val="clear" w:color="auto" w:fill="auto"/>
            <w:vAlign w:val="center"/>
          </w:tcPr>
          <w:p w14:paraId="48688F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r>
    </w:tbl>
    <w:p w14:paraId="4899EABE">
      <w:pPr>
        <w:pStyle w:val="4"/>
        <w:bidi w:val="0"/>
      </w:pPr>
      <w:r>
        <w:rPr>
          <w:rFonts w:hint="eastAsia"/>
        </w:rPr>
        <w:t xml:space="preserve"> </w:t>
      </w:r>
      <w:bookmarkStart w:id="54" w:name="_Toc22355"/>
      <w:r>
        <w:rPr>
          <w:rFonts w:hint="eastAsia"/>
        </w:rPr>
        <w:t>3.2.3污染物排放汇总</w:t>
      </w:r>
      <w:bookmarkEnd w:id="54"/>
    </w:p>
    <w:p w14:paraId="53CF67BE">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表3.2-7 本项目污染物汇总表</w:t>
      </w:r>
    </w:p>
    <w:tbl>
      <w:tblPr>
        <w:tblStyle w:val="22"/>
        <w:tblW w:w="48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408"/>
        <w:gridCol w:w="1303"/>
        <w:gridCol w:w="1242"/>
        <w:gridCol w:w="187"/>
        <w:gridCol w:w="894"/>
        <w:gridCol w:w="5379"/>
        <w:gridCol w:w="1058"/>
        <w:gridCol w:w="1491"/>
      </w:tblGrid>
      <w:tr w14:paraId="751F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Align w:val="center"/>
          </w:tcPr>
          <w:p w14:paraId="56CBD3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523" w:type="pct"/>
            <w:vAlign w:val="center"/>
          </w:tcPr>
          <w:p w14:paraId="647893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c>
        <w:tc>
          <w:tcPr>
            <w:tcW w:w="484" w:type="pct"/>
            <w:vAlign w:val="center"/>
          </w:tcPr>
          <w:p w14:paraId="00CC7F05">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污染物</w:t>
            </w:r>
          </w:p>
        </w:tc>
        <w:tc>
          <w:tcPr>
            <w:tcW w:w="461" w:type="pct"/>
            <w:vAlign w:val="center"/>
          </w:tcPr>
          <w:p w14:paraId="403183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产生浓度（mg/m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；mg/L）</w:t>
            </w:r>
          </w:p>
        </w:tc>
        <w:tc>
          <w:tcPr>
            <w:tcW w:w="400" w:type="pct"/>
            <w:gridSpan w:val="2"/>
            <w:vAlign w:val="center"/>
          </w:tcPr>
          <w:p w14:paraId="467FAE07">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产生量（t/a）</w:t>
            </w:r>
          </w:p>
        </w:tc>
        <w:tc>
          <w:tcPr>
            <w:tcW w:w="1998" w:type="pct"/>
            <w:vAlign w:val="center"/>
          </w:tcPr>
          <w:p w14:paraId="2B441437">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治理措施</w:t>
            </w:r>
          </w:p>
        </w:tc>
        <w:tc>
          <w:tcPr>
            <w:tcW w:w="393" w:type="pct"/>
            <w:vAlign w:val="center"/>
          </w:tcPr>
          <w:p w14:paraId="6DC85B5E">
            <w:pPr>
              <w:pStyle w:val="28"/>
              <w:rPr>
                <w:color w:val="000000" w:themeColor="text1"/>
                <w14:textFill>
                  <w14:solidFill>
                    <w14:schemeClr w14:val="tx1"/>
                  </w14:solidFill>
                </w14:textFill>
              </w:rPr>
            </w:pPr>
            <w:r>
              <w:rPr>
                <w:color w:val="000000" w:themeColor="text1"/>
                <w14:textFill>
                  <w14:solidFill>
                    <w14:schemeClr w14:val="tx1"/>
                  </w14:solidFill>
                </w14:textFill>
              </w:rPr>
              <w:t>排放量</w:t>
            </w:r>
          </w:p>
          <w:p w14:paraId="3A6619BD">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（t/a）</w:t>
            </w:r>
          </w:p>
        </w:tc>
        <w:tc>
          <w:tcPr>
            <w:tcW w:w="554" w:type="pct"/>
            <w:vAlign w:val="center"/>
          </w:tcPr>
          <w:p w14:paraId="79F63369">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14:paraId="38E4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vAlign w:val="center"/>
          </w:tcPr>
          <w:p w14:paraId="4953B7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523" w:type="pct"/>
            <w:vAlign w:val="center"/>
          </w:tcPr>
          <w:p w14:paraId="2BA35C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484" w:type="pct"/>
            <w:vAlign w:val="center"/>
          </w:tcPr>
          <w:p w14:paraId="352BD2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461" w:type="pct"/>
            <w:shd w:val="clear" w:color="auto" w:fill="auto"/>
            <w:vAlign w:val="center"/>
          </w:tcPr>
          <w:p w14:paraId="6D3680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0" w:type="pct"/>
            <w:gridSpan w:val="2"/>
            <w:shd w:val="clear" w:color="auto" w:fill="auto"/>
            <w:vAlign w:val="center"/>
          </w:tcPr>
          <w:p w14:paraId="5EE84F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0.013</w:t>
            </w:r>
          </w:p>
        </w:tc>
        <w:tc>
          <w:tcPr>
            <w:tcW w:w="1998" w:type="pct"/>
            <w:vMerge w:val="restart"/>
            <w:vAlign w:val="center"/>
          </w:tcPr>
          <w:p w14:paraId="11446C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车间负压+风管+碱喷淋+除雾+活性炭吸附+15m高的排气筒（DA001）</w:t>
            </w:r>
          </w:p>
        </w:tc>
        <w:tc>
          <w:tcPr>
            <w:tcW w:w="393" w:type="pct"/>
            <w:shd w:val="clear" w:color="auto" w:fill="auto"/>
            <w:vAlign w:val="center"/>
          </w:tcPr>
          <w:p w14:paraId="0904F7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c>
          <w:tcPr>
            <w:tcW w:w="554" w:type="pct"/>
            <w:shd w:val="clear" w:color="auto" w:fill="auto"/>
            <w:vAlign w:val="center"/>
          </w:tcPr>
          <w:p w14:paraId="1E8A40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r>
      <w:tr w14:paraId="6022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3B3491F4">
            <w:pPr>
              <w:pStyle w:val="28"/>
              <w:rPr>
                <w:color w:val="000000" w:themeColor="text1"/>
                <w14:textFill>
                  <w14:solidFill>
                    <w14:schemeClr w14:val="tx1"/>
                  </w14:solidFill>
                </w14:textFill>
              </w:rPr>
            </w:pPr>
          </w:p>
        </w:tc>
        <w:tc>
          <w:tcPr>
            <w:tcW w:w="523" w:type="pct"/>
            <w:vAlign w:val="center"/>
          </w:tcPr>
          <w:p w14:paraId="6AD015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研磨、干燥</w:t>
            </w:r>
          </w:p>
        </w:tc>
        <w:tc>
          <w:tcPr>
            <w:tcW w:w="484" w:type="pct"/>
            <w:vAlign w:val="center"/>
          </w:tcPr>
          <w:p w14:paraId="4BC2BF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461" w:type="pct"/>
            <w:shd w:val="clear" w:color="auto" w:fill="auto"/>
            <w:vAlign w:val="center"/>
          </w:tcPr>
          <w:p w14:paraId="093E25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0" w:type="pct"/>
            <w:gridSpan w:val="2"/>
            <w:shd w:val="clear" w:color="auto" w:fill="auto"/>
            <w:vAlign w:val="center"/>
          </w:tcPr>
          <w:p w14:paraId="302352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98" w:type="pct"/>
            <w:vMerge w:val="continue"/>
            <w:vAlign w:val="center"/>
          </w:tcPr>
          <w:p w14:paraId="56149DD4">
            <w:pPr>
              <w:pStyle w:val="28"/>
              <w:rPr>
                <w:color w:val="000000" w:themeColor="text1"/>
                <w14:textFill>
                  <w14:solidFill>
                    <w14:schemeClr w14:val="tx1"/>
                  </w14:solidFill>
                </w14:textFill>
              </w:rPr>
            </w:pPr>
          </w:p>
        </w:tc>
        <w:tc>
          <w:tcPr>
            <w:tcW w:w="393" w:type="pct"/>
            <w:shd w:val="clear" w:color="auto" w:fill="auto"/>
            <w:vAlign w:val="center"/>
          </w:tcPr>
          <w:p w14:paraId="6FF7B6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554" w:type="pct"/>
            <w:shd w:val="clear" w:color="auto" w:fill="auto"/>
            <w:vAlign w:val="center"/>
          </w:tcPr>
          <w:p w14:paraId="0D1455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0B7B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149A517B">
            <w:pPr>
              <w:pStyle w:val="28"/>
              <w:rPr>
                <w:color w:val="000000" w:themeColor="text1"/>
                <w14:textFill>
                  <w14:solidFill>
                    <w14:schemeClr w14:val="tx1"/>
                  </w14:solidFill>
                </w14:textFill>
              </w:rPr>
            </w:pPr>
          </w:p>
        </w:tc>
        <w:tc>
          <w:tcPr>
            <w:tcW w:w="523" w:type="pct"/>
            <w:vMerge w:val="restart"/>
            <w:vAlign w:val="center"/>
          </w:tcPr>
          <w:p w14:paraId="7F348E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测试残渣和清洗废水处理</w:t>
            </w:r>
          </w:p>
        </w:tc>
        <w:tc>
          <w:tcPr>
            <w:tcW w:w="484" w:type="pct"/>
            <w:vMerge w:val="restart"/>
            <w:vAlign w:val="center"/>
          </w:tcPr>
          <w:p w14:paraId="1E596A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461" w:type="pct"/>
            <w:shd w:val="clear" w:color="auto" w:fill="auto"/>
            <w:vAlign w:val="center"/>
          </w:tcPr>
          <w:p w14:paraId="674791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0" w:type="pct"/>
            <w:gridSpan w:val="2"/>
            <w:shd w:val="clear" w:color="auto" w:fill="auto"/>
            <w:vAlign w:val="center"/>
          </w:tcPr>
          <w:p w14:paraId="3FAB8E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0.0338</w:t>
            </w:r>
          </w:p>
        </w:tc>
        <w:tc>
          <w:tcPr>
            <w:tcW w:w="1998" w:type="pct"/>
            <w:vAlign w:val="center"/>
          </w:tcPr>
          <w:p w14:paraId="338024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风管+碱喷淋+除雾+活性炭吸附+15m高的排气筒（DA001）</w:t>
            </w:r>
          </w:p>
        </w:tc>
        <w:tc>
          <w:tcPr>
            <w:tcW w:w="393" w:type="pct"/>
            <w:shd w:val="clear" w:color="auto" w:fill="auto"/>
            <w:vAlign w:val="center"/>
          </w:tcPr>
          <w:p w14:paraId="56042E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c>
          <w:tcPr>
            <w:tcW w:w="554" w:type="pct"/>
            <w:shd w:val="clear" w:color="auto" w:fill="auto"/>
            <w:vAlign w:val="center"/>
          </w:tcPr>
          <w:p w14:paraId="798201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r>
      <w:tr w14:paraId="4045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17DA4E7B">
            <w:pPr>
              <w:pStyle w:val="28"/>
              <w:rPr>
                <w:color w:val="000000" w:themeColor="text1"/>
                <w14:textFill>
                  <w14:solidFill>
                    <w14:schemeClr w14:val="tx1"/>
                  </w14:solidFill>
                </w14:textFill>
              </w:rPr>
            </w:pPr>
          </w:p>
        </w:tc>
        <w:tc>
          <w:tcPr>
            <w:tcW w:w="523" w:type="pct"/>
            <w:vMerge w:val="continue"/>
            <w:vAlign w:val="center"/>
          </w:tcPr>
          <w:p w14:paraId="2D017B62">
            <w:pPr>
              <w:pStyle w:val="28"/>
              <w:rPr>
                <w:color w:val="000000" w:themeColor="text1"/>
                <w14:textFill>
                  <w14:solidFill>
                    <w14:schemeClr w14:val="tx1"/>
                  </w14:solidFill>
                </w14:textFill>
              </w:rPr>
            </w:pPr>
          </w:p>
        </w:tc>
        <w:tc>
          <w:tcPr>
            <w:tcW w:w="484" w:type="pct"/>
            <w:vMerge w:val="continue"/>
            <w:vAlign w:val="center"/>
          </w:tcPr>
          <w:p w14:paraId="2CE72902">
            <w:pPr>
              <w:pStyle w:val="28"/>
              <w:rPr>
                <w:color w:val="000000" w:themeColor="text1"/>
                <w14:textFill>
                  <w14:solidFill>
                    <w14:schemeClr w14:val="tx1"/>
                  </w14:solidFill>
                </w14:textFill>
              </w:rPr>
            </w:pPr>
          </w:p>
        </w:tc>
        <w:tc>
          <w:tcPr>
            <w:tcW w:w="461" w:type="pct"/>
            <w:shd w:val="clear" w:color="auto" w:fill="auto"/>
            <w:vAlign w:val="center"/>
          </w:tcPr>
          <w:p w14:paraId="3B1CF3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0" w:type="pct"/>
            <w:gridSpan w:val="2"/>
            <w:shd w:val="clear" w:color="auto" w:fill="auto"/>
            <w:vAlign w:val="center"/>
          </w:tcPr>
          <w:p w14:paraId="60B115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1998" w:type="pct"/>
            <w:vAlign w:val="center"/>
          </w:tcPr>
          <w:p w14:paraId="048414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车间封闭</w:t>
            </w:r>
          </w:p>
        </w:tc>
        <w:tc>
          <w:tcPr>
            <w:tcW w:w="393" w:type="pct"/>
            <w:shd w:val="clear" w:color="auto" w:fill="auto"/>
            <w:vAlign w:val="center"/>
          </w:tcPr>
          <w:p w14:paraId="5A018B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554" w:type="pct"/>
            <w:shd w:val="clear" w:color="auto" w:fill="auto"/>
            <w:vAlign w:val="center"/>
          </w:tcPr>
          <w:p w14:paraId="08625A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6E0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vAlign w:val="center"/>
          </w:tcPr>
          <w:p w14:paraId="4E3587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523" w:type="pct"/>
            <w:shd w:val="clear" w:color="auto" w:fill="auto"/>
            <w:vAlign w:val="center"/>
          </w:tcPr>
          <w:p w14:paraId="769CB123">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纯水制备废水</w:t>
            </w:r>
          </w:p>
        </w:tc>
        <w:tc>
          <w:tcPr>
            <w:tcW w:w="484" w:type="pct"/>
            <w:shd w:val="clear" w:color="auto" w:fill="auto"/>
            <w:vAlign w:val="center"/>
          </w:tcPr>
          <w:p w14:paraId="744471E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SS</w:t>
            </w:r>
          </w:p>
        </w:tc>
        <w:tc>
          <w:tcPr>
            <w:tcW w:w="461" w:type="pct"/>
            <w:shd w:val="clear" w:color="auto" w:fill="auto"/>
            <w:vAlign w:val="center"/>
          </w:tcPr>
          <w:p w14:paraId="00D314EC">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00" w:type="pct"/>
            <w:gridSpan w:val="2"/>
            <w:shd w:val="clear" w:color="auto" w:fill="auto"/>
            <w:vAlign w:val="center"/>
          </w:tcPr>
          <w:p w14:paraId="3CD65F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0.0020</w:t>
            </w:r>
          </w:p>
        </w:tc>
        <w:tc>
          <w:tcPr>
            <w:tcW w:w="1998" w:type="pct"/>
            <w:shd w:val="clear" w:color="auto" w:fill="auto"/>
            <w:vAlign w:val="center"/>
          </w:tcPr>
          <w:p w14:paraId="0716B8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393" w:type="pct"/>
            <w:shd w:val="clear" w:color="auto" w:fill="auto"/>
            <w:vAlign w:val="center"/>
          </w:tcPr>
          <w:p w14:paraId="0DB89E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0.00020</w:t>
            </w:r>
          </w:p>
        </w:tc>
        <w:tc>
          <w:tcPr>
            <w:tcW w:w="554" w:type="pct"/>
            <w:shd w:val="clear" w:color="auto" w:fill="auto"/>
            <w:vAlign w:val="center"/>
          </w:tcPr>
          <w:p w14:paraId="7EB37D71">
            <w:pPr>
              <w:pStyle w:val="28"/>
              <w:rPr>
                <w:color w:val="000000" w:themeColor="text1"/>
                <w14:textFill>
                  <w14:solidFill>
                    <w14:schemeClr w14:val="tx1"/>
                  </w14:solidFill>
                </w14:textFill>
              </w:rPr>
            </w:pPr>
            <w:r>
              <w:rPr>
                <w:color w:val="000000" w:themeColor="text1"/>
                <w14:textFill>
                  <w14:solidFill>
                    <w14:schemeClr w14:val="tx1"/>
                  </w14:solidFill>
                </w14:textFill>
              </w:rPr>
              <w:t>20</w:t>
            </w:r>
          </w:p>
        </w:tc>
      </w:tr>
      <w:tr w14:paraId="5B64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25FFFA4C">
            <w:pPr>
              <w:pStyle w:val="28"/>
              <w:rPr>
                <w:color w:val="000000" w:themeColor="text1"/>
                <w14:textFill>
                  <w14:solidFill>
                    <w14:schemeClr w14:val="tx1"/>
                  </w14:solidFill>
                </w14:textFill>
              </w:rPr>
            </w:pPr>
          </w:p>
        </w:tc>
        <w:tc>
          <w:tcPr>
            <w:tcW w:w="523" w:type="pct"/>
            <w:vMerge w:val="restart"/>
            <w:shd w:val="clear" w:color="auto" w:fill="auto"/>
            <w:vAlign w:val="center"/>
          </w:tcPr>
          <w:p w14:paraId="683206F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测试器具清洗废水</w:t>
            </w:r>
          </w:p>
        </w:tc>
        <w:tc>
          <w:tcPr>
            <w:tcW w:w="484" w:type="pct"/>
            <w:shd w:val="clear" w:color="auto" w:fill="auto"/>
            <w:vAlign w:val="center"/>
          </w:tcPr>
          <w:p w14:paraId="6242AF10">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p>
        </w:tc>
        <w:tc>
          <w:tcPr>
            <w:tcW w:w="461" w:type="pct"/>
            <w:shd w:val="clear" w:color="auto" w:fill="auto"/>
            <w:vAlign w:val="center"/>
          </w:tcPr>
          <w:p w14:paraId="3342D786">
            <w:pPr>
              <w:pStyle w:val="28"/>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400" w:type="pct"/>
            <w:gridSpan w:val="2"/>
            <w:shd w:val="solid" w:color="FFFFFF" w:fill="auto"/>
            <w:vAlign w:val="center"/>
          </w:tcPr>
          <w:p w14:paraId="2652F9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0.0168</w:t>
            </w:r>
          </w:p>
        </w:tc>
        <w:tc>
          <w:tcPr>
            <w:tcW w:w="1998" w:type="pct"/>
            <w:vMerge w:val="restart"/>
            <w:shd w:val="clear" w:color="auto" w:fill="auto"/>
            <w:vAlign w:val="center"/>
          </w:tcPr>
          <w:p w14:paraId="584B1F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393" w:type="pct"/>
            <w:shd w:val="solid" w:color="FFFFFF" w:fill="auto"/>
            <w:vAlign w:val="center"/>
          </w:tcPr>
          <w:p w14:paraId="55132E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0.0101</w:t>
            </w:r>
          </w:p>
        </w:tc>
        <w:tc>
          <w:tcPr>
            <w:tcW w:w="554" w:type="pct"/>
            <w:shd w:val="clear" w:color="auto" w:fill="auto"/>
            <w:vAlign w:val="center"/>
          </w:tcPr>
          <w:p w14:paraId="5BDA2905">
            <w:pPr>
              <w:pStyle w:val="28"/>
              <w:rPr>
                <w:color w:val="000000" w:themeColor="text1"/>
                <w14:textFill>
                  <w14:solidFill>
                    <w14:schemeClr w14:val="tx1"/>
                  </w14:solidFill>
                </w14:textFill>
              </w:rPr>
            </w:pPr>
            <w:r>
              <w:rPr>
                <w:color w:val="000000" w:themeColor="text1"/>
                <w14:textFill>
                  <w14:solidFill>
                    <w14:schemeClr w14:val="tx1"/>
                  </w14:solidFill>
                </w14:textFill>
              </w:rPr>
              <w:t>420</w:t>
            </w:r>
          </w:p>
        </w:tc>
      </w:tr>
      <w:tr w14:paraId="6C01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3D891498">
            <w:pPr>
              <w:pStyle w:val="28"/>
              <w:rPr>
                <w:color w:val="000000" w:themeColor="text1"/>
                <w14:textFill>
                  <w14:solidFill>
                    <w14:schemeClr w14:val="tx1"/>
                  </w14:solidFill>
                </w14:textFill>
              </w:rPr>
            </w:pPr>
          </w:p>
        </w:tc>
        <w:tc>
          <w:tcPr>
            <w:tcW w:w="523" w:type="pct"/>
            <w:vMerge w:val="continue"/>
            <w:shd w:val="clear" w:color="auto" w:fill="auto"/>
            <w:vAlign w:val="center"/>
          </w:tcPr>
          <w:p w14:paraId="4EE7E61B">
            <w:pPr>
              <w:pStyle w:val="28"/>
              <w:rPr>
                <w:color w:val="000000" w:themeColor="text1"/>
                <w14:textFill>
                  <w14:solidFill>
                    <w14:schemeClr w14:val="tx1"/>
                  </w14:solidFill>
                </w14:textFill>
              </w:rPr>
            </w:pPr>
          </w:p>
        </w:tc>
        <w:tc>
          <w:tcPr>
            <w:tcW w:w="484" w:type="pct"/>
            <w:shd w:val="clear" w:color="auto" w:fill="auto"/>
            <w:vAlign w:val="center"/>
          </w:tcPr>
          <w:p w14:paraId="3173805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SS</w:t>
            </w:r>
          </w:p>
        </w:tc>
        <w:tc>
          <w:tcPr>
            <w:tcW w:w="461" w:type="pct"/>
            <w:shd w:val="clear" w:color="auto" w:fill="auto"/>
            <w:vAlign w:val="center"/>
          </w:tcPr>
          <w:p w14:paraId="370E431F">
            <w:pPr>
              <w:pStyle w:val="28"/>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400" w:type="pct"/>
            <w:gridSpan w:val="2"/>
            <w:shd w:val="solid" w:color="FFFFFF" w:fill="auto"/>
            <w:vAlign w:val="center"/>
          </w:tcPr>
          <w:p w14:paraId="3931CF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0.0216</w:t>
            </w:r>
          </w:p>
        </w:tc>
        <w:tc>
          <w:tcPr>
            <w:tcW w:w="1998" w:type="pct"/>
            <w:vMerge w:val="continue"/>
            <w:shd w:val="clear" w:color="auto" w:fill="auto"/>
            <w:vAlign w:val="center"/>
          </w:tcPr>
          <w:p w14:paraId="46FB201C">
            <w:pPr>
              <w:pStyle w:val="28"/>
              <w:rPr>
                <w:color w:val="000000" w:themeColor="text1"/>
                <w14:textFill>
                  <w14:solidFill>
                    <w14:schemeClr w14:val="tx1"/>
                  </w14:solidFill>
                </w14:textFill>
              </w:rPr>
            </w:pPr>
          </w:p>
        </w:tc>
        <w:tc>
          <w:tcPr>
            <w:tcW w:w="393" w:type="pct"/>
            <w:shd w:val="solid" w:color="FFFFFF" w:fill="auto"/>
            <w:vAlign w:val="center"/>
          </w:tcPr>
          <w:p w14:paraId="2B0BB0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0.0022</w:t>
            </w:r>
          </w:p>
        </w:tc>
        <w:tc>
          <w:tcPr>
            <w:tcW w:w="554" w:type="pct"/>
            <w:shd w:val="clear" w:color="auto" w:fill="auto"/>
            <w:vAlign w:val="center"/>
          </w:tcPr>
          <w:p w14:paraId="7A8218DF">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r>
      <w:tr w14:paraId="3EF1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7F720C2C">
            <w:pPr>
              <w:pStyle w:val="28"/>
              <w:rPr>
                <w:color w:val="000000" w:themeColor="text1"/>
                <w14:textFill>
                  <w14:solidFill>
                    <w14:schemeClr w14:val="tx1"/>
                  </w14:solidFill>
                </w14:textFill>
              </w:rPr>
            </w:pPr>
          </w:p>
        </w:tc>
        <w:tc>
          <w:tcPr>
            <w:tcW w:w="523" w:type="pct"/>
            <w:vMerge w:val="continue"/>
            <w:shd w:val="clear" w:color="auto" w:fill="auto"/>
            <w:vAlign w:val="center"/>
          </w:tcPr>
          <w:p w14:paraId="554A0379">
            <w:pPr>
              <w:pStyle w:val="28"/>
              <w:rPr>
                <w:color w:val="000000" w:themeColor="text1"/>
                <w14:textFill>
                  <w14:solidFill>
                    <w14:schemeClr w14:val="tx1"/>
                  </w14:solidFill>
                </w14:textFill>
              </w:rPr>
            </w:pPr>
          </w:p>
        </w:tc>
        <w:tc>
          <w:tcPr>
            <w:tcW w:w="484" w:type="pct"/>
            <w:shd w:val="clear" w:color="auto" w:fill="auto"/>
            <w:vAlign w:val="center"/>
          </w:tcPr>
          <w:p w14:paraId="13740CC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TP</w:t>
            </w:r>
          </w:p>
        </w:tc>
        <w:tc>
          <w:tcPr>
            <w:tcW w:w="461" w:type="pct"/>
            <w:shd w:val="clear" w:color="auto" w:fill="auto"/>
            <w:vAlign w:val="center"/>
          </w:tcPr>
          <w:p w14:paraId="661BF820">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400" w:type="pct"/>
            <w:gridSpan w:val="2"/>
            <w:shd w:val="solid" w:color="FFFFFF" w:fill="auto"/>
            <w:vAlign w:val="center"/>
          </w:tcPr>
          <w:p w14:paraId="5A0AD3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0.000024</w:t>
            </w:r>
          </w:p>
        </w:tc>
        <w:tc>
          <w:tcPr>
            <w:tcW w:w="1998" w:type="pct"/>
            <w:vMerge w:val="continue"/>
            <w:shd w:val="clear" w:color="auto" w:fill="auto"/>
            <w:vAlign w:val="center"/>
          </w:tcPr>
          <w:p w14:paraId="6C6BE95C">
            <w:pPr>
              <w:pStyle w:val="28"/>
              <w:rPr>
                <w:color w:val="000000" w:themeColor="text1"/>
                <w14:textFill>
                  <w14:solidFill>
                    <w14:schemeClr w14:val="tx1"/>
                  </w14:solidFill>
                </w14:textFill>
              </w:rPr>
            </w:pPr>
          </w:p>
        </w:tc>
        <w:tc>
          <w:tcPr>
            <w:tcW w:w="393" w:type="pct"/>
            <w:shd w:val="solid" w:color="FFFFFF" w:fill="auto"/>
            <w:vAlign w:val="center"/>
          </w:tcPr>
          <w:p w14:paraId="02E46D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c>
          <w:tcPr>
            <w:tcW w:w="554" w:type="pct"/>
            <w:shd w:val="clear" w:color="auto" w:fill="auto"/>
            <w:vAlign w:val="center"/>
          </w:tcPr>
          <w:p w14:paraId="1052436D">
            <w:pPr>
              <w:pStyle w:val="28"/>
              <w:rPr>
                <w:color w:val="000000" w:themeColor="text1"/>
                <w14:textFill>
                  <w14:solidFill>
                    <w14:schemeClr w14:val="tx1"/>
                  </w14:solidFill>
                </w14:textFill>
              </w:rPr>
            </w:pPr>
            <w:r>
              <w:rPr>
                <w:color w:val="000000" w:themeColor="text1"/>
                <w14:textFill>
                  <w14:solidFill>
                    <w14:schemeClr w14:val="tx1"/>
                  </w14:solidFill>
                </w14:textFill>
              </w:rPr>
              <w:t>0.4</w:t>
            </w:r>
          </w:p>
        </w:tc>
      </w:tr>
      <w:tr w14:paraId="3F76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4FA3232F">
            <w:pPr>
              <w:pStyle w:val="28"/>
              <w:rPr>
                <w:color w:val="000000" w:themeColor="text1"/>
                <w14:textFill>
                  <w14:solidFill>
                    <w14:schemeClr w14:val="tx1"/>
                  </w14:solidFill>
                </w14:textFill>
              </w:rPr>
            </w:pPr>
          </w:p>
        </w:tc>
        <w:tc>
          <w:tcPr>
            <w:tcW w:w="523" w:type="pct"/>
            <w:vMerge w:val="continue"/>
            <w:shd w:val="clear" w:color="auto" w:fill="auto"/>
            <w:vAlign w:val="center"/>
          </w:tcPr>
          <w:p w14:paraId="4089AF65">
            <w:pPr>
              <w:pStyle w:val="28"/>
              <w:rPr>
                <w:color w:val="000000" w:themeColor="text1"/>
                <w14:textFill>
                  <w14:solidFill>
                    <w14:schemeClr w14:val="tx1"/>
                  </w14:solidFill>
                </w14:textFill>
              </w:rPr>
            </w:pPr>
          </w:p>
        </w:tc>
        <w:tc>
          <w:tcPr>
            <w:tcW w:w="484" w:type="pct"/>
            <w:shd w:val="clear" w:color="auto" w:fill="auto"/>
            <w:vAlign w:val="center"/>
          </w:tcPr>
          <w:p w14:paraId="7D1A900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硫化物</w:t>
            </w:r>
          </w:p>
        </w:tc>
        <w:tc>
          <w:tcPr>
            <w:tcW w:w="461" w:type="pct"/>
            <w:shd w:val="clear" w:color="auto" w:fill="auto"/>
            <w:vAlign w:val="center"/>
          </w:tcPr>
          <w:p w14:paraId="7F15452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00" w:type="pct"/>
            <w:gridSpan w:val="2"/>
            <w:shd w:val="solid" w:color="FFFFFF" w:fill="auto"/>
            <w:vAlign w:val="center"/>
          </w:tcPr>
          <w:p w14:paraId="6E0B8B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0.00024</w:t>
            </w:r>
          </w:p>
        </w:tc>
        <w:tc>
          <w:tcPr>
            <w:tcW w:w="1998" w:type="pct"/>
            <w:vMerge w:val="continue"/>
            <w:shd w:val="clear" w:color="auto" w:fill="auto"/>
            <w:vAlign w:val="center"/>
          </w:tcPr>
          <w:p w14:paraId="4C055A9F">
            <w:pPr>
              <w:pStyle w:val="28"/>
              <w:rPr>
                <w:color w:val="000000" w:themeColor="text1"/>
                <w14:textFill>
                  <w14:solidFill>
                    <w14:schemeClr w14:val="tx1"/>
                  </w14:solidFill>
                </w14:textFill>
              </w:rPr>
            </w:pPr>
          </w:p>
        </w:tc>
        <w:tc>
          <w:tcPr>
            <w:tcW w:w="393" w:type="pct"/>
            <w:shd w:val="solid" w:color="FFFFFF" w:fill="auto"/>
            <w:vAlign w:val="center"/>
          </w:tcPr>
          <w:p w14:paraId="047262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c>
          <w:tcPr>
            <w:tcW w:w="554" w:type="pct"/>
            <w:shd w:val="clear" w:color="auto" w:fill="auto"/>
            <w:vAlign w:val="center"/>
          </w:tcPr>
          <w:p w14:paraId="332C2439">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r>
      <w:tr w14:paraId="13E9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3B2A1081">
            <w:pPr>
              <w:pStyle w:val="28"/>
              <w:rPr>
                <w:color w:val="000000" w:themeColor="text1"/>
                <w14:textFill>
                  <w14:solidFill>
                    <w14:schemeClr w14:val="tx1"/>
                  </w14:solidFill>
                </w14:textFill>
              </w:rPr>
            </w:pPr>
          </w:p>
        </w:tc>
        <w:tc>
          <w:tcPr>
            <w:tcW w:w="523" w:type="pct"/>
            <w:vMerge w:val="restart"/>
            <w:shd w:val="clear" w:color="auto" w:fill="auto"/>
            <w:vAlign w:val="center"/>
          </w:tcPr>
          <w:p w14:paraId="57C7EBF8">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生活污水、车间拖把清洁废水</w:t>
            </w:r>
          </w:p>
        </w:tc>
        <w:tc>
          <w:tcPr>
            <w:tcW w:w="484" w:type="pct"/>
            <w:shd w:val="clear" w:color="auto" w:fill="auto"/>
            <w:vAlign w:val="center"/>
          </w:tcPr>
          <w:p w14:paraId="2BB47165">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p>
        </w:tc>
        <w:tc>
          <w:tcPr>
            <w:tcW w:w="461" w:type="pct"/>
            <w:shd w:val="clear" w:color="auto" w:fill="auto"/>
            <w:vAlign w:val="center"/>
          </w:tcPr>
          <w:p w14:paraId="446F0389">
            <w:pPr>
              <w:pStyle w:val="28"/>
              <w:rPr>
                <w:color w:val="000000" w:themeColor="text1"/>
                <w14:textFill>
                  <w14:solidFill>
                    <w14:schemeClr w14:val="tx1"/>
                  </w14:solidFill>
                </w14:textFill>
              </w:rPr>
            </w:pPr>
            <w:r>
              <w:rPr>
                <w:color w:val="000000" w:themeColor="text1"/>
                <w14:textFill>
                  <w14:solidFill>
                    <w14:schemeClr w14:val="tx1"/>
                  </w14:solidFill>
                </w14:textFill>
              </w:rPr>
              <w:t>179.5</w:t>
            </w:r>
          </w:p>
        </w:tc>
        <w:tc>
          <w:tcPr>
            <w:tcW w:w="400" w:type="pct"/>
            <w:gridSpan w:val="2"/>
            <w:shd w:val="clear" w:color="auto" w:fill="auto"/>
            <w:vAlign w:val="center"/>
          </w:tcPr>
          <w:p w14:paraId="71E782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0.0775</w:t>
            </w:r>
          </w:p>
        </w:tc>
        <w:tc>
          <w:tcPr>
            <w:tcW w:w="1998" w:type="pct"/>
            <w:vMerge w:val="restart"/>
            <w:shd w:val="clear" w:color="auto" w:fill="auto"/>
            <w:vAlign w:val="center"/>
          </w:tcPr>
          <w:p w14:paraId="598359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生活污水依托租用厂房现有化粪池收集后排至市政污水管网，最终进入玉溪市污水处理厂</w:t>
            </w:r>
          </w:p>
        </w:tc>
        <w:tc>
          <w:tcPr>
            <w:tcW w:w="393" w:type="pct"/>
            <w:shd w:val="clear" w:color="auto" w:fill="auto"/>
            <w:vAlign w:val="center"/>
          </w:tcPr>
          <w:p w14:paraId="1F099B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0.0361</w:t>
            </w:r>
          </w:p>
        </w:tc>
        <w:tc>
          <w:tcPr>
            <w:tcW w:w="554" w:type="pct"/>
            <w:shd w:val="clear" w:color="auto" w:fill="auto"/>
            <w:vAlign w:val="center"/>
          </w:tcPr>
          <w:p w14:paraId="4E906114">
            <w:pPr>
              <w:pStyle w:val="28"/>
              <w:rPr>
                <w:color w:val="000000" w:themeColor="text1"/>
                <w14:textFill>
                  <w14:solidFill>
                    <w14:schemeClr w14:val="tx1"/>
                  </w14:solidFill>
                </w14:textFill>
              </w:rPr>
            </w:pPr>
            <w:r>
              <w:rPr>
                <w:color w:val="000000" w:themeColor="text1"/>
                <w14:textFill>
                  <w14:solidFill>
                    <w14:schemeClr w14:val="tx1"/>
                  </w14:solidFill>
                </w14:textFill>
              </w:rPr>
              <w:t>83.5</w:t>
            </w:r>
          </w:p>
        </w:tc>
      </w:tr>
      <w:tr w14:paraId="2D58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72E1BA5F">
            <w:pPr>
              <w:pStyle w:val="28"/>
              <w:rPr>
                <w:color w:val="000000" w:themeColor="text1"/>
                <w14:textFill>
                  <w14:solidFill>
                    <w14:schemeClr w14:val="tx1"/>
                  </w14:solidFill>
                </w14:textFill>
              </w:rPr>
            </w:pPr>
          </w:p>
        </w:tc>
        <w:tc>
          <w:tcPr>
            <w:tcW w:w="523" w:type="pct"/>
            <w:vMerge w:val="continue"/>
            <w:shd w:val="clear" w:color="auto" w:fill="auto"/>
            <w:vAlign w:val="center"/>
          </w:tcPr>
          <w:p w14:paraId="58B7BB15">
            <w:pPr>
              <w:pStyle w:val="28"/>
              <w:rPr>
                <w:color w:val="000000" w:themeColor="text1"/>
                <w14:textFill>
                  <w14:solidFill>
                    <w14:schemeClr w14:val="tx1"/>
                  </w14:solidFill>
                </w14:textFill>
              </w:rPr>
            </w:pPr>
          </w:p>
        </w:tc>
        <w:tc>
          <w:tcPr>
            <w:tcW w:w="484" w:type="pct"/>
            <w:shd w:val="clear" w:color="auto" w:fill="auto"/>
            <w:vAlign w:val="center"/>
          </w:tcPr>
          <w:p w14:paraId="1B90F61D">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461" w:type="pct"/>
            <w:shd w:val="clear" w:color="auto" w:fill="auto"/>
            <w:vAlign w:val="center"/>
          </w:tcPr>
          <w:p w14:paraId="233E7614">
            <w:pPr>
              <w:pStyle w:val="28"/>
              <w:rPr>
                <w:color w:val="000000" w:themeColor="text1"/>
                <w14:textFill>
                  <w14:solidFill>
                    <w14:schemeClr w14:val="tx1"/>
                  </w14:solidFill>
                </w14:textFill>
              </w:rPr>
            </w:pPr>
            <w:r>
              <w:rPr>
                <w:color w:val="000000" w:themeColor="text1"/>
                <w14:textFill>
                  <w14:solidFill>
                    <w14:schemeClr w14:val="tx1"/>
                  </w14:solidFill>
                </w14:textFill>
              </w:rPr>
              <w:t>69.1</w:t>
            </w:r>
          </w:p>
        </w:tc>
        <w:tc>
          <w:tcPr>
            <w:tcW w:w="400" w:type="pct"/>
            <w:gridSpan w:val="2"/>
            <w:shd w:val="clear" w:color="auto" w:fill="auto"/>
            <w:vAlign w:val="center"/>
          </w:tcPr>
          <w:p w14:paraId="2E4491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0.0299</w:t>
            </w:r>
          </w:p>
        </w:tc>
        <w:tc>
          <w:tcPr>
            <w:tcW w:w="1998" w:type="pct"/>
            <w:vMerge w:val="continue"/>
            <w:shd w:val="clear" w:color="auto" w:fill="auto"/>
            <w:vAlign w:val="center"/>
          </w:tcPr>
          <w:p w14:paraId="179F98A1">
            <w:pPr>
              <w:pStyle w:val="28"/>
              <w:rPr>
                <w:color w:val="000000" w:themeColor="text1"/>
                <w14:textFill>
                  <w14:solidFill>
                    <w14:schemeClr w14:val="tx1"/>
                  </w14:solidFill>
                </w14:textFill>
              </w:rPr>
            </w:pPr>
          </w:p>
        </w:tc>
        <w:tc>
          <w:tcPr>
            <w:tcW w:w="393" w:type="pct"/>
            <w:shd w:val="clear" w:color="auto" w:fill="auto"/>
            <w:vAlign w:val="center"/>
          </w:tcPr>
          <w:p w14:paraId="60AF16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0.0196</w:t>
            </w:r>
          </w:p>
        </w:tc>
        <w:tc>
          <w:tcPr>
            <w:tcW w:w="554" w:type="pct"/>
            <w:shd w:val="clear" w:color="auto" w:fill="auto"/>
            <w:vAlign w:val="center"/>
          </w:tcPr>
          <w:p w14:paraId="37F7828E">
            <w:pPr>
              <w:pStyle w:val="28"/>
              <w:rPr>
                <w:color w:val="000000" w:themeColor="text1"/>
                <w14:textFill>
                  <w14:solidFill>
                    <w14:schemeClr w14:val="tx1"/>
                  </w14:solidFill>
                </w14:textFill>
              </w:rPr>
            </w:pPr>
            <w:r>
              <w:rPr>
                <w:color w:val="000000" w:themeColor="text1"/>
                <w14:textFill>
                  <w14:solidFill>
                    <w14:schemeClr w14:val="tx1"/>
                  </w14:solidFill>
                </w14:textFill>
              </w:rPr>
              <w:t>45.35</w:t>
            </w:r>
          </w:p>
        </w:tc>
      </w:tr>
      <w:tr w14:paraId="5119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32A9AB68">
            <w:pPr>
              <w:pStyle w:val="28"/>
              <w:rPr>
                <w:color w:val="000000" w:themeColor="text1"/>
                <w14:textFill>
                  <w14:solidFill>
                    <w14:schemeClr w14:val="tx1"/>
                  </w14:solidFill>
                </w14:textFill>
              </w:rPr>
            </w:pPr>
          </w:p>
        </w:tc>
        <w:tc>
          <w:tcPr>
            <w:tcW w:w="523" w:type="pct"/>
            <w:vMerge w:val="continue"/>
            <w:shd w:val="clear" w:color="auto" w:fill="auto"/>
            <w:vAlign w:val="center"/>
          </w:tcPr>
          <w:p w14:paraId="32218D46">
            <w:pPr>
              <w:pStyle w:val="28"/>
              <w:rPr>
                <w:color w:val="000000" w:themeColor="text1"/>
                <w14:textFill>
                  <w14:solidFill>
                    <w14:schemeClr w14:val="tx1"/>
                  </w14:solidFill>
                </w14:textFill>
              </w:rPr>
            </w:pPr>
          </w:p>
        </w:tc>
        <w:tc>
          <w:tcPr>
            <w:tcW w:w="484" w:type="pct"/>
            <w:shd w:val="clear" w:color="auto" w:fill="auto"/>
            <w:vAlign w:val="center"/>
          </w:tcPr>
          <w:p w14:paraId="4C357DC3">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SS</w:t>
            </w:r>
          </w:p>
        </w:tc>
        <w:tc>
          <w:tcPr>
            <w:tcW w:w="461" w:type="pct"/>
            <w:shd w:val="clear" w:color="auto" w:fill="auto"/>
            <w:vAlign w:val="center"/>
          </w:tcPr>
          <w:p w14:paraId="3B2678AF">
            <w:pPr>
              <w:pStyle w:val="28"/>
              <w:rPr>
                <w:color w:val="000000" w:themeColor="text1"/>
                <w14:textFill>
                  <w14:solidFill>
                    <w14:schemeClr w14:val="tx1"/>
                  </w14:solidFill>
                </w14:textFill>
              </w:rPr>
            </w:pPr>
            <w:r>
              <w:rPr>
                <w:color w:val="000000" w:themeColor="text1"/>
                <w14:textFill>
                  <w14:solidFill>
                    <w14:schemeClr w14:val="tx1"/>
                  </w14:solidFill>
                </w14:textFill>
              </w:rPr>
              <w:t>23</w:t>
            </w:r>
          </w:p>
        </w:tc>
        <w:tc>
          <w:tcPr>
            <w:tcW w:w="400" w:type="pct"/>
            <w:gridSpan w:val="2"/>
            <w:shd w:val="clear" w:color="auto" w:fill="auto"/>
            <w:vAlign w:val="center"/>
          </w:tcPr>
          <w:p w14:paraId="4DF099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0.0099</w:t>
            </w:r>
          </w:p>
        </w:tc>
        <w:tc>
          <w:tcPr>
            <w:tcW w:w="1998" w:type="pct"/>
            <w:vMerge w:val="continue"/>
            <w:shd w:val="clear" w:color="auto" w:fill="auto"/>
            <w:vAlign w:val="center"/>
          </w:tcPr>
          <w:p w14:paraId="222C92DE">
            <w:pPr>
              <w:pStyle w:val="28"/>
              <w:rPr>
                <w:color w:val="000000" w:themeColor="text1"/>
                <w14:textFill>
                  <w14:solidFill>
                    <w14:schemeClr w14:val="tx1"/>
                  </w14:solidFill>
                </w14:textFill>
              </w:rPr>
            </w:pPr>
          </w:p>
        </w:tc>
        <w:tc>
          <w:tcPr>
            <w:tcW w:w="393" w:type="pct"/>
            <w:shd w:val="clear" w:color="auto" w:fill="auto"/>
            <w:vAlign w:val="center"/>
          </w:tcPr>
          <w:p w14:paraId="230B0D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0.0030</w:t>
            </w:r>
          </w:p>
        </w:tc>
        <w:tc>
          <w:tcPr>
            <w:tcW w:w="554" w:type="pct"/>
            <w:shd w:val="clear" w:color="auto" w:fill="auto"/>
            <w:vAlign w:val="center"/>
          </w:tcPr>
          <w:p w14:paraId="7A20A2FD">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r>
      <w:tr w14:paraId="0FF4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653A7635">
            <w:pPr>
              <w:pStyle w:val="28"/>
              <w:rPr>
                <w:color w:val="000000" w:themeColor="text1"/>
                <w14:textFill>
                  <w14:solidFill>
                    <w14:schemeClr w14:val="tx1"/>
                  </w14:solidFill>
                </w14:textFill>
              </w:rPr>
            </w:pPr>
          </w:p>
        </w:tc>
        <w:tc>
          <w:tcPr>
            <w:tcW w:w="523" w:type="pct"/>
            <w:vMerge w:val="continue"/>
            <w:shd w:val="clear" w:color="auto" w:fill="auto"/>
            <w:vAlign w:val="center"/>
          </w:tcPr>
          <w:p w14:paraId="0ED5BF80">
            <w:pPr>
              <w:pStyle w:val="28"/>
              <w:rPr>
                <w:color w:val="000000" w:themeColor="text1"/>
                <w14:textFill>
                  <w14:solidFill>
                    <w14:schemeClr w14:val="tx1"/>
                  </w14:solidFill>
                </w14:textFill>
              </w:rPr>
            </w:pPr>
          </w:p>
        </w:tc>
        <w:tc>
          <w:tcPr>
            <w:tcW w:w="484" w:type="pct"/>
            <w:shd w:val="clear" w:color="auto" w:fill="auto"/>
            <w:vAlign w:val="center"/>
          </w:tcPr>
          <w:p w14:paraId="392048B9">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461" w:type="pct"/>
            <w:shd w:val="clear" w:color="auto" w:fill="auto"/>
            <w:vAlign w:val="center"/>
          </w:tcPr>
          <w:p w14:paraId="2692B607">
            <w:pPr>
              <w:pStyle w:val="28"/>
              <w:rPr>
                <w:color w:val="000000" w:themeColor="text1"/>
                <w14:textFill>
                  <w14:solidFill>
                    <w14:schemeClr w14:val="tx1"/>
                  </w14:solidFill>
                </w14:textFill>
              </w:rPr>
            </w:pPr>
            <w:r>
              <w:rPr>
                <w:color w:val="000000" w:themeColor="text1"/>
                <w14:textFill>
                  <w14:solidFill>
                    <w14:schemeClr w14:val="tx1"/>
                  </w14:solidFill>
                </w14:textFill>
              </w:rPr>
              <w:t>46.65</w:t>
            </w:r>
          </w:p>
        </w:tc>
        <w:tc>
          <w:tcPr>
            <w:tcW w:w="400" w:type="pct"/>
            <w:gridSpan w:val="2"/>
            <w:shd w:val="clear" w:color="auto" w:fill="auto"/>
            <w:vAlign w:val="center"/>
          </w:tcPr>
          <w:p w14:paraId="655DF5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0.0202</w:t>
            </w:r>
          </w:p>
        </w:tc>
        <w:tc>
          <w:tcPr>
            <w:tcW w:w="1998" w:type="pct"/>
            <w:vMerge w:val="continue"/>
            <w:shd w:val="clear" w:color="auto" w:fill="auto"/>
            <w:vAlign w:val="center"/>
          </w:tcPr>
          <w:p w14:paraId="60A78E9F">
            <w:pPr>
              <w:pStyle w:val="28"/>
              <w:rPr>
                <w:color w:val="000000" w:themeColor="text1"/>
                <w14:textFill>
                  <w14:solidFill>
                    <w14:schemeClr w14:val="tx1"/>
                  </w14:solidFill>
                </w14:textFill>
              </w:rPr>
            </w:pPr>
          </w:p>
        </w:tc>
        <w:tc>
          <w:tcPr>
            <w:tcW w:w="393" w:type="pct"/>
            <w:shd w:val="clear" w:color="auto" w:fill="auto"/>
            <w:vAlign w:val="center"/>
          </w:tcPr>
          <w:p w14:paraId="171745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0.0061</w:t>
            </w:r>
          </w:p>
        </w:tc>
        <w:tc>
          <w:tcPr>
            <w:tcW w:w="554" w:type="pct"/>
            <w:shd w:val="clear" w:color="auto" w:fill="auto"/>
            <w:vAlign w:val="center"/>
          </w:tcPr>
          <w:p w14:paraId="72C879C5">
            <w:pPr>
              <w:pStyle w:val="28"/>
              <w:rPr>
                <w:color w:val="000000" w:themeColor="text1"/>
                <w14:textFill>
                  <w14:solidFill>
                    <w14:schemeClr w14:val="tx1"/>
                  </w14:solidFill>
                </w14:textFill>
              </w:rPr>
            </w:pPr>
            <w:r>
              <w:rPr>
                <w:color w:val="000000" w:themeColor="text1"/>
                <w14:textFill>
                  <w14:solidFill>
                    <w14:schemeClr w14:val="tx1"/>
                  </w14:solidFill>
                </w14:textFill>
              </w:rPr>
              <w:t>14.075</w:t>
            </w:r>
          </w:p>
        </w:tc>
      </w:tr>
      <w:tr w14:paraId="0C1D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2EEEC225">
            <w:pPr>
              <w:pStyle w:val="28"/>
              <w:rPr>
                <w:color w:val="000000" w:themeColor="text1"/>
                <w14:textFill>
                  <w14:solidFill>
                    <w14:schemeClr w14:val="tx1"/>
                  </w14:solidFill>
                </w14:textFill>
              </w:rPr>
            </w:pPr>
          </w:p>
        </w:tc>
        <w:tc>
          <w:tcPr>
            <w:tcW w:w="523" w:type="pct"/>
            <w:shd w:val="clear" w:color="auto" w:fill="auto"/>
            <w:vAlign w:val="center"/>
          </w:tcPr>
          <w:p w14:paraId="189AD7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w:t>
            </w:r>
          </w:p>
        </w:tc>
        <w:tc>
          <w:tcPr>
            <w:tcW w:w="484" w:type="pct"/>
            <w:shd w:val="clear" w:color="auto" w:fill="auto"/>
            <w:vAlign w:val="center"/>
          </w:tcPr>
          <w:p w14:paraId="0746CC69">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61" w:type="pct"/>
            <w:shd w:val="clear" w:color="auto" w:fill="auto"/>
            <w:vAlign w:val="center"/>
          </w:tcPr>
          <w:p w14:paraId="421C95E3">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00" w:type="pct"/>
            <w:gridSpan w:val="2"/>
            <w:shd w:val="clear" w:color="auto" w:fill="auto"/>
            <w:vAlign w:val="center"/>
          </w:tcPr>
          <w:p w14:paraId="5DAEF2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0.00018</w:t>
            </w:r>
          </w:p>
        </w:tc>
        <w:tc>
          <w:tcPr>
            <w:tcW w:w="1998" w:type="pct"/>
            <w:shd w:val="clear" w:color="auto" w:fill="auto"/>
            <w:vAlign w:val="center"/>
          </w:tcPr>
          <w:p w14:paraId="1BA23AB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393" w:type="pct"/>
            <w:shd w:val="clear" w:color="auto" w:fill="auto"/>
            <w:vAlign w:val="center"/>
          </w:tcPr>
          <w:p w14:paraId="39B419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0.000018</w:t>
            </w:r>
          </w:p>
        </w:tc>
        <w:tc>
          <w:tcPr>
            <w:tcW w:w="554" w:type="pct"/>
            <w:shd w:val="clear" w:color="auto" w:fill="auto"/>
            <w:vAlign w:val="center"/>
          </w:tcPr>
          <w:p w14:paraId="4D42860F">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r>
      <w:tr w14:paraId="29B6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Align w:val="center"/>
          </w:tcPr>
          <w:p w14:paraId="0A84E9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523" w:type="pct"/>
            <w:vAlign w:val="center"/>
          </w:tcPr>
          <w:p w14:paraId="28093A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c>
          <w:tcPr>
            <w:tcW w:w="1346" w:type="pct"/>
            <w:gridSpan w:val="4"/>
            <w:vAlign w:val="center"/>
          </w:tcPr>
          <w:p w14:paraId="05191DF4">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70~100</w:t>
            </w:r>
            <w:r>
              <w:rPr>
                <w:rFonts w:hint="eastAsia"/>
                <w:color w:val="000000" w:themeColor="text1"/>
                <w14:textFill>
                  <w14:solidFill>
                    <w14:schemeClr w14:val="tx1"/>
                  </w14:solidFill>
                </w14:textFill>
              </w:rPr>
              <w:t>dB（A）</w:t>
            </w:r>
          </w:p>
        </w:tc>
        <w:tc>
          <w:tcPr>
            <w:tcW w:w="1998" w:type="pct"/>
            <w:vAlign w:val="center"/>
          </w:tcPr>
          <w:p w14:paraId="2F9ED9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选用低噪声设备，固定减振，利用车间墙体隔声，水泵与进出口管道间安装软橡胶接头，泵体基础减振，利用车间墙体隔声</w:t>
            </w:r>
          </w:p>
        </w:tc>
        <w:tc>
          <w:tcPr>
            <w:tcW w:w="947" w:type="pct"/>
            <w:gridSpan w:val="2"/>
            <w:shd w:val="clear" w:color="auto" w:fill="auto"/>
            <w:vAlign w:val="center"/>
          </w:tcPr>
          <w:p w14:paraId="7C0A143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60~90dB（A）</w:t>
            </w:r>
          </w:p>
        </w:tc>
      </w:tr>
      <w:tr w14:paraId="2D52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vAlign w:val="center"/>
          </w:tcPr>
          <w:p w14:paraId="6C705E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523" w:type="pct"/>
            <w:shd w:val="clear" w:color="auto" w:fill="auto"/>
            <w:vAlign w:val="center"/>
          </w:tcPr>
          <w:p w14:paraId="2DF165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1014" w:type="pct"/>
            <w:gridSpan w:val="3"/>
            <w:shd w:val="clear" w:color="auto" w:fill="auto"/>
            <w:vAlign w:val="center"/>
          </w:tcPr>
          <w:p w14:paraId="0EC8D0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原料废包装物</w:t>
            </w:r>
          </w:p>
        </w:tc>
        <w:tc>
          <w:tcPr>
            <w:tcW w:w="332" w:type="pct"/>
            <w:vMerge w:val="restart"/>
            <w:shd w:val="clear" w:color="auto" w:fill="auto"/>
            <w:vAlign w:val="center"/>
          </w:tcPr>
          <w:p w14:paraId="2D90E1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998" w:type="pct"/>
            <w:shd w:val="clear" w:color="auto" w:fill="auto"/>
            <w:vAlign w:val="center"/>
          </w:tcPr>
          <w:p w14:paraId="6B2C39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统一收集后外售至废品回收站</w:t>
            </w:r>
          </w:p>
        </w:tc>
        <w:tc>
          <w:tcPr>
            <w:tcW w:w="947" w:type="pct"/>
            <w:gridSpan w:val="2"/>
            <w:shd w:val="clear" w:color="auto" w:fill="auto"/>
            <w:vAlign w:val="center"/>
          </w:tcPr>
          <w:p w14:paraId="1AAE57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2493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484D23D0">
            <w:pPr>
              <w:pStyle w:val="28"/>
              <w:rPr>
                <w:color w:val="000000" w:themeColor="text1"/>
                <w14:textFill>
                  <w14:solidFill>
                    <w14:schemeClr w14:val="tx1"/>
                  </w14:solidFill>
                </w14:textFill>
              </w:rPr>
            </w:pPr>
          </w:p>
        </w:tc>
        <w:tc>
          <w:tcPr>
            <w:tcW w:w="523" w:type="pct"/>
            <w:shd w:val="clear" w:color="auto" w:fill="auto"/>
            <w:vAlign w:val="center"/>
          </w:tcPr>
          <w:p w14:paraId="5263C7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1014" w:type="pct"/>
            <w:gridSpan w:val="3"/>
            <w:shd w:val="clear" w:color="auto" w:fill="auto"/>
            <w:vAlign w:val="center"/>
          </w:tcPr>
          <w:p w14:paraId="127037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有机溶剂废包装物</w:t>
            </w:r>
          </w:p>
        </w:tc>
        <w:tc>
          <w:tcPr>
            <w:tcW w:w="332" w:type="pct"/>
            <w:vMerge w:val="continue"/>
            <w:shd w:val="clear" w:color="auto" w:fill="auto"/>
            <w:vAlign w:val="center"/>
          </w:tcPr>
          <w:p w14:paraId="3985ACD9">
            <w:pPr>
              <w:pStyle w:val="28"/>
              <w:rPr>
                <w:color w:val="000000" w:themeColor="text1"/>
                <w14:textFill>
                  <w14:solidFill>
                    <w14:schemeClr w14:val="tx1"/>
                  </w14:solidFill>
                </w14:textFill>
              </w:rPr>
            </w:pPr>
          </w:p>
        </w:tc>
        <w:tc>
          <w:tcPr>
            <w:tcW w:w="1998" w:type="pct"/>
            <w:shd w:val="clear" w:color="auto" w:fill="auto"/>
            <w:vAlign w:val="center"/>
          </w:tcPr>
          <w:p w14:paraId="761DA0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vAlign w:val="center"/>
          </w:tcPr>
          <w:p w14:paraId="69B01E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7890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40A595F6">
            <w:pPr>
              <w:pStyle w:val="28"/>
              <w:rPr>
                <w:color w:val="000000" w:themeColor="text1"/>
                <w14:textFill>
                  <w14:solidFill>
                    <w14:schemeClr w14:val="tx1"/>
                  </w14:solidFill>
                </w14:textFill>
              </w:rPr>
            </w:pPr>
          </w:p>
        </w:tc>
        <w:tc>
          <w:tcPr>
            <w:tcW w:w="523" w:type="pct"/>
            <w:shd w:val="clear" w:color="auto" w:fill="auto"/>
            <w:vAlign w:val="center"/>
          </w:tcPr>
          <w:p w14:paraId="2B76DA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w:t>
            </w:r>
          </w:p>
        </w:tc>
        <w:tc>
          <w:tcPr>
            <w:tcW w:w="1014" w:type="pct"/>
            <w:gridSpan w:val="3"/>
            <w:shd w:val="clear" w:color="auto" w:fill="auto"/>
            <w:vAlign w:val="center"/>
          </w:tcPr>
          <w:p w14:paraId="0E3553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332" w:type="pct"/>
            <w:shd w:val="clear" w:color="auto" w:fill="auto"/>
            <w:vAlign w:val="center"/>
          </w:tcPr>
          <w:p w14:paraId="3F14BD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98.576</w:t>
            </w:r>
          </w:p>
        </w:tc>
        <w:tc>
          <w:tcPr>
            <w:tcW w:w="1998" w:type="pct"/>
            <w:shd w:val="clear" w:color="auto" w:fill="auto"/>
            <w:vAlign w:val="center"/>
          </w:tcPr>
          <w:p w14:paraId="2ED323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75166E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3926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588D3B21">
            <w:pPr>
              <w:pStyle w:val="28"/>
              <w:rPr>
                <w:color w:val="000000" w:themeColor="text1"/>
                <w14:textFill>
                  <w14:solidFill>
                    <w14:schemeClr w14:val="tx1"/>
                  </w14:solidFill>
                </w14:textFill>
              </w:rPr>
            </w:pPr>
          </w:p>
        </w:tc>
        <w:tc>
          <w:tcPr>
            <w:tcW w:w="523" w:type="pct"/>
            <w:shd w:val="clear" w:color="auto" w:fill="auto"/>
            <w:vAlign w:val="center"/>
          </w:tcPr>
          <w:p w14:paraId="3D2255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设备清洗</w:t>
            </w:r>
          </w:p>
        </w:tc>
        <w:tc>
          <w:tcPr>
            <w:tcW w:w="1014" w:type="pct"/>
            <w:gridSpan w:val="3"/>
            <w:shd w:val="clear" w:color="auto" w:fill="auto"/>
            <w:vAlign w:val="center"/>
          </w:tcPr>
          <w:p w14:paraId="365429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w:t>
            </w:r>
          </w:p>
        </w:tc>
        <w:tc>
          <w:tcPr>
            <w:tcW w:w="332" w:type="pct"/>
            <w:shd w:val="clear" w:color="auto" w:fill="auto"/>
            <w:vAlign w:val="center"/>
          </w:tcPr>
          <w:p w14:paraId="42B278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98" w:type="pct"/>
            <w:shd w:val="clear" w:color="auto" w:fill="auto"/>
            <w:vAlign w:val="center"/>
          </w:tcPr>
          <w:p w14:paraId="55DACA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45A07E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0DD2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09493E8F">
            <w:pPr>
              <w:pStyle w:val="28"/>
              <w:rPr>
                <w:color w:val="000000" w:themeColor="text1"/>
                <w14:textFill>
                  <w14:solidFill>
                    <w14:schemeClr w14:val="tx1"/>
                  </w14:solidFill>
                </w14:textFill>
              </w:rPr>
            </w:pPr>
          </w:p>
        </w:tc>
        <w:tc>
          <w:tcPr>
            <w:tcW w:w="523" w:type="pct"/>
            <w:shd w:val="clear" w:color="auto" w:fill="auto"/>
            <w:vAlign w:val="center"/>
          </w:tcPr>
          <w:p w14:paraId="59F199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1014" w:type="pct"/>
            <w:gridSpan w:val="3"/>
            <w:shd w:val="clear" w:color="auto" w:fill="auto"/>
            <w:vAlign w:val="center"/>
          </w:tcPr>
          <w:p w14:paraId="21F679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w:t>
            </w:r>
          </w:p>
        </w:tc>
        <w:tc>
          <w:tcPr>
            <w:tcW w:w="332" w:type="pct"/>
            <w:shd w:val="clear" w:color="auto" w:fill="auto"/>
            <w:vAlign w:val="center"/>
          </w:tcPr>
          <w:p w14:paraId="1D1A52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3.6464</w:t>
            </w:r>
          </w:p>
        </w:tc>
        <w:tc>
          <w:tcPr>
            <w:tcW w:w="1998" w:type="pct"/>
            <w:shd w:val="clear" w:color="auto" w:fill="auto"/>
            <w:vAlign w:val="center"/>
          </w:tcPr>
          <w:p w14:paraId="0799D201">
            <w:pPr>
              <w:pStyle w:val="28"/>
              <w:rPr>
                <w:color w:val="000000" w:themeColor="text1"/>
                <w14:textFill>
                  <w14:solidFill>
                    <w14:schemeClr w14:val="tx1"/>
                  </w14:solidFill>
                </w14:textFill>
              </w:rPr>
            </w:pPr>
            <w:r>
              <w:rPr>
                <w:color w:val="000000" w:themeColor="text1"/>
                <w14:textFill>
                  <w14:solidFill>
                    <w14:schemeClr w14:val="tx1"/>
                  </w14:solidFill>
                </w14:textFill>
              </w:rPr>
              <w:t>送至周边砖厂制砖使用</w:t>
            </w:r>
          </w:p>
        </w:tc>
        <w:tc>
          <w:tcPr>
            <w:tcW w:w="947" w:type="pct"/>
            <w:gridSpan w:val="2"/>
            <w:shd w:val="clear" w:color="auto" w:fill="auto"/>
            <w:vAlign w:val="center"/>
          </w:tcPr>
          <w:p w14:paraId="331A2A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3550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4F9A9463">
            <w:pPr>
              <w:pStyle w:val="28"/>
              <w:rPr>
                <w:color w:val="000000" w:themeColor="text1"/>
                <w14:textFill>
                  <w14:solidFill>
                    <w14:schemeClr w14:val="tx1"/>
                  </w14:solidFill>
                </w14:textFill>
              </w:rPr>
            </w:pPr>
          </w:p>
        </w:tc>
        <w:tc>
          <w:tcPr>
            <w:tcW w:w="523" w:type="pct"/>
            <w:shd w:val="clear" w:color="auto" w:fill="auto"/>
            <w:vAlign w:val="center"/>
          </w:tcPr>
          <w:p w14:paraId="783B88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1014" w:type="pct"/>
            <w:gridSpan w:val="3"/>
            <w:shd w:val="clear" w:color="auto" w:fill="auto"/>
            <w:vAlign w:val="center"/>
          </w:tcPr>
          <w:p w14:paraId="5BF73E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喷淋循环系统定期排污废液</w:t>
            </w:r>
          </w:p>
        </w:tc>
        <w:tc>
          <w:tcPr>
            <w:tcW w:w="332" w:type="pct"/>
            <w:shd w:val="clear" w:color="auto" w:fill="auto"/>
            <w:vAlign w:val="center"/>
          </w:tcPr>
          <w:p w14:paraId="30B9B3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98" w:type="pct"/>
            <w:shd w:val="clear" w:color="auto" w:fill="auto"/>
            <w:vAlign w:val="center"/>
          </w:tcPr>
          <w:p w14:paraId="371605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62D8E1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03A4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59A16111">
            <w:pPr>
              <w:pStyle w:val="28"/>
              <w:rPr>
                <w:color w:val="000000" w:themeColor="text1"/>
                <w14:textFill>
                  <w14:solidFill>
                    <w14:schemeClr w14:val="tx1"/>
                  </w14:solidFill>
                </w14:textFill>
              </w:rPr>
            </w:pPr>
          </w:p>
        </w:tc>
        <w:tc>
          <w:tcPr>
            <w:tcW w:w="523" w:type="pct"/>
            <w:shd w:val="clear" w:color="auto" w:fill="auto"/>
            <w:vAlign w:val="center"/>
          </w:tcPr>
          <w:p w14:paraId="1F15A0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1014" w:type="pct"/>
            <w:gridSpan w:val="3"/>
            <w:shd w:val="clear" w:color="auto" w:fill="auto"/>
            <w:vAlign w:val="center"/>
          </w:tcPr>
          <w:p w14:paraId="3413D8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332" w:type="pct"/>
            <w:shd w:val="clear" w:color="auto" w:fill="auto"/>
            <w:vAlign w:val="center"/>
          </w:tcPr>
          <w:p w14:paraId="627820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1998" w:type="pct"/>
            <w:shd w:val="clear" w:color="auto" w:fill="auto"/>
            <w:vAlign w:val="center"/>
          </w:tcPr>
          <w:p w14:paraId="786A33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1D593D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165C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vAlign w:val="center"/>
          </w:tcPr>
          <w:p w14:paraId="4CD02E48">
            <w:pPr>
              <w:pStyle w:val="28"/>
              <w:rPr>
                <w:color w:val="000000" w:themeColor="text1"/>
                <w14:textFill>
                  <w14:solidFill>
                    <w14:schemeClr w14:val="tx1"/>
                  </w14:solidFill>
                </w14:textFill>
              </w:rPr>
            </w:pPr>
          </w:p>
        </w:tc>
        <w:tc>
          <w:tcPr>
            <w:tcW w:w="523" w:type="pct"/>
            <w:shd w:val="clear" w:color="auto" w:fill="auto"/>
            <w:vAlign w:val="center"/>
          </w:tcPr>
          <w:p w14:paraId="698C52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c>
        <w:tc>
          <w:tcPr>
            <w:tcW w:w="1014" w:type="pct"/>
            <w:gridSpan w:val="3"/>
            <w:shd w:val="clear" w:color="auto" w:fill="auto"/>
            <w:vAlign w:val="center"/>
          </w:tcPr>
          <w:p w14:paraId="4A91A0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w:t>
            </w:r>
          </w:p>
        </w:tc>
        <w:tc>
          <w:tcPr>
            <w:tcW w:w="332" w:type="pct"/>
            <w:shd w:val="clear" w:color="auto" w:fill="auto"/>
            <w:vAlign w:val="center"/>
          </w:tcPr>
          <w:p w14:paraId="30EFAF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998" w:type="pct"/>
            <w:shd w:val="clear" w:color="auto" w:fill="auto"/>
            <w:vAlign w:val="center"/>
          </w:tcPr>
          <w:p w14:paraId="4FCE00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2CE633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74C4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 w:type="pct"/>
            <w:vMerge w:val="continue"/>
          </w:tcPr>
          <w:p w14:paraId="028A71C8">
            <w:pPr>
              <w:pStyle w:val="28"/>
              <w:rPr>
                <w:color w:val="000000" w:themeColor="text1"/>
                <w14:textFill>
                  <w14:solidFill>
                    <w14:schemeClr w14:val="tx1"/>
                  </w14:solidFill>
                </w14:textFill>
              </w:rPr>
            </w:pPr>
          </w:p>
        </w:tc>
        <w:tc>
          <w:tcPr>
            <w:tcW w:w="523" w:type="pct"/>
            <w:shd w:val="clear" w:color="auto" w:fill="auto"/>
            <w:vAlign w:val="center"/>
          </w:tcPr>
          <w:p w14:paraId="143BA6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产品测试</w:t>
            </w:r>
          </w:p>
        </w:tc>
        <w:tc>
          <w:tcPr>
            <w:tcW w:w="1014" w:type="pct"/>
            <w:gridSpan w:val="3"/>
            <w:shd w:val="clear" w:color="auto" w:fill="auto"/>
            <w:vAlign w:val="center"/>
          </w:tcPr>
          <w:p w14:paraId="58481A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w:t>
            </w:r>
          </w:p>
        </w:tc>
        <w:tc>
          <w:tcPr>
            <w:tcW w:w="332" w:type="pct"/>
            <w:shd w:val="clear" w:color="auto" w:fill="auto"/>
            <w:vAlign w:val="center"/>
          </w:tcPr>
          <w:p w14:paraId="7640EE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1998" w:type="pct"/>
            <w:shd w:val="clear" w:color="auto" w:fill="auto"/>
            <w:vAlign w:val="center"/>
          </w:tcPr>
          <w:p w14:paraId="6138DF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c>
          <w:tcPr>
            <w:tcW w:w="947" w:type="pct"/>
            <w:gridSpan w:val="2"/>
            <w:shd w:val="clear" w:color="auto" w:fill="auto"/>
            <w:vAlign w:val="center"/>
          </w:tcPr>
          <w:p w14:paraId="5DD2A3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55EC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14:paraId="2E711C64">
            <w:pPr>
              <w:pStyle w:val="28"/>
              <w:rPr>
                <w:color w:val="000000" w:themeColor="text1"/>
                <w14:textFill>
                  <w14:solidFill>
                    <w14:schemeClr w14:val="tx1"/>
                  </w14:solidFill>
                </w14:textFill>
              </w:rPr>
            </w:pPr>
          </w:p>
        </w:tc>
        <w:tc>
          <w:tcPr>
            <w:tcW w:w="523" w:type="pct"/>
            <w:shd w:val="clear" w:color="auto" w:fill="auto"/>
            <w:vAlign w:val="center"/>
          </w:tcPr>
          <w:p w14:paraId="445AE5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地面清洗</w:t>
            </w:r>
          </w:p>
        </w:tc>
        <w:tc>
          <w:tcPr>
            <w:tcW w:w="1014" w:type="pct"/>
            <w:gridSpan w:val="3"/>
            <w:shd w:val="clear" w:color="auto" w:fill="auto"/>
            <w:vAlign w:val="center"/>
          </w:tcPr>
          <w:p w14:paraId="7672D1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废抹布</w:t>
            </w:r>
          </w:p>
        </w:tc>
        <w:tc>
          <w:tcPr>
            <w:tcW w:w="332" w:type="pct"/>
            <w:shd w:val="clear" w:color="auto" w:fill="auto"/>
            <w:vAlign w:val="center"/>
          </w:tcPr>
          <w:p w14:paraId="5B66D4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w:t>
            </w:r>
          </w:p>
        </w:tc>
        <w:tc>
          <w:tcPr>
            <w:tcW w:w="1998" w:type="pct"/>
            <w:shd w:val="clear" w:color="auto" w:fill="auto"/>
            <w:vAlign w:val="center"/>
          </w:tcPr>
          <w:p w14:paraId="2DCFD1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947" w:type="pct"/>
            <w:gridSpan w:val="2"/>
            <w:shd w:val="clear" w:color="auto" w:fill="auto"/>
            <w:vAlign w:val="center"/>
          </w:tcPr>
          <w:p w14:paraId="18A390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29C8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14:paraId="636EFE26">
            <w:pPr>
              <w:pStyle w:val="28"/>
              <w:rPr>
                <w:color w:val="000000" w:themeColor="text1"/>
                <w14:textFill>
                  <w14:solidFill>
                    <w14:schemeClr w14:val="tx1"/>
                  </w14:solidFill>
                </w14:textFill>
              </w:rPr>
            </w:pPr>
          </w:p>
        </w:tc>
        <w:tc>
          <w:tcPr>
            <w:tcW w:w="1409" w:type="dxa"/>
            <w:shd w:val="clear" w:color="auto" w:fill="auto"/>
            <w:vAlign w:val="center"/>
          </w:tcPr>
          <w:p w14:paraId="3BF3EB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1014" w:type="pct"/>
            <w:gridSpan w:val="3"/>
            <w:shd w:val="clear" w:color="auto" w:fill="auto"/>
            <w:vAlign w:val="center"/>
          </w:tcPr>
          <w:p w14:paraId="454E76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废手套</w:t>
            </w:r>
          </w:p>
        </w:tc>
        <w:tc>
          <w:tcPr>
            <w:tcW w:w="332" w:type="pct"/>
            <w:shd w:val="clear" w:color="auto" w:fill="auto"/>
            <w:vAlign w:val="center"/>
          </w:tcPr>
          <w:p w14:paraId="17D620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379" w:type="dxa"/>
            <w:shd w:val="clear" w:color="auto" w:fill="auto"/>
            <w:vAlign w:val="center"/>
          </w:tcPr>
          <w:p w14:paraId="4E69AC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c>
          <w:tcPr>
            <w:tcW w:w="2551" w:type="dxa"/>
            <w:gridSpan w:val="2"/>
            <w:shd w:val="clear" w:color="auto" w:fill="auto"/>
          </w:tcPr>
          <w:p w14:paraId="17C282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6541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14:paraId="08456F13">
            <w:pPr>
              <w:pStyle w:val="28"/>
              <w:rPr>
                <w:color w:val="000000" w:themeColor="text1"/>
                <w14:textFill>
                  <w14:solidFill>
                    <w14:schemeClr w14:val="tx1"/>
                  </w14:solidFill>
                </w14:textFill>
              </w:rPr>
            </w:pPr>
          </w:p>
        </w:tc>
        <w:tc>
          <w:tcPr>
            <w:tcW w:w="1409" w:type="dxa"/>
            <w:shd w:val="clear" w:color="auto" w:fill="auto"/>
            <w:vAlign w:val="center"/>
          </w:tcPr>
          <w:p w14:paraId="738590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1014" w:type="pct"/>
            <w:gridSpan w:val="3"/>
            <w:shd w:val="clear" w:color="auto" w:fill="auto"/>
            <w:vAlign w:val="center"/>
          </w:tcPr>
          <w:p w14:paraId="55C74F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332" w:type="pct"/>
            <w:shd w:val="clear" w:color="auto" w:fill="auto"/>
            <w:vAlign w:val="center"/>
          </w:tcPr>
          <w:p w14:paraId="45DE07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0.78</w:t>
            </w:r>
          </w:p>
        </w:tc>
        <w:tc>
          <w:tcPr>
            <w:tcW w:w="5379" w:type="dxa"/>
            <w:shd w:val="clear" w:color="auto" w:fill="auto"/>
            <w:vAlign w:val="center"/>
          </w:tcPr>
          <w:p w14:paraId="662AAD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c>
          <w:tcPr>
            <w:tcW w:w="2551" w:type="dxa"/>
            <w:gridSpan w:val="2"/>
          </w:tcPr>
          <w:p w14:paraId="572E3E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bl>
    <w:p w14:paraId="0962407E">
      <w:pPr>
        <w:ind w:firstLine="480"/>
        <w:rPr>
          <w:color w:val="000000" w:themeColor="text1"/>
          <w14:textFill>
            <w14:solidFill>
              <w14:schemeClr w14:val="tx1"/>
            </w14:solidFill>
          </w14:textFill>
        </w:rPr>
      </w:pPr>
    </w:p>
    <w:p w14:paraId="223B18BA">
      <w:pPr>
        <w:ind w:firstLine="480"/>
        <w:rPr>
          <w:color w:val="000000" w:themeColor="text1"/>
          <w14:textFill>
            <w14:solidFill>
              <w14:schemeClr w14:val="tx1"/>
            </w14:solidFill>
          </w14:textFill>
        </w:rPr>
      </w:pPr>
    </w:p>
    <w:p w14:paraId="5C08766F">
      <w:pPr>
        <w:ind w:firstLine="480"/>
        <w:rPr>
          <w:color w:val="000000" w:themeColor="text1"/>
          <w14:textFill>
            <w14:solidFill>
              <w14:schemeClr w14:val="tx1"/>
            </w14:solidFill>
          </w14:textFill>
        </w:rPr>
        <w:sectPr>
          <w:pgSz w:w="16838" w:h="11906" w:orient="landscape"/>
          <w:pgMar w:top="1440" w:right="1440" w:bottom="1440" w:left="1803" w:header="907" w:footer="992" w:gutter="0"/>
          <w:cols w:space="425" w:num="1"/>
          <w:docGrid w:type="lines" w:linePitch="312" w:charSpace="0"/>
        </w:sectPr>
      </w:pPr>
    </w:p>
    <w:p w14:paraId="6C2E29D1">
      <w:pPr>
        <w:pStyle w:val="4"/>
        <w:rPr>
          <w:color w:val="000000" w:themeColor="text1"/>
          <w14:textFill>
            <w14:solidFill>
              <w14:schemeClr w14:val="tx1"/>
            </w14:solidFill>
          </w14:textFill>
        </w:rPr>
      </w:pPr>
      <w:bookmarkStart w:id="55" w:name="_Toc25935"/>
      <w:r>
        <w:rPr>
          <w:rFonts w:hint="eastAsia"/>
          <w:color w:val="000000" w:themeColor="text1"/>
          <w14:textFill>
            <w14:solidFill>
              <w14:schemeClr w14:val="tx1"/>
            </w14:solidFill>
          </w14:textFill>
        </w:rPr>
        <w:t>3.2.4碳排放评价</w:t>
      </w:r>
      <w:bookmarkEnd w:id="55"/>
    </w:p>
    <w:p w14:paraId="4207220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3.2.4.1碳排放核算</w:t>
      </w:r>
    </w:p>
    <w:p w14:paraId="26B0233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1、核算边界</w:t>
      </w:r>
    </w:p>
    <w:p w14:paraId="4E436D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企业的组织边界为位于玉溪高新区九龙片区玉溪恩捷前沿新材料科技有限公司。</w:t>
      </w:r>
    </w:p>
    <w:p w14:paraId="0BCC27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司核算边界包括主体厂房和辅助厂房，主体厂房内设置生产系统生产车间，辅助厂房内设置辅助生产系统及附属生产系统，辅助生产系统主要是原料暂存间、球磨房、除湿机房、清洗间、备品备件库及机修间，附属生产系统主要是办公区、卫生间。</w:t>
      </w:r>
    </w:p>
    <w:p w14:paraId="3225A9C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2、核算依据</w:t>
      </w:r>
    </w:p>
    <w:p w14:paraId="69EF5E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本项目主要是参照《温室气体排放核算与报告要求 第十部分：化工生产企业》（GB/T 32151.10—2015）进行核算。</w:t>
      </w:r>
    </w:p>
    <w:p w14:paraId="1F01D1D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3、核算方法</w:t>
      </w:r>
    </w:p>
    <w:p w14:paraId="23DB25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化工生产企业的温室气体排放为各个核算单元的化石燃料燃烧产生的二氧化碳排放、生产过</w:t>
      </w:r>
      <w:r>
        <w:rPr>
          <w:rFonts w:hint="eastAsia" w:ascii="宋体" w:hAnsi="宋体" w:cs="宋体"/>
          <w:color w:val="000000" w:themeColor="text1"/>
          <w14:textFill>
            <w14:solidFill>
              <w14:schemeClr w14:val="tx1"/>
            </w14:solidFill>
          </w14:textFill>
        </w:rPr>
        <w:t>程中的二氧化碳排放和氧化亚氮排放(如果有)、购入电力、热力产生的二氧化碳排放之和,同时扣除回收且外供的二氧化碳的量(如果有),以及输出的电力、热力所对应的二氧化碳量(如果有)</w:t>
      </w:r>
      <w:r>
        <w:rPr>
          <w:rFonts w:hint="eastAsia"/>
          <w:color w:val="000000" w:themeColor="text1"/>
          <w14:textFill>
            <w14:solidFill>
              <w14:schemeClr w14:val="tx1"/>
            </w14:solidFill>
          </w14:textFill>
        </w:rPr>
        <w:t>，按下式计算：</w:t>
      </w:r>
    </w:p>
    <w:p w14:paraId="294BD21E">
      <w:pPr>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rFonts w:hint="eastAsia"/>
          <w:color w:val="000000" w:themeColor="text1"/>
          <w:sz w:val="30"/>
          <w:szCs w:val="30"/>
          <w14:textFill>
            <w14:solidFill>
              <w14:schemeClr w14:val="tx1"/>
            </w14:solidFill>
          </w14:textFill>
        </w:rPr>
        <w:t>Σ</w:t>
      </w:r>
      <w:r>
        <w:rPr>
          <w:rFonts w:hint="eastAsia"/>
          <w:color w:val="000000" w:themeColor="text1"/>
          <w14:textFill>
            <w14:solidFill>
              <w14:schemeClr w14:val="tx1"/>
            </w14:solidFill>
          </w14:textFill>
        </w:rPr>
        <w:t>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燃烧，i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过程，i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购入电，i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购入热，i</w:t>
      </w:r>
      <w:r>
        <w:rPr>
          <w:rFonts w:hint="eastAsia" w:ascii="宋体" w:hAnsi="宋体" w:cs="宋体"/>
          <w:color w:val="000000" w:themeColor="text1"/>
          <w14:textFill>
            <w14:solidFill>
              <w14:schemeClr w14:val="tx1"/>
            </w14:solidFill>
          </w14:textFill>
        </w:rPr>
        <w:t>－R</w:t>
      </w:r>
      <w:r>
        <w:rPr>
          <w:rFonts w:hint="eastAsia"/>
          <w:color w:val="000000" w:themeColor="text1"/>
          <w:vertAlign w:val="subscript"/>
          <w14:textFill>
            <w14:solidFill>
              <w14:schemeClr w14:val="tx1"/>
            </w14:solidFill>
          </w14:textFill>
        </w:rPr>
        <w:t>CO2回收，i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输出电，i</w:t>
      </w:r>
      <w:r>
        <w:rPr>
          <w:rFonts w:hint="eastAsia" w:ascii="宋体" w:hAnsi="宋体" w:cs="宋体"/>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输出热，i</w:t>
      </w:r>
      <w:r>
        <w:rPr>
          <w:rFonts w:hint="eastAsia" w:ascii="宋体" w:hAnsi="宋体" w:cs="宋体"/>
          <w:color w:val="000000" w:themeColor="text1"/>
          <w14:textFill>
            <w14:solidFill>
              <w14:schemeClr w14:val="tx1"/>
            </w14:solidFill>
          </w14:textFill>
        </w:rPr>
        <w:t>)</w:t>
      </w:r>
    </w:p>
    <w:p w14:paraId="5CC87F85">
      <w:pPr>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式中：</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3"/>
        <w:gridCol w:w="7419"/>
      </w:tblGrid>
      <w:tr w14:paraId="54E7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12D0FB1E">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p>
        </w:tc>
        <w:tc>
          <w:tcPr>
            <w:tcW w:w="4352" w:type="pct"/>
            <w:vAlign w:val="center"/>
          </w:tcPr>
          <w:p w14:paraId="763E73A7">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报告主体的温室气体排放总量,单位为吨二氧化碳当量(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4C498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5C6FCEB8">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燃烧,i</w:t>
            </w:r>
            <w:r>
              <w:rPr>
                <w:rFonts w:hint="eastAsia" w:ascii="宋体" w:hAnsi="宋体" w:cs="宋体"/>
                <w:color w:val="000000" w:themeColor="text1"/>
                <w14:textFill>
                  <w14:solidFill>
                    <w14:schemeClr w14:val="tx1"/>
                  </w14:solidFill>
                </w14:textFill>
              </w:rPr>
              <w:t>：</w:t>
            </w:r>
          </w:p>
        </w:tc>
        <w:tc>
          <w:tcPr>
            <w:tcW w:w="4352" w:type="pct"/>
            <w:vAlign w:val="center"/>
          </w:tcPr>
          <w:p w14:paraId="485A53B1">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的燃料燃烧产生的二氧化碳排放量,单位为吨二氧化碳当量(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78D82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3BEF0075">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过程,i</w:t>
            </w:r>
            <w:r>
              <w:rPr>
                <w:rFonts w:hint="eastAsia" w:ascii="宋体" w:hAnsi="宋体" w:cs="宋体"/>
                <w:color w:val="000000" w:themeColor="text1"/>
                <w14:textFill>
                  <w14:solidFill>
                    <w14:schemeClr w14:val="tx1"/>
                  </w14:solidFill>
                </w14:textFill>
              </w:rPr>
              <w:t>：</w:t>
            </w:r>
          </w:p>
        </w:tc>
        <w:tc>
          <w:tcPr>
            <w:tcW w:w="4352" w:type="pct"/>
            <w:vAlign w:val="center"/>
          </w:tcPr>
          <w:p w14:paraId="5AF15F0B">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的工业生产过程产生的各种温室气体排放总量,单位为吨二氧化碳当量(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1154D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168388C8">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购入电,i</w:t>
            </w:r>
            <w:r>
              <w:rPr>
                <w:rFonts w:hint="eastAsia" w:ascii="宋体" w:hAnsi="宋体" w:cs="宋体"/>
                <w:color w:val="000000" w:themeColor="text1"/>
                <w14:textFill>
                  <w14:solidFill>
                    <w14:schemeClr w14:val="tx1"/>
                  </w14:solidFill>
                </w14:textFill>
              </w:rPr>
              <w:t>：</w:t>
            </w:r>
          </w:p>
        </w:tc>
        <w:tc>
          <w:tcPr>
            <w:tcW w:w="4352" w:type="pct"/>
            <w:vAlign w:val="center"/>
          </w:tcPr>
          <w:p w14:paraId="4F231E79">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的购入电力产生的二氧化碳排放,单位为吨二氧化碳当量(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3105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7F8F8A7A">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购入热,i</w:t>
            </w:r>
            <w:r>
              <w:rPr>
                <w:rFonts w:hint="eastAsia" w:ascii="宋体" w:hAnsi="宋体" w:cs="宋体"/>
                <w:color w:val="000000" w:themeColor="text1"/>
                <w14:textFill>
                  <w14:solidFill>
                    <w14:schemeClr w14:val="tx1"/>
                  </w14:solidFill>
                </w14:textFill>
              </w:rPr>
              <w:t>：</w:t>
            </w:r>
          </w:p>
        </w:tc>
        <w:tc>
          <w:tcPr>
            <w:tcW w:w="4352" w:type="pct"/>
            <w:vAlign w:val="center"/>
          </w:tcPr>
          <w:p w14:paraId="40C06C3F">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的购入热力产生的二氧化碳排放,单位为吨二氧化碳当量(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2B13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3BE06150">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R</w:t>
            </w:r>
            <w:r>
              <w:rPr>
                <w:rFonts w:hint="eastAsia" w:ascii="宋体" w:hAnsi="宋体" w:cs="宋体"/>
                <w:color w:val="000000" w:themeColor="text1"/>
                <w:vertAlign w:val="subscript"/>
                <w14:textFill>
                  <w14:solidFill>
                    <w14:schemeClr w14:val="tx1"/>
                  </w14:solidFill>
                </w14:textFill>
              </w:rPr>
              <w:t>CO2回收,i</w:t>
            </w:r>
            <w:r>
              <w:rPr>
                <w:rFonts w:hint="eastAsia" w:ascii="宋体" w:hAnsi="宋体" w:cs="宋体"/>
                <w:color w:val="000000" w:themeColor="text1"/>
                <w14:textFill>
                  <w14:solidFill>
                    <w14:schemeClr w14:val="tx1"/>
                  </w14:solidFill>
                </w14:textFill>
              </w:rPr>
              <w:t>：</w:t>
            </w:r>
          </w:p>
        </w:tc>
        <w:tc>
          <w:tcPr>
            <w:tcW w:w="4352" w:type="pct"/>
            <w:vAlign w:val="center"/>
          </w:tcPr>
          <w:p w14:paraId="2A0208AA">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回收且外供的二氧化碳量,单位为吨二氧化碳当量(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782A4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193EACA6">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输出电,i</w:t>
            </w:r>
            <w:r>
              <w:rPr>
                <w:rFonts w:hint="eastAsia" w:ascii="宋体" w:hAnsi="宋体" w:cs="宋体"/>
                <w:color w:val="000000" w:themeColor="text1"/>
                <w14:textFill>
                  <w14:solidFill>
                    <w14:schemeClr w14:val="tx1"/>
                  </w14:solidFill>
                </w14:textFill>
              </w:rPr>
              <w:t xml:space="preserve"> ：</w:t>
            </w:r>
          </w:p>
        </w:tc>
        <w:tc>
          <w:tcPr>
            <w:tcW w:w="4352" w:type="pct"/>
            <w:vAlign w:val="center"/>
          </w:tcPr>
          <w:p w14:paraId="147218B3">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的输出电力产生的二氧化碳排放,单位为吨二氧化碳当量(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6790C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09FCD1E6">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输出热,i</w:t>
            </w:r>
            <w:r>
              <w:rPr>
                <w:rFonts w:hint="eastAsia" w:ascii="宋体" w:hAnsi="宋体" w:cs="宋体"/>
                <w:color w:val="000000" w:themeColor="text1"/>
                <w14:textFill>
                  <w14:solidFill>
                    <w14:schemeClr w14:val="tx1"/>
                  </w14:solidFill>
                </w14:textFill>
              </w:rPr>
              <w:t>：</w:t>
            </w:r>
          </w:p>
        </w:tc>
        <w:tc>
          <w:tcPr>
            <w:tcW w:w="4352" w:type="pct"/>
            <w:vAlign w:val="center"/>
          </w:tcPr>
          <w:p w14:paraId="430D12A3">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核算单元i 的输出热力产生的二氧化碳排放,单位为吨二氧化碳当量(</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0A739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7" w:type="pct"/>
            <w:vAlign w:val="center"/>
          </w:tcPr>
          <w:p w14:paraId="38048B07">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i ：</w:t>
            </w:r>
          </w:p>
        </w:tc>
        <w:tc>
          <w:tcPr>
            <w:tcW w:w="4352" w:type="pct"/>
            <w:vAlign w:val="center"/>
          </w:tcPr>
          <w:p w14:paraId="21566529">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核算单元编号</w:t>
            </w:r>
          </w:p>
        </w:tc>
      </w:tr>
    </w:tbl>
    <w:p w14:paraId="0ECE432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（1）化石燃料燃烧产生的二氧化碳排放量按下式计算：</w:t>
      </w:r>
    </w:p>
    <w:p w14:paraId="19F2D5E9">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19650" cy="476250"/>
            <wp:effectExtent l="0" t="0" r="0" b="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6"/>
                    <a:stretch>
                      <a:fillRect/>
                    </a:stretch>
                  </pic:blipFill>
                  <pic:spPr>
                    <a:xfrm>
                      <a:off x="0" y="0"/>
                      <a:ext cx="4819650" cy="476250"/>
                    </a:xfrm>
                    <a:prstGeom prst="rect">
                      <a:avLst/>
                    </a:prstGeom>
                    <a:noFill/>
                    <a:ln>
                      <a:noFill/>
                    </a:ln>
                  </pic:spPr>
                </pic:pic>
              </a:graphicData>
            </a:graphic>
          </wp:inline>
        </w:drawing>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8"/>
        <w:gridCol w:w="7164"/>
      </w:tblGrid>
      <w:tr w14:paraId="724E4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1404FB9A">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E</w:t>
            </w:r>
            <w:r>
              <w:rPr>
                <w:rFonts w:hint="eastAsia" w:ascii="宋体" w:hAnsi="宋体" w:cs="宋体"/>
                <w:color w:val="000000" w:themeColor="text1"/>
                <w:vertAlign w:val="subscript"/>
                <w14:textFill>
                  <w14:solidFill>
                    <w14:schemeClr w14:val="tx1"/>
                  </w14:solidFill>
                </w14:textFill>
              </w:rPr>
              <w:t>燃烧,i</w:t>
            </w:r>
            <w:r>
              <w:rPr>
                <w:rFonts w:hint="eastAsia" w:ascii="宋体" w:hAnsi="宋体" w:cs="宋体"/>
                <w:color w:val="000000" w:themeColor="text1"/>
                <w14:textFill>
                  <w14:solidFill>
                    <w14:schemeClr w14:val="tx1"/>
                  </w14:solidFill>
                </w14:textFill>
              </w:rPr>
              <w:t>：</w:t>
            </w:r>
          </w:p>
        </w:tc>
        <w:tc>
          <w:tcPr>
            <w:tcW w:w="4202" w:type="pct"/>
            <w:vAlign w:val="center"/>
          </w:tcPr>
          <w:p w14:paraId="1E350004">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核算期内核算单元</w:t>
            </w:r>
            <w:r>
              <w:rPr>
                <w:rFonts w:hint="eastAsia" w:ascii="宋体" w:hAnsi="宋体" w:cs="宋体"/>
                <w:color w:val="000000" w:themeColor="text1"/>
                <w14:textFill>
                  <w14:solidFill>
                    <w14:schemeClr w14:val="tx1"/>
                  </w14:solidFill>
                </w14:textFill>
              </w:rPr>
              <w:t xml:space="preserve">i </w:t>
            </w:r>
            <w:r>
              <w:rPr>
                <w:rFonts w:hint="eastAsia"/>
                <w:color w:val="000000" w:themeColor="text1"/>
                <w14:textFill>
                  <w14:solidFill>
                    <w14:schemeClr w14:val="tx1"/>
                  </w14:solidFill>
                </w14:textFill>
              </w:rPr>
              <w:t>的燃料燃烧产生的二氧化碳排放量,单位为吨二氧化碳当量</w:t>
            </w:r>
            <w:r>
              <w:rPr>
                <w:rFonts w:hint="eastAsia" w:ascii="宋体" w:hAnsi="宋体" w:cs="宋体"/>
                <w:color w:val="000000" w:themeColor="text1"/>
                <w14:textFill>
                  <w14:solidFill>
                    <w14:schemeClr w14:val="tx1"/>
                  </w14:solidFill>
                </w14:textFill>
              </w:rPr>
              <w:t>(</w:t>
            </w:r>
            <w:r>
              <w:rPr>
                <w:rFonts w:cs="Times New Roman"/>
                <w:color w:val="000000" w:themeColor="text1"/>
                <w14:textFill>
                  <w14:solidFill>
                    <w14:schemeClr w14:val="tx1"/>
                  </w14:solidFill>
                </w14:textFill>
              </w:rPr>
              <w:t>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w:t>
            </w:r>
          </w:p>
        </w:tc>
      </w:tr>
      <w:tr w14:paraId="0CA5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4120B5AD">
            <w:pPr>
              <w:spacing w:line="240" w:lineRule="auto"/>
              <w:ind w:firstLine="0" w:firstLineChars="0"/>
              <w:jc w:val="right"/>
              <w:rPr>
                <w:rFonts w:ascii="宋体" w:hAnsi="宋体" w:cs="宋体"/>
                <w:color w:val="000000" w:themeColor="text1"/>
                <w14:textFill>
                  <w14:solidFill>
                    <w14:schemeClr w14:val="tx1"/>
                  </w14:solidFill>
                </w14:textFill>
              </w:rPr>
            </w:pPr>
            <w:r>
              <w:rPr>
                <w:rFonts w:cs="Times New Roman"/>
                <w:color w:val="000000" w:themeColor="text1"/>
                <w14:textFill>
                  <w14:solidFill>
                    <w14:schemeClr w14:val="tx1"/>
                  </w14:solidFill>
                </w14:textFill>
              </w:rPr>
              <w:t>AD</w:t>
            </w:r>
            <w:r>
              <w:rPr>
                <w:rFonts w:cs="Times New Roman"/>
                <w:color w:val="000000" w:themeColor="text1"/>
                <w:vertAlign w:val="subscript"/>
                <w14:textFill>
                  <w14:solidFill>
                    <w14:schemeClr w14:val="tx1"/>
                  </w14:solidFill>
                </w14:textFill>
              </w:rPr>
              <w:t>j</w:t>
            </w:r>
            <w:r>
              <w:rPr>
                <w:rFonts w:hint="eastAsia" w:ascii="宋体" w:hAnsi="宋体" w:cs="宋体"/>
                <w:color w:val="000000" w:themeColor="text1"/>
                <w14:textFill>
                  <w14:solidFill>
                    <w14:schemeClr w14:val="tx1"/>
                  </w14:solidFill>
                </w14:textFill>
              </w:rPr>
              <w:t>：</w:t>
            </w:r>
          </w:p>
        </w:tc>
        <w:tc>
          <w:tcPr>
            <w:tcW w:w="4202" w:type="pct"/>
            <w:vAlign w:val="center"/>
          </w:tcPr>
          <w:p w14:paraId="1EE685BE">
            <w:pPr>
              <w:spacing w:line="240" w:lineRule="auto"/>
              <w:ind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核算期内第j 种化石燃料用作燃料燃烧的消费量，对固体或液体燃料，单位为吨(</w:t>
            </w:r>
            <w:r>
              <w:rPr>
                <w:rFonts w:cs="Times New Roman"/>
                <w:color w:val="000000" w:themeColor="text1"/>
                <w14:textFill>
                  <w14:solidFill>
                    <w14:schemeClr w14:val="tx1"/>
                  </w14:solidFill>
                </w14:textFill>
              </w:rPr>
              <w:t>t</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对气体燃料，单位为万标立方米</w:t>
            </w:r>
            <w:r>
              <w:rPr>
                <w:rFonts w:hint="eastAsia" w:ascii="宋体" w:hAnsi="宋体" w:cs="宋体"/>
                <w:color w:val="000000" w:themeColor="text1"/>
                <w14:textFill>
                  <w14:solidFill>
                    <w14:schemeClr w14:val="tx1"/>
                  </w14:solidFill>
                </w14:textFill>
              </w:rPr>
              <w:t>(</w:t>
            </w:r>
            <w:r>
              <w:rPr>
                <w:rFonts w:cs="Times New Roman"/>
                <w:color w:val="000000" w:themeColor="text1"/>
                <w14:textFill>
                  <w14:solidFill>
                    <w14:schemeClr w14:val="tx1"/>
                  </w14:solidFill>
                </w14:textFill>
              </w:rPr>
              <w:t>10</w:t>
            </w:r>
            <w:r>
              <w:rPr>
                <w:rFonts w:cs="Times New Roman"/>
                <w:color w:val="000000" w:themeColor="text1"/>
                <w:vertAlign w:val="superscript"/>
                <w14:textFill>
                  <w14:solidFill>
                    <w14:schemeClr w14:val="tx1"/>
                  </w14:solidFill>
                </w14:textFill>
              </w:rPr>
              <w:t>4</w:t>
            </w:r>
            <w:r>
              <w:rPr>
                <w:rFonts w:cs="Times New Roman"/>
                <w:color w:val="000000" w:themeColor="text1"/>
                <w14:textFill>
                  <w14:solidFill>
                    <w14:schemeClr w14:val="tx1"/>
                  </w14:solidFill>
                </w14:textFill>
              </w:rPr>
              <w:t>Nm</w:t>
            </w:r>
            <w:r>
              <w:rPr>
                <w:rFonts w:cs="Times New Roman"/>
                <w:color w:val="000000" w:themeColor="text1"/>
                <w:vertAlign w:val="superscript"/>
                <w14:textFill>
                  <w14:solidFill>
                    <w14:schemeClr w14:val="tx1"/>
                  </w14:solidFill>
                </w14:textFill>
              </w:rPr>
              <w:t>3</w:t>
            </w:r>
            <w:r>
              <w:rPr>
                <w:rFonts w:hint="eastAsia" w:ascii="宋体" w:hAnsi="宋体" w:cs="宋体"/>
                <w:color w:val="000000" w:themeColor="text1"/>
                <w14:textFill>
                  <w14:solidFill>
                    <w14:schemeClr w14:val="tx1"/>
                  </w14:solidFill>
                </w14:textFill>
              </w:rPr>
              <w:t>)</w:t>
            </w:r>
          </w:p>
        </w:tc>
      </w:tr>
      <w:tr w14:paraId="3CCB0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442B44E7">
            <w:pPr>
              <w:spacing w:line="240" w:lineRule="auto"/>
              <w:ind w:firstLine="0" w:firstLineChars="0"/>
              <w:jc w:val="right"/>
              <w:rPr>
                <w:rFonts w:ascii="宋体" w:hAnsi="宋体" w:cs="宋体"/>
                <w:color w:val="000000" w:themeColor="text1"/>
                <w14:textFill>
                  <w14:solidFill>
                    <w14:schemeClr w14:val="tx1"/>
                  </w14:solidFill>
                </w14:textFill>
              </w:rPr>
            </w:pPr>
            <w:r>
              <w:rPr>
                <w:rFonts w:cs="Times New Roman"/>
                <w:color w:val="000000" w:themeColor="text1"/>
                <w14:textFill>
                  <w14:solidFill>
                    <w14:schemeClr w14:val="tx1"/>
                  </w14:solidFill>
                </w14:textFill>
              </w:rPr>
              <w:t>CC</w:t>
            </w:r>
            <w:r>
              <w:rPr>
                <w:rFonts w:cs="Times New Roman"/>
                <w:color w:val="000000" w:themeColor="text1"/>
                <w:vertAlign w:val="subscript"/>
                <w14:textFill>
                  <w14:solidFill>
                    <w14:schemeClr w14:val="tx1"/>
                  </w14:solidFill>
                </w14:textFill>
              </w:rPr>
              <w:t xml:space="preserve">j </w:t>
            </w:r>
            <w:r>
              <w:rPr>
                <w:rFonts w:hint="eastAsia" w:ascii="宋体" w:hAnsi="宋体" w:cs="宋体"/>
                <w:color w:val="000000" w:themeColor="text1"/>
                <w14:textFill>
                  <w14:solidFill>
                    <w14:schemeClr w14:val="tx1"/>
                  </w14:solidFill>
                </w14:textFill>
              </w:rPr>
              <w:t>：</w:t>
            </w:r>
          </w:p>
        </w:tc>
        <w:tc>
          <w:tcPr>
            <w:tcW w:w="4202" w:type="pct"/>
            <w:vAlign w:val="center"/>
          </w:tcPr>
          <w:p w14:paraId="4AFF3CC4">
            <w:pPr>
              <w:spacing w:line="240" w:lineRule="auto"/>
              <w:ind w:firstLine="0" w:firstLineChars="0"/>
              <w:rPr>
                <w:rFonts w:ascii="宋体" w:hAnsi="宋体" w:cs="宋体"/>
                <w:color w:val="000000" w:themeColor="text1"/>
                <w14:textFill>
                  <w14:solidFill>
                    <w14:schemeClr w14:val="tx1"/>
                  </w14:solidFill>
                </w14:textFill>
              </w:rPr>
            </w:pPr>
            <w:r>
              <w:rPr>
                <w:rFonts w:cs="Times New Roman"/>
                <w:color w:val="000000" w:themeColor="text1"/>
                <w14:textFill>
                  <w14:solidFill>
                    <w14:schemeClr w14:val="tx1"/>
                  </w14:solidFill>
                </w14:textFill>
              </w:rPr>
              <w:t>核算期内第j 种化石燃料的含碳量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对固体和液体燃料，单位为吨碳每吨(tC/t)；对气</w:t>
            </w:r>
            <w:r>
              <w:rPr>
                <w:rFonts w:hint="eastAsia"/>
                <w:color w:val="000000" w:themeColor="text1"/>
                <w14:textFill>
                  <w14:solidFill>
                    <w14:schemeClr w14:val="tx1"/>
                  </w14:solidFill>
                </w14:textFill>
              </w:rPr>
              <w:t>体燃料，单位为吨碳每万标立方米</w:t>
            </w:r>
            <w:r>
              <w:rPr>
                <w:rFonts w:hint="eastAsia" w:ascii="宋体" w:hAnsi="宋体" w:cs="宋体"/>
                <w:color w:val="000000" w:themeColor="text1"/>
                <w14:textFill>
                  <w14:solidFill>
                    <w14:schemeClr w14:val="tx1"/>
                  </w14:solidFill>
                </w14:textFill>
              </w:rPr>
              <w:t>(</w:t>
            </w:r>
            <w:r>
              <w:rPr>
                <w:rFonts w:cs="Times New Roman"/>
                <w:color w:val="000000" w:themeColor="text1"/>
                <w14:textFill>
                  <w14:solidFill>
                    <w14:schemeClr w14:val="tx1"/>
                  </w14:solidFill>
                </w14:textFill>
              </w:rPr>
              <w:t>10</w:t>
            </w:r>
            <w:r>
              <w:rPr>
                <w:rFonts w:cs="Times New Roman"/>
                <w:color w:val="000000" w:themeColor="text1"/>
                <w:vertAlign w:val="superscript"/>
                <w14:textFill>
                  <w14:solidFill>
                    <w14:schemeClr w14:val="tx1"/>
                  </w14:solidFill>
                </w14:textFill>
              </w:rPr>
              <w:t>4</w:t>
            </w:r>
            <w:r>
              <w:rPr>
                <w:rFonts w:cs="Times New Roman"/>
                <w:color w:val="000000" w:themeColor="text1"/>
                <w14:textFill>
                  <w14:solidFill>
                    <w14:schemeClr w14:val="tx1"/>
                  </w14:solidFill>
                </w14:textFill>
              </w:rPr>
              <w:t>Nm</w:t>
            </w:r>
            <w:r>
              <w:rPr>
                <w:rFonts w:cs="Times New Roman"/>
                <w:color w:val="000000" w:themeColor="text1"/>
                <w:vertAlign w:val="superscript"/>
                <w14:textFill>
                  <w14:solidFill>
                    <w14:schemeClr w14:val="tx1"/>
                  </w14:solidFill>
                </w14:textFill>
              </w:rPr>
              <w:t>3</w:t>
            </w:r>
            <w:r>
              <w:rPr>
                <w:rFonts w:hint="eastAsia" w:ascii="宋体" w:hAnsi="宋体" w:cs="宋体"/>
                <w:color w:val="000000" w:themeColor="text1"/>
                <w14:textFill>
                  <w14:solidFill>
                    <w14:schemeClr w14:val="tx1"/>
                  </w14:solidFill>
                </w14:textFill>
              </w:rPr>
              <w:t>)</w:t>
            </w:r>
          </w:p>
        </w:tc>
      </w:tr>
      <w:tr w14:paraId="6F210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53AA0760">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OF</w:t>
            </w:r>
            <w:r>
              <w:rPr>
                <w:rFonts w:hint="eastAsia"/>
                <w:color w:val="000000" w:themeColor="text1"/>
                <w:vertAlign w:val="subscript"/>
                <w14:textFill>
                  <w14:solidFill>
                    <w14:schemeClr w14:val="tx1"/>
                  </w14:solidFill>
                </w14:textFill>
              </w:rPr>
              <w:t>j</w:t>
            </w:r>
            <w:r>
              <w:rPr>
                <w:rFonts w:hint="eastAsia"/>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tc>
        <w:tc>
          <w:tcPr>
            <w:tcW w:w="4202" w:type="pct"/>
            <w:vAlign w:val="center"/>
          </w:tcPr>
          <w:p w14:paraId="3CE9C46B">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核算期内第j 种化石燃料的碳氧化率</w:t>
            </w:r>
          </w:p>
        </w:tc>
      </w:tr>
      <w:tr w14:paraId="4148D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6243435E">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GWP</w:t>
            </w:r>
            <w:r>
              <w:rPr>
                <w:rFonts w:hint="eastAsia"/>
                <w:color w:val="000000" w:themeColor="text1"/>
                <w:vertAlign w:val="subscript"/>
                <w14:textFill>
                  <w14:solidFill>
                    <w14:schemeClr w14:val="tx1"/>
                  </w14:solidFill>
                </w14:textFill>
              </w:rPr>
              <w:t xml:space="preserve">CO2 </w:t>
            </w:r>
            <w:r>
              <w:rPr>
                <w:rFonts w:hint="eastAsia" w:ascii="宋体" w:hAnsi="宋体" w:cs="宋体"/>
                <w:color w:val="000000" w:themeColor="text1"/>
                <w14:textFill>
                  <w14:solidFill>
                    <w14:schemeClr w14:val="tx1"/>
                  </w14:solidFill>
                </w14:textFill>
              </w:rPr>
              <w:t>：</w:t>
            </w:r>
          </w:p>
        </w:tc>
        <w:tc>
          <w:tcPr>
            <w:tcW w:w="4202" w:type="pct"/>
            <w:vAlign w:val="center"/>
          </w:tcPr>
          <w:p w14:paraId="497C5154">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二氧化碳的全球变暖潜势，取值为1</w:t>
            </w:r>
          </w:p>
        </w:tc>
      </w:tr>
      <w:tr w14:paraId="482E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797" w:type="pct"/>
            <w:vAlign w:val="center"/>
          </w:tcPr>
          <w:p w14:paraId="2289276F">
            <w:pPr>
              <w:spacing w:line="240" w:lineRule="auto"/>
              <w:ind w:firstLine="0" w:firstLineChars="0"/>
              <w:jc w:val="right"/>
              <w:rPr>
                <w:rFonts w:ascii="宋体" w:hAnsi="宋体" w:cs="宋体"/>
                <w:color w:val="000000" w:themeColor="text1"/>
                <w14:textFill>
                  <w14:solidFill>
                    <w14:schemeClr w14:val="tx1"/>
                  </w14:solidFill>
                </w14:textFill>
              </w:rPr>
            </w:pPr>
            <w:r>
              <w:rPr>
                <w:rFonts w:cs="Times New Roman"/>
                <w:color w:val="000000" w:themeColor="text1"/>
                <w14:textFill>
                  <w14:solidFill>
                    <w14:schemeClr w14:val="tx1"/>
                  </w14:solidFill>
                </w14:textFill>
              </w:rPr>
              <w:t>44/12</w:t>
            </w:r>
            <w:r>
              <w:rPr>
                <w:rFonts w:hint="eastAsia" w:ascii="宋体" w:hAnsi="宋体" w:cs="宋体"/>
                <w:color w:val="000000" w:themeColor="text1"/>
                <w14:textFill>
                  <w14:solidFill>
                    <w14:schemeClr w14:val="tx1"/>
                  </w14:solidFill>
                </w14:textFill>
              </w:rPr>
              <w:t>：</w:t>
            </w:r>
          </w:p>
        </w:tc>
        <w:tc>
          <w:tcPr>
            <w:tcW w:w="4202" w:type="pct"/>
            <w:vAlign w:val="center"/>
          </w:tcPr>
          <w:p w14:paraId="02BA8287">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二氧化碳与碳的相对分子质量之比</w:t>
            </w:r>
          </w:p>
        </w:tc>
      </w:tr>
      <w:tr w14:paraId="386FC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2DA18A52">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i</w:t>
            </w:r>
            <w:r>
              <w:rPr>
                <w:rFonts w:hint="eastAsia" w:ascii="宋体" w:hAnsi="宋体" w:cs="宋体"/>
                <w:color w:val="000000" w:themeColor="text1"/>
                <w14:textFill>
                  <w14:solidFill>
                    <w14:schemeClr w14:val="tx1"/>
                  </w14:solidFill>
                </w14:textFill>
              </w:rPr>
              <w:t>：</w:t>
            </w:r>
          </w:p>
        </w:tc>
        <w:tc>
          <w:tcPr>
            <w:tcW w:w="4202" w:type="pct"/>
            <w:vAlign w:val="center"/>
          </w:tcPr>
          <w:p w14:paraId="29443346">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核算单元编号</w:t>
            </w:r>
          </w:p>
        </w:tc>
      </w:tr>
      <w:tr w14:paraId="0DC6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97" w:type="pct"/>
            <w:vAlign w:val="center"/>
          </w:tcPr>
          <w:p w14:paraId="3292BE13">
            <w:pPr>
              <w:spacing w:line="240" w:lineRule="auto"/>
              <w:ind w:firstLine="0" w:firstLineChars="0"/>
              <w:jc w:val="right"/>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j</w:t>
            </w:r>
            <w:r>
              <w:rPr>
                <w:rFonts w:hint="eastAsia" w:ascii="宋体" w:hAnsi="宋体" w:cs="宋体"/>
                <w:color w:val="000000" w:themeColor="text1"/>
                <w14:textFill>
                  <w14:solidFill>
                    <w14:schemeClr w14:val="tx1"/>
                  </w14:solidFill>
                </w14:textFill>
              </w:rPr>
              <w:t>：</w:t>
            </w:r>
          </w:p>
        </w:tc>
        <w:tc>
          <w:tcPr>
            <w:tcW w:w="4202" w:type="pct"/>
            <w:vAlign w:val="center"/>
          </w:tcPr>
          <w:p w14:paraId="42929E11">
            <w:pPr>
              <w:spacing w:line="240" w:lineRule="auto"/>
              <w:ind w:firstLine="0" w:firstLineChars="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化石燃料类型代号</w:t>
            </w:r>
          </w:p>
        </w:tc>
      </w:tr>
    </w:tbl>
    <w:p w14:paraId="1F429EF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（2）过程排放二氧化碳排放量按下式计算：</w:t>
      </w:r>
    </w:p>
    <w:p w14:paraId="59D9BF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化工企业过程排放量等于过程中不同种类的温室气体排放的二氧化碳当量之和，计算公式见下式：</w:t>
      </w:r>
    </w:p>
    <w:p w14:paraId="11861475">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33875" cy="285750"/>
            <wp:effectExtent l="0" t="0" r="9525" b="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27"/>
                    <a:stretch>
                      <a:fillRect/>
                    </a:stretch>
                  </pic:blipFill>
                  <pic:spPr>
                    <a:xfrm>
                      <a:off x="0" y="0"/>
                      <a:ext cx="4333875" cy="285750"/>
                    </a:xfrm>
                    <a:prstGeom prst="rect">
                      <a:avLst/>
                    </a:prstGeom>
                    <a:noFill/>
                    <a:ln>
                      <a:noFill/>
                    </a:ln>
                  </pic:spPr>
                </pic:pic>
              </a:graphicData>
            </a:graphic>
          </wp:inline>
        </w:drawing>
      </w:r>
    </w:p>
    <w:p w14:paraId="5FCB7A3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p>
    <w:p w14:paraId="1C1C3BD1">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76550" cy="657225"/>
            <wp:effectExtent l="0" t="0" r="0" b="952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28"/>
                    <a:stretch>
                      <a:fillRect/>
                    </a:stretch>
                  </pic:blipFill>
                  <pic:spPr>
                    <a:xfrm>
                      <a:off x="0" y="0"/>
                      <a:ext cx="2876550" cy="657225"/>
                    </a:xfrm>
                    <a:prstGeom prst="rect">
                      <a:avLst/>
                    </a:prstGeom>
                    <a:noFill/>
                    <a:ln>
                      <a:noFill/>
                    </a:ln>
                  </pic:spPr>
                </pic:pic>
              </a:graphicData>
            </a:graphic>
          </wp:inline>
        </w:drawing>
      </w:r>
    </w:p>
    <w:p w14:paraId="022F7E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bl>
      <w:tblPr>
        <w:tblStyle w:val="22"/>
        <w:tblW w:w="4999" w:type="pct"/>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6"/>
        <w:gridCol w:w="7254"/>
      </w:tblGrid>
      <w:tr w14:paraId="6F95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4" w:hRule="atLeast"/>
          <w:jc w:val="right"/>
        </w:trPr>
        <w:tc>
          <w:tcPr>
            <w:tcW w:w="743" w:type="pct"/>
            <w:shd w:val="clear" w:color="auto" w:fill="auto"/>
            <w:vAlign w:val="center"/>
          </w:tcPr>
          <w:p w14:paraId="730FB3E3">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ascii="宋体" w:hAnsi="宋体" w:cs="宋体"/>
                <w:color w:val="000000" w:themeColor="text1"/>
                <w:sz w:val="21"/>
                <w:szCs w:val="21"/>
                <w:vertAlign w:val="subscript"/>
                <w14:textFill>
                  <w14:solidFill>
                    <w14:schemeClr w14:val="tx1"/>
                  </w14:solidFill>
                </w14:textFill>
              </w:rPr>
              <w:t>过程,</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3C750035">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的工业生产过程产生的各种温室气体排放总量</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单位为吨二氧化碳当量</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e</w:t>
            </w:r>
            <w:r>
              <w:rPr>
                <w:rFonts w:hint="eastAsia" w:ascii="宋体" w:hAnsi="宋体" w:cs="宋体"/>
                <w:color w:val="000000" w:themeColor="text1"/>
                <w:sz w:val="21"/>
                <w:szCs w:val="21"/>
                <w14:textFill>
                  <w14:solidFill>
                    <w14:schemeClr w14:val="tx1"/>
                  </w14:solidFill>
                </w14:textFill>
              </w:rPr>
              <w:t>)</w:t>
            </w:r>
          </w:p>
        </w:tc>
      </w:tr>
      <w:tr w14:paraId="68246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right"/>
        </w:trPr>
        <w:tc>
          <w:tcPr>
            <w:tcW w:w="743" w:type="pct"/>
            <w:shd w:val="clear" w:color="auto" w:fill="auto"/>
            <w:vAlign w:val="center"/>
          </w:tcPr>
          <w:p w14:paraId="5E4D0408">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ascii="宋体" w:hAnsi="宋体" w:cs="宋体"/>
                <w:color w:val="000000" w:themeColor="text1"/>
                <w:sz w:val="21"/>
                <w:szCs w:val="21"/>
                <w:vertAlign w:val="subscript"/>
                <w14:textFill>
                  <w14:solidFill>
                    <w14:schemeClr w14:val="tx1"/>
                  </w14:solidFill>
                </w14:textFill>
              </w:rPr>
              <w:t>CO2过程,</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4BA0853E">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的工业生产过程产生的二氧化碳排放总量</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单位为吨二氧化碳</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e</w:t>
            </w:r>
            <w:r>
              <w:rPr>
                <w:rFonts w:hint="eastAsia" w:ascii="宋体" w:hAnsi="宋体" w:cs="宋体"/>
                <w:color w:val="000000" w:themeColor="text1"/>
                <w:sz w:val="21"/>
                <w:szCs w:val="21"/>
                <w14:textFill>
                  <w14:solidFill>
                    <w14:schemeClr w14:val="tx1"/>
                  </w14:solidFill>
                </w14:textFill>
              </w:rPr>
              <w:t>)</w:t>
            </w:r>
          </w:p>
        </w:tc>
      </w:tr>
      <w:tr w14:paraId="5F3C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right"/>
        </w:trPr>
        <w:tc>
          <w:tcPr>
            <w:tcW w:w="743" w:type="pct"/>
            <w:shd w:val="clear" w:color="auto" w:fill="auto"/>
            <w:vAlign w:val="center"/>
          </w:tcPr>
          <w:p w14:paraId="57E87747">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ascii="宋体" w:hAnsi="宋体" w:cs="宋体"/>
                <w:color w:val="000000" w:themeColor="text1"/>
                <w:sz w:val="21"/>
                <w:szCs w:val="21"/>
                <w:vertAlign w:val="subscript"/>
                <w14:textFill>
                  <w14:solidFill>
                    <w14:schemeClr w14:val="tx1"/>
                  </w14:solidFill>
                </w14:textFill>
              </w:rPr>
              <w:t>CO2原料,</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0C34C380">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的化石燃料和其他碳氢化合物用作原料产生的二氧化碳排放</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单位为吨二氧化碳</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e</w:t>
            </w:r>
            <w:r>
              <w:rPr>
                <w:rFonts w:hint="eastAsia" w:ascii="宋体" w:hAnsi="宋体" w:cs="宋体"/>
                <w:color w:val="000000" w:themeColor="text1"/>
                <w:sz w:val="21"/>
                <w:szCs w:val="21"/>
                <w14:textFill>
                  <w14:solidFill>
                    <w14:schemeClr w14:val="tx1"/>
                  </w14:solidFill>
                </w14:textFill>
              </w:rPr>
              <w:t>)</w:t>
            </w:r>
          </w:p>
        </w:tc>
      </w:tr>
      <w:tr w14:paraId="24023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right"/>
        </w:trPr>
        <w:tc>
          <w:tcPr>
            <w:tcW w:w="743" w:type="pct"/>
            <w:shd w:val="clear" w:color="auto" w:fill="auto"/>
            <w:vAlign w:val="center"/>
          </w:tcPr>
          <w:p w14:paraId="38491837">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ascii="宋体" w:hAnsi="宋体" w:cs="宋体"/>
                <w:color w:val="000000" w:themeColor="text1"/>
                <w:sz w:val="21"/>
                <w:szCs w:val="21"/>
                <w:vertAlign w:val="subscript"/>
                <w14:textFill>
                  <w14:solidFill>
                    <w14:schemeClr w14:val="tx1"/>
                  </w14:solidFill>
                </w14:textFill>
              </w:rPr>
              <w:t>CO2碳酸盐,</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6732D42A">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的碳酸盐使用过程产生的二氧化碳排放</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单位为吨二氧化碳</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e</w:t>
            </w:r>
            <w:r>
              <w:rPr>
                <w:rFonts w:hint="eastAsia" w:ascii="宋体" w:hAnsi="宋体" w:cs="宋体"/>
                <w:color w:val="000000" w:themeColor="text1"/>
                <w:sz w:val="21"/>
                <w:szCs w:val="21"/>
                <w14:textFill>
                  <w14:solidFill>
                    <w14:schemeClr w14:val="tx1"/>
                  </w14:solidFill>
                </w14:textFill>
              </w:rPr>
              <w:t>)</w:t>
            </w:r>
          </w:p>
        </w:tc>
      </w:tr>
      <w:tr w14:paraId="661E4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43" w:type="pct"/>
            <w:shd w:val="clear" w:color="auto" w:fill="auto"/>
            <w:vAlign w:val="center"/>
          </w:tcPr>
          <w:p w14:paraId="03C9C06B">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color w:val="000000" w:themeColor="text1"/>
                <w:sz w:val="21"/>
                <w:szCs w:val="21"/>
                <w:vertAlign w:val="subscript"/>
                <w14:textFill>
                  <w14:solidFill>
                    <w14:schemeClr w14:val="tx1"/>
                  </w14:solidFill>
                </w14:textFill>
              </w:rPr>
              <w:t>N2O过程</w:t>
            </w:r>
            <w:r>
              <w:rPr>
                <w:rFonts w:hint="eastAsia" w:ascii="宋体" w:hAnsi="宋体" w:cs="宋体"/>
                <w:color w:val="000000" w:themeColor="text1"/>
                <w:sz w:val="21"/>
                <w:szCs w:val="21"/>
                <w:vertAlign w:val="subscript"/>
                <w14:textFill>
                  <w14:solidFill>
                    <w14:schemeClr w14:val="tx1"/>
                  </w14:solidFill>
                </w14:textFill>
              </w:rPr>
              <w:t>,</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6DE78676">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的工业生产过程产生的氧化亚氮排放总量</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单位为吨氧化亚氮</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tN</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O</w:t>
            </w:r>
            <w:r>
              <w:rPr>
                <w:rFonts w:hint="eastAsia" w:ascii="宋体" w:hAnsi="宋体" w:cs="宋体"/>
                <w:color w:val="000000" w:themeColor="text1"/>
                <w:sz w:val="21"/>
                <w:szCs w:val="21"/>
                <w14:textFill>
                  <w14:solidFill>
                    <w14:schemeClr w14:val="tx1"/>
                  </w14:solidFill>
                </w14:textFill>
              </w:rPr>
              <w:t>)</w:t>
            </w:r>
          </w:p>
        </w:tc>
      </w:tr>
      <w:tr w14:paraId="7A109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43" w:type="pct"/>
            <w:shd w:val="clear" w:color="auto" w:fill="auto"/>
            <w:vAlign w:val="center"/>
          </w:tcPr>
          <w:p w14:paraId="31EBBB12">
            <w:pPr>
              <w:spacing w:line="240" w:lineRule="auto"/>
              <w:ind w:firstLine="0" w:firstLineChars="0"/>
              <w:jc w:val="righ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color w:val="000000" w:themeColor="text1"/>
                <w:sz w:val="21"/>
                <w:szCs w:val="21"/>
                <w:vertAlign w:val="subscript"/>
                <w14:textFill>
                  <w14:solidFill>
                    <w14:schemeClr w14:val="tx1"/>
                  </w14:solidFill>
                </w14:textFill>
              </w:rPr>
              <w:t>N2O硝酸</w:t>
            </w:r>
            <w:r>
              <w:rPr>
                <w:rFonts w:hint="eastAsia" w:ascii="宋体" w:hAnsi="宋体" w:cs="宋体"/>
                <w:color w:val="000000" w:themeColor="text1"/>
                <w:sz w:val="21"/>
                <w:szCs w:val="21"/>
                <w:vertAlign w:val="subscript"/>
                <w14:textFill>
                  <w14:solidFill>
                    <w14:schemeClr w14:val="tx1"/>
                  </w14:solidFill>
                </w14:textFill>
              </w:rPr>
              <w:t>,</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3B745C95">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的硝酸生产过程的氧化亚氮排放</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单位为吨氧化亚氮</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tN</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O</w:t>
            </w:r>
            <w:r>
              <w:rPr>
                <w:rFonts w:hint="eastAsia" w:ascii="宋体" w:hAnsi="宋体" w:cs="宋体"/>
                <w:color w:val="000000" w:themeColor="text1"/>
                <w:sz w:val="21"/>
                <w:szCs w:val="21"/>
                <w14:textFill>
                  <w14:solidFill>
                    <w14:schemeClr w14:val="tx1"/>
                  </w14:solidFill>
                </w14:textFill>
              </w:rPr>
              <w:t>)</w:t>
            </w:r>
          </w:p>
        </w:tc>
      </w:tr>
      <w:tr w14:paraId="187D0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43" w:type="pct"/>
            <w:shd w:val="clear" w:color="auto" w:fill="auto"/>
            <w:vAlign w:val="center"/>
          </w:tcPr>
          <w:p w14:paraId="6AB307F8">
            <w:pPr>
              <w:spacing w:line="240" w:lineRule="auto"/>
              <w:ind w:firstLine="0" w:firstLineChars="0"/>
              <w:jc w:val="righ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color w:val="000000" w:themeColor="text1"/>
                <w:sz w:val="21"/>
                <w:szCs w:val="21"/>
                <w:vertAlign w:val="subscript"/>
                <w14:textFill>
                  <w14:solidFill>
                    <w14:schemeClr w14:val="tx1"/>
                  </w14:solidFill>
                </w14:textFill>
              </w:rPr>
              <w:t>N2O乙二酸</w:t>
            </w:r>
            <w:r>
              <w:rPr>
                <w:rFonts w:hint="eastAsia" w:ascii="宋体" w:hAnsi="宋体" w:cs="宋体"/>
                <w:color w:val="000000" w:themeColor="text1"/>
                <w:sz w:val="21"/>
                <w:szCs w:val="21"/>
                <w:vertAlign w:val="subscript"/>
                <w14:textFill>
                  <w14:solidFill>
                    <w14:schemeClr w14:val="tx1"/>
                  </w14:solidFill>
                </w14:textFill>
              </w:rPr>
              <w:t>,</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56" w:type="pct"/>
            <w:shd w:val="clear" w:color="auto" w:fill="auto"/>
            <w:vAlign w:val="center"/>
          </w:tcPr>
          <w:p w14:paraId="7145A94E">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核算期内核算单元i 的己二酸生产过程的氧化亚氮排放</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单位为吨氧化亚氮</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tN</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O</w:t>
            </w:r>
            <w:r>
              <w:rPr>
                <w:rFonts w:hint="eastAsia" w:ascii="宋体" w:hAnsi="宋体" w:cs="宋体"/>
                <w:color w:val="000000" w:themeColor="text1"/>
                <w:sz w:val="21"/>
                <w:szCs w:val="21"/>
                <w14:textFill>
                  <w14:solidFill>
                    <w14:schemeClr w14:val="tx1"/>
                  </w14:solidFill>
                </w14:textFill>
              </w:rPr>
              <w:t>)</w:t>
            </w:r>
          </w:p>
        </w:tc>
      </w:tr>
      <w:tr w14:paraId="4DB51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43" w:type="pct"/>
            <w:shd w:val="clear" w:color="auto" w:fill="auto"/>
            <w:vAlign w:val="center"/>
          </w:tcPr>
          <w:p w14:paraId="101AD331">
            <w:pPr>
              <w:spacing w:line="240" w:lineRule="auto"/>
              <w:ind w:firstLine="0" w:firstLineChars="0"/>
              <w:jc w:val="right"/>
              <w:rPr>
                <w:rFonts w:ascii="宋体" w:hAnsi="宋体" w:cs="宋体"/>
                <w:color w:val="000000" w:themeColor="text1"/>
                <w:sz w:val="21"/>
                <w:szCs w:val="21"/>
                <w:vertAlign w:val="subscript"/>
                <w14:textFill>
                  <w14:solidFill>
                    <w14:schemeClr w14:val="tx1"/>
                  </w14:solidFill>
                </w14:textFill>
              </w:rPr>
            </w:pPr>
            <w:r>
              <w:rPr>
                <w:rFonts w:cs="Times New Roman"/>
                <w:color w:val="000000" w:themeColor="text1"/>
                <w:sz w:val="21"/>
                <w:szCs w:val="21"/>
                <w14:textFill>
                  <w14:solidFill>
                    <w14:schemeClr w14:val="tx1"/>
                  </w14:solidFill>
                </w14:textFill>
              </w:rPr>
              <w:t>GWP</w:t>
            </w:r>
            <w:r>
              <w:rPr>
                <w:rFonts w:hint="eastAsia" w:ascii="宋体" w:hAnsi="宋体" w:cs="宋体"/>
                <w:color w:val="000000" w:themeColor="text1"/>
                <w:sz w:val="21"/>
                <w:szCs w:val="21"/>
                <w:vertAlign w:val="subscript"/>
                <w14:textFill>
                  <w14:solidFill>
                    <w14:schemeClr w14:val="tx1"/>
                  </w14:solidFill>
                </w14:textFill>
              </w:rPr>
              <w:t>CO2</w:t>
            </w:r>
            <w:r>
              <w:rPr>
                <w:rFonts w:hint="eastAsia" w:cs="Times New Roman"/>
                <w:color w:val="000000" w:themeColor="text1"/>
                <w:sz w:val="21"/>
                <w:szCs w:val="21"/>
                <w14:textFill>
                  <w14:solidFill>
                    <w14:schemeClr w14:val="tx1"/>
                  </w14:solidFill>
                </w14:textFill>
              </w:rPr>
              <w:t>：</w:t>
            </w:r>
          </w:p>
        </w:tc>
        <w:tc>
          <w:tcPr>
            <w:tcW w:w="4256" w:type="pct"/>
            <w:shd w:val="clear" w:color="auto" w:fill="auto"/>
            <w:vAlign w:val="center"/>
          </w:tcPr>
          <w:p w14:paraId="7024C561">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二氧化碳的全球变暖潜势值，取值为1</w:t>
            </w:r>
          </w:p>
        </w:tc>
      </w:tr>
      <w:tr w14:paraId="0EE15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43" w:type="pct"/>
            <w:shd w:val="clear" w:color="auto" w:fill="auto"/>
            <w:vAlign w:val="center"/>
          </w:tcPr>
          <w:p w14:paraId="385F6BD1">
            <w:pPr>
              <w:spacing w:line="240" w:lineRule="auto"/>
              <w:ind w:firstLine="0" w:firstLineChars="0"/>
              <w:jc w:val="right"/>
              <w:rPr>
                <w:rFonts w:ascii="宋体" w:hAnsi="宋体" w:cs="宋体"/>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GWP</w:t>
            </w:r>
            <w:r>
              <w:rPr>
                <w:rFonts w:hint="eastAsia"/>
                <w:color w:val="000000" w:themeColor="text1"/>
                <w:sz w:val="21"/>
                <w:szCs w:val="21"/>
                <w:vertAlign w:val="subscript"/>
                <w14:textFill>
                  <w14:solidFill>
                    <w14:schemeClr w14:val="tx1"/>
                  </w14:solidFill>
                </w14:textFill>
              </w:rPr>
              <w:t>N2O</w:t>
            </w:r>
            <w:r>
              <w:rPr>
                <w:rFonts w:hint="eastAsia" w:cs="Times New Roman"/>
                <w:color w:val="000000" w:themeColor="text1"/>
                <w:sz w:val="21"/>
                <w:szCs w:val="21"/>
                <w14:textFill>
                  <w14:solidFill>
                    <w14:schemeClr w14:val="tx1"/>
                  </w14:solidFill>
                </w14:textFill>
              </w:rPr>
              <w:t>：</w:t>
            </w:r>
          </w:p>
        </w:tc>
        <w:tc>
          <w:tcPr>
            <w:tcW w:w="4256" w:type="pct"/>
            <w:shd w:val="clear" w:color="auto" w:fill="auto"/>
            <w:vAlign w:val="center"/>
          </w:tcPr>
          <w:p w14:paraId="3FB7F290">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氧化亚氮的全球变暖潜势值，取值为310</w:t>
            </w:r>
          </w:p>
        </w:tc>
      </w:tr>
    </w:tbl>
    <w:p w14:paraId="76AC1A1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（3）购入电力产生的二氧化碳排放量按下式计算：</w:t>
      </w:r>
    </w:p>
    <w:p w14:paraId="43715FEF">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19350" cy="285750"/>
            <wp:effectExtent l="0" t="0" r="0" b="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29"/>
                    <a:stretch>
                      <a:fillRect/>
                    </a:stretch>
                  </pic:blipFill>
                  <pic:spPr>
                    <a:xfrm>
                      <a:off x="0" y="0"/>
                      <a:ext cx="2419350" cy="285750"/>
                    </a:xfrm>
                    <a:prstGeom prst="rect">
                      <a:avLst/>
                    </a:prstGeom>
                    <a:noFill/>
                    <a:ln>
                      <a:noFill/>
                    </a:ln>
                  </pic:spPr>
                </pic:pic>
              </a:graphicData>
            </a:graphic>
          </wp:inline>
        </w:drawing>
      </w:r>
    </w:p>
    <w:p w14:paraId="6F7A38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bl>
      <w:tblPr>
        <w:tblStyle w:val="22"/>
        <w:tblW w:w="4998" w:type="pct"/>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97"/>
        <w:gridCol w:w="7222"/>
      </w:tblGrid>
      <w:tr w14:paraId="73E0A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jc w:val="right"/>
        </w:trPr>
        <w:tc>
          <w:tcPr>
            <w:tcW w:w="761" w:type="pct"/>
            <w:shd w:val="clear" w:color="auto" w:fill="auto"/>
            <w:vAlign w:val="center"/>
          </w:tcPr>
          <w:p w14:paraId="3EDA518C">
            <w:pPr>
              <w:spacing w:line="240" w:lineRule="auto"/>
              <w:ind w:firstLine="0" w:firstLineChars="0"/>
              <w:jc w:val="right"/>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E</w:t>
            </w:r>
            <w:r>
              <w:rPr>
                <w:rFonts w:hint="eastAsia" w:ascii="宋体" w:hAnsi="宋体" w:cs="宋体"/>
                <w:color w:val="000000" w:themeColor="text1"/>
                <w:sz w:val="21"/>
                <w:szCs w:val="21"/>
                <w:vertAlign w:val="subscript"/>
                <w14:textFill>
                  <w14:solidFill>
                    <w14:schemeClr w14:val="tx1"/>
                  </w14:solidFill>
                </w14:textFill>
              </w:rPr>
              <w:t>购入电,</w:t>
            </w:r>
            <w:r>
              <w:rPr>
                <w:rFonts w:cs="Times New Roman"/>
                <w:color w:val="000000" w:themeColor="text1"/>
                <w:sz w:val="21"/>
                <w:szCs w:val="21"/>
                <w:vertAlign w:val="subscript"/>
                <w14:textFill>
                  <w14:solidFill>
                    <w14:schemeClr w14:val="tx1"/>
                  </w14:solidFill>
                </w14:textFill>
              </w:rPr>
              <w:t>i</w:t>
            </w:r>
            <w:r>
              <w:rPr>
                <w:rFonts w:hint="eastAsia"/>
                <w:color w:val="000000" w:themeColor="text1"/>
                <w:sz w:val="21"/>
                <w:szCs w:val="21"/>
                <w14:textFill>
                  <w14:solidFill>
                    <w14:schemeClr w14:val="tx1"/>
                  </w14:solidFill>
                </w14:textFill>
              </w:rPr>
              <w:t>：</w:t>
            </w:r>
          </w:p>
        </w:tc>
        <w:tc>
          <w:tcPr>
            <w:tcW w:w="4238" w:type="pct"/>
            <w:shd w:val="clear" w:color="auto" w:fill="auto"/>
            <w:vAlign w:val="center"/>
          </w:tcPr>
          <w:p w14:paraId="58774D63">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核算单元i 购入电力所产生的二氧化碳排放量,单位为吨二氧化碳(tCO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w:t>
            </w:r>
          </w:p>
        </w:tc>
      </w:tr>
      <w:tr w14:paraId="3706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right"/>
        </w:trPr>
        <w:tc>
          <w:tcPr>
            <w:tcW w:w="761" w:type="pct"/>
            <w:shd w:val="clear" w:color="auto" w:fill="auto"/>
            <w:vAlign w:val="center"/>
          </w:tcPr>
          <w:p w14:paraId="0D6DD05D">
            <w:pPr>
              <w:spacing w:line="240" w:lineRule="auto"/>
              <w:ind w:firstLine="0" w:firstLineChars="0"/>
              <w:jc w:val="right"/>
              <w:rPr>
                <w:rFonts w:ascii="宋体" w:hAnsi="宋体"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AD</w:t>
            </w:r>
            <w:r>
              <w:rPr>
                <w:rFonts w:hint="eastAsia"/>
                <w:color w:val="000000" w:themeColor="text1"/>
                <w:sz w:val="21"/>
                <w:szCs w:val="21"/>
                <w:vertAlign w:val="subscript"/>
                <w14:textFill>
                  <w14:solidFill>
                    <w14:schemeClr w14:val="tx1"/>
                  </w14:solidFill>
                </w14:textFill>
              </w:rPr>
              <w:t>购入电，j</w:t>
            </w:r>
            <w:r>
              <w:rPr>
                <w:rFonts w:hint="eastAsia"/>
                <w:color w:val="000000" w:themeColor="text1"/>
                <w:sz w:val="21"/>
                <w:szCs w:val="21"/>
                <w14:textFill>
                  <w14:solidFill>
                    <w14:schemeClr w14:val="tx1"/>
                  </w14:solidFill>
                </w14:textFill>
              </w:rPr>
              <w:t>：</w:t>
            </w:r>
          </w:p>
        </w:tc>
        <w:tc>
          <w:tcPr>
            <w:tcW w:w="4238" w:type="pct"/>
            <w:shd w:val="clear" w:color="auto" w:fill="auto"/>
            <w:vAlign w:val="center"/>
          </w:tcPr>
          <w:p w14:paraId="48DF3BCD">
            <w:pPr>
              <w:spacing w:line="240" w:lineRule="auto"/>
              <w:ind w:firstLine="0" w:firstLineChars="0"/>
              <w:jc w:val="left"/>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核算期内核算单元i 购入电力，单位为兆瓦时(MWh)</w:t>
            </w:r>
          </w:p>
        </w:tc>
      </w:tr>
      <w:tr w14:paraId="31AD0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right"/>
        </w:trPr>
        <w:tc>
          <w:tcPr>
            <w:tcW w:w="761" w:type="pct"/>
            <w:shd w:val="clear" w:color="auto" w:fill="auto"/>
            <w:vAlign w:val="center"/>
          </w:tcPr>
          <w:p w14:paraId="7F446B03">
            <w:pPr>
              <w:spacing w:line="240" w:lineRule="auto"/>
              <w:ind w:firstLine="0" w:firstLineChars="0"/>
              <w:jc w:val="right"/>
              <w:rPr>
                <w:rFonts w:ascii="宋体" w:hAnsi="宋体"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EF</w:t>
            </w:r>
            <w:r>
              <w:rPr>
                <w:rFonts w:hint="eastAsia"/>
                <w:color w:val="000000" w:themeColor="text1"/>
                <w:sz w:val="21"/>
                <w:szCs w:val="21"/>
                <w:vertAlign w:val="subscript"/>
                <w14:textFill>
                  <w14:solidFill>
                    <w14:schemeClr w14:val="tx1"/>
                  </w14:solidFill>
                </w14:textFill>
              </w:rPr>
              <w:t>电</w:t>
            </w:r>
            <w:r>
              <w:rPr>
                <w:rFonts w:hint="eastAsia"/>
                <w:color w:val="000000" w:themeColor="text1"/>
                <w:sz w:val="21"/>
                <w:szCs w:val="21"/>
                <w14:textFill>
                  <w14:solidFill>
                    <w14:schemeClr w14:val="tx1"/>
                  </w14:solidFill>
                </w14:textFill>
              </w:rPr>
              <w:t>：</w:t>
            </w:r>
          </w:p>
        </w:tc>
        <w:tc>
          <w:tcPr>
            <w:tcW w:w="4238" w:type="pct"/>
            <w:shd w:val="clear" w:color="auto" w:fill="auto"/>
            <w:vAlign w:val="center"/>
          </w:tcPr>
          <w:p w14:paraId="7ECA4B05">
            <w:pPr>
              <w:spacing w:line="240" w:lineRule="auto"/>
              <w:ind w:firstLine="0" w:firstLineChars="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区域电网年平均供电排放因子</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单位为吨二氧化碳每兆瓦时(tCO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/MWh)</w:t>
            </w:r>
          </w:p>
        </w:tc>
      </w:tr>
    </w:tbl>
    <w:p w14:paraId="55BD292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4、源项识别</w:t>
      </w:r>
    </w:p>
    <w:p w14:paraId="54E1BF0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表3.2-8  本项目碳排放源情况一览表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1"/>
        <w:gridCol w:w="791"/>
        <w:gridCol w:w="2586"/>
        <w:gridCol w:w="991"/>
        <w:gridCol w:w="1144"/>
        <w:gridCol w:w="973"/>
      </w:tblGrid>
      <w:tr w14:paraId="0005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736B1A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排放单元</w:t>
            </w:r>
          </w:p>
        </w:tc>
        <w:tc>
          <w:tcPr>
            <w:tcW w:w="681" w:type="pct"/>
            <w:vMerge w:val="restart"/>
            <w:vAlign w:val="center"/>
          </w:tcPr>
          <w:p w14:paraId="6EE1DD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生产系统</w:t>
            </w:r>
          </w:p>
        </w:tc>
        <w:tc>
          <w:tcPr>
            <w:tcW w:w="2562" w:type="pct"/>
            <w:gridSpan w:val="3"/>
            <w:vAlign w:val="center"/>
          </w:tcPr>
          <w:p w14:paraId="69F98F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碳源流</w:t>
            </w:r>
          </w:p>
        </w:tc>
        <w:tc>
          <w:tcPr>
            <w:tcW w:w="671" w:type="pct"/>
            <w:vMerge w:val="restart"/>
            <w:vAlign w:val="center"/>
          </w:tcPr>
          <w:p w14:paraId="260D50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排放种类</w:t>
            </w:r>
          </w:p>
        </w:tc>
        <w:tc>
          <w:tcPr>
            <w:tcW w:w="570" w:type="pct"/>
            <w:vMerge w:val="restart"/>
            <w:vAlign w:val="center"/>
          </w:tcPr>
          <w:p w14:paraId="67CEB512">
            <w:pPr>
              <w:pStyle w:val="28"/>
              <w:rPr>
                <w:rFonts w:asciiTheme="minorHAnsi" w:hAnsiTheme="minorHAnsi"/>
                <w:color w:val="000000" w:themeColor="text1"/>
                <w14:textFill>
                  <w14:solidFill>
                    <w14:schemeClr w14:val="tx1"/>
                  </w14:solidFill>
                </w14:textFill>
              </w:rPr>
            </w:pPr>
            <w:r>
              <w:rPr>
                <w:rFonts w:hint="eastAsia"/>
                <w:color w:val="000000" w:themeColor="text1"/>
                <w14:textFill>
                  <w14:solidFill>
                    <w14:schemeClr w14:val="tx1"/>
                  </w14:solidFill>
                </w14:textFill>
              </w:rPr>
              <w:t>温室气体种类</w:t>
            </w:r>
          </w:p>
        </w:tc>
      </w:tr>
      <w:tr w14:paraId="59A4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6C3051F4">
            <w:pPr>
              <w:pStyle w:val="28"/>
              <w:rPr>
                <w:color w:val="000000" w:themeColor="text1"/>
                <w14:textFill>
                  <w14:solidFill>
                    <w14:schemeClr w14:val="tx1"/>
                  </w14:solidFill>
                </w14:textFill>
              </w:rPr>
            </w:pPr>
          </w:p>
        </w:tc>
        <w:tc>
          <w:tcPr>
            <w:tcW w:w="681" w:type="pct"/>
            <w:vMerge w:val="continue"/>
            <w:vAlign w:val="center"/>
          </w:tcPr>
          <w:p w14:paraId="14C4DF47">
            <w:pPr>
              <w:pStyle w:val="28"/>
              <w:rPr>
                <w:color w:val="000000" w:themeColor="text1"/>
                <w14:textFill>
                  <w14:solidFill>
                    <w14:schemeClr w14:val="tx1"/>
                  </w14:solidFill>
                </w14:textFill>
              </w:rPr>
            </w:pPr>
          </w:p>
        </w:tc>
        <w:tc>
          <w:tcPr>
            <w:tcW w:w="464" w:type="pct"/>
            <w:vAlign w:val="center"/>
          </w:tcPr>
          <w:p w14:paraId="5FB65B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输入</w:t>
            </w:r>
          </w:p>
        </w:tc>
        <w:tc>
          <w:tcPr>
            <w:tcW w:w="1517" w:type="pct"/>
            <w:vAlign w:val="center"/>
          </w:tcPr>
          <w:p w14:paraId="71EB58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w:t>
            </w:r>
          </w:p>
        </w:tc>
        <w:tc>
          <w:tcPr>
            <w:tcW w:w="580" w:type="pct"/>
            <w:vAlign w:val="center"/>
          </w:tcPr>
          <w:p w14:paraId="6CA1A3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输出</w:t>
            </w:r>
          </w:p>
        </w:tc>
        <w:tc>
          <w:tcPr>
            <w:tcW w:w="671" w:type="pct"/>
            <w:vMerge w:val="continue"/>
            <w:vAlign w:val="center"/>
          </w:tcPr>
          <w:p w14:paraId="10182B15">
            <w:pPr>
              <w:pStyle w:val="28"/>
              <w:rPr>
                <w:color w:val="000000" w:themeColor="text1"/>
                <w14:textFill>
                  <w14:solidFill>
                    <w14:schemeClr w14:val="tx1"/>
                  </w14:solidFill>
                </w14:textFill>
              </w:rPr>
            </w:pPr>
          </w:p>
        </w:tc>
        <w:tc>
          <w:tcPr>
            <w:tcW w:w="570" w:type="pct"/>
            <w:vMerge w:val="continue"/>
            <w:vAlign w:val="center"/>
          </w:tcPr>
          <w:p w14:paraId="0A39775C">
            <w:pPr>
              <w:pStyle w:val="28"/>
              <w:rPr>
                <w:rFonts w:asciiTheme="minorHAnsi" w:hAnsiTheme="minorHAnsi"/>
                <w:color w:val="000000" w:themeColor="text1"/>
                <w14:textFill>
                  <w14:solidFill>
                    <w14:schemeClr w14:val="tx1"/>
                  </w14:solidFill>
                </w14:textFill>
              </w:rPr>
            </w:pPr>
          </w:p>
        </w:tc>
      </w:tr>
      <w:tr w14:paraId="2556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1F04A6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生产系统</w:t>
            </w:r>
          </w:p>
        </w:tc>
        <w:tc>
          <w:tcPr>
            <w:tcW w:w="681" w:type="pct"/>
            <w:vAlign w:val="center"/>
          </w:tcPr>
          <w:p w14:paraId="10678A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生产线</w:t>
            </w:r>
          </w:p>
        </w:tc>
        <w:tc>
          <w:tcPr>
            <w:tcW w:w="464" w:type="pct"/>
            <w:shd w:val="clear" w:color="auto" w:fill="auto"/>
            <w:vAlign w:val="center"/>
          </w:tcPr>
          <w:p w14:paraId="6F29D0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电力</w:t>
            </w:r>
          </w:p>
        </w:tc>
        <w:tc>
          <w:tcPr>
            <w:tcW w:w="1517" w:type="pct"/>
            <w:shd w:val="clear" w:color="auto" w:fill="auto"/>
            <w:vAlign w:val="center"/>
          </w:tcPr>
          <w:p w14:paraId="321F5C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高混机、箱式炉、砂磨机、干燥机等设备</w:t>
            </w:r>
          </w:p>
        </w:tc>
        <w:tc>
          <w:tcPr>
            <w:tcW w:w="580" w:type="pct"/>
            <w:shd w:val="clear" w:color="auto" w:fill="auto"/>
            <w:vAlign w:val="center"/>
          </w:tcPr>
          <w:p w14:paraId="783D31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间接排放CO</w:t>
            </w:r>
            <w:r>
              <w:rPr>
                <w:rFonts w:hint="eastAsia"/>
                <w:color w:val="000000" w:themeColor="text1"/>
                <w:vertAlign w:val="subscript"/>
                <w14:textFill>
                  <w14:solidFill>
                    <w14:schemeClr w14:val="tx1"/>
                  </w14:solidFill>
                </w14:textFill>
              </w:rPr>
              <w:t>2</w:t>
            </w:r>
          </w:p>
        </w:tc>
        <w:tc>
          <w:tcPr>
            <w:tcW w:w="671" w:type="pct"/>
            <w:shd w:val="clear" w:color="auto" w:fill="auto"/>
            <w:vAlign w:val="center"/>
          </w:tcPr>
          <w:p w14:paraId="5E9A9B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购入电力</w:t>
            </w:r>
          </w:p>
        </w:tc>
        <w:tc>
          <w:tcPr>
            <w:tcW w:w="570" w:type="pct"/>
            <w:shd w:val="clear" w:color="auto" w:fill="auto"/>
            <w:vAlign w:val="center"/>
          </w:tcPr>
          <w:p w14:paraId="6C481B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p>
        </w:tc>
      </w:tr>
      <w:tr w14:paraId="17C1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restart"/>
            <w:vAlign w:val="center"/>
          </w:tcPr>
          <w:p w14:paraId="0CCA88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辅助生产系统</w:t>
            </w:r>
          </w:p>
        </w:tc>
        <w:tc>
          <w:tcPr>
            <w:tcW w:w="681" w:type="pct"/>
            <w:vAlign w:val="center"/>
          </w:tcPr>
          <w:p w14:paraId="50EE33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废水处理系统</w:t>
            </w:r>
          </w:p>
        </w:tc>
        <w:tc>
          <w:tcPr>
            <w:tcW w:w="464" w:type="pct"/>
            <w:vAlign w:val="center"/>
          </w:tcPr>
          <w:p w14:paraId="5D3018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电力</w:t>
            </w:r>
          </w:p>
        </w:tc>
        <w:tc>
          <w:tcPr>
            <w:tcW w:w="1517" w:type="pct"/>
            <w:vAlign w:val="center"/>
          </w:tcPr>
          <w:p w14:paraId="19231E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一体化污水处理设备、水泵</w:t>
            </w:r>
          </w:p>
        </w:tc>
        <w:tc>
          <w:tcPr>
            <w:tcW w:w="580" w:type="pct"/>
            <w:shd w:val="clear" w:color="auto" w:fill="auto"/>
            <w:vAlign w:val="center"/>
          </w:tcPr>
          <w:p w14:paraId="734A34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间接排放CO</w:t>
            </w:r>
            <w:r>
              <w:rPr>
                <w:rFonts w:hint="eastAsia"/>
                <w:color w:val="000000" w:themeColor="text1"/>
                <w:vertAlign w:val="subscript"/>
                <w14:textFill>
                  <w14:solidFill>
                    <w14:schemeClr w14:val="tx1"/>
                  </w14:solidFill>
                </w14:textFill>
              </w:rPr>
              <w:t>2</w:t>
            </w:r>
          </w:p>
        </w:tc>
        <w:tc>
          <w:tcPr>
            <w:tcW w:w="671" w:type="pct"/>
            <w:shd w:val="clear" w:color="auto" w:fill="auto"/>
            <w:vAlign w:val="center"/>
          </w:tcPr>
          <w:p w14:paraId="00C98E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购入电力</w:t>
            </w:r>
          </w:p>
        </w:tc>
        <w:tc>
          <w:tcPr>
            <w:tcW w:w="570" w:type="pct"/>
            <w:shd w:val="clear" w:color="auto" w:fill="auto"/>
            <w:vAlign w:val="center"/>
          </w:tcPr>
          <w:p w14:paraId="4F7006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p>
        </w:tc>
      </w:tr>
      <w:tr w14:paraId="3FF1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vAlign w:val="center"/>
          </w:tcPr>
          <w:p w14:paraId="03A48488">
            <w:pPr>
              <w:pStyle w:val="28"/>
              <w:rPr>
                <w:color w:val="000000" w:themeColor="text1"/>
                <w14:textFill>
                  <w14:solidFill>
                    <w14:schemeClr w14:val="tx1"/>
                  </w14:solidFill>
                </w14:textFill>
              </w:rPr>
            </w:pPr>
          </w:p>
        </w:tc>
        <w:tc>
          <w:tcPr>
            <w:tcW w:w="681" w:type="pct"/>
            <w:vAlign w:val="center"/>
          </w:tcPr>
          <w:p w14:paraId="597D10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废气处理系统</w:t>
            </w:r>
          </w:p>
        </w:tc>
        <w:tc>
          <w:tcPr>
            <w:tcW w:w="464" w:type="pct"/>
            <w:vAlign w:val="center"/>
          </w:tcPr>
          <w:p w14:paraId="2DEFCA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电力</w:t>
            </w:r>
          </w:p>
        </w:tc>
        <w:tc>
          <w:tcPr>
            <w:tcW w:w="1517" w:type="pct"/>
            <w:vAlign w:val="center"/>
          </w:tcPr>
          <w:p w14:paraId="633B91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风机、水泵</w:t>
            </w:r>
          </w:p>
        </w:tc>
        <w:tc>
          <w:tcPr>
            <w:tcW w:w="580" w:type="pct"/>
            <w:vAlign w:val="center"/>
          </w:tcPr>
          <w:p w14:paraId="7F3CEC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间接排放CO</w:t>
            </w:r>
            <w:r>
              <w:rPr>
                <w:rFonts w:hint="eastAsia"/>
                <w:color w:val="000000" w:themeColor="text1"/>
                <w:vertAlign w:val="subscript"/>
                <w14:textFill>
                  <w14:solidFill>
                    <w14:schemeClr w14:val="tx1"/>
                  </w14:solidFill>
                </w14:textFill>
              </w:rPr>
              <w:t>2</w:t>
            </w:r>
          </w:p>
        </w:tc>
        <w:tc>
          <w:tcPr>
            <w:tcW w:w="671" w:type="pct"/>
            <w:vAlign w:val="center"/>
          </w:tcPr>
          <w:p w14:paraId="5F514C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购入电力</w:t>
            </w:r>
          </w:p>
        </w:tc>
        <w:tc>
          <w:tcPr>
            <w:tcW w:w="570" w:type="pct"/>
            <w:vAlign w:val="center"/>
          </w:tcPr>
          <w:p w14:paraId="4CFDCE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p>
        </w:tc>
      </w:tr>
      <w:tr w14:paraId="7E80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4074F5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附属生产系统</w:t>
            </w:r>
          </w:p>
        </w:tc>
        <w:tc>
          <w:tcPr>
            <w:tcW w:w="681" w:type="pct"/>
            <w:vAlign w:val="center"/>
          </w:tcPr>
          <w:p w14:paraId="620DEA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员工办公</w:t>
            </w:r>
          </w:p>
        </w:tc>
        <w:tc>
          <w:tcPr>
            <w:tcW w:w="464" w:type="pct"/>
            <w:vAlign w:val="center"/>
          </w:tcPr>
          <w:p w14:paraId="4ADC2A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电力</w:t>
            </w:r>
          </w:p>
        </w:tc>
        <w:tc>
          <w:tcPr>
            <w:tcW w:w="1517" w:type="pct"/>
            <w:vAlign w:val="center"/>
          </w:tcPr>
          <w:p w14:paraId="7B662F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办公、照明设备</w:t>
            </w:r>
          </w:p>
        </w:tc>
        <w:tc>
          <w:tcPr>
            <w:tcW w:w="580" w:type="pct"/>
            <w:shd w:val="clear" w:color="auto" w:fill="auto"/>
            <w:vAlign w:val="center"/>
          </w:tcPr>
          <w:p w14:paraId="1A2868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间接排放CO</w:t>
            </w:r>
            <w:r>
              <w:rPr>
                <w:rFonts w:hint="eastAsia"/>
                <w:color w:val="000000" w:themeColor="text1"/>
                <w:vertAlign w:val="subscript"/>
                <w14:textFill>
                  <w14:solidFill>
                    <w14:schemeClr w14:val="tx1"/>
                  </w14:solidFill>
                </w14:textFill>
              </w:rPr>
              <w:t>2</w:t>
            </w:r>
          </w:p>
        </w:tc>
        <w:tc>
          <w:tcPr>
            <w:tcW w:w="671" w:type="pct"/>
            <w:shd w:val="clear" w:color="auto" w:fill="auto"/>
            <w:vAlign w:val="center"/>
          </w:tcPr>
          <w:p w14:paraId="1B3EFC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购入电力</w:t>
            </w:r>
          </w:p>
        </w:tc>
        <w:tc>
          <w:tcPr>
            <w:tcW w:w="570" w:type="pct"/>
            <w:shd w:val="clear" w:color="auto" w:fill="auto"/>
            <w:vAlign w:val="center"/>
          </w:tcPr>
          <w:p w14:paraId="5A6F64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p>
        </w:tc>
      </w:tr>
    </w:tbl>
    <w:p w14:paraId="17A2F1F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5、碳排放计算</w:t>
      </w:r>
    </w:p>
    <w:p w14:paraId="612A45A8">
      <w:pPr>
        <w:ind w:firstLine="480"/>
        <w:rPr>
          <w:color w:val="000000" w:themeColor="text1"/>
          <w14:textFill>
            <w14:solidFill>
              <w14:schemeClr w14:val="tx1"/>
            </w14:solidFill>
          </w14:textFill>
        </w:rPr>
      </w:pPr>
      <w:r>
        <w:rPr>
          <w:color w:val="000000" w:themeColor="text1"/>
          <w14:textFill>
            <w14:solidFill>
              <w14:schemeClr w14:val="tx1"/>
            </w14:solidFill>
          </w14:textFill>
        </w:rPr>
        <w:t>根据工程分析可知，本项目碳排放核算主要涉及净购入的电力消费引起的CO2 排放。</w:t>
      </w:r>
    </w:p>
    <w:p w14:paraId="2DBF3A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根据企业提供的设计资料，本项目运营期所用电量为396万kwh/a，电力消费排放的因子选用《南方电网2022年社会责任报告》披露的2022年碳排放因子0.5273t 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/MWh，计算得购入电力产生的二氧化碳排放2088.108t 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1C367BC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3.2.4.2碳排放评价</w:t>
      </w:r>
    </w:p>
    <w:p w14:paraId="713871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企业经济指标和能耗指标汇总如下：</w:t>
      </w:r>
    </w:p>
    <w:p w14:paraId="1D60F8D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表3.2-9  企业经济指标和能耗指标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388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C3708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130" w:type="dxa"/>
          </w:tcPr>
          <w:p w14:paraId="5654B4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2131" w:type="dxa"/>
          </w:tcPr>
          <w:p w14:paraId="0A8A7E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2131" w:type="dxa"/>
          </w:tcPr>
          <w:p w14:paraId="7E2103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r>
      <w:tr w14:paraId="0048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25B77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30" w:type="dxa"/>
          </w:tcPr>
          <w:p w14:paraId="7A0A5C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w:t>
            </w:r>
          </w:p>
        </w:tc>
        <w:tc>
          <w:tcPr>
            <w:tcW w:w="2131" w:type="dxa"/>
          </w:tcPr>
          <w:p w14:paraId="7A7ECC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2131" w:type="dxa"/>
          </w:tcPr>
          <w:p w14:paraId="6D7017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14:paraId="23E6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B6563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30" w:type="dxa"/>
          </w:tcPr>
          <w:p w14:paraId="7B980A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产值</w:t>
            </w:r>
          </w:p>
        </w:tc>
        <w:tc>
          <w:tcPr>
            <w:tcW w:w="2131" w:type="dxa"/>
          </w:tcPr>
          <w:p w14:paraId="12DABD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2131" w:type="dxa"/>
          </w:tcPr>
          <w:p w14:paraId="6C94CF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6000</w:t>
            </w:r>
          </w:p>
        </w:tc>
      </w:tr>
      <w:tr w14:paraId="44F8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tcPr>
          <w:p w14:paraId="5F7C82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30" w:type="dxa"/>
          </w:tcPr>
          <w:p w14:paraId="46A2EF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工业增加值</w:t>
            </w:r>
          </w:p>
        </w:tc>
        <w:tc>
          <w:tcPr>
            <w:tcW w:w="2131" w:type="dxa"/>
          </w:tcPr>
          <w:p w14:paraId="73BC6C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2131" w:type="dxa"/>
          </w:tcPr>
          <w:p w14:paraId="1E9493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4784</w:t>
            </w:r>
          </w:p>
        </w:tc>
      </w:tr>
      <w:tr w14:paraId="4C27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tcPr>
          <w:p w14:paraId="1EC2CD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130" w:type="dxa"/>
          </w:tcPr>
          <w:p w14:paraId="32423F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电耗</w:t>
            </w:r>
          </w:p>
        </w:tc>
        <w:tc>
          <w:tcPr>
            <w:tcW w:w="2131" w:type="dxa"/>
          </w:tcPr>
          <w:p w14:paraId="327A88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万kwh</w:t>
            </w:r>
          </w:p>
        </w:tc>
        <w:tc>
          <w:tcPr>
            <w:tcW w:w="2131" w:type="dxa"/>
          </w:tcPr>
          <w:p w14:paraId="21CCE2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396</w:t>
            </w:r>
          </w:p>
        </w:tc>
      </w:tr>
      <w:tr w14:paraId="2341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tcPr>
          <w:p w14:paraId="1CCC84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30" w:type="dxa"/>
          </w:tcPr>
          <w:p w14:paraId="708375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自来水</w:t>
            </w:r>
          </w:p>
        </w:tc>
        <w:tc>
          <w:tcPr>
            <w:tcW w:w="2131" w:type="dxa"/>
          </w:tcPr>
          <w:p w14:paraId="047355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2131" w:type="dxa"/>
          </w:tcPr>
          <w:p w14:paraId="57A9AC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2268.4</w:t>
            </w:r>
          </w:p>
        </w:tc>
      </w:tr>
      <w:tr w14:paraId="3E25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1DAFD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30" w:type="dxa"/>
          </w:tcPr>
          <w:p w14:paraId="192899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综合能耗</w:t>
            </w:r>
          </w:p>
        </w:tc>
        <w:tc>
          <w:tcPr>
            <w:tcW w:w="2131" w:type="dxa"/>
          </w:tcPr>
          <w:p w14:paraId="4597AB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tce</w:t>
            </w:r>
          </w:p>
        </w:tc>
        <w:tc>
          <w:tcPr>
            <w:tcW w:w="2131" w:type="dxa"/>
          </w:tcPr>
          <w:p w14:paraId="668958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486.88</w:t>
            </w:r>
          </w:p>
        </w:tc>
      </w:tr>
    </w:tbl>
    <w:p w14:paraId="3B3054E9">
      <w:pPr>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w:t>
      </w:r>
      <w:r>
        <w:rPr>
          <w:i/>
          <w:iCs/>
          <w:color w:val="000000" w:themeColor="text1"/>
          <w:sz w:val="21"/>
          <w:szCs w:val="21"/>
          <w14:textFill>
            <w14:solidFill>
              <w14:schemeClr w14:val="tx1"/>
            </w14:solidFill>
          </w14:textFill>
        </w:rPr>
        <w:t>注</w:t>
      </w:r>
      <w:r>
        <w:rPr>
          <w:rFonts w:hint="eastAsia"/>
          <w:i/>
          <w:iCs/>
          <w:color w:val="000000" w:themeColor="text1"/>
          <w:sz w:val="21"/>
          <w:szCs w:val="21"/>
          <w14:textFill>
            <w14:solidFill>
              <w14:schemeClr w14:val="tx1"/>
            </w14:solidFill>
          </w14:textFill>
        </w:rPr>
        <w:t>】</w:t>
      </w:r>
      <w:r>
        <w:rPr>
          <w:i/>
          <w:iCs/>
          <w:color w:val="000000" w:themeColor="text1"/>
          <w:sz w:val="21"/>
          <w:szCs w:val="21"/>
          <w14:textFill>
            <w14:solidFill>
              <w14:schemeClr w14:val="tx1"/>
            </w14:solidFill>
          </w14:textFill>
        </w:rPr>
        <w:t>：综合能耗（当量值）折算系数：电力折标系数当量按 1.229tce/万 kWh，自来水折标系数按 0.857tce/万 t</w:t>
      </w:r>
      <w:r>
        <w:rPr>
          <w:rFonts w:hint="eastAsia"/>
          <w:i/>
          <w:iCs/>
          <w:color w:val="000000" w:themeColor="text1"/>
          <w:sz w:val="21"/>
          <w:szCs w:val="21"/>
          <w14:textFill>
            <w14:solidFill>
              <w14:schemeClr w14:val="tx1"/>
            </w14:solidFill>
          </w14:textFill>
        </w:rPr>
        <w:t>。</w:t>
      </w:r>
    </w:p>
    <w:p w14:paraId="483638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企业碳排放绩效核算结果如下：</w:t>
      </w:r>
    </w:p>
    <w:p w14:paraId="63262A2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表3.2-10  企业碳排放绩效核算结果</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728"/>
        <w:gridCol w:w="2373"/>
        <w:gridCol w:w="1512"/>
        <w:gridCol w:w="1824"/>
      </w:tblGrid>
      <w:tr w14:paraId="73FD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4A2B51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核算边界</w:t>
            </w:r>
          </w:p>
        </w:tc>
        <w:tc>
          <w:tcPr>
            <w:tcW w:w="1014" w:type="pct"/>
            <w:vAlign w:val="center"/>
          </w:tcPr>
          <w:p w14:paraId="7ADF1B08">
            <w:pPr>
              <w:pStyle w:val="28"/>
              <w:rPr>
                <w:color w:val="000000" w:themeColor="text1"/>
                <w14:textFill>
                  <w14:solidFill>
                    <w14:schemeClr w14:val="tx1"/>
                  </w14:solidFill>
                </w14:textFill>
              </w:rPr>
            </w:pPr>
            <w:r>
              <w:rPr>
                <w:color w:val="000000" w:themeColor="text1"/>
                <w14:textFill>
                  <w14:solidFill>
                    <w14:schemeClr w14:val="tx1"/>
                  </w14:solidFill>
                </w14:textFill>
              </w:rPr>
              <w:t>单位工业总产值</w:t>
            </w:r>
          </w:p>
          <w:p w14:paraId="5C1D05B4">
            <w:pPr>
              <w:pStyle w:val="28"/>
              <w:rPr>
                <w:color w:val="000000" w:themeColor="text1"/>
                <w14:textFill>
                  <w14:solidFill>
                    <w14:schemeClr w14:val="tx1"/>
                  </w14:solidFill>
                </w14:textFill>
              </w:rPr>
            </w:pPr>
            <w:r>
              <w:rPr>
                <w:color w:val="000000" w:themeColor="text1"/>
                <w14:textFill>
                  <w14:solidFill>
                    <w14:schemeClr w14:val="tx1"/>
                  </w14:solidFill>
                </w14:textFill>
              </w:rPr>
              <w:t>（tCO</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/万元）</w:t>
            </w:r>
          </w:p>
        </w:tc>
        <w:tc>
          <w:tcPr>
            <w:tcW w:w="1392" w:type="pct"/>
            <w:vAlign w:val="center"/>
          </w:tcPr>
          <w:p w14:paraId="6070B7B6">
            <w:pPr>
              <w:pStyle w:val="28"/>
              <w:rPr>
                <w:color w:val="000000" w:themeColor="text1"/>
                <w14:textFill>
                  <w14:solidFill>
                    <w14:schemeClr w14:val="tx1"/>
                  </w14:solidFill>
                </w14:textFill>
              </w:rPr>
            </w:pPr>
            <w:r>
              <w:rPr>
                <w:color w:val="000000" w:themeColor="text1"/>
                <w14:textFill>
                  <w14:solidFill>
                    <w14:schemeClr w14:val="tx1"/>
                  </w14:solidFill>
                </w14:textFill>
              </w:rPr>
              <w:t>单位工业增加值碳排放</w:t>
            </w:r>
          </w:p>
          <w:p w14:paraId="5F449B7B">
            <w:pPr>
              <w:pStyle w:val="28"/>
              <w:rPr>
                <w:color w:val="000000" w:themeColor="text1"/>
                <w14:textFill>
                  <w14:solidFill>
                    <w14:schemeClr w14:val="tx1"/>
                  </w14:solidFill>
                </w14:textFill>
              </w:rPr>
            </w:pPr>
            <w:r>
              <w:rPr>
                <w:color w:val="000000" w:themeColor="text1"/>
                <w14:textFill>
                  <w14:solidFill>
                    <w14:schemeClr w14:val="tx1"/>
                  </w14:solidFill>
                </w14:textFill>
              </w:rPr>
              <w:t>（tCO</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/万元）</w:t>
            </w:r>
          </w:p>
        </w:tc>
        <w:tc>
          <w:tcPr>
            <w:tcW w:w="887" w:type="pct"/>
            <w:vAlign w:val="center"/>
          </w:tcPr>
          <w:p w14:paraId="660D99C5">
            <w:pPr>
              <w:pStyle w:val="28"/>
              <w:rPr>
                <w:color w:val="000000" w:themeColor="text1"/>
                <w14:textFill>
                  <w14:solidFill>
                    <w14:schemeClr w14:val="tx1"/>
                  </w14:solidFill>
                </w14:textFill>
              </w:rPr>
            </w:pPr>
            <w:r>
              <w:rPr>
                <w:color w:val="000000" w:themeColor="text1"/>
                <w14:textFill>
                  <w14:solidFill>
                    <w14:schemeClr w14:val="tx1"/>
                  </w14:solidFill>
                </w14:textFill>
              </w:rPr>
              <w:t>单位产品碳排</w:t>
            </w:r>
          </w:p>
          <w:p w14:paraId="32D0FD79">
            <w:pPr>
              <w:pStyle w:val="28"/>
              <w:rPr>
                <w:color w:val="000000" w:themeColor="text1"/>
                <w14:textFill>
                  <w14:solidFill>
                    <w14:schemeClr w14:val="tx1"/>
                  </w14:solidFill>
                </w14:textFill>
              </w:rPr>
            </w:pPr>
            <w:r>
              <w:rPr>
                <w:color w:val="000000" w:themeColor="text1"/>
                <w14:textFill>
                  <w14:solidFill>
                    <w14:schemeClr w14:val="tx1"/>
                  </w14:solidFill>
                </w14:textFill>
              </w:rPr>
              <w:t>放（tCO</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/t）</w:t>
            </w:r>
          </w:p>
        </w:tc>
        <w:tc>
          <w:tcPr>
            <w:tcW w:w="1070" w:type="pct"/>
            <w:vAlign w:val="center"/>
          </w:tcPr>
          <w:p w14:paraId="1698DBCF">
            <w:pPr>
              <w:pStyle w:val="28"/>
              <w:rPr>
                <w:color w:val="000000" w:themeColor="text1"/>
                <w14:textFill>
                  <w14:solidFill>
                    <w14:schemeClr w14:val="tx1"/>
                  </w14:solidFill>
                </w14:textFill>
              </w:rPr>
            </w:pPr>
            <w:r>
              <w:rPr>
                <w:color w:val="000000" w:themeColor="text1"/>
                <w14:textFill>
                  <w14:solidFill>
                    <w14:schemeClr w14:val="tx1"/>
                  </w14:solidFill>
                </w14:textFill>
              </w:rPr>
              <w:t>单位能耗碳排放</w:t>
            </w:r>
          </w:p>
          <w:p w14:paraId="0135474E">
            <w:pPr>
              <w:pStyle w:val="28"/>
              <w:rPr>
                <w:color w:val="000000" w:themeColor="text1"/>
                <w14:textFill>
                  <w14:solidFill>
                    <w14:schemeClr w14:val="tx1"/>
                  </w14:solidFill>
                </w14:textFill>
              </w:rPr>
            </w:pPr>
            <w:r>
              <w:rPr>
                <w:color w:val="000000" w:themeColor="text1"/>
                <w14:textFill>
                  <w14:solidFill>
                    <w14:schemeClr w14:val="tx1"/>
                  </w14:solidFill>
                </w14:textFill>
              </w:rPr>
              <w:t>（tCO</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/吨标煤）</w:t>
            </w:r>
          </w:p>
        </w:tc>
      </w:tr>
      <w:tr w14:paraId="7563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52477B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1014" w:type="pct"/>
            <w:vAlign w:val="center"/>
          </w:tcPr>
          <w:p w14:paraId="1B5044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0.348</w:t>
            </w:r>
          </w:p>
        </w:tc>
        <w:tc>
          <w:tcPr>
            <w:tcW w:w="1392" w:type="pct"/>
            <w:vAlign w:val="center"/>
          </w:tcPr>
          <w:p w14:paraId="7160E5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0.436</w:t>
            </w:r>
          </w:p>
        </w:tc>
        <w:tc>
          <w:tcPr>
            <w:tcW w:w="887" w:type="pct"/>
            <w:vAlign w:val="center"/>
          </w:tcPr>
          <w:p w14:paraId="2D44C0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208.81</w:t>
            </w:r>
          </w:p>
        </w:tc>
        <w:tc>
          <w:tcPr>
            <w:tcW w:w="1070" w:type="pct"/>
            <w:vAlign w:val="center"/>
          </w:tcPr>
          <w:p w14:paraId="41A516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4.29</w:t>
            </w:r>
          </w:p>
        </w:tc>
      </w:tr>
    </w:tbl>
    <w:p w14:paraId="0525FC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目前国家尚未发布针对固态电解质生产的专项能耗限额标准及碳排放绩效评价体系，本次评价采用项目类比同行业项目进行评价。</w:t>
      </w:r>
    </w:p>
    <w:p w14:paraId="1D5CF5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根据《瑞固（衢州）新材料科技有限公司年产2000吨全固态电解质项目（一阶段年产18吨全固态电解质项目）环境影响报告书》，企业能耗指标、碳排放绩效与本项目的对比如下：</w:t>
      </w:r>
    </w:p>
    <w:p w14:paraId="124FE82A">
      <w:pPr>
        <w:pStyle w:val="27"/>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表3.2-11 综合能耗与碳排放绩效对比情况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2654"/>
        <w:gridCol w:w="1605"/>
        <w:gridCol w:w="1609"/>
        <w:gridCol w:w="1620"/>
      </w:tblGrid>
      <w:tr w14:paraId="2D7A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4" w:type="dxa"/>
          </w:tcPr>
          <w:p w14:paraId="1E8A49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654" w:type="dxa"/>
          </w:tcPr>
          <w:p w14:paraId="3A2FE7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1605" w:type="dxa"/>
          </w:tcPr>
          <w:p w14:paraId="5AC9C6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1609" w:type="dxa"/>
          </w:tcPr>
          <w:p w14:paraId="09D2C4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1620" w:type="dxa"/>
          </w:tcPr>
          <w:p w14:paraId="75CBFB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类比项目</w:t>
            </w:r>
          </w:p>
        </w:tc>
      </w:tr>
      <w:tr w14:paraId="3EF8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tcPr>
          <w:p w14:paraId="5F63B6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654" w:type="dxa"/>
          </w:tcPr>
          <w:p w14:paraId="0F560F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w:t>
            </w:r>
          </w:p>
        </w:tc>
        <w:tc>
          <w:tcPr>
            <w:tcW w:w="1605" w:type="dxa"/>
          </w:tcPr>
          <w:p w14:paraId="73A905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1609" w:type="dxa"/>
          </w:tcPr>
          <w:p w14:paraId="3637DF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620" w:type="dxa"/>
          </w:tcPr>
          <w:p w14:paraId="1898F4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r>
      <w:tr w14:paraId="2FCC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tcPr>
          <w:p w14:paraId="533326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654" w:type="dxa"/>
          </w:tcPr>
          <w:p w14:paraId="6C501A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产值</w:t>
            </w:r>
          </w:p>
        </w:tc>
        <w:tc>
          <w:tcPr>
            <w:tcW w:w="1605" w:type="dxa"/>
          </w:tcPr>
          <w:p w14:paraId="580C0C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609" w:type="dxa"/>
          </w:tcPr>
          <w:p w14:paraId="6151F3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6000</w:t>
            </w:r>
          </w:p>
        </w:tc>
        <w:tc>
          <w:tcPr>
            <w:tcW w:w="1620" w:type="dxa"/>
          </w:tcPr>
          <w:p w14:paraId="1FEBB0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12960</w:t>
            </w:r>
          </w:p>
        </w:tc>
      </w:tr>
      <w:tr w14:paraId="66BB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tcPr>
          <w:p w14:paraId="496706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654" w:type="dxa"/>
          </w:tcPr>
          <w:p w14:paraId="107E3C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工业增加值</w:t>
            </w:r>
          </w:p>
        </w:tc>
        <w:tc>
          <w:tcPr>
            <w:tcW w:w="1605" w:type="dxa"/>
          </w:tcPr>
          <w:p w14:paraId="55E97E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609" w:type="dxa"/>
          </w:tcPr>
          <w:p w14:paraId="799E38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4784</w:t>
            </w:r>
          </w:p>
        </w:tc>
        <w:tc>
          <w:tcPr>
            <w:tcW w:w="1620" w:type="dxa"/>
          </w:tcPr>
          <w:p w14:paraId="45F1C2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3060.71</w:t>
            </w:r>
          </w:p>
        </w:tc>
      </w:tr>
      <w:tr w14:paraId="2FFD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tcPr>
          <w:p w14:paraId="501B60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654" w:type="dxa"/>
          </w:tcPr>
          <w:p w14:paraId="4544E0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电耗</w:t>
            </w:r>
          </w:p>
        </w:tc>
        <w:tc>
          <w:tcPr>
            <w:tcW w:w="1605" w:type="dxa"/>
          </w:tcPr>
          <w:p w14:paraId="7E5561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万kwh</w:t>
            </w:r>
          </w:p>
        </w:tc>
        <w:tc>
          <w:tcPr>
            <w:tcW w:w="1609" w:type="dxa"/>
          </w:tcPr>
          <w:p w14:paraId="2C8FAC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396</w:t>
            </w:r>
          </w:p>
        </w:tc>
        <w:tc>
          <w:tcPr>
            <w:tcW w:w="1620" w:type="dxa"/>
          </w:tcPr>
          <w:p w14:paraId="1EDA19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r>
      <w:tr w14:paraId="559B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tcPr>
          <w:p w14:paraId="36EF57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654" w:type="dxa"/>
          </w:tcPr>
          <w:p w14:paraId="16F35B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自来水</w:t>
            </w:r>
          </w:p>
        </w:tc>
        <w:tc>
          <w:tcPr>
            <w:tcW w:w="1605" w:type="dxa"/>
          </w:tcPr>
          <w:p w14:paraId="110D76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1609" w:type="dxa"/>
          </w:tcPr>
          <w:p w14:paraId="4C93E3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2268.4</w:t>
            </w:r>
          </w:p>
        </w:tc>
        <w:tc>
          <w:tcPr>
            <w:tcW w:w="1620" w:type="dxa"/>
          </w:tcPr>
          <w:p w14:paraId="609BD7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3495</w:t>
            </w:r>
          </w:p>
        </w:tc>
      </w:tr>
      <w:tr w14:paraId="1144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tcPr>
          <w:p w14:paraId="37B456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654" w:type="dxa"/>
          </w:tcPr>
          <w:p w14:paraId="1C554A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综合能耗</w:t>
            </w:r>
          </w:p>
        </w:tc>
        <w:tc>
          <w:tcPr>
            <w:tcW w:w="1605" w:type="dxa"/>
          </w:tcPr>
          <w:p w14:paraId="0F12F3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tce</w:t>
            </w:r>
          </w:p>
        </w:tc>
        <w:tc>
          <w:tcPr>
            <w:tcW w:w="1609" w:type="dxa"/>
          </w:tcPr>
          <w:p w14:paraId="651C2E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486.88</w:t>
            </w:r>
          </w:p>
        </w:tc>
        <w:tc>
          <w:tcPr>
            <w:tcW w:w="1620" w:type="dxa"/>
          </w:tcPr>
          <w:p w14:paraId="052C58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590.22</w:t>
            </w:r>
          </w:p>
        </w:tc>
      </w:tr>
      <w:tr w14:paraId="17FF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vAlign w:val="center"/>
          </w:tcPr>
          <w:p w14:paraId="1E091D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654" w:type="dxa"/>
          </w:tcPr>
          <w:p w14:paraId="5EB5C4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碳排放量</w:t>
            </w:r>
          </w:p>
        </w:tc>
        <w:tc>
          <w:tcPr>
            <w:tcW w:w="1605" w:type="dxa"/>
          </w:tcPr>
          <w:p w14:paraId="7E31DF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 CO</w:t>
            </w:r>
            <w:r>
              <w:rPr>
                <w:rFonts w:hint="eastAsia"/>
                <w:color w:val="000000" w:themeColor="text1"/>
                <w:vertAlign w:val="subscript"/>
                <w14:textFill>
                  <w14:solidFill>
                    <w14:schemeClr w14:val="tx1"/>
                  </w14:solidFill>
                </w14:textFill>
              </w:rPr>
              <w:t>2</w:t>
            </w:r>
          </w:p>
        </w:tc>
        <w:tc>
          <w:tcPr>
            <w:tcW w:w="1609" w:type="dxa"/>
          </w:tcPr>
          <w:p w14:paraId="5A5671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2088.108</w:t>
            </w:r>
          </w:p>
        </w:tc>
        <w:tc>
          <w:tcPr>
            <w:tcW w:w="1620" w:type="dxa"/>
          </w:tcPr>
          <w:p w14:paraId="414F3D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3376.68</w:t>
            </w:r>
          </w:p>
        </w:tc>
      </w:tr>
      <w:tr w14:paraId="0F06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vAlign w:val="center"/>
          </w:tcPr>
          <w:p w14:paraId="36B5DB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654" w:type="dxa"/>
            <w:shd w:val="clear" w:color="auto" w:fill="auto"/>
            <w:vAlign w:val="center"/>
          </w:tcPr>
          <w:p w14:paraId="79A535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单位工业总产值</w:t>
            </w:r>
          </w:p>
        </w:tc>
        <w:tc>
          <w:tcPr>
            <w:tcW w:w="1605" w:type="dxa"/>
            <w:shd w:val="clear" w:color="auto" w:fill="auto"/>
            <w:vAlign w:val="center"/>
          </w:tcPr>
          <w:p w14:paraId="51F2AF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/万元</w:t>
            </w:r>
          </w:p>
        </w:tc>
        <w:tc>
          <w:tcPr>
            <w:tcW w:w="1609" w:type="dxa"/>
            <w:shd w:val="clear" w:color="auto" w:fill="auto"/>
            <w:vAlign w:val="center"/>
          </w:tcPr>
          <w:p w14:paraId="66554C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0.348</w:t>
            </w:r>
          </w:p>
        </w:tc>
        <w:tc>
          <w:tcPr>
            <w:tcW w:w="1620" w:type="dxa"/>
            <w:vAlign w:val="center"/>
          </w:tcPr>
          <w:p w14:paraId="717420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1.103</w:t>
            </w:r>
          </w:p>
        </w:tc>
      </w:tr>
      <w:tr w14:paraId="2D2E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vAlign w:val="center"/>
          </w:tcPr>
          <w:p w14:paraId="143B5E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654" w:type="dxa"/>
            <w:shd w:val="clear" w:color="auto" w:fill="auto"/>
            <w:vAlign w:val="center"/>
          </w:tcPr>
          <w:p w14:paraId="449260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单位工业增加值碳排放</w:t>
            </w:r>
          </w:p>
        </w:tc>
        <w:tc>
          <w:tcPr>
            <w:tcW w:w="0" w:type="auto"/>
            <w:shd w:val="clear" w:color="auto" w:fill="auto"/>
            <w:vAlign w:val="center"/>
          </w:tcPr>
          <w:p w14:paraId="3E7E66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/万元</w:t>
            </w:r>
          </w:p>
        </w:tc>
        <w:tc>
          <w:tcPr>
            <w:tcW w:w="0" w:type="auto"/>
            <w:shd w:val="clear" w:color="auto" w:fill="auto"/>
            <w:vAlign w:val="center"/>
          </w:tcPr>
          <w:p w14:paraId="1232AD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0.436</w:t>
            </w:r>
          </w:p>
        </w:tc>
        <w:tc>
          <w:tcPr>
            <w:tcW w:w="0" w:type="auto"/>
            <w:vAlign w:val="center"/>
          </w:tcPr>
          <w:p w14:paraId="3D2AC7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0.261</w:t>
            </w:r>
          </w:p>
        </w:tc>
      </w:tr>
      <w:tr w14:paraId="765C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auto"/>
            <w:vAlign w:val="center"/>
          </w:tcPr>
          <w:p w14:paraId="74D789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654" w:type="dxa"/>
            <w:shd w:val="clear" w:color="auto" w:fill="auto"/>
            <w:vAlign w:val="center"/>
          </w:tcPr>
          <w:p w14:paraId="0BCF3A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单位产品碳排放</w:t>
            </w:r>
          </w:p>
        </w:tc>
        <w:tc>
          <w:tcPr>
            <w:tcW w:w="0" w:type="auto"/>
            <w:shd w:val="clear" w:color="auto" w:fill="auto"/>
            <w:vAlign w:val="center"/>
          </w:tcPr>
          <w:p w14:paraId="280C81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/t</w:t>
            </w:r>
          </w:p>
        </w:tc>
        <w:tc>
          <w:tcPr>
            <w:tcW w:w="0" w:type="auto"/>
            <w:shd w:val="clear" w:color="auto" w:fill="auto"/>
            <w:vAlign w:val="center"/>
          </w:tcPr>
          <w:p w14:paraId="02CC4C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208.81</w:t>
            </w:r>
          </w:p>
        </w:tc>
        <w:tc>
          <w:tcPr>
            <w:tcW w:w="0" w:type="auto"/>
            <w:vAlign w:val="center"/>
          </w:tcPr>
          <w:p w14:paraId="72A31B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187.6</w:t>
            </w:r>
          </w:p>
        </w:tc>
      </w:tr>
      <w:tr w14:paraId="3FCA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Align w:val="center"/>
          </w:tcPr>
          <w:p w14:paraId="5D7E84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2654" w:type="dxa"/>
            <w:shd w:val="clear" w:color="auto" w:fill="auto"/>
            <w:vAlign w:val="center"/>
          </w:tcPr>
          <w:p w14:paraId="59BE81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单位能耗碳排放</w:t>
            </w:r>
          </w:p>
        </w:tc>
        <w:tc>
          <w:tcPr>
            <w:tcW w:w="0" w:type="auto"/>
            <w:shd w:val="clear" w:color="auto" w:fill="auto"/>
            <w:vAlign w:val="center"/>
          </w:tcPr>
          <w:p w14:paraId="7C89E3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/吨标煤</w:t>
            </w:r>
          </w:p>
        </w:tc>
        <w:tc>
          <w:tcPr>
            <w:tcW w:w="0" w:type="auto"/>
            <w:shd w:val="clear" w:color="auto" w:fill="auto"/>
            <w:vAlign w:val="center"/>
          </w:tcPr>
          <w:p w14:paraId="50D9CC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4.29</w:t>
            </w:r>
          </w:p>
        </w:tc>
        <w:tc>
          <w:tcPr>
            <w:tcW w:w="0" w:type="auto"/>
            <w:vAlign w:val="center"/>
          </w:tcPr>
          <w:p w14:paraId="4E80D7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5.72</w:t>
            </w:r>
          </w:p>
        </w:tc>
      </w:tr>
    </w:tbl>
    <w:p w14:paraId="45C7BE34">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由于固态电解质项目属于较新的新能源材料项目，公开的环评/验收案例较少，且多数企业不会主动对外分享完整报告，本项目类比的“瑞固（衢州）新材料科技有限公司年产2000吨全固态电解质项目（一阶段年产18吨全固态电解质项目）”环境影响报告书未公示该项目生产工艺、原辅材料、设备清单等信息，但根据公示的其他内容可以看出该项目与本项目的生产工艺、原辅材料基本一致，因此，本环评类比“瑞固（衢州）新材料科技有限公司年产2000吨全固态电解质项目（一阶段年产18吨全固态电解质项目）”是可行的。</w:t>
      </w:r>
    </w:p>
    <w:p w14:paraId="1AD8BBBE">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根据上表对比分析，本项目单位产品能耗、单位工业增加值碳排放高于类比项目，主要是因为本项目处于中试/小规模阶段，工艺尚在优化阶段，综合分析，本项目碳排放量总量、单位工业总产值、单位能耗碳排放均低于类比项目，说明本项目能源结构更清洁（如电力占比高）、能耗转化效率更高，高产值下的碳排放效率、能源利用的低碳化水平均优于类比项目，符合高附加值新材料项目的低碳特征；后续可通过扩大产能（提升规模效应）进一步优化单位产品能耗。</w:t>
      </w:r>
    </w:p>
    <w:p w14:paraId="07A71C4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3.2.4.3减排措施</w:t>
      </w:r>
    </w:p>
    <w:p w14:paraId="30F38DE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工艺节能</w:t>
      </w:r>
    </w:p>
    <w:p w14:paraId="0A96C749">
      <w:pPr>
        <w:ind w:firstLine="480"/>
        <w:rPr>
          <w:color w:val="000000" w:themeColor="text1"/>
          <w14:textFill>
            <w14:solidFill>
              <w14:schemeClr w14:val="tx1"/>
            </w14:solidFill>
          </w14:textFill>
        </w:rPr>
      </w:pPr>
      <w:r>
        <w:rPr>
          <w:color w:val="000000" w:themeColor="text1"/>
          <w14:textFill>
            <w14:solidFill>
              <w14:schemeClr w14:val="tx1"/>
            </w14:solidFill>
          </w14:textFill>
        </w:rPr>
        <w:t>（1）生产工艺中采用仪表自动控制、变频器、检测、调节各工艺参数，保证参数稳定，降低消耗。尽量避免物料的损失与浪费。</w:t>
      </w:r>
    </w:p>
    <w:p w14:paraId="5567E720">
      <w:pPr>
        <w:ind w:firstLine="480"/>
        <w:rPr>
          <w:color w:val="000000" w:themeColor="text1"/>
          <w14:textFill>
            <w14:solidFill>
              <w14:schemeClr w14:val="tx1"/>
            </w14:solidFill>
          </w14:textFill>
        </w:rPr>
      </w:pPr>
      <w:r>
        <w:rPr>
          <w:color w:val="000000" w:themeColor="text1"/>
          <w14:textFill>
            <w14:solidFill>
              <w14:schemeClr w14:val="tx1"/>
            </w14:solidFill>
          </w14:textFill>
        </w:rPr>
        <w:t>（2）积极推行新材料、新技术，用以节能降耗，降低成本，提高产品收率，力争获取最大经济效益。</w:t>
      </w:r>
    </w:p>
    <w:p w14:paraId="0E1AABE4">
      <w:pPr>
        <w:ind w:firstLine="480"/>
        <w:rPr>
          <w:color w:val="000000" w:themeColor="text1"/>
          <w14:textFill>
            <w14:solidFill>
              <w14:schemeClr w14:val="tx1"/>
            </w14:solidFill>
          </w14:textFill>
        </w:rPr>
      </w:pPr>
      <w:r>
        <w:rPr>
          <w:color w:val="000000" w:themeColor="text1"/>
          <w14:textFill>
            <w14:solidFill>
              <w14:schemeClr w14:val="tx1"/>
            </w14:solidFill>
          </w14:textFill>
        </w:rPr>
        <w:t>（3）设备布置上考虑各物料的流向，尽量利用物料位差输送，以便减少能耗。（4）加强设备及管道的隔热和保温等措施，对所有高温设备及管线均选用合适保温材料，减少散热，提高产线及系统的热利用效率。</w:t>
      </w:r>
    </w:p>
    <w:p w14:paraId="30410792">
      <w:pPr>
        <w:ind w:firstLine="480"/>
        <w:rPr>
          <w:color w:val="000000" w:themeColor="text1"/>
          <w14:textFill>
            <w14:solidFill>
              <w14:schemeClr w14:val="tx1"/>
            </w14:solidFill>
          </w14:textFill>
        </w:rPr>
      </w:pPr>
      <w:r>
        <w:rPr>
          <w:color w:val="000000" w:themeColor="text1"/>
          <w14:textFill>
            <w14:solidFill>
              <w14:schemeClr w14:val="tx1"/>
            </w14:solidFill>
          </w14:textFill>
        </w:rPr>
        <w:t>（5）厂区总体布置合理。充分利用自然地形特点，合理选择厂址、合理布局以减少输送、运输能耗。</w:t>
      </w:r>
    </w:p>
    <w:p w14:paraId="49CC394A">
      <w:pPr>
        <w:ind w:firstLine="480"/>
        <w:rPr>
          <w:color w:val="000000" w:themeColor="text1"/>
          <w14:textFill>
            <w14:solidFill>
              <w14:schemeClr w14:val="tx1"/>
            </w14:solidFill>
          </w14:textFill>
        </w:rPr>
      </w:pPr>
      <w:r>
        <w:rPr>
          <w:color w:val="000000" w:themeColor="text1"/>
          <w14:textFill>
            <w14:solidFill>
              <w14:schemeClr w14:val="tx1"/>
            </w14:solidFill>
          </w14:textFill>
        </w:rPr>
        <w:t>（6）按照工序布置作业区工段，按工艺流程布设备，不出现逆流程的设备布置现象，以减少来回往返的电耗。</w:t>
      </w:r>
    </w:p>
    <w:p w14:paraId="3ABEB023">
      <w:pPr>
        <w:ind w:firstLine="480"/>
        <w:rPr>
          <w:color w:val="000000" w:themeColor="text1"/>
          <w14:textFill>
            <w14:solidFill>
              <w14:schemeClr w14:val="tx1"/>
            </w14:solidFill>
          </w14:textFill>
        </w:rPr>
      </w:pPr>
      <w:r>
        <w:rPr>
          <w:color w:val="000000" w:themeColor="text1"/>
          <w14:textFill>
            <w14:solidFill>
              <w14:schemeClr w14:val="tx1"/>
            </w14:solidFill>
          </w14:textFill>
        </w:rPr>
        <w:t>（7）加强</w:t>
      </w:r>
      <w:r>
        <w:rPr>
          <w:rFonts w:hint="eastAsia"/>
          <w:color w:val="000000" w:themeColor="text1"/>
          <w14:textFill>
            <w14:solidFill>
              <w14:schemeClr w14:val="tx1"/>
            </w14:solidFill>
          </w14:textFill>
        </w:rPr>
        <w:t>箱式炉、干燥</w:t>
      </w:r>
      <w:r>
        <w:rPr>
          <w:color w:val="000000" w:themeColor="text1"/>
          <w14:textFill>
            <w14:solidFill>
              <w14:schemeClr w14:val="tx1"/>
            </w14:solidFill>
          </w14:textFill>
        </w:rPr>
        <w:t>设备的保温性能，建少设备热量损失，节省设备能耗。</w:t>
      </w:r>
    </w:p>
    <w:p w14:paraId="407809E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设备节能</w:t>
      </w:r>
    </w:p>
    <w:p w14:paraId="5820BEEE">
      <w:pPr>
        <w:ind w:firstLine="480"/>
        <w:rPr>
          <w:color w:val="000000" w:themeColor="text1"/>
          <w14:textFill>
            <w14:solidFill>
              <w14:schemeClr w14:val="tx1"/>
            </w14:solidFill>
          </w14:textFill>
        </w:rPr>
      </w:pPr>
      <w:r>
        <w:rPr>
          <w:color w:val="000000" w:themeColor="text1"/>
          <w14:textFill>
            <w14:solidFill>
              <w14:schemeClr w14:val="tx1"/>
            </w14:solidFill>
          </w14:textFill>
        </w:rPr>
        <w:t>（1）选用的电气设备能效值不得低于国标规定的最低能效限定值。</w:t>
      </w:r>
    </w:p>
    <w:p w14:paraId="7B498C65">
      <w:pPr>
        <w:ind w:firstLine="480"/>
        <w:rPr>
          <w:color w:val="000000" w:themeColor="text1"/>
          <w14:textFill>
            <w14:solidFill>
              <w14:schemeClr w14:val="tx1"/>
            </w14:solidFill>
          </w14:textFill>
        </w:rPr>
      </w:pPr>
      <w:r>
        <w:rPr>
          <w:color w:val="000000" w:themeColor="text1"/>
          <w14:textFill>
            <w14:solidFill>
              <w14:schemeClr w14:val="tx1"/>
            </w14:solidFill>
          </w14:textFill>
        </w:rPr>
        <w:t>（2）设计中如变频器等尽量采用国家有关部门推广使用的节能型设备，杜绝采用明文取消的高能耗的设备。在满足生产需要的前提下，尽量选用能耗低、效率高的设备。选用高效率机泵，降低电能消耗。</w:t>
      </w:r>
    </w:p>
    <w:p w14:paraId="4F9BFA06">
      <w:pPr>
        <w:ind w:firstLine="480"/>
        <w:rPr>
          <w:color w:val="000000" w:themeColor="text1"/>
          <w14:textFill>
            <w14:solidFill>
              <w14:schemeClr w14:val="tx1"/>
            </w14:solidFill>
          </w14:textFill>
        </w:rPr>
      </w:pPr>
      <w:r>
        <w:rPr>
          <w:color w:val="000000" w:themeColor="text1"/>
          <w14:textFill>
            <w14:solidFill>
              <w14:schemeClr w14:val="tx1"/>
            </w14:solidFill>
          </w14:textFill>
        </w:rPr>
        <w:t>（3）在单独采购电动机或变压器时时，或成套采购设备有电动机或变压器时，必须明确其等效等级达到《中小型三相异步电动机能效限定值及能效等级》（GB18613-2006）和《电力变压器能效限定值及能效等级》（GB24790-2009）标准中的2 级或3 级能效值。</w:t>
      </w:r>
    </w:p>
    <w:p w14:paraId="2DD3916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电气节能</w:t>
      </w:r>
    </w:p>
    <w:p w14:paraId="287E9C86">
      <w:pPr>
        <w:ind w:firstLine="480"/>
        <w:rPr>
          <w:color w:val="000000" w:themeColor="text1"/>
          <w14:textFill>
            <w14:solidFill>
              <w14:schemeClr w14:val="tx1"/>
            </w14:solidFill>
          </w14:textFill>
        </w:rPr>
      </w:pPr>
      <w:r>
        <w:rPr>
          <w:color w:val="000000" w:themeColor="text1"/>
          <w14:textFill>
            <w14:solidFill>
              <w14:schemeClr w14:val="tx1"/>
            </w14:solidFill>
          </w14:textFill>
        </w:rPr>
        <w:t>（1）供电系统节能措施</w:t>
      </w:r>
    </w:p>
    <w:p w14:paraId="1C4794AD">
      <w:pPr>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根据本项目的总图配置规划，在负荷集中的区域设置配电箱，减少电缆长度，同时，所有电缆选用铜芯电缆，降低供电系统线损。</w:t>
      </w:r>
    </w:p>
    <w:p w14:paraId="011F7C14">
      <w:pPr>
        <w:ind w:firstLine="480"/>
        <w:rPr>
          <w:color w:val="000000" w:themeColor="text1"/>
          <w14:textFill>
            <w14:solidFill>
              <w14:schemeClr w14:val="tx1"/>
            </w14:solidFill>
          </w14:textFill>
        </w:rPr>
      </w:pPr>
      <w:r>
        <w:rPr>
          <w:color w:val="000000" w:themeColor="text1"/>
          <w14:textFill>
            <w14:solidFill>
              <w14:schemeClr w14:val="tx1"/>
            </w14:solidFill>
          </w14:textFill>
        </w:rPr>
        <w:t>（2）生产系统节能措施</w:t>
      </w:r>
    </w:p>
    <w:p w14:paraId="2FE7CCD4">
      <w:pPr>
        <w:ind w:firstLine="480"/>
        <w:rPr>
          <w:color w:val="000000" w:themeColor="text1"/>
          <w14:textFill>
            <w14:solidFill>
              <w14:schemeClr w14:val="tx1"/>
            </w14:solidFill>
          </w14:textFill>
        </w:rPr>
      </w:pPr>
      <w:r>
        <w:rPr>
          <w:color w:val="000000" w:themeColor="text1"/>
          <w14:textFill>
            <w14:solidFill>
              <w14:schemeClr w14:val="tx1"/>
            </w14:solidFill>
          </w14:textFill>
        </w:rPr>
        <w:t>本工程生产系统采用PLC控制系统使生产流程控制可靠、精确、省时、节能。控制系统的先进配置的节能效果特别显著。</w:t>
      </w:r>
    </w:p>
    <w:p w14:paraId="6AA9B862">
      <w:pPr>
        <w:ind w:firstLine="480"/>
        <w:rPr>
          <w:color w:val="000000" w:themeColor="text1"/>
          <w14:textFill>
            <w14:solidFill>
              <w14:schemeClr w14:val="tx1"/>
            </w14:solidFill>
          </w14:textFill>
        </w:rPr>
      </w:pPr>
      <w:r>
        <w:rPr>
          <w:color w:val="000000" w:themeColor="text1"/>
          <w14:textFill>
            <w14:solidFill>
              <w14:schemeClr w14:val="tx1"/>
            </w14:solidFill>
          </w14:textFill>
        </w:rPr>
        <w:t>本工程生产系统关键设备广泛采用变频调速，根据下游流程的反馈信号，通过PLC系统控制变频器频率，控制设备转速，控制设备输出功率，使设备输出功率处于小于额定功率的动态之中，提高功率因数，达到节能目的。大容量高、低压电动机启动时间长，启动电流大，根据需要设置软启动装置，减小电机启动电流，达到节能目的。</w:t>
      </w:r>
    </w:p>
    <w:p w14:paraId="0C136501">
      <w:pPr>
        <w:ind w:firstLine="480"/>
        <w:rPr>
          <w:color w:val="000000" w:themeColor="text1"/>
          <w14:textFill>
            <w14:solidFill>
              <w14:schemeClr w14:val="tx1"/>
            </w14:solidFill>
          </w14:textFill>
        </w:rPr>
      </w:pPr>
      <w:r>
        <w:rPr>
          <w:color w:val="000000" w:themeColor="text1"/>
          <w14:textFill>
            <w14:solidFill>
              <w14:schemeClr w14:val="tx1"/>
            </w14:solidFill>
          </w14:textFill>
        </w:rPr>
        <w:t>（3）绿色照明工程：</w:t>
      </w:r>
    </w:p>
    <w:p w14:paraId="5F16879E">
      <w:pPr>
        <w:ind w:firstLine="480"/>
        <w:rPr>
          <w:color w:val="000000" w:themeColor="text1"/>
          <w14:textFill>
            <w14:solidFill>
              <w14:schemeClr w14:val="tx1"/>
            </w14:solidFill>
          </w14:textFill>
        </w:rPr>
      </w:pPr>
      <w:r>
        <w:rPr>
          <w:color w:val="000000" w:themeColor="text1"/>
          <w14:textFill>
            <w14:solidFill>
              <w14:schemeClr w14:val="tx1"/>
            </w14:solidFill>
          </w14:textFill>
        </w:rPr>
        <w:t>全厂照明系统，合理选用照明灯具，配置合理照明方式，合理设计照明线路和控制方式，并充分利用天然采光，实施绿色照明工程。</w:t>
      </w:r>
    </w:p>
    <w:p w14:paraId="7E5D9156">
      <w:pPr>
        <w:ind w:firstLine="480"/>
        <w:rPr>
          <w:color w:val="000000" w:themeColor="text1"/>
          <w14:textFill>
            <w14:solidFill>
              <w14:schemeClr w14:val="tx1"/>
            </w14:solidFill>
          </w14:textFill>
        </w:rPr>
      </w:pPr>
      <w:r>
        <w:rPr>
          <w:color w:val="000000" w:themeColor="text1"/>
          <w14:textFill>
            <w14:solidFill>
              <w14:schemeClr w14:val="tx1"/>
            </w14:solidFill>
          </w14:textFill>
        </w:rPr>
        <w:t>设计应选择功率因数高的灯具，照明配电系统设计做到三相平衡；线路照明选用铜芯电线，合理配置配电线路，减小电压损失；选用高效节能灯，严格执行照明设计标准，控制照明功率密度值，满足《建筑照明设计标准》规定的照明照度标准值，照明功率密度值限值要求</w:t>
      </w:r>
      <w:r>
        <w:rPr>
          <w:rFonts w:hint="eastAsia"/>
          <w:color w:val="000000" w:themeColor="text1"/>
          <w14:textFill>
            <w14:solidFill>
              <w14:schemeClr w14:val="tx1"/>
            </w14:solidFill>
          </w14:textFill>
        </w:rPr>
        <w:t>。</w:t>
      </w:r>
    </w:p>
    <w:p w14:paraId="669D816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4、暖通节能</w:t>
      </w:r>
    </w:p>
    <w:p w14:paraId="4379713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（1）采暖空调</w:t>
      </w:r>
    </w:p>
    <w:p w14:paraId="24F9BC1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根据不同情况采取相应的节能措施：</w:t>
      </w:r>
    </w:p>
    <w:p w14:paraId="1BB1F8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①对于采暖管网，按照相关节能标准设置保温设施，减少系统系统热损失。</w:t>
      </w:r>
    </w:p>
    <w:p w14:paraId="15A4A1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②在工艺对室内温度有特殊要求的控制室等房间内配置能效比较高的分体式空调机组，当部分房间不使用时可以停止使用，使年运行费用降低。</w:t>
      </w:r>
    </w:p>
    <w:p w14:paraId="67C18D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③作业区控制室与工艺配合将控制室远离散热设备配置，加强控制室的隔热保温，以减少冷负荷。</w:t>
      </w:r>
    </w:p>
    <w:p w14:paraId="074E6A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（2）通风及防排烟</w:t>
      </w:r>
    </w:p>
    <w:p w14:paraId="664AEF8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在设计中，具备自然通风条件的场合均采用自然通风，以节约电耗。</w:t>
      </w:r>
    </w:p>
    <w:p w14:paraId="63D3B8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不具备自然通风条件的场合设计机械通风系统，采用自然进风、机械排风的形式或自然排风、机械进风的形式，基本上杜绝了机械进风、机械排风的形式，从而节约风机的能耗。合理的设计气流组织，直接送风至工作地带，首先保证工作地带的环境要求，减少送风量以节约能耗。机械通风系统采用低能耗、高效率的轴流式通风机和屋顶风机，使得通风系统耗能降低。</w:t>
      </w:r>
    </w:p>
    <w:p w14:paraId="4C5DCC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作业区主厂房按照建筑防排烟的相关规定需设置防排烟系统，设计中在满足规范要求前提下选择自然排烟方式，减少机械排烟系统的投资、维护成本，同时也节约了能耗。</w:t>
      </w:r>
    </w:p>
    <w:p w14:paraId="4576765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5、热力节能</w:t>
      </w:r>
    </w:p>
    <w:p w14:paraId="6CA5A3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优先选用新型高效节能的机、电、热设备和产品，严禁选用国家公布淘汰的产品。热力管道在管道布置时将充分利用介质的压力能，减少管道压损，提高管道的输送效率，降低能量消耗。设计中尽量减少管输气体放空。同时选用结构密封性能好的管道附件、阀门和设备，减少管输介质的漏损。</w:t>
      </w:r>
    </w:p>
    <w:p w14:paraId="296DB2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本工程总体控制水平要求较高，降低了能耗，减少了人员配置。凡用汽、水、电的地方，均安装了计量仪表，以便工厂日后的综合能耗计算和分析。</w:t>
      </w:r>
    </w:p>
    <w:p w14:paraId="7060AF4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6、给排水节能</w:t>
      </w:r>
    </w:p>
    <w:p w14:paraId="4830AB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（1）厂区节水技术措施</w:t>
      </w:r>
    </w:p>
    <w:p w14:paraId="0E3DB69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 冷却水循环使用</w:t>
      </w:r>
    </w:p>
    <w:p w14:paraId="70939E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为节约水资源，提高新水的重复利用率，厂区内作业区的设备均利用循环水来进行冷却。</w:t>
      </w:r>
    </w:p>
    <w:p w14:paraId="6A4291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 节水型卫生器具</w:t>
      </w:r>
    </w:p>
    <w:p w14:paraId="16E12A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生活配套设施中选用的洗脸盆、洗手盆、淋浴器和小便器等洁具均采用国家推荐的节水型设备，安装节水型（延时自闭、感应自闭式水嘴）阀门，最大限度的采用室内给排水节能技术。室内给排水管材采用连接效果好的塑料管材，选择材质稳定的卫生设备，减少跑冒滴漏现象。</w:t>
      </w:r>
    </w:p>
    <w:p w14:paraId="571A5C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③设计浓缩倍数的确定</w:t>
      </w:r>
    </w:p>
    <w:p w14:paraId="2958A8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循环水系统运行过程中因蒸发、风吹、排污、漏损等原因，水量不断减少，盐分不断升高，需要随时补充新水。新水补充量大时，循环水浓缩倍数低，水质好，但耗水量大；新水补充量小时，循环水浓缩倍数高，水质较差，但节水效果好。依据《工业循环冷却水处理设计规范》（GB50050-2017），项目循环水系统设计浓缩倍数≥5，较高的浓缩倍数可减少新水消耗。同时，各循环水均设置旁滤处理设施，提高排污水中的固含率，在保证循环水水质满足工艺需求的条件下，减少了循环水补水量和排污量。</w:t>
      </w:r>
    </w:p>
    <w:p w14:paraId="4932D3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（2）厂区节能技术措施</w:t>
      </w:r>
    </w:p>
    <w:p w14:paraId="3DEDC57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 冷却塔风机采用双速电机</w:t>
      </w:r>
    </w:p>
    <w:p w14:paraId="65BC66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设计选用的冷却塔风机均为调速型。根据外界气象条件调节冷却塔风机转速，可有效减少耗电量。</w:t>
      </w:r>
    </w:p>
    <w:p w14:paraId="07C29B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 水泵采用变频调速控制</w:t>
      </w:r>
    </w:p>
    <w:p w14:paraId="4FC603F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恒压变频生活给水设备采用变频调速控制。利用压力传感器采集管网中的压力，并将信号输送至水泵变频控制器。当管网压力大于设定值，变频器降频运行，水泵功率降低；当管网压力小于设定值，变频器升频运行，水泵功率升高。在这些供水系统中采用变频调速技术，可以提高供给水系统的运行可靠性，避免电能浪费，具有良好的经济效益。</w:t>
      </w:r>
    </w:p>
    <w:p w14:paraId="7A9350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 水泵电机选用新型高效节能电机</w:t>
      </w:r>
    </w:p>
    <w:p w14:paraId="0075F8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水泵电机采用高效节能电机，高效节能电机采用新型电机设计、新工艺及新材料，通过降低电磁能、热能及机械能的损耗，提高输出功率，与标准电机比，效率可平均提高4%，具有良好的经济效益。</w:t>
      </w:r>
    </w:p>
    <w:p w14:paraId="48D1D3E6">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3.2.4.4结论与建议</w:t>
      </w:r>
    </w:p>
    <w:p w14:paraId="34BAEA3C">
      <w:pPr>
        <w:ind w:firstLine="480"/>
        <w:rPr>
          <w:color w:val="000000" w:themeColor="text1"/>
          <w14:textFill>
            <w14:solidFill>
              <w14:schemeClr w14:val="tx1"/>
            </w14:solidFill>
          </w14:textFill>
        </w:rPr>
      </w:pPr>
      <w:r>
        <w:rPr>
          <w:color w:val="000000" w:themeColor="text1"/>
          <w14:textFill>
            <w14:solidFill>
              <w14:schemeClr w14:val="tx1"/>
            </w14:solidFill>
          </w14:textFill>
        </w:rPr>
        <w:t>根据碳排放源核别和工程分析，本项目碳排放主要为购入的电力产生CO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的排放。经核算，本项目碳排放量为</w:t>
      </w:r>
      <w:bookmarkStart w:id="56" w:name="_Hlk226625947"/>
      <w:r>
        <w:rPr>
          <w:color w:val="000000" w:themeColor="text1"/>
          <w14:textFill>
            <w14:solidFill>
              <w14:schemeClr w14:val="tx1"/>
            </w14:solidFill>
          </w14:textFill>
        </w:rPr>
        <w:t>2088.108</w:t>
      </w:r>
      <w:bookmarkEnd w:id="56"/>
      <w:r>
        <w:rPr>
          <w:color w:val="000000" w:themeColor="text1"/>
          <w14:textFill>
            <w14:solidFill>
              <w14:schemeClr w14:val="tx1"/>
            </w14:solidFill>
          </w14:textFill>
        </w:rPr>
        <w:t>tCO/a。本项目</w:t>
      </w:r>
      <w:r>
        <w:rPr>
          <w:rFonts w:hint="eastAsia"/>
          <w:color w:val="000000" w:themeColor="text1"/>
          <w14:textFill>
            <w14:solidFill>
              <w14:schemeClr w14:val="tx1"/>
            </w14:solidFill>
          </w14:textFill>
        </w:rPr>
        <w:t>单位工业总产值</w:t>
      </w:r>
      <w:r>
        <w:rPr>
          <w:color w:val="000000" w:themeColor="text1"/>
          <w14:textFill>
            <w14:solidFill>
              <w14:schemeClr w14:val="tx1"/>
            </w14:solidFill>
          </w14:textFill>
        </w:rPr>
        <w:t>碳排放</w:t>
      </w:r>
      <w:r>
        <w:rPr>
          <w:rFonts w:hint="eastAsia"/>
          <w:color w:val="000000" w:themeColor="text1"/>
          <w14:textFill>
            <w14:solidFill>
              <w14:schemeClr w14:val="tx1"/>
            </w14:solidFill>
          </w14:textFill>
        </w:rPr>
        <w:t>0.348tCO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/万元，</w:t>
      </w: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能耗</w:t>
      </w:r>
      <w:r>
        <w:rPr>
          <w:color w:val="000000" w:themeColor="text1"/>
          <w14:textFill>
            <w14:solidFill>
              <w14:schemeClr w14:val="tx1"/>
            </w14:solidFill>
          </w14:textFill>
        </w:rPr>
        <w:t>碳排放</w:t>
      </w:r>
      <w:r>
        <w:rPr>
          <w:rFonts w:hint="eastAsia"/>
          <w:color w:val="000000" w:themeColor="text1"/>
          <w14:textFill>
            <w14:solidFill>
              <w14:schemeClr w14:val="tx1"/>
            </w14:solidFill>
          </w14:textFill>
        </w:rPr>
        <w:t>4.29tCO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/吨标煤</w:t>
      </w:r>
      <w:r>
        <w:rPr>
          <w:color w:val="000000" w:themeColor="text1"/>
          <w14:textFill>
            <w14:solidFill>
              <w14:schemeClr w14:val="tx1"/>
            </w14:solidFill>
          </w14:textFill>
        </w:rPr>
        <w:t>，低于行业单位工业增加值碳排放参考值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符合高附加值新材料项目的低碳特征。</w:t>
      </w:r>
    </w:p>
    <w:p w14:paraId="01B8D046">
      <w:pPr>
        <w:ind w:firstLine="480"/>
        <w:rPr>
          <w:color w:val="000000" w:themeColor="text1"/>
          <w14:textFill>
            <w14:solidFill>
              <w14:schemeClr w14:val="tx1"/>
            </w14:solidFill>
          </w14:textFill>
        </w:rPr>
      </w:pPr>
      <w:r>
        <w:rPr>
          <w:color w:val="000000" w:themeColor="text1"/>
          <w14:textFill>
            <w14:solidFill>
              <w14:schemeClr w14:val="tx1"/>
            </w14:solidFill>
          </w14:textFill>
        </w:rPr>
        <w:t>建议建设单位按照国家对碳排放控制和碳市场管理的要求，采取进一步减少碳排放和二氧化碳综合利用的措施</w:t>
      </w:r>
      <w:r>
        <w:rPr>
          <w:rFonts w:hint="eastAsia"/>
          <w:color w:val="000000" w:themeColor="text1"/>
          <w14:textFill>
            <w14:solidFill>
              <w14:schemeClr w14:val="tx1"/>
            </w14:solidFill>
          </w14:textFill>
        </w:rPr>
        <w:t>：</w:t>
      </w:r>
    </w:p>
    <w:p w14:paraId="2A1AC40E">
      <w:pPr>
        <w:ind w:firstLine="480"/>
        <w:rPr>
          <w:color w:val="000000" w:themeColor="text1"/>
          <w14:textFill>
            <w14:solidFill>
              <w14:schemeClr w14:val="tx1"/>
            </w14:solidFill>
          </w14:textFill>
        </w:rPr>
      </w:pPr>
      <w:r>
        <w:rPr>
          <w:color w:val="000000" w:themeColor="text1"/>
          <w14:textFill>
            <w14:solidFill>
              <w14:schemeClr w14:val="tx1"/>
            </w14:solidFill>
          </w14:textFill>
        </w:rPr>
        <w:t>（1）厂内设专人负责节能工作，各作业区设有兼职管理人员，形成管理网络，落实各项节能工作、节能措施和节能教育培训工作。</w:t>
      </w:r>
    </w:p>
    <w:p w14:paraId="5FE01086">
      <w:pPr>
        <w:ind w:firstLine="480"/>
        <w:rPr>
          <w:color w:val="000000" w:themeColor="text1"/>
          <w14:textFill>
            <w14:solidFill>
              <w14:schemeClr w14:val="tx1"/>
            </w14:solidFill>
          </w14:textFill>
        </w:rPr>
      </w:pPr>
      <w:r>
        <w:rPr>
          <w:color w:val="000000" w:themeColor="text1"/>
          <w14:textFill>
            <w14:solidFill>
              <w14:schemeClr w14:val="tx1"/>
            </w14:solidFill>
          </w14:textFill>
        </w:rPr>
        <w:t>（2）厂内设能源管理部门，建立能源管理制度。明确各级计量管理归口管理部门和人员，确定各级管理部门和人员的权限与职责。</w:t>
      </w:r>
    </w:p>
    <w:p w14:paraId="31E6C171">
      <w:pPr>
        <w:ind w:firstLine="480"/>
        <w:rPr>
          <w:color w:val="000000" w:themeColor="text1"/>
          <w14:textFill>
            <w14:solidFill>
              <w14:schemeClr w14:val="tx1"/>
            </w14:solidFill>
          </w14:textFill>
        </w:rPr>
      </w:pPr>
      <w:r>
        <w:rPr>
          <w:color w:val="000000" w:themeColor="text1"/>
          <w14:textFill>
            <w14:solidFill>
              <w14:schemeClr w14:val="tx1"/>
            </w14:solidFill>
          </w14:textFill>
        </w:rPr>
        <w:t>（3）依据《用能单位能源计量器具配备和管理通则》国家标准的要求，合理配备满足生产经营需要的各种能源计量器具。各种计量器具应定期进行校验，保证计量的准确性和权威性。</w:t>
      </w:r>
    </w:p>
    <w:p w14:paraId="7C97E0F1">
      <w:pPr>
        <w:ind w:firstLine="480"/>
        <w:rPr>
          <w:color w:val="000000" w:themeColor="text1"/>
          <w14:textFill>
            <w14:solidFill>
              <w14:schemeClr w14:val="tx1"/>
            </w14:solidFill>
          </w14:textFill>
        </w:rPr>
      </w:pPr>
      <w:r>
        <w:rPr>
          <w:color w:val="000000" w:themeColor="text1"/>
          <w14:textFill>
            <w14:solidFill>
              <w14:schemeClr w14:val="tx1"/>
            </w14:solidFill>
          </w14:textFill>
        </w:rPr>
        <w:t>（4）建立能源管理网络，厂级、作业区、班组三级管理，装置正常生产时，对生产装置进行技术标定，进行物耗、能耗测定，参考标定的数据，制定产品的物耗、能耗考核指标，建立考核制度和奖惩制度。</w:t>
      </w:r>
    </w:p>
    <w:p w14:paraId="699D7609">
      <w:pPr>
        <w:ind w:firstLine="480"/>
        <w:rPr>
          <w:color w:val="000000" w:themeColor="text1"/>
          <w14:textFill>
            <w14:solidFill>
              <w14:schemeClr w14:val="tx1"/>
            </w14:solidFill>
          </w14:textFill>
        </w:rPr>
      </w:pPr>
      <w:r>
        <w:rPr>
          <w:color w:val="000000" w:themeColor="text1"/>
          <w14:textFill>
            <w14:solidFill>
              <w14:schemeClr w14:val="tx1"/>
            </w14:solidFill>
          </w14:textFill>
        </w:rPr>
        <w:t>（5）加强职工节能意识的宣传和教育，提高职工节约能源的自觉性。本次项目在设计中采取了以上一系列节能措施，预计能够节约成本，降低能耗。</w:t>
      </w:r>
    </w:p>
    <w:p w14:paraId="1BEE33B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7" w:name="_Toc14983"/>
      <w:r>
        <w:rPr>
          <w:rFonts w:hint="eastAsia"/>
          <w:color w:val="000000" w:themeColor="text1"/>
          <w14:textFill>
            <w14:solidFill>
              <w14:schemeClr w14:val="tx1"/>
            </w14:solidFill>
          </w14:textFill>
        </w:rPr>
        <w:t>3.2.5清洁生产分析</w:t>
      </w:r>
      <w:bookmarkEnd w:id="57"/>
    </w:p>
    <w:p w14:paraId="11FF9C9E">
      <w:pPr>
        <w:ind w:firstLine="480"/>
        <w:rPr>
          <w:color w:val="000000" w:themeColor="text1"/>
          <w14:textFill>
            <w14:solidFill>
              <w14:schemeClr w14:val="tx1"/>
            </w14:solidFill>
          </w14:textFill>
        </w:rPr>
      </w:pPr>
      <w:r>
        <w:rPr>
          <w:color w:val="000000" w:themeColor="text1"/>
          <w14:textFill>
            <w14:solidFill>
              <w14:schemeClr w14:val="tx1"/>
            </w14:solidFill>
          </w14:textFill>
        </w:rPr>
        <w:t>清洁生产是我国积极提倡的环境保护政策，以节能、降耗、减污为目标，以技术和管理为手段，强调在生产的全过程中的源削减。通过对生产全过程的排污审计、筛选并实施污染防治措施，不仅可以预防污染源建成后对环境的污染，而且能预防该污染源本身的污染产生，从而以经济有效方式最大限度地减少污染。</w:t>
      </w:r>
    </w:p>
    <w:p w14:paraId="3D60219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属行业目前无行业清洁生产标准，因此本次环评依照《中华人民共和国清洁生产促进法》对工业企业实施清洁生产的要求，主要从工艺水平、资源能耗、污染物排放量、单位产品污染物产生量及生产过程中的污染减缓措施等指标进行分析，从原辅料、工艺水平、能源消耗、污染物排放四方面开展分析综合评价本项目的清洁生产水平。</w:t>
      </w:r>
    </w:p>
    <w:p w14:paraId="3AB4CD1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3.2.5.1</w:t>
      </w:r>
      <w:r>
        <w:rPr>
          <w:color w:val="000000" w:themeColor="text1"/>
          <w14:textFill>
            <w14:solidFill>
              <w14:schemeClr w14:val="tx1"/>
            </w14:solidFill>
          </w14:textFill>
        </w:rPr>
        <w:t>原辅料清洁生产分析</w:t>
      </w:r>
    </w:p>
    <w:p w14:paraId="1876AA1D">
      <w:pPr>
        <w:ind w:firstLine="480"/>
        <w:rPr>
          <w:color w:val="000000" w:themeColor="text1"/>
          <w14:textFill>
            <w14:solidFill>
              <w14:schemeClr w14:val="tx1"/>
            </w14:solidFill>
          </w14:textFill>
        </w:rPr>
      </w:pPr>
      <w:r>
        <w:rPr>
          <w:color w:val="000000" w:themeColor="text1"/>
          <w14:textFill>
            <w14:solidFill>
              <w14:schemeClr w14:val="tx1"/>
            </w14:solidFill>
          </w14:textFill>
        </w:rPr>
        <w:t>原辅料是清洁生产的源头，本项目核心原辅料为五硫化二磷（P₂S₅）、硫化锂（Li₂S）、氯化锂（LiCl），均为硫化物固态电解质的核心前驱体，硫化物固态电解质对原料纯度要求极高，若五硫化二磷、硫化锂、氯化锂含杂质（如金属离子、水分、氧化物），不仅会导致产品性能不达标、返工率上升，还会在烧结等环节产生副产物，增加污染物产生量</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采用高纯度原料（电子级），可直接提升反应转化率，减少原料损耗，符合 “原料减量化” 原则。</w:t>
      </w:r>
    </w:p>
    <w:p w14:paraId="6FF718C1">
      <w:pPr>
        <w:ind w:firstLine="480"/>
        <w:rPr>
          <w:color w:val="000000" w:themeColor="text1"/>
          <w14:textFill>
            <w14:solidFill>
              <w14:schemeClr w14:val="tx1"/>
            </w14:solidFill>
          </w14:textFill>
        </w:rPr>
      </w:pPr>
      <w:r>
        <w:rPr>
          <w:color w:val="000000" w:themeColor="text1"/>
          <w14:textFill>
            <w14:solidFill>
              <w14:schemeClr w14:val="tx1"/>
            </w14:solidFill>
          </w14:textFill>
        </w:rPr>
        <w:t>五硫化二磷、硫化锂均为易水解物质，与水接触会生成硫化氢（H₂S）</w:t>
      </w:r>
      <w:r>
        <w:rPr>
          <w:rFonts w:hint="eastAsia"/>
          <w:color w:val="000000" w:themeColor="text1"/>
          <w14:textFill>
            <w14:solidFill>
              <w14:schemeClr w14:val="tx1"/>
            </w14:solidFill>
          </w14:textFill>
        </w:rPr>
        <w:t>气体</w:t>
      </w:r>
      <w:r>
        <w:rPr>
          <w:color w:val="000000" w:themeColor="text1"/>
          <w14:textFill>
            <w14:solidFill>
              <w14:schemeClr w14:val="tx1"/>
            </w14:solidFill>
          </w14:textFill>
        </w:rPr>
        <w:t>，若原料储存、投料环节密封不佳，不仅会造成原料有效成分损耗，还会产生特征恶臭污染物，属于源头无组织污染风险点</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生产过程需采用无水工艺，从源头规避了水相反应的废水产生，相较于水相合成工艺，本项目无工艺废水产生，属于原料特性带来的清洁生产优势。</w:t>
      </w:r>
    </w:p>
    <w:p w14:paraId="3928159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本项目核心工艺为物理混合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高温烧结的固相合成工艺，无额外有机溶剂、催化剂等辅料添加，仅需少量惰性气体（如氩气、氮气）作为保护气，辅料消耗少、种类单一，减少了因辅料引入的二次污染，符合</w:t>
      </w:r>
      <w:r>
        <w:rPr>
          <w:rFonts w:hint="eastAsia"/>
          <w:color w:val="000000" w:themeColor="text1"/>
          <w14:textFill>
            <w14:solidFill>
              <w14:schemeClr w14:val="tx1"/>
            </w14:solidFill>
          </w14:textFill>
        </w:rPr>
        <w:t xml:space="preserve"> “原辅材料低毒、低害、少品种” </w:t>
      </w:r>
      <w:r>
        <w:rPr>
          <w:color w:val="000000" w:themeColor="text1"/>
          <w14:textFill>
            <w14:solidFill>
              <w14:schemeClr w14:val="tx1"/>
            </w14:solidFill>
          </w14:textFill>
        </w:rPr>
        <w:t>的清洁生产要求</w:t>
      </w:r>
    </w:p>
    <w:p w14:paraId="5E15834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本项目采用固相合成工艺，无额外催化剂等辅料添加，仅需少量惰性保护气，</w:t>
      </w:r>
      <w:r>
        <w:rPr>
          <w:rFonts w:hint="eastAsia"/>
          <w:color w:val="000000" w:themeColor="text1"/>
          <w14:textFill>
            <w14:solidFill>
              <w14:schemeClr w14:val="tx1"/>
            </w14:solidFill>
          </w14:textFill>
        </w:rPr>
        <w:t>原料</w:t>
      </w:r>
      <w:r>
        <w:rPr>
          <w:color w:val="000000" w:themeColor="text1"/>
          <w14:textFill>
            <w14:solidFill>
              <w14:schemeClr w14:val="tx1"/>
            </w14:solidFill>
          </w14:textFill>
        </w:rPr>
        <w:t>种类单一，从源头减少二次污染；核心原料五硫化二磷、硫化锂为易水解物质，若储存、投料密封不佳，易造成原料损耗并产生硫化氢无组织恶臭，且原料纯度直接影响产品收率与副产物产生量，高纯度电子级原料可提升反应转化率、减少损耗。</w:t>
      </w:r>
    </w:p>
    <w:p w14:paraId="31B27A7B">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3.2.5.2</w:t>
      </w:r>
      <w:r>
        <w:rPr>
          <w:color w:val="000000" w:themeColor="text1"/>
          <w14:textFill>
            <w14:solidFill>
              <w14:schemeClr w14:val="tx1"/>
            </w14:solidFill>
          </w14:textFill>
        </w:rPr>
        <w:t>工艺水平清洁生产分析</w:t>
      </w:r>
    </w:p>
    <w:p w14:paraId="6F7BE3BD">
      <w:pPr>
        <w:ind w:firstLine="480"/>
        <w:rPr>
          <w:color w:val="000000" w:themeColor="text1"/>
          <w14:textFill>
            <w14:solidFill>
              <w14:schemeClr w14:val="tx1"/>
            </w14:solidFill>
          </w14:textFill>
        </w:rPr>
      </w:pPr>
      <w:r>
        <w:rPr>
          <w:color w:val="000000" w:themeColor="text1"/>
          <w14:textFill>
            <w14:solidFill>
              <w14:schemeClr w14:val="tx1"/>
            </w14:solidFill>
          </w14:textFill>
        </w:rPr>
        <w:t>项目采用的固相合成无水工艺为硫化物固态电解质主流清洁工艺，无工艺废水产生，仅产生少量废气、固废，且工艺环节以物理 / 中低温热加工为主，无高温高压极端工况，操作安全、污染可控。</w:t>
      </w:r>
    </w:p>
    <w:p w14:paraId="07F5A3BC">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3.2.5.3</w:t>
      </w:r>
      <w:r>
        <w:rPr>
          <w:color w:val="000000" w:themeColor="text1"/>
          <w14:textFill>
            <w14:solidFill>
              <w14:schemeClr w14:val="tx1"/>
            </w14:solidFill>
          </w14:textFill>
        </w:rPr>
        <w:t>能源消耗清洁生产分析</w:t>
      </w:r>
    </w:p>
    <w:p w14:paraId="5C06C4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本项目建成后年，项目折标能耗见下表。</w:t>
      </w:r>
    </w:p>
    <w:p w14:paraId="2E2C957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表3.2-12 项目建设后能耗核算表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650"/>
        <w:gridCol w:w="2737"/>
        <w:gridCol w:w="2562"/>
      </w:tblGrid>
      <w:tr w14:paraId="67DC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tcPr>
          <w:p w14:paraId="1BFD3A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物料名称</w:t>
            </w:r>
          </w:p>
        </w:tc>
        <w:tc>
          <w:tcPr>
            <w:tcW w:w="968" w:type="pct"/>
          </w:tcPr>
          <w:p w14:paraId="7B80AC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年用量</w:t>
            </w:r>
          </w:p>
        </w:tc>
        <w:tc>
          <w:tcPr>
            <w:tcW w:w="1605" w:type="pct"/>
          </w:tcPr>
          <w:p w14:paraId="0F45D8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折标系数</w:t>
            </w:r>
          </w:p>
        </w:tc>
        <w:tc>
          <w:tcPr>
            <w:tcW w:w="1503" w:type="pct"/>
          </w:tcPr>
          <w:p w14:paraId="294A30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指标能耗（tce）</w:t>
            </w:r>
          </w:p>
        </w:tc>
      </w:tr>
      <w:tr w14:paraId="2E38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tcPr>
          <w:p w14:paraId="69E2A6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电力</w:t>
            </w:r>
          </w:p>
        </w:tc>
        <w:tc>
          <w:tcPr>
            <w:tcW w:w="968" w:type="pct"/>
          </w:tcPr>
          <w:p w14:paraId="6F373F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390万kwh</w:t>
            </w:r>
          </w:p>
        </w:tc>
        <w:tc>
          <w:tcPr>
            <w:tcW w:w="1605" w:type="pct"/>
          </w:tcPr>
          <w:p w14:paraId="64F307DA">
            <w:pPr>
              <w:pStyle w:val="28"/>
              <w:rPr>
                <w:color w:val="000000" w:themeColor="text1"/>
                <w14:textFill>
                  <w14:solidFill>
                    <w14:schemeClr w14:val="tx1"/>
                  </w14:solidFill>
                </w14:textFill>
              </w:rPr>
            </w:pPr>
            <w:r>
              <w:rPr>
                <w:color w:val="000000" w:themeColor="text1"/>
                <w14:textFill>
                  <w14:solidFill>
                    <w14:schemeClr w14:val="tx1"/>
                  </w14:solidFill>
                </w14:textFill>
              </w:rPr>
              <w:t>0.1229kgtce/kwh</w:t>
            </w:r>
          </w:p>
        </w:tc>
        <w:tc>
          <w:tcPr>
            <w:tcW w:w="1503" w:type="pct"/>
          </w:tcPr>
          <w:p w14:paraId="20EDFF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479.31</w:t>
            </w:r>
          </w:p>
        </w:tc>
      </w:tr>
      <w:tr w14:paraId="6C5E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tcPr>
          <w:p w14:paraId="5CFA51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新水</w:t>
            </w:r>
          </w:p>
        </w:tc>
        <w:tc>
          <w:tcPr>
            <w:tcW w:w="968" w:type="pct"/>
          </w:tcPr>
          <w:p w14:paraId="5AEB60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2268.4</w:t>
            </w:r>
            <w:r>
              <w:rPr>
                <w:color w:val="000000" w:themeColor="text1"/>
                <w14:textFill>
                  <w14:solidFill>
                    <w14:schemeClr w14:val="tx1"/>
                  </w14:solidFill>
                </w14:textFill>
              </w:rPr>
              <w:t xml:space="preserve">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605" w:type="pct"/>
          </w:tcPr>
          <w:p w14:paraId="03AFCC83">
            <w:pPr>
              <w:pStyle w:val="28"/>
              <w:rPr>
                <w:color w:val="000000" w:themeColor="text1"/>
                <w14:textFill>
                  <w14:solidFill>
                    <w14:schemeClr w14:val="tx1"/>
                  </w14:solidFill>
                </w14:textFill>
              </w:rPr>
            </w:pPr>
            <w:r>
              <w:rPr>
                <w:color w:val="000000" w:themeColor="text1"/>
                <w14:textFill>
                  <w14:solidFill>
                    <w14:schemeClr w14:val="tx1"/>
                  </w14:solidFill>
                </w14:textFill>
              </w:rPr>
              <w:t>0.0857kgtce/m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水</w:t>
            </w:r>
          </w:p>
        </w:tc>
        <w:tc>
          <w:tcPr>
            <w:tcW w:w="1503" w:type="pct"/>
          </w:tcPr>
          <w:p w14:paraId="29A951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0.19</w:t>
            </w:r>
          </w:p>
        </w:tc>
      </w:tr>
      <w:tr w14:paraId="46EF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6" w:type="pct"/>
            <w:gridSpan w:val="3"/>
          </w:tcPr>
          <w:p w14:paraId="19DAEC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03" w:type="pct"/>
          </w:tcPr>
          <w:p w14:paraId="2129A1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480.25</w:t>
            </w:r>
          </w:p>
        </w:tc>
      </w:tr>
    </w:tbl>
    <w:p w14:paraId="72D0BD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根据上表，本项目属于典型的高电耗、低水耗产业，符合硫化物固态电解质材料生产以电加热、设备动力为主的工艺特征。项目以电力为主要能源，无化石燃料直接燃烧，避免了 SO₂、NOₓ等燃烧废气的产生，属于清洁型能源消费结构，符合国家 “双碳” 目标下的能源转型方向。</w:t>
      </w:r>
    </w:p>
    <w:p w14:paraId="28CAA6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根据调查，单位产品产值按以下进行计算：600万元/t，则单位产品能耗、单位产值能耗、单位工业增加值能耗计算结果见下表。</w:t>
      </w:r>
    </w:p>
    <w:p w14:paraId="1C51E250">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表3.2-13 项目建设后能耗指标评价表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4"/>
        <w:gridCol w:w="2725"/>
      </w:tblGrid>
      <w:tr w14:paraId="77B0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pct"/>
          </w:tcPr>
          <w:p w14:paraId="224641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指标名称</w:t>
            </w:r>
          </w:p>
        </w:tc>
        <w:tc>
          <w:tcPr>
            <w:tcW w:w="1599" w:type="pct"/>
          </w:tcPr>
          <w:p w14:paraId="7836E9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r>
      <w:tr w14:paraId="3344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pct"/>
          </w:tcPr>
          <w:p w14:paraId="704A5326">
            <w:pPr>
              <w:pStyle w:val="28"/>
              <w:rPr>
                <w:color w:val="000000" w:themeColor="text1"/>
                <w14:textFill>
                  <w14:solidFill>
                    <w14:schemeClr w14:val="tx1"/>
                  </w14:solidFill>
                </w14:textFill>
              </w:rPr>
            </w:pPr>
            <w:r>
              <w:rPr>
                <w:color w:val="000000" w:themeColor="text1"/>
                <w14:textFill>
                  <w14:solidFill>
                    <w14:schemeClr w14:val="tx1"/>
                  </w14:solidFill>
                </w14:textFill>
              </w:rPr>
              <w:t>单位产品能耗（tce/t 产品）</w:t>
            </w:r>
          </w:p>
        </w:tc>
        <w:tc>
          <w:tcPr>
            <w:tcW w:w="1599" w:type="pct"/>
          </w:tcPr>
          <w:p w14:paraId="6C6B54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48.025</w:t>
            </w:r>
          </w:p>
        </w:tc>
      </w:tr>
      <w:tr w14:paraId="5A74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pct"/>
          </w:tcPr>
          <w:p w14:paraId="116B1C36">
            <w:pPr>
              <w:pStyle w:val="28"/>
              <w:rPr>
                <w:color w:val="000000" w:themeColor="text1"/>
                <w14:textFill>
                  <w14:solidFill>
                    <w14:schemeClr w14:val="tx1"/>
                  </w14:solidFill>
                </w14:textFill>
              </w:rPr>
            </w:pPr>
            <w:r>
              <w:rPr>
                <w:color w:val="000000" w:themeColor="text1"/>
                <w14:textFill>
                  <w14:solidFill>
                    <w14:schemeClr w14:val="tx1"/>
                  </w14:solidFill>
                </w14:textFill>
              </w:rPr>
              <w:t>单位产值能耗（tce/万元产值）</w:t>
            </w:r>
          </w:p>
        </w:tc>
        <w:tc>
          <w:tcPr>
            <w:tcW w:w="1599" w:type="pct"/>
          </w:tcPr>
          <w:p w14:paraId="4781A7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r>
    </w:tbl>
    <w:p w14:paraId="4C2A3A41">
      <w:pPr>
        <w:ind w:firstLine="480"/>
        <w:rPr>
          <w:color w:val="000000" w:themeColor="text1"/>
          <w14:textFill>
            <w14:solidFill>
              <w14:schemeClr w14:val="tx1"/>
            </w14:solidFill>
          </w14:textFill>
        </w:rPr>
      </w:pPr>
      <w:r>
        <w:rPr>
          <w:color w:val="000000" w:themeColor="text1"/>
          <w14:textFill>
            <w14:solidFill>
              <w14:schemeClr w14:val="tx1"/>
            </w14:solidFill>
          </w14:textFill>
        </w:rPr>
        <w:t>项目建设后，单位产值能耗为</w:t>
      </w:r>
      <w:r>
        <w:rPr>
          <w:rFonts w:hint="eastAsia"/>
          <w:color w:val="000000" w:themeColor="text1"/>
          <w14:textFill>
            <w14:solidFill>
              <w14:schemeClr w14:val="tx1"/>
            </w14:solidFill>
          </w14:textFill>
        </w:rPr>
        <w:t>0.08</w:t>
      </w:r>
      <w:r>
        <w:rPr>
          <w:color w:val="000000" w:themeColor="text1"/>
          <w14:textFill>
            <w14:solidFill>
              <w14:schemeClr w14:val="tx1"/>
            </w14:solidFill>
          </w14:textFill>
        </w:rPr>
        <w:t>tce/万元产值，数值处于较低水平，说明项目能源投入对产值的拉动效率较高，能源经济效益较好，符合清洁生产中 “能源高效利用” 的要求</w:t>
      </w:r>
      <w:r>
        <w:rPr>
          <w:rFonts w:hint="eastAsia"/>
          <w:color w:val="000000" w:themeColor="text1"/>
          <w14:textFill>
            <w14:solidFill>
              <w14:schemeClr w14:val="tx1"/>
            </w14:solidFill>
          </w14:textFill>
        </w:rPr>
        <w:t>，符合清洁生产原则</w:t>
      </w:r>
      <w:r>
        <w:rPr>
          <w:color w:val="000000" w:themeColor="text1"/>
          <w14:textFill>
            <w14:solidFill>
              <w14:schemeClr w14:val="tx1"/>
            </w14:solidFill>
          </w14:textFill>
        </w:rPr>
        <w:t>。企业后续运营过程需进一步推行清洁生产制度，将清洁生产纳入生产管理和环境管理中，以清洁生产要求指导生产的全过程</w:t>
      </w:r>
      <w:r>
        <w:rPr>
          <w:rFonts w:hint="eastAsia"/>
          <w:color w:val="000000" w:themeColor="text1"/>
          <w14:textFill>
            <w14:solidFill>
              <w14:schemeClr w14:val="tx1"/>
            </w14:solidFill>
          </w14:textFill>
        </w:rPr>
        <w:t>。</w:t>
      </w:r>
    </w:p>
    <w:p w14:paraId="4BE5602D">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3.2.5.4污染物排放量分析</w:t>
      </w:r>
    </w:p>
    <w:p w14:paraId="05CBB1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中的废气主要是投料粉尘、研磨废气、干燥废气、测试残渣处理废气和废水处理站废气。本项目采用密闭式生产装置，生产过程产生的投料粉尘、研磨废气、干燥废气通过管道接入废气处理系统，经碱喷淋+除雾+活性炭吸附处理后通过15m高的排气筒排放。测试残渣处理废气通过通风橱+管道收集后进入废气处理系统处理后排放，废水处理站废气通过废水收集池封闭，池体上方设置集气罩收集后通过管道接入废气处理系统处理后排放。根据源强核算结果，本项目建成后颗粒物排放量为0.0001t/a，非甲烷总烃排放量为0.3t/a，硫化氢排放量为0.0055t/a。单位产品污染物排放量为颗粒物排放量为0.01kg/t产品，非甲烷总烃排放量为30kg/t产品，硫化氢排放量为0.55kg/t产品，排放量较少。</w:t>
      </w:r>
    </w:p>
    <w:p w14:paraId="10ED689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是生活污水和生产废水，生产废水主要是纯水制备废水、测试器具清洗废水、车间拖把清洁废水、冷却水循环系统定期排污水。生产废水经自建一体化污水处理站处理达标后通过生产废水排放口（DW002）排入云南捷辰包装材料有限公司已建成的污水管网，与依托现有化粪池预处理后生活污水一起通过云南捷辰包装材料有限公司以批复的排放口（DW001）排入市政污水管网，排入玉溪市污水处理厂。根据源强核算结果，本项目外排废水量为467.736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/a，CODcr排放量为0.0462 t/a，BOD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排放量为0.0196t/a，SS排放量为0.0054 t/a，NH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 xml:space="preserve">-N排放量为0.0061t/a，TP排放量为0.00001t/a，硫化物排放量为0.00002t/a，污染物排放量较少。 </w:t>
      </w:r>
    </w:p>
    <w:p w14:paraId="14C421D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本项目噪声主要是生产设备运行噪声，设备选择时，尽量选用噪声较低、振动较小的设备，生产设备固定减振，全部设备均布置于车间内，利用车间墙体隔声。泵与进出口管道间安装软橡胶接头，泵体基础减振，风机安装消声器。定期对设备进行检修，避免设备异常产生大的噪声。根据噪声影响预测结果，本项目生产设备噪声经过有效降噪再经过空间距离衰减后，其厂界</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噪声符合《工业企业厂界环境噪声排放标准》（GB12348-2008）中的3类标准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西面噪声</w:t>
      </w:r>
      <w:r>
        <w:rPr>
          <w:rFonts w:hint="eastAsia"/>
          <w:color w:val="000000" w:themeColor="text1"/>
          <w14:textFill>
            <w14:solidFill>
              <w14:schemeClr w14:val="tx1"/>
            </w14:solidFill>
          </w14:textFill>
        </w:rPr>
        <w:t>符合《工业企业厂界环境噪声排放标准》（GB12348-2008）中的</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类标准。</w:t>
      </w:r>
    </w:p>
    <w:p w14:paraId="725FD2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有机溶剂、废导热油、废活性炭、废手套采用带盖容器收集，可有效减少挥发和泄漏，符合《危险废物收集贮存运输技术规范》要求；测试残渣先在通风橱内与空气中的水分接触反应，避免收集过程中有毒气体扩散，措施合理。污水处理污泥、喷淋循环系统定期排污废液及产及销。废弃包装物分类收集处置，各类危废统一暂存于危废暂存间，需满足《危险废物贮存污染控制标准》（GB 18597）：如设置防渗地面（环氧树脂或防腐瓷砖）、导流沟及集液池（防止渗滤液外泄）、分类分区存放（如废有机溶剂与废活性炭分开堆放）、张贴危废标识及管理制度，若暂存间符合上述要求，则暂存措施可行。</w:t>
      </w:r>
    </w:p>
    <w:p w14:paraId="29D3EC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危险废物委托有资质单位清运处置，需确保合作单位具备对应危废类别（如废有机溶剂对应 HW06、废导热油对应 HW08）的处置资质，签订规范合同并留存转移联单，符合《危险废物转移联单管理办法》，处置路径合法可行。生活垃圾统一收集后委托当地环卫部门清运，符合《城市生活垃圾管理办法》，处置路径成熟可靠。</w:t>
      </w:r>
    </w:p>
    <w:p w14:paraId="3C4BE7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综上所述，项目运营过程中所产生的固体废物均可得到妥善的处置，且处置方式合理可行。</w:t>
      </w:r>
    </w:p>
    <w:p w14:paraId="5408CF8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3.2.5.5结论</w:t>
      </w:r>
    </w:p>
    <w:p w14:paraId="43F3ACB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项目使用的能源均为清洁能源，项目所需原辅材料均符合相关质量标准；项目采取的污控措施均为行业内的先进控制技术，废气、废水、噪声污染物满足达标排放的要求，固废有完整的处置、回收利用方案，节能减排效果突出，</w:t>
      </w:r>
      <w:r>
        <w:rPr>
          <w:rFonts w:hint="eastAsia"/>
          <w:color w:val="000000" w:themeColor="text1"/>
          <w14:textFill>
            <w14:solidFill>
              <w14:schemeClr w14:val="tx1"/>
            </w14:solidFill>
          </w14:textFill>
        </w:rPr>
        <w:t>满足清洁生产要求</w:t>
      </w:r>
      <w:r>
        <w:rPr>
          <w:color w:val="000000" w:themeColor="text1"/>
          <w14:textFill>
            <w14:solidFill>
              <w14:schemeClr w14:val="tx1"/>
            </w14:solidFill>
          </w14:textFill>
        </w:rPr>
        <w:t>。</w:t>
      </w:r>
    </w:p>
    <w:p w14:paraId="58C6141B">
      <w:pPr>
        <w:pStyle w:val="2"/>
        <w:rPr>
          <w:color w:val="000000" w:themeColor="text1"/>
          <w14:textFill>
            <w14:solidFill>
              <w14:schemeClr w14:val="tx1"/>
            </w14:solidFill>
          </w14:textFill>
        </w:rPr>
      </w:pPr>
      <w:bookmarkStart w:id="58" w:name="_Toc29324"/>
      <w:r>
        <w:rPr>
          <w:rFonts w:hint="eastAsia"/>
          <w:color w:val="000000" w:themeColor="text1"/>
          <w14:textFill>
            <w14:solidFill>
              <w14:schemeClr w14:val="tx1"/>
            </w14:solidFill>
          </w14:textFill>
        </w:rPr>
        <w:t>4</w:t>
      </w:r>
      <w:r>
        <w:rPr>
          <w:color w:val="000000" w:themeColor="text1"/>
          <w14:textFill>
            <w14:solidFill>
              <w14:schemeClr w14:val="tx1"/>
            </w14:solidFill>
          </w14:textFill>
        </w:rPr>
        <w:t>、环境现状调查与评价</w:t>
      </w:r>
      <w:bookmarkEnd w:id="58"/>
    </w:p>
    <w:p w14:paraId="41FE2BAC">
      <w:pPr>
        <w:pStyle w:val="3"/>
        <w:rPr>
          <w:color w:val="000000" w:themeColor="text1"/>
          <w14:textFill>
            <w14:solidFill>
              <w14:schemeClr w14:val="tx1"/>
            </w14:solidFill>
          </w14:textFill>
        </w:rPr>
      </w:pPr>
      <w:bookmarkStart w:id="59" w:name="_Toc17379"/>
      <w:r>
        <w:rPr>
          <w:color w:val="000000" w:themeColor="text1"/>
          <w14:textFill>
            <w14:solidFill>
              <w14:schemeClr w14:val="tx1"/>
            </w14:solidFill>
          </w14:textFill>
        </w:rPr>
        <w:t>4.1自然环境概</w:t>
      </w:r>
      <w:bookmarkEnd w:id="59"/>
    </w:p>
    <w:p w14:paraId="4EDE337C">
      <w:pPr>
        <w:pStyle w:val="4"/>
        <w:rPr>
          <w:color w:val="000000" w:themeColor="text1"/>
          <w14:textFill>
            <w14:solidFill>
              <w14:schemeClr w14:val="tx1"/>
            </w14:solidFill>
          </w14:textFill>
        </w:rPr>
      </w:pPr>
      <w:bookmarkStart w:id="60" w:name="_Toc16982"/>
      <w:r>
        <w:rPr>
          <w:color w:val="000000" w:themeColor="text1"/>
          <w14:textFill>
            <w14:solidFill>
              <w14:schemeClr w14:val="tx1"/>
            </w14:solidFill>
          </w14:textFill>
        </w:rPr>
        <w:t>4.1.1 地形、地貌、地质</w:t>
      </w:r>
      <w:bookmarkEnd w:id="60"/>
    </w:p>
    <w:p w14:paraId="3D69F942">
      <w:pPr>
        <w:ind w:firstLine="480"/>
        <w:rPr>
          <w:color w:val="000000" w:themeColor="text1"/>
          <w14:textFill>
            <w14:solidFill>
              <w14:schemeClr w14:val="tx1"/>
            </w14:solidFill>
          </w14:textFill>
        </w:rPr>
      </w:pPr>
      <w:r>
        <w:rPr>
          <w:color w:val="000000" w:themeColor="text1"/>
          <w14:textFill>
            <w14:solidFill>
              <w14:schemeClr w14:val="tx1"/>
            </w14:solidFill>
          </w14:textFill>
        </w:rPr>
        <w:t>玉溪市地处云贵高原西缘，地势西北高，东南低。境内山脉主要有哀牢山、高鲁山、梁王山、磨豆山、大水井岩头山、螺峰山。西部的哀牢山，其东部和北部有一些较大的断层陷落盆地，如玉溪、通海、澄江、江川坝子。元江河谷沿哀牢山脉东侧的元江断裂带切割较深，高差大，形成高山峡谷地带。哀牢山脉主峰大雪锅山为市内最高点，海拔3137m，南昏江与元江汇合处是市内最低点，海拔328m，相对高差2809m。全市除元江河谷外，大部分地区海拔1500～1800m，市政府驻地红塔区州城海拔1630m。</w:t>
      </w:r>
    </w:p>
    <w:p w14:paraId="258C3152">
      <w:pPr>
        <w:ind w:firstLine="480"/>
        <w:rPr>
          <w:color w:val="000000" w:themeColor="text1"/>
          <w14:textFill>
            <w14:solidFill>
              <w14:schemeClr w14:val="tx1"/>
            </w14:solidFill>
          </w14:textFill>
        </w:rPr>
      </w:pPr>
      <w:r>
        <w:rPr>
          <w:color w:val="000000" w:themeColor="text1"/>
          <w14:textFill>
            <w14:solidFill>
              <w14:schemeClr w14:val="tx1"/>
            </w14:solidFill>
          </w14:textFill>
        </w:rPr>
        <w:t>项目位于玉溪市</w:t>
      </w:r>
      <w:r>
        <w:rPr>
          <w:rFonts w:hint="eastAsia"/>
          <w:color w:val="000000" w:themeColor="text1"/>
          <w14:textFill>
            <w14:solidFill>
              <w14:schemeClr w14:val="tx1"/>
            </w14:solidFill>
          </w14:textFill>
        </w:rPr>
        <w:t>高新区九龙片区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项目区</w:t>
      </w:r>
      <w:r>
        <w:rPr>
          <w:color w:val="000000" w:themeColor="text1"/>
          <w14:textFill>
            <w14:solidFill>
              <w14:schemeClr w14:val="tx1"/>
            </w14:solidFill>
          </w14:textFill>
        </w:rPr>
        <w:t>所在地地势平坦，位于玉溪市红塔区北部，东接小石桥乡和江川旱谷田，南与春和、李棋两镇为邻，距玉溪市中心城区8公里。</w:t>
      </w:r>
    </w:p>
    <w:p w14:paraId="0E4CD030">
      <w:pPr>
        <w:pStyle w:val="4"/>
        <w:rPr>
          <w:color w:val="000000" w:themeColor="text1"/>
          <w14:textFill>
            <w14:solidFill>
              <w14:schemeClr w14:val="tx1"/>
            </w14:solidFill>
          </w14:textFill>
        </w:rPr>
      </w:pPr>
      <w:bookmarkStart w:id="61" w:name="_Toc4999"/>
      <w:r>
        <w:rPr>
          <w:color w:val="000000" w:themeColor="text1"/>
          <w14:textFill>
            <w14:solidFill>
              <w14:schemeClr w14:val="tx1"/>
            </w14:solidFill>
          </w14:textFill>
        </w:rPr>
        <w:t>4.1.2气象、气候</w:t>
      </w:r>
      <w:bookmarkEnd w:id="61"/>
    </w:p>
    <w:p w14:paraId="33DB7A29">
      <w:pPr>
        <w:ind w:firstLine="480"/>
        <w:rPr>
          <w:color w:val="000000" w:themeColor="text1"/>
          <w14:textFill>
            <w14:solidFill>
              <w14:schemeClr w14:val="tx1"/>
            </w14:solidFill>
          </w14:textFill>
        </w:rPr>
      </w:pPr>
      <w:r>
        <w:rPr>
          <w:color w:val="000000" w:themeColor="text1"/>
          <w14:textFill>
            <w14:solidFill>
              <w14:schemeClr w14:val="tx1"/>
            </w14:solidFill>
          </w14:textFill>
        </w:rPr>
        <w:t>玉溪属亚热带高原季风气候，由于地势高差悬殊，"立体气候"较为明显，大部分地区气候温和，冬无严寒，夏无酷暑，年平均气温在15.6~23.8℃之间。</w:t>
      </w:r>
    </w:p>
    <w:p w14:paraId="05EA3DA1">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气候属中亚热带半湿润冷冬高原季风气候。冬无严寒，夏无酷暑，气候宜人。一般秋夏季受暖湿气流影响形成雨季，冬春季受暖湿气流和冷气流影响形成干季。一年中干湿季节较为明显，干季一般在11月至次年4月，雨季在5月至10月。多年平均气温16.7℃，极端最高气温31.5℃，极端最低气温-0.3℃。全年日照2072小时，日照率48%。年均降雨量829.5mm，蒸发量1627.6mm。平均风速2.1m/s，常年主导风向为西南风。</w:t>
      </w:r>
    </w:p>
    <w:p w14:paraId="064B0EF3">
      <w:pPr>
        <w:pStyle w:val="4"/>
        <w:rPr>
          <w:color w:val="000000" w:themeColor="text1"/>
          <w14:textFill>
            <w14:solidFill>
              <w14:schemeClr w14:val="tx1"/>
            </w14:solidFill>
          </w14:textFill>
        </w:rPr>
      </w:pPr>
      <w:bookmarkStart w:id="62" w:name="_Toc3725"/>
      <w:r>
        <w:rPr>
          <w:color w:val="000000" w:themeColor="text1"/>
          <w14:textFill>
            <w14:solidFill>
              <w14:schemeClr w14:val="tx1"/>
            </w14:solidFill>
          </w14:textFill>
        </w:rPr>
        <w:t>4.1.3 水文水系</w:t>
      </w:r>
      <w:bookmarkEnd w:id="62"/>
    </w:p>
    <w:p w14:paraId="088942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红塔区</w:t>
      </w:r>
      <w:r>
        <w:rPr>
          <w:color w:val="000000" w:themeColor="text1"/>
          <w14:textFill>
            <w14:solidFill>
              <w14:schemeClr w14:val="tx1"/>
            </w14:solidFill>
          </w14:textFill>
        </w:rPr>
        <w:t>区域水系资源丰富，水量充量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主要的</w:t>
      </w:r>
      <w:r>
        <w:rPr>
          <w:rFonts w:hint="eastAsia"/>
          <w:color w:val="000000" w:themeColor="text1"/>
          <w14:textFill>
            <w14:solidFill>
              <w14:schemeClr w14:val="tx1"/>
            </w14:solidFill>
          </w14:textFill>
        </w:rPr>
        <w:t>河流</w:t>
      </w:r>
      <w:r>
        <w:rPr>
          <w:color w:val="000000" w:themeColor="text1"/>
          <w14:textFill>
            <w14:solidFill>
              <w14:schemeClr w14:val="tx1"/>
            </w14:solidFill>
          </w14:textFill>
        </w:rPr>
        <w:t>有玉溪大河、玉带河、中心沟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项目区地势总体西高东底，厂区东侧约</w:t>
      </w:r>
      <w:r>
        <w:rPr>
          <w:rFonts w:hint="eastAsia"/>
          <w:color w:val="000000" w:themeColor="text1"/>
          <w14:textFill>
            <w14:solidFill>
              <w14:schemeClr w14:val="tx1"/>
            </w14:solidFill>
          </w14:textFill>
        </w:rPr>
        <w:t>655</w:t>
      </w:r>
      <w:r>
        <w:rPr>
          <w:color w:val="000000" w:themeColor="text1"/>
          <w14:textFill>
            <w14:solidFill>
              <w14:schemeClr w14:val="tx1"/>
            </w14:solidFill>
          </w14:textFill>
        </w:rPr>
        <w:t>m为</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西河。项目区周围地表径流经厂区</w:t>
      </w:r>
      <w:r>
        <w:rPr>
          <w:rFonts w:hint="eastAsia"/>
          <w:color w:val="000000" w:themeColor="text1"/>
          <w14:textFill>
            <w14:solidFill>
              <w14:schemeClr w14:val="tx1"/>
            </w14:solidFill>
          </w14:textFill>
        </w:rPr>
        <w:t>北</w:t>
      </w:r>
      <w:r>
        <w:rPr>
          <w:color w:val="000000" w:themeColor="text1"/>
          <w14:textFill>
            <w14:solidFill>
              <w14:schemeClr w14:val="tx1"/>
            </w14:solidFill>
          </w14:textFill>
        </w:rPr>
        <w:t>面的沟渠汇集后</w:t>
      </w:r>
      <w:r>
        <w:rPr>
          <w:rFonts w:hint="eastAsia"/>
          <w:color w:val="000000" w:themeColor="text1"/>
          <w14:textFill>
            <w14:solidFill>
              <w14:schemeClr w14:val="tx1"/>
            </w14:solidFill>
          </w14:textFill>
        </w:rPr>
        <w:t>向</w:t>
      </w:r>
      <w:r>
        <w:rPr>
          <w:color w:val="000000" w:themeColor="text1"/>
          <w14:textFill>
            <w14:solidFill>
              <w14:schemeClr w14:val="tx1"/>
            </w14:solidFill>
          </w14:textFill>
        </w:rPr>
        <w:t>东汇入</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西河经春和、马桥后于玉溪中心城区最终汇入玉溪大河。项目地处西河径流区，雨水流向为：</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西河→玉溪大河→曲江→南盘江。</w:t>
      </w:r>
    </w:p>
    <w:p w14:paraId="14C3CB92">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1、西河</w:t>
      </w:r>
      <w:r>
        <w:rPr>
          <w:rFonts w:hint="eastAsia"/>
          <w:b/>
          <w:bCs/>
          <w:color w:val="000000" w:themeColor="text1"/>
          <w14:textFill>
            <w14:solidFill>
              <w14:schemeClr w14:val="tx1"/>
            </w14:solidFill>
          </w14:textFill>
        </w:rPr>
        <w:t>、老西河</w:t>
      </w:r>
    </w:p>
    <w:p w14:paraId="36655517">
      <w:pPr>
        <w:ind w:firstLine="480"/>
        <w:rPr>
          <w:color w:val="000000" w:themeColor="text1"/>
          <w14:textFill>
            <w14:solidFill>
              <w14:schemeClr w14:val="tx1"/>
            </w14:solidFill>
          </w14:textFill>
        </w:rPr>
      </w:pPr>
      <w:r>
        <w:rPr>
          <w:color w:val="000000" w:themeColor="text1"/>
          <w14:textFill>
            <w14:solidFill>
              <w14:schemeClr w14:val="tx1"/>
            </w14:solidFill>
          </w14:textFill>
        </w:rPr>
        <w:t>西河发源于后河坡山麓，沿途与刺桐关诸山溪交汇，南流至下坝村进入坝区，蜿蜒纵贯北部坝子，至普惠桥下游100m处注入玉溪大河，两岸为浆砌石河堤，沟道宽2.5m，深2.0m，靠汇集沿途沟水成河，雨季最大洪峰流量为2-4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/s。河段全长26.2km，平均坡降2.17％，流域面积134.5km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，河网密度0.29，弯曲系数1.18。上游属山涧自然河流，河床陡峻；下游属平原坝区，河流弯曲，河床平缓，泥沙淤积较大。</w:t>
      </w:r>
    </w:p>
    <w:p w14:paraId="687E1DE8">
      <w:pPr>
        <w:ind w:firstLine="480"/>
        <w:rPr>
          <w:color w:val="000000" w:themeColor="text1"/>
          <w14:textFill>
            <w14:solidFill>
              <w14:schemeClr w14:val="tx1"/>
            </w14:solidFill>
          </w14:textFill>
        </w:rPr>
      </w:pPr>
      <w:r>
        <w:rPr>
          <w:color w:val="000000" w:themeColor="text1"/>
          <w14:textFill>
            <w14:solidFill>
              <w14:schemeClr w14:val="tx1"/>
            </w14:solidFill>
          </w14:textFill>
        </w:rPr>
        <w:t>老西河为西河主要支流，在马桥处汇入西河，西河于</w:t>
      </w:r>
      <w:r>
        <w:rPr>
          <w:rFonts w:hint="eastAsia"/>
          <w:color w:val="000000" w:themeColor="text1"/>
          <w14:textFill>
            <w14:solidFill>
              <w14:schemeClr w14:val="tx1"/>
            </w14:solidFill>
          </w14:textFill>
        </w:rPr>
        <w:t>大河边</w:t>
      </w:r>
      <w:r>
        <w:rPr>
          <w:color w:val="000000" w:themeColor="text1"/>
          <w14:textFill>
            <w14:solidFill>
              <w14:schemeClr w14:val="tx1"/>
            </w14:solidFill>
          </w14:textFill>
        </w:rPr>
        <w:t>汇入玉溪大河。</w:t>
      </w:r>
    </w:p>
    <w:p w14:paraId="494E4338">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2、玉溪大河</w:t>
      </w:r>
    </w:p>
    <w:p w14:paraId="5A75916F">
      <w:pPr>
        <w:ind w:firstLine="480"/>
        <w:rPr>
          <w:color w:val="000000" w:themeColor="text1"/>
          <w14:textFill>
            <w14:solidFill>
              <w14:schemeClr w14:val="tx1"/>
            </w14:solidFill>
          </w14:textFill>
        </w:rPr>
      </w:pPr>
      <w:r>
        <w:rPr>
          <w:color w:val="000000" w:themeColor="text1"/>
          <w14:textFill>
            <w14:solidFill>
              <w14:schemeClr w14:val="tx1"/>
            </w14:solidFill>
          </w14:textFill>
        </w:rPr>
        <w:t>玉溪大河是南盘江一级支流曲江的上游，发源于东风水库，主要支流9条，有红旗河、西河、清水河、大沙河、干沟河、甸苴河、黑龙潭河、密罗河和白龙潭河，属于珠江流域西江水系。玉溪大河横贯玉溪坝子，是红塔区工农业用水的主要水源，又是工农业废水的纳污水体。玉溪大河总径流面积1082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，其中在红塔区境内径流面积820km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，平均坡度8.5‰，干流长48km，主干和支流总长达350km，河网密度0.35，水资源年均总量4.2亿</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，其中河水主要来源于地表水，受季节影响，水量变化幅度较大。据大营街洛河抽水站水文资料，河水平均流速为0.985m/s，流量为12m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/s，河宽15m，水深0.8m。在枯水期，河水主要来自东风水库，平均流量为1.2m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6B594436">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项目区水系图见</w:t>
      </w:r>
      <w:r>
        <w:rPr>
          <w:rFonts w:hint="eastAsia"/>
          <w:color w:val="000000" w:themeColor="text1"/>
          <w14:textFill>
            <w14:solidFill>
              <w14:schemeClr w14:val="tx1"/>
            </w14:solidFill>
          </w14:textFill>
        </w:rPr>
        <w:t>附图</w:t>
      </w:r>
      <w:r>
        <w:rPr>
          <w:color w:val="000000" w:themeColor="text1"/>
          <w14:textFill>
            <w14:solidFill>
              <w14:schemeClr w14:val="tx1"/>
            </w14:solidFill>
          </w14:textFill>
        </w:rPr>
        <w:t>4.1-1。</w:t>
      </w:r>
    </w:p>
    <w:p w14:paraId="7B6699C5">
      <w:pPr>
        <w:pStyle w:val="4"/>
        <w:rPr>
          <w:color w:val="000000" w:themeColor="text1"/>
          <w14:textFill>
            <w14:solidFill>
              <w14:schemeClr w14:val="tx1"/>
            </w14:solidFill>
          </w14:textFill>
        </w:rPr>
      </w:pPr>
      <w:bookmarkStart w:id="63" w:name="_Toc5404"/>
      <w:r>
        <w:rPr>
          <w:color w:val="000000" w:themeColor="text1"/>
          <w14:textFill>
            <w14:solidFill>
              <w14:schemeClr w14:val="tx1"/>
            </w14:solidFill>
          </w14:textFill>
        </w:rPr>
        <w:t>4.1.4 生物多样性</w:t>
      </w:r>
      <w:bookmarkEnd w:id="63"/>
    </w:p>
    <w:p w14:paraId="2A2625A3">
      <w:pPr>
        <w:ind w:firstLine="480"/>
        <w:rPr>
          <w:color w:val="000000" w:themeColor="text1"/>
          <w14:textFill>
            <w14:solidFill>
              <w14:schemeClr w14:val="tx1"/>
            </w14:solidFill>
          </w14:textFill>
        </w:rPr>
      </w:pPr>
      <w:r>
        <w:rPr>
          <w:color w:val="000000" w:themeColor="text1"/>
          <w14:textFill>
            <w14:solidFill>
              <w14:schemeClr w14:val="tx1"/>
            </w14:solidFill>
          </w14:textFill>
        </w:rPr>
        <w:t>玉溪地形、地貌独特，形成了较为明显的立体气候，适宜多种农作物的生长。玉溪大部分地区气候温和，冬无严寒，夏无酷暑，区域内动植物种类繁多，植物种类达230余科近2000种，属国家重点保护的有28种；主要植被有云南松林、湿性常绿阔叶林、半湿润常绿阔叶林。云南松林作为特有的优势地方树种的森林类型，是玉溪市森林林分的主体，占全市优势树种面积的70%。</w:t>
      </w:r>
    </w:p>
    <w:p w14:paraId="147E967D">
      <w:pPr>
        <w:ind w:firstLine="480"/>
        <w:rPr>
          <w:color w:val="000000" w:themeColor="text1"/>
          <w14:textFill>
            <w14:solidFill>
              <w14:schemeClr w14:val="tx1"/>
            </w14:solidFill>
          </w14:textFill>
        </w:rPr>
      </w:pPr>
      <w:r>
        <w:rPr>
          <w:color w:val="000000" w:themeColor="text1"/>
          <w14:textFill>
            <w14:solidFill>
              <w14:schemeClr w14:val="tx1"/>
            </w14:solidFill>
          </w14:textFill>
        </w:rPr>
        <w:t>根据实地调查，项目</w:t>
      </w:r>
      <w:r>
        <w:rPr>
          <w:rFonts w:hint="eastAsia"/>
          <w:color w:val="000000" w:themeColor="text1"/>
          <w14:textFill>
            <w14:solidFill>
              <w14:schemeClr w14:val="tx1"/>
            </w14:solidFill>
          </w14:textFill>
        </w:rPr>
        <w:t>租用厂房已建成，项目区地面均已硬化，</w:t>
      </w:r>
      <w:r>
        <w:rPr>
          <w:color w:val="000000" w:themeColor="text1"/>
          <w14:textFill>
            <w14:solidFill>
              <w14:schemeClr w14:val="tx1"/>
            </w14:solidFill>
          </w14:textFill>
        </w:rPr>
        <w:t>区域周边植被类型主要以人工种植玉米、</w:t>
      </w:r>
      <w:r>
        <w:rPr>
          <w:rFonts w:hint="eastAsia"/>
          <w:color w:val="000000" w:themeColor="text1"/>
          <w14:textFill>
            <w14:solidFill>
              <w14:schemeClr w14:val="tx1"/>
            </w14:solidFill>
          </w14:textFill>
        </w:rPr>
        <w:t>应季蔬菜</w:t>
      </w:r>
      <w:r>
        <w:rPr>
          <w:color w:val="000000" w:themeColor="text1"/>
          <w14:textFill>
            <w14:solidFill>
              <w14:schemeClr w14:val="tx1"/>
            </w14:solidFill>
          </w14:textFill>
        </w:rPr>
        <w:t>等农作物为主，周边</w:t>
      </w:r>
      <w:r>
        <w:rPr>
          <w:rFonts w:hint="eastAsia"/>
          <w:color w:val="000000" w:themeColor="text1"/>
          <w14:textFill>
            <w14:solidFill>
              <w14:schemeClr w14:val="tx1"/>
            </w14:solidFill>
          </w14:textFill>
        </w:rPr>
        <w:t>不涉及</w:t>
      </w:r>
      <w:r>
        <w:rPr>
          <w:color w:val="000000" w:themeColor="text1"/>
          <w14:textFill>
            <w14:solidFill>
              <w14:schemeClr w14:val="tx1"/>
            </w14:solidFill>
          </w14:textFill>
        </w:rPr>
        <w:t>风景名胜区和自然保护区，没有需要特殊保护的生物和植被，生物多样性不丰富。</w:t>
      </w:r>
    </w:p>
    <w:p w14:paraId="575FFCB2">
      <w:pPr>
        <w:pStyle w:val="4"/>
        <w:rPr>
          <w:color w:val="000000" w:themeColor="text1"/>
          <w14:textFill>
            <w14:solidFill>
              <w14:schemeClr w14:val="tx1"/>
            </w14:solidFill>
          </w14:textFill>
        </w:rPr>
      </w:pPr>
      <w:bookmarkStart w:id="64" w:name="_Toc4154"/>
      <w:r>
        <w:rPr>
          <w:rFonts w:hint="eastAsia"/>
          <w:color w:val="000000" w:themeColor="text1"/>
          <w14:textFill>
            <w14:solidFill>
              <w14:schemeClr w14:val="tx1"/>
            </w14:solidFill>
          </w14:textFill>
        </w:rPr>
        <w:t>4.1.5环境敏感区调查</w:t>
      </w:r>
      <w:bookmarkEnd w:id="64"/>
    </w:p>
    <w:p w14:paraId="186E16D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4.1.5.1飞井海水库饮用水水源地保护区</w:t>
      </w:r>
    </w:p>
    <w:p w14:paraId="526F69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本项目西南面约1900m处为飞井海水库。飞井海水库位于云南省玉溪市红塔区春和街道飞井社区，修建于1953年，1957年扩建，水库坝高17m，坝顶长375m，宽8m，总库容有1080万m³，是红塔区一个重要的中型水库。</w:t>
      </w:r>
    </w:p>
    <w:p w14:paraId="171D4ED2">
      <w:pPr>
        <w:ind w:firstLine="480"/>
        <w:rPr>
          <w:color w:val="000000" w:themeColor="text1"/>
          <w14:textFill>
            <w14:solidFill>
              <w14:schemeClr w14:val="tx1"/>
            </w14:solidFill>
          </w14:textFill>
        </w:rPr>
      </w:pPr>
      <w:r>
        <w:rPr>
          <w:color w:val="000000" w:themeColor="text1"/>
          <w14:textFill>
            <w14:solidFill>
              <w14:schemeClr w14:val="tx1"/>
            </w14:solidFill>
          </w14:textFill>
        </w:rPr>
        <w:t>2018年11月，按照区政府部署安排，玉溪市生态环境局红塔分局组织技术单位到实地勘察、收集相关资料、征求相关部门意见后，编制了《红塔区飞井水库饮用水水源地保护区划分方案》，</w:t>
      </w: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区划方案，红塔区飞井水库饮用水水源地保护区划分为三个片区，分别为飞井水库片区、清水河径流片区和泵站取水片区。保护区范围总面积86.0275km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，其中一级保护区总面积为1.8349km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，二级保护区总面积为23.3882km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，准保护区面积为60.8045km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飞井海水库饮用水水源地保护区区划范围见下表4.1-1。</w:t>
      </w:r>
    </w:p>
    <w:p w14:paraId="733D6277">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r>
        <w:rPr>
          <w:rFonts w:hint="eastAsia"/>
          <w:color w:val="000000" w:themeColor="text1"/>
          <w14:textFill>
            <w14:solidFill>
              <w14:schemeClr w14:val="tx1"/>
            </w14:solidFill>
          </w14:textFill>
        </w:rPr>
        <w:t>本项目与飞井海水库饮用水水源地保护区位置关系图见附图4.1-2。</w:t>
      </w:r>
    </w:p>
    <w:p w14:paraId="5A658BE1">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表4.1-1 飞井海水库饮用水水源地保护区区划范围</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7"/>
        <w:gridCol w:w="707"/>
        <w:gridCol w:w="1470"/>
        <w:gridCol w:w="2797"/>
        <w:gridCol w:w="1236"/>
        <w:gridCol w:w="1784"/>
        <w:gridCol w:w="3596"/>
        <w:gridCol w:w="1176"/>
      </w:tblGrid>
      <w:tr w14:paraId="3DBA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2" w:type="pct"/>
            <w:vMerge w:val="restart"/>
            <w:tcMar>
              <w:top w:w="60" w:type="dxa"/>
              <w:left w:w="120" w:type="dxa"/>
              <w:bottom w:w="30" w:type="dxa"/>
              <w:right w:w="120" w:type="dxa"/>
            </w:tcMar>
            <w:vAlign w:val="center"/>
          </w:tcPr>
          <w:p w14:paraId="04B41C6B">
            <w:pPr>
              <w:pStyle w:val="28"/>
              <w:rPr>
                <w:color w:val="000000" w:themeColor="text1"/>
                <w14:textFill>
                  <w14:solidFill>
                    <w14:schemeClr w14:val="tx1"/>
                  </w14:solidFill>
                </w14:textFill>
              </w:rPr>
            </w:pPr>
            <w:r>
              <w:rPr>
                <w:color w:val="000000" w:themeColor="text1"/>
                <w14:textFill>
                  <w14:solidFill>
                    <w14:schemeClr w14:val="tx1"/>
                  </w14:solidFill>
                </w14:textFill>
              </w:rPr>
              <w:t>水源地名称</w:t>
            </w:r>
          </w:p>
        </w:tc>
        <w:tc>
          <w:tcPr>
            <w:tcW w:w="262" w:type="pct"/>
            <w:vMerge w:val="restart"/>
            <w:tcMar>
              <w:top w:w="60" w:type="dxa"/>
              <w:left w:w="120" w:type="dxa"/>
              <w:bottom w:w="30" w:type="dxa"/>
              <w:right w:w="120" w:type="dxa"/>
            </w:tcMar>
            <w:vAlign w:val="center"/>
          </w:tcPr>
          <w:p w14:paraId="0CB2FB02">
            <w:pPr>
              <w:pStyle w:val="28"/>
              <w:rPr>
                <w:color w:val="000000" w:themeColor="text1"/>
                <w14:textFill>
                  <w14:solidFill>
                    <w14:schemeClr w14:val="tx1"/>
                  </w14:solidFill>
                </w14:textFill>
              </w:rPr>
            </w:pPr>
            <w:r>
              <w:rPr>
                <w:color w:val="000000" w:themeColor="text1"/>
                <w14:textFill>
                  <w14:solidFill>
                    <w14:schemeClr w14:val="tx1"/>
                  </w14:solidFill>
                </w14:textFill>
              </w:rPr>
              <w:t>保护区类别</w:t>
            </w:r>
          </w:p>
        </w:tc>
        <w:tc>
          <w:tcPr>
            <w:tcW w:w="4475" w:type="pct"/>
            <w:gridSpan w:val="6"/>
            <w:tcMar>
              <w:top w:w="60" w:type="dxa"/>
              <w:left w:w="120" w:type="dxa"/>
              <w:bottom w:w="30" w:type="dxa"/>
              <w:right w:w="120" w:type="dxa"/>
            </w:tcMar>
            <w:vAlign w:val="center"/>
          </w:tcPr>
          <w:p w14:paraId="49542FCD">
            <w:pPr>
              <w:pStyle w:val="28"/>
              <w:rPr>
                <w:color w:val="000000" w:themeColor="text1"/>
                <w14:textFill>
                  <w14:solidFill>
                    <w14:schemeClr w14:val="tx1"/>
                  </w14:solidFill>
                </w14:textFill>
              </w:rPr>
            </w:pPr>
            <w:r>
              <w:rPr>
                <w:color w:val="000000" w:themeColor="text1"/>
                <w14:textFill>
                  <w14:solidFill>
                    <w14:schemeClr w14:val="tx1"/>
                  </w14:solidFill>
                </w14:textFill>
              </w:rPr>
              <w:t>水源地保护区范围</w:t>
            </w:r>
          </w:p>
        </w:tc>
      </w:tr>
      <w:tr w14:paraId="7D5E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2" w:type="pct"/>
            <w:vMerge w:val="continue"/>
            <w:tcMar>
              <w:top w:w="60" w:type="dxa"/>
              <w:left w:w="120" w:type="dxa"/>
              <w:bottom w:w="30" w:type="dxa"/>
              <w:right w:w="120" w:type="dxa"/>
            </w:tcMar>
            <w:vAlign w:val="center"/>
          </w:tcPr>
          <w:p w14:paraId="3DC64FD4">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7BF1493C">
            <w:pPr>
              <w:pStyle w:val="28"/>
              <w:rPr>
                <w:color w:val="000000" w:themeColor="text1"/>
                <w14:textFill>
                  <w14:solidFill>
                    <w14:schemeClr w14:val="tx1"/>
                  </w14:solidFill>
                </w14:textFill>
              </w:rPr>
            </w:pPr>
          </w:p>
        </w:tc>
        <w:tc>
          <w:tcPr>
            <w:tcW w:w="1583" w:type="pct"/>
            <w:gridSpan w:val="2"/>
            <w:tcMar>
              <w:top w:w="60" w:type="dxa"/>
              <w:left w:w="120" w:type="dxa"/>
              <w:bottom w:w="30" w:type="dxa"/>
              <w:right w:w="120" w:type="dxa"/>
            </w:tcMar>
            <w:vAlign w:val="center"/>
          </w:tcPr>
          <w:p w14:paraId="72937F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水域</w:t>
            </w:r>
          </w:p>
        </w:tc>
        <w:tc>
          <w:tcPr>
            <w:tcW w:w="458" w:type="pct"/>
            <w:tcMar>
              <w:top w:w="60" w:type="dxa"/>
              <w:left w:w="120" w:type="dxa"/>
              <w:bottom w:w="30" w:type="dxa"/>
              <w:right w:w="120" w:type="dxa"/>
            </w:tcMar>
            <w:vAlign w:val="center"/>
          </w:tcPr>
          <w:p w14:paraId="1F7FEF79">
            <w:pPr>
              <w:pStyle w:val="28"/>
              <w:rPr>
                <w:color w:val="000000" w:themeColor="text1"/>
                <w14:textFill>
                  <w14:solidFill>
                    <w14:schemeClr w14:val="tx1"/>
                  </w14:solidFill>
                </w14:textFill>
              </w:rPr>
            </w:pPr>
            <w:r>
              <w:rPr>
                <w:color w:val="000000" w:themeColor="text1"/>
                <w14:textFill>
                  <w14:solidFill>
                    <w14:schemeClr w14:val="tx1"/>
                  </w14:solidFill>
                </w14:textFill>
              </w:rPr>
              <w:t>水域面积（km²）</w:t>
            </w:r>
          </w:p>
        </w:tc>
        <w:tc>
          <w:tcPr>
            <w:tcW w:w="1996" w:type="pct"/>
            <w:gridSpan w:val="2"/>
            <w:tcMar>
              <w:top w:w="60" w:type="dxa"/>
              <w:left w:w="120" w:type="dxa"/>
              <w:bottom w:w="30" w:type="dxa"/>
              <w:right w:w="120" w:type="dxa"/>
            </w:tcMar>
            <w:vAlign w:val="center"/>
          </w:tcPr>
          <w:p w14:paraId="0A12C582">
            <w:pPr>
              <w:pStyle w:val="28"/>
              <w:rPr>
                <w:color w:val="000000" w:themeColor="text1"/>
                <w14:textFill>
                  <w14:solidFill>
                    <w14:schemeClr w14:val="tx1"/>
                  </w14:solidFill>
                </w14:textFill>
              </w:rPr>
            </w:pPr>
            <w:r>
              <w:rPr>
                <w:color w:val="000000" w:themeColor="text1"/>
                <w14:textFill>
                  <w14:solidFill>
                    <w14:schemeClr w14:val="tx1"/>
                  </w14:solidFill>
                </w14:textFill>
              </w:rPr>
              <w:t>陆域</w:t>
            </w:r>
          </w:p>
        </w:tc>
        <w:tc>
          <w:tcPr>
            <w:tcW w:w="436" w:type="pct"/>
            <w:tcMar>
              <w:top w:w="60" w:type="dxa"/>
              <w:left w:w="120" w:type="dxa"/>
              <w:bottom w:w="30" w:type="dxa"/>
              <w:right w:w="120" w:type="dxa"/>
            </w:tcMar>
            <w:vAlign w:val="center"/>
          </w:tcPr>
          <w:p w14:paraId="0D2FC9D2">
            <w:pPr>
              <w:pStyle w:val="28"/>
              <w:rPr>
                <w:color w:val="000000" w:themeColor="text1"/>
                <w14:textFill>
                  <w14:solidFill>
                    <w14:schemeClr w14:val="tx1"/>
                  </w14:solidFill>
                </w14:textFill>
              </w:rPr>
            </w:pPr>
            <w:r>
              <w:rPr>
                <w:color w:val="000000" w:themeColor="text1"/>
                <w14:textFill>
                  <w14:solidFill>
                    <w14:schemeClr w14:val="tx1"/>
                  </w14:solidFill>
                </w14:textFill>
              </w:rPr>
              <w:t>陆域面积（km²）</w:t>
            </w:r>
          </w:p>
        </w:tc>
      </w:tr>
      <w:tr w14:paraId="432A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80" w:hRule="atLeast"/>
        </w:trPr>
        <w:tc>
          <w:tcPr>
            <w:tcW w:w="262" w:type="pct"/>
            <w:vMerge w:val="restart"/>
            <w:tcMar>
              <w:top w:w="60" w:type="dxa"/>
              <w:left w:w="120" w:type="dxa"/>
              <w:bottom w:w="30" w:type="dxa"/>
              <w:right w:w="120" w:type="dxa"/>
            </w:tcMar>
            <w:vAlign w:val="center"/>
          </w:tcPr>
          <w:p w14:paraId="2347CC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飞井海水库饮用水水源地保护区</w:t>
            </w:r>
          </w:p>
        </w:tc>
        <w:tc>
          <w:tcPr>
            <w:tcW w:w="262" w:type="pct"/>
            <w:vMerge w:val="restart"/>
            <w:tcMar>
              <w:top w:w="60" w:type="dxa"/>
              <w:left w:w="120" w:type="dxa"/>
              <w:bottom w:w="30" w:type="dxa"/>
              <w:right w:w="120" w:type="dxa"/>
            </w:tcMar>
            <w:vAlign w:val="center"/>
          </w:tcPr>
          <w:p w14:paraId="147AE57E">
            <w:pPr>
              <w:pStyle w:val="28"/>
              <w:rPr>
                <w:color w:val="000000" w:themeColor="text1"/>
                <w14:textFill>
                  <w14:solidFill>
                    <w14:schemeClr w14:val="tx1"/>
                  </w14:solidFill>
                </w14:textFill>
              </w:rPr>
            </w:pPr>
            <w:r>
              <w:rPr>
                <w:color w:val="000000" w:themeColor="text1"/>
                <w14:textFill>
                  <w14:solidFill>
                    <w14:schemeClr w14:val="tx1"/>
                  </w14:solidFill>
                </w14:textFill>
              </w:rPr>
              <w:t>一级保护区</w:t>
            </w:r>
          </w:p>
        </w:tc>
        <w:tc>
          <w:tcPr>
            <w:tcW w:w="545" w:type="pct"/>
            <w:tcMar>
              <w:top w:w="60" w:type="dxa"/>
              <w:left w:w="120" w:type="dxa"/>
              <w:bottom w:w="30" w:type="dxa"/>
              <w:right w:w="120" w:type="dxa"/>
            </w:tcMar>
            <w:vAlign w:val="center"/>
          </w:tcPr>
          <w:p w14:paraId="49C2CF77">
            <w:pPr>
              <w:pStyle w:val="28"/>
              <w:rPr>
                <w:color w:val="000000" w:themeColor="text1"/>
                <w14:textFill>
                  <w14:solidFill>
                    <w14:schemeClr w14:val="tx1"/>
                  </w14:solidFill>
                </w14:textFill>
              </w:rPr>
            </w:pPr>
            <w:r>
              <w:rPr>
                <w:color w:val="000000" w:themeColor="text1"/>
                <w14:textFill>
                  <w14:solidFill>
                    <w14:schemeClr w14:val="tx1"/>
                  </w14:solidFill>
                </w14:textFill>
              </w:rPr>
              <w:t>飞井水库片区</w:t>
            </w:r>
          </w:p>
        </w:tc>
        <w:tc>
          <w:tcPr>
            <w:tcW w:w="1038" w:type="pct"/>
            <w:tcMar>
              <w:top w:w="60" w:type="dxa"/>
              <w:left w:w="120" w:type="dxa"/>
              <w:bottom w:w="30" w:type="dxa"/>
              <w:right w:w="120" w:type="dxa"/>
            </w:tcMar>
            <w:vAlign w:val="center"/>
          </w:tcPr>
          <w:p w14:paraId="519DE704">
            <w:pPr>
              <w:pStyle w:val="28"/>
              <w:rPr>
                <w:color w:val="000000" w:themeColor="text1"/>
                <w14:textFill>
                  <w14:solidFill>
                    <w14:schemeClr w14:val="tx1"/>
                  </w14:solidFill>
                </w14:textFill>
              </w:rPr>
            </w:pPr>
            <w:r>
              <w:rPr>
                <w:color w:val="000000" w:themeColor="text1"/>
                <w14:textFill>
                  <w14:solidFill>
                    <w14:schemeClr w14:val="tx1"/>
                  </w14:solidFill>
                </w14:textFill>
              </w:rPr>
              <w:t>飞井水库径流区包含多年平均水位高程以下的全部水域</w:t>
            </w:r>
          </w:p>
        </w:tc>
        <w:tc>
          <w:tcPr>
            <w:tcW w:w="458" w:type="pct"/>
            <w:vMerge w:val="restart"/>
            <w:tcMar>
              <w:top w:w="60" w:type="dxa"/>
              <w:left w:w="120" w:type="dxa"/>
              <w:bottom w:w="30" w:type="dxa"/>
              <w:right w:w="120" w:type="dxa"/>
            </w:tcMar>
            <w:vAlign w:val="center"/>
          </w:tcPr>
          <w:p w14:paraId="31B455AD">
            <w:pPr>
              <w:pStyle w:val="28"/>
              <w:rPr>
                <w:color w:val="000000" w:themeColor="text1"/>
                <w14:textFill>
                  <w14:solidFill>
                    <w14:schemeClr w14:val="tx1"/>
                  </w14:solidFill>
                </w14:textFill>
              </w:rPr>
            </w:pPr>
            <w:r>
              <w:rPr>
                <w:color w:val="000000" w:themeColor="text1"/>
                <w14:textFill>
                  <w14:solidFill>
                    <w14:schemeClr w14:val="tx1"/>
                  </w14:solidFill>
                </w14:textFill>
              </w:rPr>
              <w:t>1.2198</w:t>
            </w:r>
          </w:p>
        </w:tc>
        <w:tc>
          <w:tcPr>
            <w:tcW w:w="662" w:type="pct"/>
            <w:tcMar>
              <w:top w:w="60" w:type="dxa"/>
              <w:left w:w="120" w:type="dxa"/>
              <w:bottom w:w="30" w:type="dxa"/>
              <w:right w:w="120" w:type="dxa"/>
            </w:tcMar>
            <w:vAlign w:val="center"/>
          </w:tcPr>
          <w:p w14:paraId="6E47A3CA">
            <w:pPr>
              <w:pStyle w:val="28"/>
              <w:rPr>
                <w:color w:val="000000" w:themeColor="text1"/>
                <w14:textFill>
                  <w14:solidFill>
                    <w14:schemeClr w14:val="tx1"/>
                  </w14:solidFill>
                </w14:textFill>
              </w:rPr>
            </w:pPr>
            <w:r>
              <w:rPr>
                <w:color w:val="000000" w:themeColor="text1"/>
                <w14:textFill>
                  <w14:solidFill>
                    <w14:schemeClr w14:val="tx1"/>
                  </w14:solidFill>
                </w14:textFill>
              </w:rPr>
              <w:t>飞井水库片区</w:t>
            </w:r>
          </w:p>
        </w:tc>
        <w:tc>
          <w:tcPr>
            <w:tcW w:w="1334" w:type="pct"/>
            <w:tcMar>
              <w:top w:w="60" w:type="dxa"/>
              <w:left w:w="120" w:type="dxa"/>
              <w:bottom w:w="30" w:type="dxa"/>
              <w:right w:w="120" w:type="dxa"/>
            </w:tcMar>
            <w:vAlign w:val="center"/>
          </w:tcPr>
          <w:p w14:paraId="4D636355">
            <w:pPr>
              <w:pStyle w:val="28"/>
              <w:rPr>
                <w:color w:val="000000" w:themeColor="text1"/>
                <w14:textFill>
                  <w14:solidFill>
                    <w14:schemeClr w14:val="tx1"/>
                  </w14:solidFill>
                </w14:textFill>
              </w:rPr>
            </w:pPr>
            <w:r>
              <w:rPr>
                <w:color w:val="000000" w:themeColor="text1"/>
                <w14:textFill>
                  <w14:solidFill>
                    <w14:schemeClr w14:val="tx1"/>
                  </w14:solidFill>
                </w14:textFill>
              </w:rPr>
              <w:t>飞井水库径流区包含环湖路以内全部区域；九龙池公园泉眼包含小龙潭、大龙潭、麻龙潭、珍珠泉、平泉等7个泉眼，以龙潭（泉眼）为圆心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半径60m以内的区域</w:t>
            </w:r>
          </w:p>
        </w:tc>
        <w:tc>
          <w:tcPr>
            <w:tcW w:w="436" w:type="pct"/>
            <w:vMerge w:val="restart"/>
            <w:tcMar>
              <w:top w:w="60" w:type="dxa"/>
              <w:left w:w="120" w:type="dxa"/>
              <w:bottom w:w="30" w:type="dxa"/>
              <w:right w:w="120" w:type="dxa"/>
            </w:tcMar>
            <w:vAlign w:val="center"/>
          </w:tcPr>
          <w:p w14:paraId="78E6A3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0.6151</w:t>
            </w:r>
          </w:p>
        </w:tc>
      </w:tr>
      <w:tr w14:paraId="599E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262" w:type="pct"/>
            <w:vMerge w:val="continue"/>
            <w:tcMar>
              <w:top w:w="60" w:type="dxa"/>
              <w:left w:w="120" w:type="dxa"/>
              <w:bottom w:w="30" w:type="dxa"/>
              <w:right w:w="120" w:type="dxa"/>
            </w:tcMar>
            <w:vAlign w:val="center"/>
          </w:tcPr>
          <w:p w14:paraId="4F2D1A21">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10503BF5">
            <w:pPr>
              <w:pStyle w:val="28"/>
              <w:rPr>
                <w:color w:val="000000" w:themeColor="text1"/>
                <w14:textFill>
                  <w14:solidFill>
                    <w14:schemeClr w14:val="tx1"/>
                  </w14:solidFill>
                </w14:textFill>
              </w:rPr>
            </w:pPr>
          </w:p>
        </w:tc>
        <w:tc>
          <w:tcPr>
            <w:tcW w:w="545" w:type="pct"/>
            <w:tcMar>
              <w:top w:w="60" w:type="dxa"/>
              <w:left w:w="120" w:type="dxa"/>
              <w:bottom w:w="30" w:type="dxa"/>
              <w:right w:w="120" w:type="dxa"/>
            </w:tcMar>
            <w:vAlign w:val="center"/>
          </w:tcPr>
          <w:p w14:paraId="7118E2EB">
            <w:pPr>
              <w:pStyle w:val="28"/>
              <w:rPr>
                <w:color w:val="000000" w:themeColor="text1"/>
                <w14:textFill>
                  <w14:solidFill>
                    <w14:schemeClr w14:val="tx1"/>
                  </w14:solidFill>
                </w14:textFill>
              </w:rPr>
            </w:pPr>
            <w:r>
              <w:rPr>
                <w:color w:val="000000" w:themeColor="text1"/>
                <w14:textFill>
                  <w14:solidFill>
                    <w14:schemeClr w14:val="tx1"/>
                  </w14:solidFill>
                </w14:textFill>
              </w:rPr>
              <w:t>清水河径流片区</w:t>
            </w:r>
          </w:p>
        </w:tc>
        <w:tc>
          <w:tcPr>
            <w:tcW w:w="1038" w:type="pct"/>
            <w:tcMar>
              <w:top w:w="60" w:type="dxa"/>
              <w:left w:w="120" w:type="dxa"/>
              <w:bottom w:w="30" w:type="dxa"/>
              <w:right w:w="120" w:type="dxa"/>
            </w:tcMar>
            <w:vAlign w:val="center"/>
          </w:tcPr>
          <w:p w14:paraId="62C6450F">
            <w:pPr>
              <w:pStyle w:val="28"/>
              <w:rPr>
                <w:color w:val="000000" w:themeColor="text1"/>
                <w14:textFill>
                  <w14:solidFill>
                    <w14:schemeClr w14:val="tx1"/>
                  </w14:solidFill>
                </w14:textFill>
              </w:rPr>
            </w:pPr>
            <w:r>
              <w:rPr>
                <w:color w:val="000000" w:themeColor="text1"/>
                <w14:textFill>
                  <w14:solidFill>
                    <w14:schemeClr w14:val="tx1"/>
                  </w14:solidFill>
                </w14:textFill>
              </w:rPr>
              <w:t>取水口上游1000米，下游100米范围内的河道水域</w:t>
            </w:r>
          </w:p>
        </w:tc>
        <w:tc>
          <w:tcPr>
            <w:tcW w:w="458" w:type="pct"/>
            <w:vMerge w:val="continue"/>
            <w:tcMar>
              <w:top w:w="60" w:type="dxa"/>
              <w:left w:w="120" w:type="dxa"/>
              <w:bottom w:w="30" w:type="dxa"/>
              <w:right w:w="120" w:type="dxa"/>
            </w:tcMar>
            <w:vAlign w:val="center"/>
          </w:tcPr>
          <w:p w14:paraId="6B543BAB">
            <w:pPr>
              <w:pStyle w:val="28"/>
              <w:rPr>
                <w:color w:val="000000" w:themeColor="text1"/>
                <w14:textFill>
                  <w14:solidFill>
                    <w14:schemeClr w14:val="tx1"/>
                  </w14:solidFill>
                </w14:textFill>
              </w:rPr>
            </w:pPr>
          </w:p>
        </w:tc>
        <w:tc>
          <w:tcPr>
            <w:tcW w:w="662" w:type="pct"/>
            <w:tcMar>
              <w:top w:w="60" w:type="dxa"/>
              <w:left w:w="120" w:type="dxa"/>
              <w:bottom w:w="30" w:type="dxa"/>
              <w:right w:w="120" w:type="dxa"/>
            </w:tcMar>
            <w:vAlign w:val="center"/>
          </w:tcPr>
          <w:p w14:paraId="19820C8E">
            <w:pPr>
              <w:pStyle w:val="28"/>
              <w:rPr>
                <w:color w:val="000000" w:themeColor="text1"/>
                <w14:textFill>
                  <w14:solidFill>
                    <w14:schemeClr w14:val="tx1"/>
                  </w14:solidFill>
                </w14:textFill>
              </w:rPr>
            </w:pPr>
            <w:r>
              <w:rPr>
                <w:color w:val="000000" w:themeColor="text1"/>
                <w14:textFill>
                  <w14:solidFill>
                    <w14:schemeClr w14:val="tx1"/>
                  </w14:solidFill>
                </w14:textFill>
              </w:rPr>
              <w:t>清水河径流片区</w:t>
            </w:r>
          </w:p>
        </w:tc>
        <w:tc>
          <w:tcPr>
            <w:tcW w:w="1334" w:type="pct"/>
            <w:tcMar>
              <w:top w:w="60" w:type="dxa"/>
              <w:left w:w="120" w:type="dxa"/>
              <w:bottom w:w="30" w:type="dxa"/>
              <w:right w:w="120" w:type="dxa"/>
            </w:tcMar>
            <w:vAlign w:val="center"/>
          </w:tcPr>
          <w:p w14:paraId="2D2859C3">
            <w:pPr>
              <w:pStyle w:val="28"/>
              <w:rPr>
                <w:color w:val="000000" w:themeColor="text1"/>
                <w14:textFill>
                  <w14:solidFill>
                    <w14:schemeClr w14:val="tx1"/>
                  </w14:solidFill>
                </w14:textFill>
              </w:rPr>
            </w:pPr>
            <w:r>
              <w:rPr>
                <w:color w:val="000000" w:themeColor="text1"/>
                <w14:textFill>
                  <w14:solidFill>
                    <w14:schemeClr w14:val="tx1"/>
                  </w14:solidFill>
                </w14:textFill>
              </w:rPr>
              <w:t>沿岸纵深与一级保护区水域边界距离50米的陆地</w:t>
            </w:r>
          </w:p>
        </w:tc>
        <w:tc>
          <w:tcPr>
            <w:tcW w:w="436" w:type="pct"/>
            <w:vMerge w:val="continue"/>
            <w:tcMar>
              <w:top w:w="60" w:type="dxa"/>
              <w:left w:w="120" w:type="dxa"/>
              <w:bottom w:w="30" w:type="dxa"/>
              <w:right w:w="120" w:type="dxa"/>
            </w:tcMar>
            <w:vAlign w:val="center"/>
          </w:tcPr>
          <w:p w14:paraId="00084DD5">
            <w:pPr>
              <w:pStyle w:val="28"/>
              <w:rPr>
                <w:color w:val="000000" w:themeColor="text1"/>
                <w14:textFill>
                  <w14:solidFill>
                    <w14:schemeClr w14:val="tx1"/>
                  </w14:solidFill>
                </w14:textFill>
              </w:rPr>
            </w:pPr>
          </w:p>
        </w:tc>
      </w:tr>
      <w:tr w14:paraId="4308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rPr>
        <w:tc>
          <w:tcPr>
            <w:tcW w:w="262" w:type="pct"/>
            <w:vMerge w:val="continue"/>
            <w:tcMar>
              <w:top w:w="60" w:type="dxa"/>
              <w:left w:w="120" w:type="dxa"/>
              <w:bottom w:w="30" w:type="dxa"/>
              <w:right w:w="120" w:type="dxa"/>
            </w:tcMar>
            <w:vAlign w:val="center"/>
          </w:tcPr>
          <w:p w14:paraId="34E6B637">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11E929AF">
            <w:pPr>
              <w:pStyle w:val="28"/>
              <w:rPr>
                <w:color w:val="000000" w:themeColor="text1"/>
                <w14:textFill>
                  <w14:solidFill>
                    <w14:schemeClr w14:val="tx1"/>
                  </w14:solidFill>
                </w14:textFill>
              </w:rPr>
            </w:pPr>
          </w:p>
        </w:tc>
        <w:tc>
          <w:tcPr>
            <w:tcW w:w="545" w:type="pct"/>
            <w:tcMar>
              <w:top w:w="60" w:type="dxa"/>
              <w:left w:w="120" w:type="dxa"/>
              <w:bottom w:w="30" w:type="dxa"/>
              <w:right w:w="120" w:type="dxa"/>
            </w:tcMar>
            <w:vAlign w:val="center"/>
          </w:tcPr>
          <w:p w14:paraId="38F0DFEA">
            <w:pPr>
              <w:pStyle w:val="28"/>
              <w:rPr>
                <w:color w:val="000000" w:themeColor="text1"/>
                <w14:textFill>
                  <w14:solidFill>
                    <w14:schemeClr w14:val="tx1"/>
                  </w14:solidFill>
                </w14:textFill>
              </w:rPr>
            </w:pPr>
            <w:r>
              <w:rPr>
                <w:color w:val="000000" w:themeColor="text1"/>
                <w14:textFill>
                  <w14:solidFill>
                    <w14:schemeClr w14:val="tx1"/>
                  </w14:solidFill>
                </w14:textFill>
              </w:rPr>
              <w:t>泵站取水片区</w:t>
            </w:r>
          </w:p>
        </w:tc>
        <w:tc>
          <w:tcPr>
            <w:tcW w:w="1038" w:type="pct"/>
            <w:tcMar>
              <w:top w:w="60" w:type="dxa"/>
              <w:left w:w="120" w:type="dxa"/>
              <w:bottom w:w="30" w:type="dxa"/>
              <w:right w:w="120" w:type="dxa"/>
            </w:tcMar>
            <w:vAlign w:val="center"/>
          </w:tcPr>
          <w:p w14:paraId="0BCAD679">
            <w:pPr>
              <w:pStyle w:val="28"/>
              <w:rPr>
                <w:color w:val="000000" w:themeColor="text1"/>
                <w14:textFill>
                  <w14:solidFill>
                    <w14:schemeClr w14:val="tx1"/>
                  </w14:solidFill>
                </w14:textFill>
              </w:rPr>
            </w:pPr>
            <w:r>
              <w:rPr>
                <w:color w:val="000000" w:themeColor="text1"/>
                <w14:textFill>
                  <w14:solidFill>
                    <w14:schemeClr w14:val="tx1"/>
                  </w14:solidFill>
                </w14:textFill>
              </w:rPr>
              <w:t>取水口上游1000米，下游100米范围内的河道水域</w:t>
            </w:r>
          </w:p>
        </w:tc>
        <w:tc>
          <w:tcPr>
            <w:tcW w:w="458" w:type="pct"/>
            <w:vMerge w:val="continue"/>
            <w:tcMar>
              <w:top w:w="60" w:type="dxa"/>
              <w:left w:w="120" w:type="dxa"/>
              <w:bottom w:w="30" w:type="dxa"/>
              <w:right w:w="120" w:type="dxa"/>
            </w:tcMar>
            <w:vAlign w:val="center"/>
          </w:tcPr>
          <w:p w14:paraId="7F9297DA">
            <w:pPr>
              <w:pStyle w:val="28"/>
              <w:rPr>
                <w:color w:val="000000" w:themeColor="text1"/>
                <w14:textFill>
                  <w14:solidFill>
                    <w14:schemeClr w14:val="tx1"/>
                  </w14:solidFill>
                </w14:textFill>
              </w:rPr>
            </w:pPr>
          </w:p>
        </w:tc>
        <w:tc>
          <w:tcPr>
            <w:tcW w:w="662" w:type="pct"/>
            <w:tcMar>
              <w:top w:w="60" w:type="dxa"/>
              <w:left w:w="120" w:type="dxa"/>
              <w:bottom w:w="30" w:type="dxa"/>
              <w:right w:w="120" w:type="dxa"/>
            </w:tcMar>
            <w:vAlign w:val="center"/>
          </w:tcPr>
          <w:p w14:paraId="35D8735E">
            <w:pPr>
              <w:pStyle w:val="28"/>
              <w:rPr>
                <w:color w:val="000000" w:themeColor="text1"/>
                <w14:textFill>
                  <w14:solidFill>
                    <w14:schemeClr w14:val="tx1"/>
                  </w14:solidFill>
                </w14:textFill>
              </w:rPr>
            </w:pPr>
            <w:r>
              <w:rPr>
                <w:color w:val="000000" w:themeColor="text1"/>
                <w14:textFill>
                  <w14:solidFill>
                    <w14:schemeClr w14:val="tx1"/>
                  </w14:solidFill>
                </w14:textFill>
              </w:rPr>
              <w:t>泵站取水片区</w:t>
            </w:r>
          </w:p>
        </w:tc>
        <w:tc>
          <w:tcPr>
            <w:tcW w:w="1334" w:type="pct"/>
            <w:tcMar>
              <w:top w:w="60" w:type="dxa"/>
              <w:left w:w="120" w:type="dxa"/>
              <w:bottom w:w="30" w:type="dxa"/>
              <w:right w:w="120" w:type="dxa"/>
            </w:tcMar>
            <w:vAlign w:val="center"/>
          </w:tcPr>
          <w:p w14:paraId="4BCEA9A6">
            <w:pPr>
              <w:pStyle w:val="28"/>
              <w:rPr>
                <w:color w:val="000000" w:themeColor="text1"/>
                <w14:textFill>
                  <w14:solidFill>
                    <w14:schemeClr w14:val="tx1"/>
                  </w14:solidFill>
                </w14:textFill>
              </w:rPr>
            </w:pPr>
            <w:r>
              <w:rPr>
                <w:color w:val="000000" w:themeColor="text1"/>
                <w14:textFill>
                  <w14:solidFill>
                    <w14:schemeClr w14:val="tx1"/>
                  </w14:solidFill>
                </w14:textFill>
              </w:rPr>
              <w:t>沿岸纵深与一级保护区水域边界距离50米的陆地</w:t>
            </w:r>
          </w:p>
        </w:tc>
        <w:tc>
          <w:tcPr>
            <w:tcW w:w="436" w:type="pct"/>
            <w:vMerge w:val="continue"/>
            <w:tcMar>
              <w:top w:w="60" w:type="dxa"/>
              <w:left w:w="120" w:type="dxa"/>
              <w:bottom w:w="30" w:type="dxa"/>
              <w:right w:w="120" w:type="dxa"/>
            </w:tcMar>
            <w:vAlign w:val="center"/>
          </w:tcPr>
          <w:p w14:paraId="524F309A">
            <w:pPr>
              <w:pStyle w:val="28"/>
              <w:rPr>
                <w:color w:val="000000" w:themeColor="text1"/>
                <w14:textFill>
                  <w14:solidFill>
                    <w14:schemeClr w14:val="tx1"/>
                  </w14:solidFill>
                </w14:textFill>
              </w:rPr>
            </w:pPr>
          </w:p>
        </w:tc>
      </w:tr>
      <w:tr w14:paraId="585B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262" w:type="pct"/>
            <w:vMerge w:val="continue"/>
            <w:tcMar>
              <w:top w:w="60" w:type="dxa"/>
              <w:left w:w="120" w:type="dxa"/>
              <w:bottom w:w="30" w:type="dxa"/>
              <w:right w:w="120" w:type="dxa"/>
            </w:tcMar>
            <w:vAlign w:val="center"/>
          </w:tcPr>
          <w:p w14:paraId="33A3B273">
            <w:pPr>
              <w:pStyle w:val="28"/>
              <w:rPr>
                <w:color w:val="000000" w:themeColor="text1"/>
                <w14:textFill>
                  <w14:solidFill>
                    <w14:schemeClr w14:val="tx1"/>
                  </w14:solidFill>
                </w14:textFill>
              </w:rPr>
            </w:pPr>
          </w:p>
        </w:tc>
        <w:tc>
          <w:tcPr>
            <w:tcW w:w="262" w:type="pct"/>
            <w:vMerge w:val="restart"/>
            <w:tcMar>
              <w:top w:w="60" w:type="dxa"/>
              <w:left w:w="120" w:type="dxa"/>
              <w:bottom w:w="30" w:type="dxa"/>
              <w:right w:w="120" w:type="dxa"/>
            </w:tcMar>
            <w:vAlign w:val="center"/>
          </w:tcPr>
          <w:p w14:paraId="2A01BE92">
            <w:pPr>
              <w:pStyle w:val="28"/>
              <w:rPr>
                <w:color w:val="000000" w:themeColor="text1"/>
                <w14:textFill>
                  <w14:solidFill>
                    <w14:schemeClr w14:val="tx1"/>
                  </w14:solidFill>
                </w14:textFill>
              </w:rPr>
            </w:pPr>
            <w:r>
              <w:rPr>
                <w:color w:val="000000" w:themeColor="text1"/>
                <w14:textFill>
                  <w14:solidFill>
                    <w14:schemeClr w14:val="tx1"/>
                  </w14:solidFill>
                </w14:textFill>
              </w:rPr>
              <w:t>二级保护区</w:t>
            </w:r>
          </w:p>
        </w:tc>
        <w:tc>
          <w:tcPr>
            <w:tcW w:w="545" w:type="pct"/>
            <w:tcMar>
              <w:top w:w="60" w:type="dxa"/>
              <w:left w:w="120" w:type="dxa"/>
              <w:bottom w:w="30" w:type="dxa"/>
              <w:right w:w="120" w:type="dxa"/>
            </w:tcMar>
            <w:vAlign w:val="center"/>
          </w:tcPr>
          <w:p w14:paraId="1FF8A3E2">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1038" w:type="pct"/>
            <w:tcMar>
              <w:top w:w="60" w:type="dxa"/>
              <w:left w:w="120" w:type="dxa"/>
              <w:bottom w:w="30" w:type="dxa"/>
              <w:right w:w="120" w:type="dxa"/>
            </w:tcMar>
            <w:vAlign w:val="center"/>
          </w:tcPr>
          <w:p w14:paraId="20B3DB76">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58" w:type="pct"/>
            <w:vMerge w:val="restart"/>
            <w:tcMar>
              <w:top w:w="60" w:type="dxa"/>
              <w:left w:w="120" w:type="dxa"/>
              <w:bottom w:w="30" w:type="dxa"/>
              <w:right w:w="120" w:type="dxa"/>
            </w:tcMar>
            <w:vAlign w:val="center"/>
          </w:tcPr>
          <w:p w14:paraId="2EF706D9">
            <w:pPr>
              <w:pStyle w:val="28"/>
              <w:rPr>
                <w:color w:val="000000" w:themeColor="text1"/>
                <w14:textFill>
                  <w14:solidFill>
                    <w14:schemeClr w14:val="tx1"/>
                  </w14:solidFill>
                </w14:textFill>
              </w:rPr>
            </w:pPr>
            <w:r>
              <w:rPr>
                <w:color w:val="000000" w:themeColor="text1"/>
                <w14:textFill>
                  <w14:solidFill>
                    <w14:schemeClr w14:val="tx1"/>
                  </w14:solidFill>
                </w14:textFill>
              </w:rPr>
              <w:t>0.0401</w:t>
            </w:r>
          </w:p>
        </w:tc>
        <w:tc>
          <w:tcPr>
            <w:tcW w:w="662" w:type="pct"/>
            <w:tcMar>
              <w:top w:w="60" w:type="dxa"/>
              <w:left w:w="120" w:type="dxa"/>
              <w:bottom w:w="30" w:type="dxa"/>
              <w:right w:w="120" w:type="dxa"/>
            </w:tcMar>
            <w:vAlign w:val="center"/>
          </w:tcPr>
          <w:p w14:paraId="55CE8986">
            <w:pPr>
              <w:pStyle w:val="28"/>
              <w:rPr>
                <w:color w:val="000000" w:themeColor="text1"/>
                <w14:textFill>
                  <w14:solidFill>
                    <w14:schemeClr w14:val="tx1"/>
                  </w14:solidFill>
                </w14:textFill>
              </w:rPr>
            </w:pPr>
            <w:r>
              <w:rPr>
                <w:color w:val="000000" w:themeColor="text1"/>
                <w14:textFill>
                  <w14:solidFill>
                    <w14:schemeClr w14:val="tx1"/>
                  </w14:solidFill>
                </w14:textFill>
              </w:rPr>
              <w:t>飞井水库片区</w:t>
            </w:r>
          </w:p>
        </w:tc>
        <w:tc>
          <w:tcPr>
            <w:tcW w:w="1334" w:type="pct"/>
            <w:tcMar>
              <w:top w:w="60" w:type="dxa"/>
              <w:left w:w="120" w:type="dxa"/>
              <w:bottom w:w="30" w:type="dxa"/>
              <w:right w:w="120" w:type="dxa"/>
            </w:tcMar>
            <w:vAlign w:val="center"/>
          </w:tcPr>
          <w:p w14:paraId="6F7EB996">
            <w:pPr>
              <w:pStyle w:val="28"/>
              <w:rPr>
                <w:color w:val="000000" w:themeColor="text1"/>
                <w14:textFill>
                  <w14:solidFill>
                    <w14:schemeClr w14:val="tx1"/>
                  </w14:solidFill>
                </w14:textFill>
              </w:rPr>
            </w:pPr>
            <w:r>
              <w:rPr>
                <w:color w:val="000000" w:themeColor="text1"/>
                <w14:textFill>
                  <w14:solidFill>
                    <w14:schemeClr w14:val="tx1"/>
                  </w14:solidFill>
                </w14:textFill>
              </w:rPr>
              <w:t>飞井水库径流区包含一级保护区陆域外的上游整个径流区；九龙池公园泉眼包含一级保护区外半径600m以内的区域</w:t>
            </w:r>
          </w:p>
        </w:tc>
        <w:tc>
          <w:tcPr>
            <w:tcW w:w="436" w:type="pct"/>
            <w:vMerge w:val="restart"/>
            <w:tcMar>
              <w:top w:w="60" w:type="dxa"/>
              <w:left w:w="120" w:type="dxa"/>
              <w:bottom w:w="30" w:type="dxa"/>
              <w:right w:w="120" w:type="dxa"/>
            </w:tcMar>
            <w:vAlign w:val="center"/>
          </w:tcPr>
          <w:p w14:paraId="6BA29C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23.3481</w:t>
            </w:r>
          </w:p>
        </w:tc>
      </w:tr>
      <w:tr w14:paraId="07B5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262" w:type="pct"/>
            <w:vMerge w:val="continue"/>
            <w:tcMar>
              <w:top w:w="60" w:type="dxa"/>
              <w:left w:w="120" w:type="dxa"/>
              <w:bottom w:w="30" w:type="dxa"/>
              <w:right w:w="120" w:type="dxa"/>
            </w:tcMar>
            <w:vAlign w:val="center"/>
          </w:tcPr>
          <w:p w14:paraId="3DADE591">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534CCFEE">
            <w:pPr>
              <w:pStyle w:val="28"/>
              <w:rPr>
                <w:color w:val="000000" w:themeColor="text1"/>
                <w14:textFill>
                  <w14:solidFill>
                    <w14:schemeClr w14:val="tx1"/>
                  </w14:solidFill>
                </w14:textFill>
              </w:rPr>
            </w:pPr>
          </w:p>
        </w:tc>
        <w:tc>
          <w:tcPr>
            <w:tcW w:w="545" w:type="pct"/>
            <w:shd w:val="clear" w:color="auto" w:fill="auto"/>
            <w:tcMar>
              <w:top w:w="60" w:type="dxa"/>
              <w:left w:w="120" w:type="dxa"/>
              <w:bottom w:w="30" w:type="dxa"/>
              <w:right w:w="120" w:type="dxa"/>
            </w:tcMar>
            <w:vAlign w:val="center"/>
          </w:tcPr>
          <w:p w14:paraId="44D1B8A6">
            <w:pPr>
              <w:pStyle w:val="28"/>
              <w:rPr>
                <w:color w:val="000000" w:themeColor="text1"/>
                <w14:textFill>
                  <w14:solidFill>
                    <w14:schemeClr w14:val="tx1"/>
                  </w14:solidFill>
                </w14:textFill>
              </w:rPr>
            </w:pPr>
            <w:r>
              <w:rPr>
                <w:color w:val="000000" w:themeColor="text1"/>
                <w14:textFill>
                  <w14:solidFill>
                    <w14:schemeClr w14:val="tx1"/>
                  </w14:solidFill>
                </w14:textFill>
              </w:rPr>
              <w:t>清水河径流片区</w:t>
            </w:r>
          </w:p>
        </w:tc>
        <w:tc>
          <w:tcPr>
            <w:tcW w:w="1038" w:type="pct"/>
            <w:shd w:val="clear" w:color="auto" w:fill="auto"/>
            <w:tcMar>
              <w:top w:w="60" w:type="dxa"/>
              <w:left w:w="120" w:type="dxa"/>
              <w:bottom w:w="30" w:type="dxa"/>
              <w:right w:w="120" w:type="dxa"/>
            </w:tcMar>
            <w:vAlign w:val="center"/>
          </w:tcPr>
          <w:p w14:paraId="3CA59451">
            <w:pPr>
              <w:pStyle w:val="28"/>
              <w:rPr>
                <w:color w:val="000000" w:themeColor="text1"/>
                <w14:textFill>
                  <w14:solidFill>
                    <w14:schemeClr w14:val="tx1"/>
                  </w14:solidFill>
                </w14:textFill>
              </w:rPr>
            </w:pPr>
            <w:r>
              <w:rPr>
                <w:color w:val="000000" w:themeColor="text1"/>
                <w14:textFill>
                  <w14:solidFill>
                    <w14:schemeClr w14:val="tx1"/>
                  </w14:solidFill>
                </w14:textFill>
              </w:rPr>
              <w:t>一级保护区的上游边界向上的2000米河道水域，包括汇入的支流，下游侧外边界距一级保护区边界200米河道水域</w:t>
            </w:r>
          </w:p>
        </w:tc>
        <w:tc>
          <w:tcPr>
            <w:tcW w:w="458" w:type="pct"/>
            <w:vMerge w:val="continue"/>
            <w:tcMar>
              <w:top w:w="60" w:type="dxa"/>
              <w:left w:w="120" w:type="dxa"/>
              <w:bottom w:w="30" w:type="dxa"/>
              <w:right w:w="120" w:type="dxa"/>
            </w:tcMar>
            <w:vAlign w:val="center"/>
          </w:tcPr>
          <w:p w14:paraId="3737C35D">
            <w:pPr>
              <w:pStyle w:val="28"/>
              <w:rPr>
                <w:color w:val="000000" w:themeColor="text1"/>
                <w14:textFill>
                  <w14:solidFill>
                    <w14:schemeClr w14:val="tx1"/>
                  </w14:solidFill>
                </w14:textFill>
              </w:rPr>
            </w:pPr>
          </w:p>
        </w:tc>
        <w:tc>
          <w:tcPr>
            <w:tcW w:w="662" w:type="pct"/>
            <w:tcMar>
              <w:top w:w="60" w:type="dxa"/>
              <w:left w:w="120" w:type="dxa"/>
              <w:bottom w:w="30" w:type="dxa"/>
              <w:right w:w="120" w:type="dxa"/>
            </w:tcMar>
            <w:vAlign w:val="center"/>
          </w:tcPr>
          <w:p w14:paraId="714E9BC0">
            <w:pPr>
              <w:pStyle w:val="28"/>
              <w:rPr>
                <w:color w:val="000000" w:themeColor="text1"/>
                <w14:textFill>
                  <w14:solidFill>
                    <w14:schemeClr w14:val="tx1"/>
                  </w14:solidFill>
                </w14:textFill>
              </w:rPr>
            </w:pPr>
            <w:r>
              <w:rPr>
                <w:color w:val="000000" w:themeColor="text1"/>
                <w14:textFill>
                  <w14:solidFill>
                    <w14:schemeClr w14:val="tx1"/>
                  </w14:solidFill>
                </w14:textFill>
              </w:rPr>
              <w:t>清水河径流片区</w:t>
            </w:r>
          </w:p>
        </w:tc>
        <w:tc>
          <w:tcPr>
            <w:tcW w:w="1334" w:type="pct"/>
            <w:tcMar>
              <w:top w:w="60" w:type="dxa"/>
              <w:left w:w="120" w:type="dxa"/>
              <w:bottom w:w="30" w:type="dxa"/>
              <w:right w:w="120" w:type="dxa"/>
            </w:tcMar>
            <w:vAlign w:val="center"/>
          </w:tcPr>
          <w:p w14:paraId="6FBA1433">
            <w:pPr>
              <w:pStyle w:val="28"/>
              <w:rPr>
                <w:color w:val="000000" w:themeColor="text1"/>
                <w14:textFill>
                  <w14:solidFill>
                    <w14:schemeClr w14:val="tx1"/>
                  </w14:solidFill>
                </w14:textFill>
              </w:rPr>
            </w:pPr>
            <w:r>
              <w:rPr>
                <w:color w:val="000000" w:themeColor="text1"/>
                <w14:textFill>
                  <w14:solidFill>
                    <w14:schemeClr w14:val="tx1"/>
                  </w14:solidFill>
                </w14:textFill>
              </w:rPr>
              <w:t>一级和二级保护区水域河长的沿岸纵深与河岸的水平距离1000米内的陆地，但不超过分水岭</w:t>
            </w:r>
          </w:p>
        </w:tc>
        <w:tc>
          <w:tcPr>
            <w:tcW w:w="436" w:type="pct"/>
            <w:vMerge w:val="continue"/>
            <w:tcMar>
              <w:top w:w="60" w:type="dxa"/>
              <w:left w:w="120" w:type="dxa"/>
              <w:bottom w:w="30" w:type="dxa"/>
              <w:right w:w="120" w:type="dxa"/>
            </w:tcMar>
            <w:vAlign w:val="center"/>
          </w:tcPr>
          <w:p w14:paraId="50A5E7AE">
            <w:pPr>
              <w:pStyle w:val="28"/>
              <w:rPr>
                <w:color w:val="000000" w:themeColor="text1"/>
                <w14:textFill>
                  <w14:solidFill>
                    <w14:schemeClr w14:val="tx1"/>
                  </w14:solidFill>
                </w14:textFill>
              </w:rPr>
            </w:pPr>
          </w:p>
        </w:tc>
      </w:tr>
      <w:tr w14:paraId="47AE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262" w:type="pct"/>
            <w:vMerge w:val="continue"/>
            <w:tcMar>
              <w:top w:w="60" w:type="dxa"/>
              <w:left w:w="120" w:type="dxa"/>
              <w:bottom w:w="30" w:type="dxa"/>
              <w:right w:w="120" w:type="dxa"/>
            </w:tcMar>
            <w:vAlign w:val="center"/>
          </w:tcPr>
          <w:p w14:paraId="67986C19">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5D77E64E">
            <w:pPr>
              <w:pStyle w:val="28"/>
              <w:rPr>
                <w:color w:val="000000" w:themeColor="text1"/>
                <w14:textFill>
                  <w14:solidFill>
                    <w14:schemeClr w14:val="tx1"/>
                  </w14:solidFill>
                </w14:textFill>
              </w:rPr>
            </w:pPr>
          </w:p>
        </w:tc>
        <w:tc>
          <w:tcPr>
            <w:tcW w:w="545" w:type="pct"/>
            <w:shd w:val="clear" w:color="auto" w:fill="auto"/>
            <w:tcMar>
              <w:top w:w="60" w:type="dxa"/>
              <w:left w:w="120" w:type="dxa"/>
              <w:bottom w:w="30" w:type="dxa"/>
              <w:right w:w="120" w:type="dxa"/>
            </w:tcMar>
            <w:vAlign w:val="center"/>
          </w:tcPr>
          <w:p w14:paraId="5BCB1567">
            <w:pPr>
              <w:pStyle w:val="28"/>
              <w:rPr>
                <w:color w:val="000000" w:themeColor="text1"/>
                <w14:textFill>
                  <w14:solidFill>
                    <w14:schemeClr w14:val="tx1"/>
                  </w14:solidFill>
                </w14:textFill>
              </w:rPr>
            </w:pPr>
            <w:r>
              <w:rPr>
                <w:color w:val="000000" w:themeColor="text1"/>
                <w14:textFill>
                  <w14:solidFill>
                    <w14:schemeClr w14:val="tx1"/>
                  </w14:solidFill>
                </w14:textFill>
              </w:rPr>
              <w:t>泵站取水片区</w:t>
            </w:r>
          </w:p>
        </w:tc>
        <w:tc>
          <w:tcPr>
            <w:tcW w:w="1038" w:type="pct"/>
            <w:shd w:val="clear" w:color="auto" w:fill="auto"/>
            <w:tcMar>
              <w:top w:w="60" w:type="dxa"/>
              <w:left w:w="120" w:type="dxa"/>
              <w:bottom w:w="30" w:type="dxa"/>
              <w:right w:w="120" w:type="dxa"/>
            </w:tcMar>
            <w:vAlign w:val="center"/>
          </w:tcPr>
          <w:p w14:paraId="1900ECCF">
            <w:pPr>
              <w:pStyle w:val="28"/>
              <w:rPr>
                <w:color w:val="000000" w:themeColor="text1"/>
                <w14:textFill>
                  <w14:solidFill>
                    <w14:schemeClr w14:val="tx1"/>
                  </w14:solidFill>
                </w14:textFill>
              </w:rPr>
            </w:pPr>
            <w:r>
              <w:rPr>
                <w:color w:val="000000" w:themeColor="text1"/>
                <w14:textFill>
                  <w14:solidFill>
                    <w14:schemeClr w14:val="tx1"/>
                  </w14:solidFill>
                </w14:textFill>
              </w:rPr>
              <w:t>一级保护区的上游边界向上的2000米河道水域，包括汇入的支流，下游侧外边界距一级保护区边界200米河道水域</w:t>
            </w:r>
          </w:p>
        </w:tc>
        <w:tc>
          <w:tcPr>
            <w:tcW w:w="458" w:type="pct"/>
            <w:vMerge w:val="continue"/>
            <w:tcMar>
              <w:top w:w="60" w:type="dxa"/>
              <w:left w:w="120" w:type="dxa"/>
              <w:bottom w:w="30" w:type="dxa"/>
              <w:right w:w="120" w:type="dxa"/>
            </w:tcMar>
            <w:vAlign w:val="center"/>
          </w:tcPr>
          <w:p w14:paraId="53897340">
            <w:pPr>
              <w:pStyle w:val="28"/>
              <w:rPr>
                <w:color w:val="000000" w:themeColor="text1"/>
                <w14:textFill>
                  <w14:solidFill>
                    <w14:schemeClr w14:val="tx1"/>
                  </w14:solidFill>
                </w14:textFill>
              </w:rPr>
            </w:pPr>
          </w:p>
        </w:tc>
        <w:tc>
          <w:tcPr>
            <w:tcW w:w="662" w:type="pct"/>
            <w:tcMar>
              <w:top w:w="60" w:type="dxa"/>
              <w:left w:w="120" w:type="dxa"/>
              <w:bottom w:w="30" w:type="dxa"/>
              <w:right w:w="120" w:type="dxa"/>
            </w:tcMar>
            <w:vAlign w:val="center"/>
          </w:tcPr>
          <w:p w14:paraId="5B1744FA">
            <w:pPr>
              <w:pStyle w:val="28"/>
              <w:rPr>
                <w:color w:val="000000" w:themeColor="text1"/>
                <w14:textFill>
                  <w14:solidFill>
                    <w14:schemeClr w14:val="tx1"/>
                  </w14:solidFill>
                </w14:textFill>
              </w:rPr>
            </w:pPr>
            <w:r>
              <w:rPr>
                <w:color w:val="000000" w:themeColor="text1"/>
                <w14:textFill>
                  <w14:solidFill>
                    <w14:schemeClr w14:val="tx1"/>
                  </w14:solidFill>
                </w14:textFill>
              </w:rPr>
              <w:t>泵站取水片区</w:t>
            </w:r>
          </w:p>
        </w:tc>
        <w:tc>
          <w:tcPr>
            <w:tcW w:w="1334" w:type="pct"/>
            <w:tcMar>
              <w:top w:w="60" w:type="dxa"/>
              <w:left w:w="120" w:type="dxa"/>
              <w:bottom w:w="30" w:type="dxa"/>
              <w:right w:w="120" w:type="dxa"/>
            </w:tcMar>
            <w:vAlign w:val="center"/>
          </w:tcPr>
          <w:p w14:paraId="26BE05C9">
            <w:pPr>
              <w:pStyle w:val="28"/>
              <w:rPr>
                <w:color w:val="000000" w:themeColor="text1"/>
                <w14:textFill>
                  <w14:solidFill>
                    <w14:schemeClr w14:val="tx1"/>
                  </w14:solidFill>
                </w14:textFill>
              </w:rPr>
            </w:pPr>
            <w:r>
              <w:rPr>
                <w:color w:val="000000" w:themeColor="text1"/>
                <w14:textFill>
                  <w14:solidFill>
                    <w14:schemeClr w14:val="tx1"/>
                  </w14:solidFill>
                </w14:textFill>
              </w:rPr>
              <w:t>一级和二级保护区水域河长的沿岸纵深与河岸的水平距离1000米内的陆地，但不超过分水岭</w:t>
            </w:r>
          </w:p>
        </w:tc>
        <w:tc>
          <w:tcPr>
            <w:tcW w:w="436" w:type="pct"/>
            <w:vMerge w:val="continue"/>
            <w:tcMar>
              <w:top w:w="60" w:type="dxa"/>
              <w:left w:w="120" w:type="dxa"/>
              <w:bottom w:w="30" w:type="dxa"/>
              <w:right w:w="120" w:type="dxa"/>
            </w:tcMar>
            <w:vAlign w:val="center"/>
          </w:tcPr>
          <w:p w14:paraId="62F0B720">
            <w:pPr>
              <w:pStyle w:val="28"/>
              <w:rPr>
                <w:color w:val="000000" w:themeColor="text1"/>
                <w14:textFill>
                  <w14:solidFill>
                    <w14:schemeClr w14:val="tx1"/>
                  </w14:solidFill>
                </w14:textFill>
              </w:rPr>
            </w:pPr>
          </w:p>
        </w:tc>
      </w:tr>
      <w:tr w14:paraId="00BC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2" w:hRule="atLeast"/>
        </w:trPr>
        <w:tc>
          <w:tcPr>
            <w:tcW w:w="262" w:type="pct"/>
            <w:vMerge w:val="continue"/>
            <w:tcMar>
              <w:top w:w="60" w:type="dxa"/>
              <w:left w:w="120" w:type="dxa"/>
              <w:bottom w:w="30" w:type="dxa"/>
              <w:right w:w="120" w:type="dxa"/>
            </w:tcMar>
            <w:vAlign w:val="center"/>
          </w:tcPr>
          <w:p w14:paraId="004B0DF2">
            <w:pPr>
              <w:pStyle w:val="28"/>
              <w:rPr>
                <w:color w:val="000000" w:themeColor="text1"/>
                <w14:textFill>
                  <w14:solidFill>
                    <w14:schemeClr w14:val="tx1"/>
                  </w14:solidFill>
                </w14:textFill>
              </w:rPr>
            </w:pPr>
          </w:p>
        </w:tc>
        <w:tc>
          <w:tcPr>
            <w:tcW w:w="262" w:type="pct"/>
            <w:vMerge w:val="restart"/>
            <w:tcMar>
              <w:top w:w="60" w:type="dxa"/>
              <w:left w:w="120" w:type="dxa"/>
              <w:bottom w:w="30" w:type="dxa"/>
              <w:right w:w="120" w:type="dxa"/>
            </w:tcMar>
            <w:vAlign w:val="center"/>
          </w:tcPr>
          <w:p w14:paraId="5A62BA34">
            <w:pPr>
              <w:pStyle w:val="28"/>
              <w:rPr>
                <w:color w:val="000000" w:themeColor="text1"/>
                <w14:textFill>
                  <w14:solidFill>
                    <w14:schemeClr w14:val="tx1"/>
                  </w14:solidFill>
                </w14:textFill>
              </w:rPr>
            </w:pPr>
            <w:r>
              <w:rPr>
                <w:color w:val="000000" w:themeColor="text1"/>
                <w14:textFill>
                  <w14:solidFill>
                    <w14:schemeClr w14:val="tx1"/>
                  </w14:solidFill>
                </w14:textFill>
              </w:rPr>
              <w:t>准保护区</w:t>
            </w:r>
          </w:p>
        </w:tc>
        <w:tc>
          <w:tcPr>
            <w:tcW w:w="545" w:type="pct"/>
            <w:tcMar>
              <w:top w:w="60" w:type="dxa"/>
              <w:left w:w="120" w:type="dxa"/>
              <w:bottom w:w="30" w:type="dxa"/>
              <w:right w:w="120" w:type="dxa"/>
            </w:tcMar>
            <w:vAlign w:val="center"/>
          </w:tcPr>
          <w:p w14:paraId="188E4D10">
            <w:pPr>
              <w:pStyle w:val="28"/>
              <w:rPr>
                <w:color w:val="000000" w:themeColor="text1"/>
                <w14:textFill>
                  <w14:solidFill>
                    <w14:schemeClr w14:val="tx1"/>
                  </w14:solidFill>
                </w14:textFill>
              </w:rPr>
            </w:pPr>
            <w:r>
              <w:rPr>
                <w:color w:val="000000" w:themeColor="text1"/>
                <w14:textFill>
                  <w14:solidFill>
                    <w14:schemeClr w14:val="tx1"/>
                  </w14:solidFill>
                </w14:textFill>
              </w:rPr>
              <w:t>飞井水库片区（包括飞井水库径流区和九龙池公园泉眼）</w:t>
            </w:r>
          </w:p>
        </w:tc>
        <w:tc>
          <w:tcPr>
            <w:tcW w:w="1038" w:type="pct"/>
            <w:tcMar>
              <w:top w:w="60" w:type="dxa"/>
              <w:left w:w="120" w:type="dxa"/>
              <w:bottom w:w="30" w:type="dxa"/>
              <w:right w:w="120" w:type="dxa"/>
            </w:tcMar>
            <w:vAlign w:val="center"/>
          </w:tcPr>
          <w:p w14:paraId="262F1D74">
            <w:pPr>
              <w:pStyle w:val="28"/>
              <w:rPr>
                <w:color w:val="000000" w:themeColor="text1"/>
                <w14:textFill>
                  <w14:solidFill>
                    <w14:schemeClr w14:val="tx1"/>
                  </w14:solidFill>
                </w14:textFill>
              </w:rPr>
            </w:pPr>
            <w:r>
              <w:rPr>
                <w:color w:val="000000" w:themeColor="text1"/>
                <w14:textFill>
                  <w14:solidFill>
                    <w14:schemeClr w14:val="tx1"/>
                  </w14:solidFill>
                </w14:textFill>
              </w:rPr>
              <w:t>除一级保护区和二级保护区外主要汇水区范围（北面以红塔区县界为保护区边界，位于其他县内未划入准保护区）</w:t>
            </w:r>
          </w:p>
        </w:tc>
        <w:tc>
          <w:tcPr>
            <w:tcW w:w="458" w:type="pct"/>
            <w:vMerge w:val="restart"/>
            <w:tcMar>
              <w:top w:w="60" w:type="dxa"/>
              <w:left w:w="120" w:type="dxa"/>
              <w:bottom w:w="30" w:type="dxa"/>
              <w:right w:w="120" w:type="dxa"/>
            </w:tcMar>
            <w:vAlign w:val="center"/>
          </w:tcPr>
          <w:p w14:paraId="7889BF48">
            <w:pPr>
              <w:pStyle w:val="28"/>
              <w:rPr>
                <w:color w:val="000000" w:themeColor="text1"/>
                <w14:textFill>
                  <w14:solidFill>
                    <w14:schemeClr w14:val="tx1"/>
                  </w14:solidFill>
                </w14:textFill>
              </w:rPr>
            </w:pPr>
            <w:r>
              <w:rPr>
                <w:color w:val="000000" w:themeColor="text1"/>
                <w14:textFill>
                  <w14:solidFill>
                    <w14:schemeClr w14:val="tx1"/>
                  </w14:solidFill>
                </w14:textFill>
              </w:rPr>
              <w:t>60.8045</w:t>
            </w:r>
          </w:p>
        </w:tc>
        <w:tc>
          <w:tcPr>
            <w:tcW w:w="662" w:type="pct"/>
            <w:vMerge w:val="restart"/>
            <w:tcMar>
              <w:top w:w="60" w:type="dxa"/>
              <w:left w:w="120" w:type="dxa"/>
              <w:bottom w:w="30" w:type="dxa"/>
              <w:right w:w="120" w:type="dxa"/>
            </w:tcMar>
            <w:vAlign w:val="center"/>
          </w:tcPr>
          <w:p w14:paraId="577C2CA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1334" w:type="pct"/>
            <w:vMerge w:val="restart"/>
            <w:tcMar>
              <w:top w:w="60" w:type="dxa"/>
              <w:left w:w="120" w:type="dxa"/>
              <w:bottom w:w="30" w:type="dxa"/>
              <w:right w:w="120" w:type="dxa"/>
            </w:tcMar>
            <w:vAlign w:val="center"/>
          </w:tcPr>
          <w:p w14:paraId="51CB1568">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36" w:type="pct"/>
            <w:vMerge w:val="restart"/>
            <w:tcMar>
              <w:top w:w="60" w:type="dxa"/>
              <w:left w:w="120" w:type="dxa"/>
              <w:bottom w:w="30" w:type="dxa"/>
              <w:right w:w="120" w:type="dxa"/>
            </w:tcMar>
            <w:vAlign w:val="center"/>
          </w:tcPr>
          <w:p w14:paraId="77011CD5">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53B7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2" w:hRule="atLeast"/>
        </w:trPr>
        <w:tc>
          <w:tcPr>
            <w:tcW w:w="262" w:type="pct"/>
            <w:vMerge w:val="continue"/>
            <w:tcMar>
              <w:top w:w="60" w:type="dxa"/>
              <w:left w:w="120" w:type="dxa"/>
              <w:bottom w:w="30" w:type="dxa"/>
              <w:right w:w="120" w:type="dxa"/>
            </w:tcMar>
            <w:vAlign w:val="center"/>
          </w:tcPr>
          <w:p w14:paraId="476668F7">
            <w:pPr>
              <w:pStyle w:val="28"/>
              <w:rPr>
                <w:color w:val="000000" w:themeColor="text1"/>
                <w14:textFill>
                  <w14:solidFill>
                    <w14:schemeClr w14:val="tx1"/>
                  </w14:solidFill>
                </w14:textFill>
              </w:rPr>
            </w:pPr>
          </w:p>
        </w:tc>
        <w:tc>
          <w:tcPr>
            <w:tcW w:w="262" w:type="pct"/>
            <w:vMerge w:val="continue"/>
            <w:tcMar>
              <w:top w:w="60" w:type="dxa"/>
              <w:left w:w="120" w:type="dxa"/>
              <w:bottom w:w="30" w:type="dxa"/>
              <w:right w:w="120" w:type="dxa"/>
            </w:tcMar>
            <w:vAlign w:val="center"/>
          </w:tcPr>
          <w:p w14:paraId="3ED5B7A1">
            <w:pPr>
              <w:pStyle w:val="28"/>
              <w:rPr>
                <w:color w:val="000000" w:themeColor="text1"/>
                <w14:textFill>
                  <w14:solidFill>
                    <w14:schemeClr w14:val="tx1"/>
                  </w14:solidFill>
                </w14:textFill>
              </w:rPr>
            </w:pPr>
          </w:p>
        </w:tc>
        <w:tc>
          <w:tcPr>
            <w:tcW w:w="545" w:type="pct"/>
            <w:tcMar>
              <w:top w:w="60" w:type="dxa"/>
              <w:left w:w="120" w:type="dxa"/>
              <w:bottom w:w="30" w:type="dxa"/>
              <w:right w:w="120" w:type="dxa"/>
            </w:tcMar>
            <w:vAlign w:val="center"/>
          </w:tcPr>
          <w:p w14:paraId="27F27002">
            <w:pPr>
              <w:pStyle w:val="28"/>
              <w:rPr>
                <w:color w:val="000000" w:themeColor="text1"/>
                <w14:textFill>
                  <w14:solidFill>
                    <w14:schemeClr w14:val="tx1"/>
                  </w14:solidFill>
                </w14:textFill>
              </w:rPr>
            </w:pPr>
            <w:r>
              <w:rPr>
                <w:color w:val="000000" w:themeColor="text1"/>
                <w14:textFill>
                  <w14:solidFill>
                    <w14:schemeClr w14:val="tx1"/>
                  </w14:solidFill>
                </w14:textFill>
              </w:rPr>
              <w:t>清水河径流片区</w:t>
            </w:r>
          </w:p>
        </w:tc>
        <w:tc>
          <w:tcPr>
            <w:tcW w:w="1038" w:type="pct"/>
            <w:tcMar>
              <w:top w:w="60" w:type="dxa"/>
              <w:left w:w="120" w:type="dxa"/>
              <w:bottom w:w="30" w:type="dxa"/>
              <w:right w:w="120" w:type="dxa"/>
            </w:tcMar>
            <w:vAlign w:val="center"/>
          </w:tcPr>
          <w:p w14:paraId="1ABFD25F">
            <w:pPr>
              <w:pStyle w:val="28"/>
              <w:rPr>
                <w:color w:val="000000" w:themeColor="text1"/>
                <w14:textFill>
                  <w14:solidFill>
                    <w14:schemeClr w14:val="tx1"/>
                  </w14:solidFill>
                </w14:textFill>
              </w:rPr>
            </w:pPr>
            <w:r>
              <w:rPr>
                <w:color w:val="000000" w:themeColor="text1"/>
                <w14:textFill>
                  <w14:solidFill>
                    <w14:schemeClr w14:val="tx1"/>
                  </w14:solidFill>
                </w14:textFill>
              </w:rPr>
              <w:t>前河和后河一二级保护区外的上游整个径流区（部分边界与区界一致）</w:t>
            </w:r>
          </w:p>
        </w:tc>
        <w:tc>
          <w:tcPr>
            <w:tcW w:w="458" w:type="pct"/>
            <w:vMerge w:val="continue"/>
            <w:tcMar>
              <w:top w:w="60" w:type="dxa"/>
              <w:left w:w="120" w:type="dxa"/>
              <w:bottom w:w="30" w:type="dxa"/>
              <w:right w:w="120" w:type="dxa"/>
            </w:tcMar>
            <w:vAlign w:val="center"/>
          </w:tcPr>
          <w:p w14:paraId="4BF65197">
            <w:pPr>
              <w:pStyle w:val="28"/>
              <w:rPr>
                <w:color w:val="000000" w:themeColor="text1"/>
                <w14:textFill>
                  <w14:solidFill>
                    <w14:schemeClr w14:val="tx1"/>
                  </w14:solidFill>
                </w14:textFill>
              </w:rPr>
            </w:pPr>
          </w:p>
        </w:tc>
        <w:tc>
          <w:tcPr>
            <w:tcW w:w="662" w:type="pct"/>
            <w:vMerge w:val="continue"/>
            <w:tcMar>
              <w:top w:w="60" w:type="dxa"/>
              <w:left w:w="120" w:type="dxa"/>
              <w:bottom w:w="30" w:type="dxa"/>
              <w:right w:w="120" w:type="dxa"/>
            </w:tcMar>
            <w:vAlign w:val="center"/>
          </w:tcPr>
          <w:p w14:paraId="43A4E7D8">
            <w:pPr>
              <w:pStyle w:val="28"/>
              <w:rPr>
                <w:color w:val="000000" w:themeColor="text1"/>
                <w14:textFill>
                  <w14:solidFill>
                    <w14:schemeClr w14:val="tx1"/>
                  </w14:solidFill>
                </w14:textFill>
              </w:rPr>
            </w:pPr>
          </w:p>
        </w:tc>
        <w:tc>
          <w:tcPr>
            <w:tcW w:w="1334" w:type="pct"/>
            <w:vMerge w:val="continue"/>
            <w:tcMar>
              <w:top w:w="60" w:type="dxa"/>
              <w:left w:w="120" w:type="dxa"/>
              <w:bottom w:w="30" w:type="dxa"/>
              <w:right w:w="120" w:type="dxa"/>
            </w:tcMar>
            <w:vAlign w:val="center"/>
          </w:tcPr>
          <w:p w14:paraId="285F2914">
            <w:pPr>
              <w:pStyle w:val="28"/>
              <w:rPr>
                <w:color w:val="000000" w:themeColor="text1"/>
                <w14:textFill>
                  <w14:solidFill>
                    <w14:schemeClr w14:val="tx1"/>
                  </w14:solidFill>
                </w14:textFill>
              </w:rPr>
            </w:pPr>
          </w:p>
        </w:tc>
        <w:tc>
          <w:tcPr>
            <w:tcW w:w="436" w:type="pct"/>
            <w:vMerge w:val="continue"/>
            <w:tcMar>
              <w:top w:w="60" w:type="dxa"/>
              <w:left w:w="120" w:type="dxa"/>
              <w:bottom w:w="30" w:type="dxa"/>
              <w:right w:w="120" w:type="dxa"/>
            </w:tcMar>
            <w:vAlign w:val="center"/>
          </w:tcPr>
          <w:p w14:paraId="65B7B569">
            <w:pPr>
              <w:pStyle w:val="28"/>
              <w:rPr>
                <w:color w:val="000000" w:themeColor="text1"/>
                <w14:textFill>
                  <w14:solidFill>
                    <w14:schemeClr w14:val="tx1"/>
                  </w14:solidFill>
                </w14:textFill>
              </w:rPr>
            </w:pPr>
          </w:p>
        </w:tc>
      </w:tr>
    </w:tbl>
    <w:p w14:paraId="2CE228BC">
      <w:pPr>
        <w:ind w:firstLine="480"/>
        <w:rPr>
          <w:color w:val="000000" w:themeColor="text1"/>
          <w14:textFill>
            <w14:solidFill>
              <w14:schemeClr w14:val="tx1"/>
            </w14:solidFill>
          </w14:textFill>
        </w:rPr>
      </w:pPr>
    </w:p>
    <w:p w14:paraId="08022D9A">
      <w:pPr>
        <w:ind w:firstLine="480"/>
        <w:rPr>
          <w:color w:val="000000" w:themeColor="text1"/>
          <w14:textFill>
            <w14:solidFill>
              <w14:schemeClr w14:val="tx1"/>
            </w14:solidFill>
          </w14:textFill>
        </w:rPr>
        <w:sectPr>
          <w:pgSz w:w="16838" w:h="11906" w:orient="landscape"/>
          <w:pgMar w:top="1440" w:right="1803" w:bottom="1440" w:left="1803" w:header="907" w:footer="992" w:gutter="0"/>
          <w:cols w:space="425" w:num="1"/>
          <w:docGrid w:type="lines" w:linePitch="312" w:charSpace="0"/>
        </w:sectPr>
      </w:pPr>
    </w:p>
    <w:p w14:paraId="70D1C8E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4.1.5.2九龙池公园风景名胜区</w:t>
      </w:r>
    </w:p>
    <w:p w14:paraId="3B1676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根据现场踏勘，本项目西南面约1765m处为玉溪九龙池公园，玉溪九龙池公园成立于1984年，1993年12月被评定为云南省省级风景名胜区，2001年4月被评为玉溪市第一批重点文物保护单位，2003年 12月，九龙池古建筑群被云南省人民政府公布为云南省省级文物保护单位。</w:t>
      </w:r>
    </w:p>
    <w:p w14:paraId="67DA77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本项目与九龙池公园风景名胜区的位置关系图见附图4.1-3。</w:t>
      </w:r>
    </w:p>
    <w:p w14:paraId="43187F48">
      <w:pPr>
        <w:pStyle w:val="4"/>
        <w:rPr>
          <w:color w:val="000000" w:themeColor="text1"/>
          <w14:textFill>
            <w14:solidFill>
              <w14:schemeClr w14:val="tx1"/>
            </w14:solidFill>
          </w14:textFill>
        </w:rPr>
      </w:pPr>
      <w:bookmarkStart w:id="65" w:name="_Toc20846"/>
      <w:r>
        <w:rPr>
          <w:rFonts w:hint="eastAsia"/>
          <w:color w:val="000000" w:themeColor="text1"/>
          <w14:textFill>
            <w14:solidFill>
              <w14:schemeClr w14:val="tx1"/>
            </w14:solidFill>
          </w14:textFill>
        </w:rPr>
        <w:t>4.1.6区域污染源调查</w:t>
      </w:r>
      <w:bookmarkEnd w:id="65"/>
    </w:p>
    <w:p w14:paraId="1DD7CEA4">
      <w:pPr>
        <w:ind w:firstLine="480"/>
        <w:rPr>
          <w:color w:val="000000" w:themeColor="text1"/>
          <w14:textFill>
            <w14:solidFill>
              <w14:schemeClr w14:val="tx1"/>
            </w14:solidFill>
          </w14:textFill>
        </w:rPr>
      </w:pPr>
      <w:r>
        <w:rPr>
          <w:color w:val="000000" w:themeColor="text1"/>
          <w14:textFill>
            <w14:solidFill>
              <w14:schemeClr w14:val="tx1"/>
            </w14:solidFill>
          </w14:textFill>
        </w:rPr>
        <w:t>根据现场调查情况，本项目周边除</w:t>
      </w:r>
      <w:r>
        <w:rPr>
          <w:rFonts w:hint="eastAsia"/>
          <w:color w:val="000000" w:themeColor="text1"/>
          <w14:textFill>
            <w14:solidFill>
              <w14:schemeClr w14:val="tx1"/>
            </w14:solidFill>
          </w14:textFill>
        </w:rPr>
        <w:t>租用厂房的</w:t>
      </w:r>
      <w:r>
        <w:rPr>
          <w:color w:val="000000" w:themeColor="text1"/>
          <w14:textFill>
            <w14:solidFill>
              <w14:schemeClr w14:val="tx1"/>
            </w14:solidFill>
          </w14:textFill>
        </w:rPr>
        <w:t>云南捷辰包装材料有限公司自身排放污染物外，</w:t>
      </w:r>
      <w:r>
        <w:rPr>
          <w:rFonts w:hint="eastAsia"/>
          <w:color w:val="000000" w:themeColor="text1"/>
          <w14:textFill>
            <w14:solidFill>
              <w14:schemeClr w14:val="tx1"/>
            </w14:solidFill>
          </w14:textFill>
        </w:rPr>
        <w:t>项目区</w:t>
      </w:r>
      <w:r>
        <w:rPr>
          <w:color w:val="000000" w:themeColor="text1"/>
          <w14:textFill>
            <w14:solidFill>
              <w14:schemeClr w14:val="tx1"/>
            </w14:solidFill>
          </w14:textFill>
        </w:rPr>
        <w:t>周边</w:t>
      </w:r>
      <w:r>
        <w:rPr>
          <w:rFonts w:hint="eastAsia"/>
          <w:color w:val="000000" w:themeColor="text1"/>
          <w14:textFill>
            <w14:solidFill>
              <w14:schemeClr w14:val="tx1"/>
            </w14:solidFill>
          </w14:textFill>
        </w:rPr>
        <w:t>还有</w:t>
      </w:r>
      <w:r>
        <w:rPr>
          <w:color w:val="000000" w:themeColor="text1"/>
          <w14:textFill>
            <w14:solidFill>
              <w14:schemeClr w14:val="tx1"/>
            </w14:solidFill>
          </w14:textFill>
        </w:rPr>
        <w:t>恒达空间钢结构有限公司和云南红塔塑胶有限公司</w:t>
      </w:r>
      <w:r>
        <w:rPr>
          <w:rFonts w:hint="eastAsia"/>
          <w:color w:val="000000" w:themeColor="text1"/>
          <w14:textFill>
            <w14:solidFill>
              <w14:schemeClr w14:val="tx1"/>
            </w14:solidFill>
          </w14:textFill>
        </w:rPr>
        <w:t>等企业。产生的污染源对区域环境产生一定影响，区域污染源情况见下表。</w:t>
      </w:r>
    </w:p>
    <w:p w14:paraId="685BAEF5">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75793EE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表4.1-2 区域企业分布及污染物排放情况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29"/>
        <w:gridCol w:w="670"/>
        <w:gridCol w:w="1095"/>
        <w:gridCol w:w="3180"/>
        <w:gridCol w:w="508"/>
        <w:gridCol w:w="2381"/>
        <w:gridCol w:w="3715"/>
      </w:tblGrid>
      <w:tr w14:paraId="7EE5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Align w:val="center"/>
          </w:tcPr>
          <w:p w14:paraId="47704B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57" w:type="pct"/>
            <w:shd w:val="clear" w:color="auto" w:fill="auto"/>
            <w:vAlign w:val="center"/>
          </w:tcPr>
          <w:p w14:paraId="3A070D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企业名称</w:t>
            </w:r>
          </w:p>
        </w:tc>
        <w:tc>
          <w:tcPr>
            <w:tcW w:w="249" w:type="pct"/>
            <w:shd w:val="clear" w:color="auto" w:fill="auto"/>
            <w:vAlign w:val="center"/>
          </w:tcPr>
          <w:p w14:paraId="3B9C65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方位</w:t>
            </w:r>
          </w:p>
        </w:tc>
        <w:tc>
          <w:tcPr>
            <w:tcW w:w="407" w:type="pct"/>
            <w:shd w:val="clear" w:color="auto" w:fill="auto"/>
            <w:vAlign w:val="center"/>
          </w:tcPr>
          <w:p w14:paraId="79E6F0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与厂界最近距离</w:t>
            </w:r>
          </w:p>
        </w:tc>
        <w:tc>
          <w:tcPr>
            <w:tcW w:w="1182" w:type="pct"/>
            <w:shd w:val="clear" w:color="auto" w:fill="auto"/>
            <w:vAlign w:val="center"/>
          </w:tcPr>
          <w:p w14:paraId="2BB83F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企业基本情况</w:t>
            </w:r>
          </w:p>
        </w:tc>
        <w:tc>
          <w:tcPr>
            <w:tcW w:w="2455" w:type="pct"/>
            <w:gridSpan w:val="3"/>
            <w:shd w:val="clear" w:color="auto" w:fill="auto"/>
            <w:vAlign w:val="center"/>
          </w:tcPr>
          <w:p w14:paraId="5657BC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污染物排放情况</w:t>
            </w:r>
          </w:p>
        </w:tc>
      </w:tr>
      <w:tr w14:paraId="514F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vAlign w:val="center"/>
          </w:tcPr>
          <w:p w14:paraId="4109DA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7" w:type="pct"/>
            <w:vMerge w:val="restart"/>
            <w:vAlign w:val="center"/>
          </w:tcPr>
          <w:p w14:paraId="32020C5D">
            <w:pPr>
              <w:pStyle w:val="28"/>
              <w:rPr>
                <w:color w:val="000000" w:themeColor="text1"/>
                <w14:textFill>
                  <w14:solidFill>
                    <w14:schemeClr w14:val="tx1"/>
                  </w14:solidFill>
                </w14:textFill>
              </w:rPr>
            </w:pPr>
            <w:r>
              <w:rPr>
                <w:color w:val="000000" w:themeColor="text1"/>
                <w14:textFill>
                  <w14:solidFill>
                    <w14:schemeClr w14:val="tx1"/>
                  </w14:solidFill>
                </w14:textFill>
              </w:rPr>
              <w:t>云南捷辰包装材料有限公司</w:t>
            </w:r>
          </w:p>
        </w:tc>
        <w:tc>
          <w:tcPr>
            <w:tcW w:w="249" w:type="pct"/>
            <w:vMerge w:val="restart"/>
            <w:vAlign w:val="center"/>
          </w:tcPr>
          <w:p w14:paraId="13A126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东面</w:t>
            </w:r>
          </w:p>
        </w:tc>
        <w:tc>
          <w:tcPr>
            <w:tcW w:w="407" w:type="pct"/>
            <w:vMerge w:val="restart"/>
            <w:vAlign w:val="center"/>
          </w:tcPr>
          <w:p w14:paraId="28529B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紧邻</w:t>
            </w:r>
          </w:p>
        </w:tc>
        <w:tc>
          <w:tcPr>
            <w:tcW w:w="1182" w:type="pct"/>
            <w:vMerge w:val="restart"/>
            <w:vAlign w:val="center"/>
          </w:tcPr>
          <w:p w14:paraId="041598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正在建设中，主要是建设特种纸生产线一条，电化铝生产线一条，形成年产纸张1.5万吨，电化铝年产1300万米的生产能力，建设凹印生产线两条，胶印生产线一条，形成年产40万箱烟标生产能力</w:t>
            </w:r>
          </w:p>
        </w:tc>
        <w:tc>
          <w:tcPr>
            <w:tcW w:w="189" w:type="pct"/>
            <w:vAlign w:val="center"/>
          </w:tcPr>
          <w:p w14:paraId="4B780A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85" w:type="pct"/>
            <w:vAlign w:val="center"/>
          </w:tcPr>
          <w:p w14:paraId="573256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涂布、设备擦洗、印刷废气（包括烘干、配料）、设备清洗废气、废溶剂回收尾气</w:t>
            </w:r>
          </w:p>
        </w:tc>
        <w:tc>
          <w:tcPr>
            <w:tcW w:w="1381" w:type="pct"/>
            <w:vAlign w:val="center"/>
          </w:tcPr>
          <w:p w14:paraId="411EAF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NMHC、甲苯</w:t>
            </w:r>
          </w:p>
        </w:tc>
      </w:tr>
      <w:tr w14:paraId="7247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70906B87">
            <w:pPr>
              <w:pStyle w:val="28"/>
              <w:rPr>
                <w:color w:val="000000" w:themeColor="text1"/>
                <w14:textFill>
                  <w14:solidFill>
                    <w14:schemeClr w14:val="tx1"/>
                  </w14:solidFill>
                </w14:textFill>
              </w:rPr>
            </w:pPr>
          </w:p>
        </w:tc>
        <w:tc>
          <w:tcPr>
            <w:tcW w:w="457" w:type="pct"/>
            <w:vMerge w:val="continue"/>
            <w:vAlign w:val="center"/>
          </w:tcPr>
          <w:p w14:paraId="6F7A196B">
            <w:pPr>
              <w:pStyle w:val="28"/>
              <w:rPr>
                <w:color w:val="000000" w:themeColor="text1"/>
                <w14:textFill>
                  <w14:solidFill>
                    <w14:schemeClr w14:val="tx1"/>
                  </w14:solidFill>
                </w14:textFill>
              </w:rPr>
            </w:pPr>
          </w:p>
        </w:tc>
        <w:tc>
          <w:tcPr>
            <w:tcW w:w="249" w:type="pct"/>
            <w:vMerge w:val="continue"/>
            <w:vAlign w:val="center"/>
          </w:tcPr>
          <w:p w14:paraId="3A2E15FB">
            <w:pPr>
              <w:pStyle w:val="28"/>
              <w:rPr>
                <w:color w:val="000000" w:themeColor="text1"/>
                <w14:textFill>
                  <w14:solidFill>
                    <w14:schemeClr w14:val="tx1"/>
                  </w14:solidFill>
                </w14:textFill>
              </w:rPr>
            </w:pPr>
          </w:p>
        </w:tc>
        <w:tc>
          <w:tcPr>
            <w:tcW w:w="407" w:type="pct"/>
            <w:vMerge w:val="continue"/>
            <w:vAlign w:val="center"/>
          </w:tcPr>
          <w:p w14:paraId="150E1E9F">
            <w:pPr>
              <w:pStyle w:val="28"/>
              <w:rPr>
                <w:color w:val="000000" w:themeColor="text1"/>
                <w14:textFill>
                  <w14:solidFill>
                    <w14:schemeClr w14:val="tx1"/>
                  </w14:solidFill>
                </w14:textFill>
              </w:rPr>
            </w:pPr>
          </w:p>
        </w:tc>
        <w:tc>
          <w:tcPr>
            <w:tcW w:w="1182" w:type="pct"/>
            <w:vMerge w:val="continue"/>
            <w:vAlign w:val="center"/>
          </w:tcPr>
          <w:p w14:paraId="59B96478">
            <w:pPr>
              <w:pStyle w:val="28"/>
              <w:rPr>
                <w:color w:val="000000" w:themeColor="text1"/>
                <w14:textFill>
                  <w14:solidFill>
                    <w14:schemeClr w14:val="tx1"/>
                  </w14:solidFill>
                </w14:textFill>
              </w:rPr>
            </w:pPr>
          </w:p>
        </w:tc>
        <w:tc>
          <w:tcPr>
            <w:tcW w:w="189" w:type="pct"/>
            <w:vAlign w:val="center"/>
          </w:tcPr>
          <w:p w14:paraId="38503D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85" w:type="pct"/>
            <w:vAlign w:val="center"/>
          </w:tcPr>
          <w:p w14:paraId="7965F5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381" w:type="pct"/>
            <w:vAlign w:val="center"/>
          </w:tcPr>
          <w:p w14:paraId="578A5E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cr</w:t>
            </w: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w:t>
            </w:r>
          </w:p>
        </w:tc>
      </w:tr>
      <w:tr w14:paraId="1067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3FFB2E4B">
            <w:pPr>
              <w:pStyle w:val="28"/>
              <w:rPr>
                <w:color w:val="000000" w:themeColor="text1"/>
                <w14:textFill>
                  <w14:solidFill>
                    <w14:schemeClr w14:val="tx1"/>
                  </w14:solidFill>
                </w14:textFill>
              </w:rPr>
            </w:pPr>
          </w:p>
        </w:tc>
        <w:tc>
          <w:tcPr>
            <w:tcW w:w="457" w:type="pct"/>
            <w:vMerge w:val="continue"/>
            <w:vAlign w:val="center"/>
          </w:tcPr>
          <w:p w14:paraId="222BDB2C">
            <w:pPr>
              <w:pStyle w:val="28"/>
              <w:rPr>
                <w:color w:val="000000" w:themeColor="text1"/>
                <w14:textFill>
                  <w14:solidFill>
                    <w14:schemeClr w14:val="tx1"/>
                  </w14:solidFill>
                </w14:textFill>
              </w:rPr>
            </w:pPr>
          </w:p>
        </w:tc>
        <w:tc>
          <w:tcPr>
            <w:tcW w:w="249" w:type="pct"/>
            <w:vMerge w:val="continue"/>
            <w:vAlign w:val="center"/>
          </w:tcPr>
          <w:p w14:paraId="0783FE5B">
            <w:pPr>
              <w:pStyle w:val="28"/>
              <w:rPr>
                <w:color w:val="000000" w:themeColor="text1"/>
                <w14:textFill>
                  <w14:solidFill>
                    <w14:schemeClr w14:val="tx1"/>
                  </w14:solidFill>
                </w14:textFill>
              </w:rPr>
            </w:pPr>
          </w:p>
        </w:tc>
        <w:tc>
          <w:tcPr>
            <w:tcW w:w="407" w:type="pct"/>
            <w:vMerge w:val="continue"/>
            <w:vAlign w:val="center"/>
          </w:tcPr>
          <w:p w14:paraId="6DC19497">
            <w:pPr>
              <w:pStyle w:val="28"/>
              <w:rPr>
                <w:color w:val="000000" w:themeColor="text1"/>
                <w14:textFill>
                  <w14:solidFill>
                    <w14:schemeClr w14:val="tx1"/>
                  </w14:solidFill>
                </w14:textFill>
              </w:rPr>
            </w:pPr>
          </w:p>
        </w:tc>
        <w:tc>
          <w:tcPr>
            <w:tcW w:w="1182" w:type="pct"/>
            <w:vMerge w:val="continue"/>
            <w:vAlign w:val="center"/>
          </w:tcPr>
          <w:p w14:paraId="366E5327">
            <w:pPr>
              <w:pStyle w:val="28"/>
              <w:rPr>
                <w:color w:val="000000" w:themeColor="text1"/>
                <w14:textFill>
                  <w14:solidFill>
                    <w14:schemeClr w14:val="tx1"/>
                  </w14:solidFill>
                </w14:textFill>
              </w:rPr>
            </w:pPr>
          </w:p>
        </w:tc>
        <w:tc>
          <w:tcPr>
            <w:tcW w:w="1074" w:type="pct"/>
            <w:gridSpan w:val="2"/>
            <w:vAlign w:val="center"/>
          </w:tcPr>
          <w:p w14:paraId="4178C1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vAlign w:val="center"/>
          </w:tcPr>
          <w:p w14:paraId="50921C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r w14:paraId="3432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5C54C7C1">
            <w:pPr>
              <w:pStyle w:val="28"/>
              <w:rPr>
                <w:color w:val="000000" w:themeColor="text1"/>
                <w14:textFill>
                  <w14:solidFill>
                    <w14:schemeClr w14:val="tx1"/>
                  </w14:solidFill>
                </w14:textFill>
              </w:rPr>
            </w:pPr>
          </w:p>
        </w:tc>
        <w:tc>
          <w:tcPr>
            <w:tcW w:w="457" w:type="pct"/>
            <w:vMerge w:val="continue"/>
            <w:vAlign w:val="center"/>
          </w:tcPr>
          <w:p w14:paraId="3B801141">
            <w:pPr>
              <w:pStyle w:val="28"/>
              <w:rPr>
                <w:color w:val="000000" w:themeColor="text1"/>
                <w14:textFill>
                  <w14:solidFill>
                    <w14:schemeClr w14:val="tx1"/>
                  </w14:solidFill>
                </w14:textFill>
              </w:rPr>
            </w:pPr>
          </w:p>
        </w:tc>
        <w:tc>
          <w:tcPr>
            <w:tcW w:w="249" w:type="pct"/>
            <w:vMerge w:val="continue"/>
            <w:vAlign w:val="center"/>
          </w:tcPr>
          <w:p w14:paraId="3B22B1CC">
            <w:pPr>
              <w:pStyle w:val="28"/>
              <w:rPr>
                <w:color w:val="000000" w:themeColor="text1"/>
                <w14:textFill>
                  <w14:solidFill>
                    <w14:schemeClr w14:val="tx1"/>
                  </w14:solidFill>
                </w14:textFill>
              </w:rPr>
            </w:pPr>
          </w:p>
        </w:tc>
        <w:tc>
          <w:tcPr>
            <w:tcW w:w="407" w:type="pct"/>
            <w:vMerge w:val="continue"/>
            <w:vAlign w:val="center"/>
          </w:tcPr>
          <w:p w14:paraId="3D0BA804">
            <w:pPr>
              <w:pStyle w:val="28"/>
              <w:rPr>
                <w:color w:val="000000" w:themeColor="text1"/>
                <w14:textFill>
                  <w14:solidFill>
                    <w14:schemeClr w14:val="tx1"/>
                  </w14:solidFill>
                </w14:textFill>
              </w:rPr>
            </w:pPr>
          </w:p>
        </w:tc>
        <w:tc>
          <w:tcPr>
            <w:tcW w:w="1182" w:type="pct"/>
            <w:vMerge w:val="continue"/>
            <w:vAlign w:val="center"/>
          </w:tcPr>
          <w:p w14:paraId="0339712E">
            <w:pPr>
              <w:pStyle w:val="28"/>
              <w:rPr>
                <w:color w:val="000000" w:themeColor="text1"/>
                <w14:textFill>
                  <w14:solidFill>
                    <w14:schemeClr w14:val="tx1"/>
                  </w14:solidFill>
                </w14:textFill>
              </w:rPr>
            </w:pPr>
          </w:p>
        </w:tc>
        <w:tc>
          <w:tcPr>
            <w:tcW w:w="1074" w:type="pct"/>
            <w:gridSpan w:val="2"/>
            <w:vAlign w:val="center"/>
          </w:tcPr>
          <w:p w14:paraId="4DB7AF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381" w:type="pct"/>
            <w:vAlign w:val="center"/>
          </w:tcPr>
          <w:p w14:paraId="1ACFE287">
            <w:pPr>
              <w:pStyle w:val="28"/>
              <w:rPr>
                <w:color w:val="000000" w:themeColor="text1"/>
                <w14:textFill>
                  <w14:solidFill>
                    <w14:schemeClr w14:val="tx1"/>
                  </w14:solidFill>
                </w14:textFill>
              </w:rPr>
            </w:pPr>
            <w:r>
              <w:rPr>
                <w:color w:val="000000" w:themeColor="text1"/>
                <w14:textFill>
                  <w14:solidFill>
                    <w14:schemeClr w14:val="tx1"/>
                  </w14:solidFill>
                </w14:textFill>
              </w:rPr>
              <w:t>边角废料、不合格产品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废溶剂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废包装容器、废抹布、手套、废机油、废胶渣、废活性炭、废催化剂</w:t>
            </w:r>
          </w:p>
        </w:tc>
      </w:tr>
      <w:tr w14:paraId="7230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vAlign w:val="center"/>
          </w:tcPr>
          <w:p w14:paraId="7E5E09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57" w:type="pct"/>
            <w:vMerge w:val="restart"/>
            <w:vAlign w:val="center"/>
          </w:tcPr>
          <w:p w14:paraId="789BE180">
            <w:pPr>
              <w:pStyle w:val="28"/>
              <w:rPr>
                <w:color w:val="000000" w:themeColor="text1"/>
                <w14:textFill>
                  <w14:solidFill>
                    <w14:schemeClr w14:val="tx1"/>
                  </w14:solidFill>
                </w14:textFill>
              </w:rPr>
            </w:pPr>
            <w:r>
              <w:rPr>
                <w:color w:val="000000" w:themeColor="text1"/>
                <w14:textFill>
                  <w14:solidFill>
                    <w14:schemeClr w14:val="tx1"/>
                  </w14:solidFill>
                </w14:textFill>
              </w:rPr>
              <w:t>恒达空间钢结构有限公司</w:t>
            </w:r>
          </w:p>
        </w:tc>
        <w:tc>
          <w:tcPr>
            <w:tcW w:w="249" w:type="pct"/>
            <w:vMerge w:val="restart"/>
            <w:vAlign w:val="center"/>
          </w:tcPr>
          <w:p w14:paraId="0F26DC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东面</w:t>
            </w:r>
          </w:p>
        </w:tc>
        <w:tc>
          <w:tcPr>
            <w:tcW w:w="407" w:type="pct"/>
            <w:vMerge w:val="restart"/>
            <w:vAlign w:val="center"/>
          </w:tcPr>
          <w:p w14:paraId="60D745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80m</w:t>
            </w:r>
          </w:p>
        </w:tc>
        <w:tc>
          <w:tcPr>
            <w:tcW w:w="1182" w:type="pct"/>
            <w:vMerge w:val="restart"/>
            <w:vAlign w:val="center"/>
          </w:tcPr>
          <w:p w14:paraId="3D8057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主要是进行</w:t>
            </w:r>
            <w:r>
              <w:rPr>
                <w:color w:val="000000" w:themeColor="text1"/>
                <w14:textFill>
                  <w14:solidFill>
                    <w14:schemeClr w14:val="tx1"/>
                  </w14:solidFill>
                </w14:textFill>
              </w:rPr>
              <w:t>空间建筑钢结构、桥架、风管等金属制品的生产与安装</w:t>
            </w:r>
          </w:p>
        </w:tc>
        <w:tc>
          <w:tcPr>
            <w:tcW w:w="189" w:type="pct"/>
            <w:shd w:val="clear" w:color="auto" w:fill="auto"/>
            <w:vAlign w:val="center"/>
          </w:tcPr>
          <w:p w14:paraId="7FB5B5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85" w:type="pct"/>
            <w:shd w:val="clear" w:color="auto" w:fill="auto"/>
            <w:vAlign w:val="center"/>
          </w:tcPr>
          <w:p w14:paraId="790D7C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焊接烟尘、切割打磨粉尘</w:t>
            </w:r>
          </w:p>
        </w:tc>
        <w:tc>
          <w:tcPr>
            <w:tcW w:w="1381" w:type="pct"/>
            <w:vAlign w:val="center"/>
          </w:tcPr>
          <w:p w14:paraId="155ED5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14:paraId="1BE1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7392F31">
            <w:pPr>
              <w:pStyle w:val="28"/>
              <w:rPr>
                <w:color w:val="000000" w:themeColor="text1"/>
                <w14:textFill>
                  <w14:solidFill>
                    <w14:schemeClr w14:val="tx1"/>
                  </w14:solidFill>
                </w14:textFill>
              </w:rPr>
            </w:pPr>
          </w:p>
        </w:tc>
        <w:tc>
          <w:tcPr>
            <w:tcW w:w="457" w:type="pct"/>
            <w:vMerge w:val="continue"/>
            <w:vAlign w:val="center"/>
          </w:tcPr>
          <w:p w14:paraId="77D441A4">
            <w:pPr>
              <w:pStyle w:val="28"/>
              <w:rPr>
                <w:color w:val="000000" w:themeColor="text1"/>
                <w14:textFill>
                  <w14:solidFill>
                    <w14:schemeClr w14:val="tx1"/>
                  </w14:solidFill>
                </w14:textFill>
              </w:rPr>
            </w:pPr>
          </w:p>
        </w:tc>
        <w:tc>
          <w:tcPr>
            <w:tcW w:w="249" w:type="pct"/>
            <w:vMerge w:val="continue"/>
            <w:vAlign w:val="center"/>
          </w:tcPr>
          <w:p w14:paraId="24E71E6D">
            <w:pPr>
              <w:pStyle w:val="28"/>
              <w:rPr>
                <w:color w:val="000000" w:themeColor="text1"/>
                <w14:textFill>
                  <w14:solidFill>
                    <w14:schemeClr w14:val="tx1"/>
                  </w14:solidFill>
                </w14:textFill>
              </w:rPr>
            </w:pPr>
          </w:p>
        </w:tc>
        <w:tc>
          <w:tcPr>
            <w:tcW w:w="407" w:type="pct"/>
            <w:vMerge w:val="continue"/>
            <w:vAlign w:val="center"/>
          </w:tcPr>
          <w:p w14:paraId="5186FA29">
            <w:pPr>
              <w:pStyle w:val="28"/>
              <w:rPr>
                <w:color w:val="000000" w:themeColor="text1"/>
                <w14:textFill>
                  <w14:solidFill>
                    <w14:schemeClr w14:val="tx1"/>
                  </w14:solidFill>
                </w14:textFill>
              </w:rPr>
            </w:pPr>
          </w:p>
        </w:tc>
        <w:tc>
          <w:tcPr>
            <w:tcW w:w="1182" w:type="pct"/>
            <w:vMerge w:val="continue"/>
            <w:vAlign w:val="center"/>
          </w:tcPr>
          <w:p w14:paraId="4237EA6F">
            <w:pPr>
              <w:pStyle w:val="28"/>
              <w:rPr>
                <w:color w:val="000000" w:themeColor="text1"/>
                <w14:textFill>
                  <w14:solidFill>
                    <w14:schemeClr w14:val="tx1"/>
                  </w14:solidFill>
                </w14:textFill>
              </w:rPr>
            </w:pPr>
          </w:p>
        </w:tc>
        <w:tc>
          <w:tcPr>
            <w:tcW w:w="189" w:type="pct"/>
            <w:shd w:val="clear" w:color="auto" w:fill="auto"/>
            <w:vAlign w:val="center"/>
          </w:tcPr>
          <w:p w14:paraId="762981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85" w:type="pct"/>
            <w:shd w:val="clear" w:color="auto" w:fill="auto"/>
            <w:vAlign w:val="center"/>
          </w:tcPr>
          <w:p w14:paraId="315E1C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381" w:type="pct"/>
            <w:vAlign w:val="center"/>
          </w:tcPr>
          <w:p w14:paraId="028AA4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cr</w:t>
            </w: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w:t>
            </w:r>
          </w:p>
        </w:tc>
      </w:tr>
      <w:tr w14:paraId="4EDB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51DE7F7">
            <w:pPr>
              <w:pStyle w:val="28"/>
              <w:rPr>
                <w:color w:val="000000" w:themeColor="text1"/>
                <w14:textFill>
                  <w14:solidFill>
                    <w14:schemeClr w14:val="tx1"/>
                  </w14:solidFill>
                </w14:textFill>
              </w:rPr>
            </w:pPr>
          </w:p>
        </w:tc>
        <w:tc>
          <w:tcPr>
            <w:tcW w:w="457" w:type="pct"/>
            <w:vMerge w:val="continue"/>
            <w:vAlign w:val="center"/>
          </w:tcPr>
          <w:p w14:paraId="2758B697">
            <w:pPr>
              <w:pStyle w:val="28"/>
              <w:rPr>
                <w:color w:val="000000" w:themeColor="text1"/>
                <w14:textFill>
                  <w14:solidFill>
                    <w14:schemeClr w14:val="tx1"/>
                  </w14:solidFill>
                </w14:textFill>
              </w:rPr>
            </w:pPr>
          </w:p>
        </w:tc>
        <w:tc>
          <w:tcPr>
            <w:tcW w:w="249" w:type="pct"/>
            <w:vMerge w:val="continue"/>
            <w:vAlign w:val="center"/>
          </w:tcPr>
          <w:p w14:paraId="116179C1">
            <w:pPr>
              <w:pStyle w:val="28"/>
              <w:rPr>
                <w:color w:val="000000" w:themeColor="text1"/>
                <w14:textFill>
                  <w14:solidFill>
                    <w14:schemeClr w14:val="tx1"/>
                  </w14:solidFill>
                </w14:textFill>
              </w:rPr>
            </w:pPr>
          </w:p>
        </w:tc>
        <w:tc>
          <w:tcPr>
            <w:tcW w:w="407" w:type="pct"/>
            <w:vMerge w:val="continue"/>
            <w:vAlign w:val="center"/>
          </w:tcPr>
          <w:p w14:paraId="63888BBF">
            <w:pPr>
              <w:pStyle w:val="28"/>
              <w:rPr>
                <w:color w:val="000000" w:themeColor="text1"/>
                <w14:textFill>
                  <w14:solidFill>
                    <w14:schemeClr w14:val="tx1"/>
                  </w14:solidFill>
                </w14:textFill>
              </w:rPr>
            </w:pPr>
          </w:p>
        </w:tc>
        <w:tc>
          <w:tcPr>
            <w:tcW w:w="1182" w:type="pct"/>
            <w:vMerge w:val="continue"/>
            <w:vAlign w:val="center"/>
          </w:tcPr>
          <w:p w14:paraId="086605CB">
            <w:pPr>
              <w:pStyle w:val="28"/>
              <w:rPr>
                <w:color w:val="000000" w:themeColor="text1"/>
                <w14:textFill>
                  <w14:solidFill>
                    <w14:schemeClr w14:val="tx1"/>
                  </w14:solidFill>
                </w14:textFill>
              </w:rPr>
            </w:pPr>
          </w:p>
        </w:tc>
        <w:tc>
          <w:tcPr>
            <w:tcW w:w="1074" w:type="pct"/>
            <w:gridSpan w:val="2"/>
            <w:shd w:val="clear" w:color="auto" w:fill="auto"/>
            <w:vAlign w:val="center"/>
          </w:tcPr>
          <w:p w14:paraId="4CF8E3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vAlign w:val="center"/>
          </w:tcPr>
          <w:p w14:paraId="033622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r w14:paraId="5EFE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66B91D7">
            <w:pPr>
              <w:pStyle w:val="28"/>
              <w:rPr>
                <w:color w:val="000000" w:themeColor="text1"/>
                <w14:textFill>
                  <w14:solidFill>
                    <w14:schemeClr w14:val="tx1"/>
                  </w14:solidFill>
                </w14:textFill>
              </w:rPr>
            </w:pPr>
          </w:p>
        </w:tc>
        <w:tc>
          <w:tcPr>
            <w:tcW w:w="457" w:type="pct"/>
            <w:vMerge w:val="continue"/>
            <w:vAlign w:val="center"/>
          </w:tcPr>
          <w:p w14:paraId="27C6BFC5">
            <w:pPr>
              <w:pStyle w:val="28"/>
              <w:rPr>
                <w:color w:val="000000" w:themeColor="text1"/>
                <w14:textFill>
                  <w14:solidFill>
                    <w14:schemeClr w14:val="tx1"/>
                  </w14:solidFill>
                </w14:textFill>
              </w:rPr>
            </w:pPr>
          </w:p>
        </w:tc>
        <w:tc>
          <w:tcPr>
            <w:tcW w:w="249" w:type="pct"/>
            <w:vMerge w:val="continue"/>
            <w:vAlign w:val="center"/>
          </w:tcPr>
          <w:p w14:paraId="0EB7BA2B">
            <w:pPr>
              <w:pStyle w:val="28"/>
              <w:rPr>
                <w:color w:val="000000" w:themeColor="text1"/>
                <w14:textFill>
                  <w14:solidFill>
                    <w14:schemeClr w14:val="tx1"/>
                  </w14:solidFill>
                </w14:textFill>
              </w:rPr>
            </w:pPr>
          </w:p>
        </w:tc>
        <w:tc>
          <w:tcPr>
            <w:tcW w:w="407" w:type="pct"/>
            <w:vMerge w:val="continue"/>
            <w:vAlign w:val="center"/>
          </w:tcPr>
          <w:p w14:paraId="396DAFAE">
            <w:pPr>
              <w:pStyle w:val="28"/>
              <w:rPr>
                <w:color w:val="000000" w:themeColor="text1"/>
                <w14:textFill>
                  <w14:solidFill>
                    <w14:schemeClr w14:val="tx1"/>
                  </w14:solidFill>
                </w14:textFill>
              </w:rPr>
            </w:pPr>
          </w:p>
        </w:tc>
        <w:tc>
          <w:tcPr>
            <w:tcW w:w="1182" w:type="pct"/>
            <w:vMerge w:val="continue"/>
            <w:vAlign w:val="center"/>
          </w:tcPr>
          <w:p w14:paraId="3FF9788F">
            <w:pPr>
              <w:pStyle w:val="28"/>
              <w:rPr>
                <w:color w:val="000000" w:themeColor="text1"/>
                <w14:textFill>
                  <w14:solidFill>
                    <w14:schemeClr w14:val="tx1"/>
                  </w14:solidFill>
                </w14:textFill>
              </w:rPr>
            </w:pPr>
          </w:p>
        </w:tc>
        <w:tc>
          <w:tcPr>
            <w:tcW w:w="1074" w:type="pct"/>
            <w:gridSpan w:val="2"/>
            <w:shd w:val="clear" w:color="auto" w:fill="auto"/>
            <w:vAlign w:val="center"/>
          </w:tcPr>
          <w:p w14:paraId="6092D1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381" w:type="pct"/>
            <w:vAlign w:val="center"/>
          </w:tcPr>
          <w:p w14:paraId="7B755303">
            <w:pPr>
              <w:pStyle w:val="28"/>
              <w:rPr>
                <w:color w:val="000000" w:themeColor="text1"/>
                <w14:textFill>
                  <w14:solidFill>
                    <w14:schemeClr w14:val="tx1"/>
                  </w14:solidFill>
                </w14:textFill>
              </w:rPr>
            </w:pPr>
            <w:r>
              <w:rPr>
                <w:color w:val="000000" w:themeColor="text1"/>
                <w14:textFill>
                  <w14:solidFill>
                    <w14:schemeClr w14:val="tx1"/>
                  </w14:solidFill>
                </w14:textFill>
              </w:rPr>
              <w:t>废金属边角料、焊渣</w:t>
            </w:r>
            <w:r>
              <w:rPr>
                <w:rFonts w:hint="eastAsia"/>
                <w:color w:val="000000" w:themeColor="text1"/>
                <w14:textFill>
                  <w14:solidFill>
                    <w14:schemeClr w14:val="tx1"/>
                  </w14:solidFill>
                </w14:textFill>
              </w:rPr>
              <w:t>、废机油</w:t>
            </w:r>
          </w:p>
        </w:tc>
      </w:tr>
      <w:tr w14:paraId="40C0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vAlign w:val="center"/>
          </w:tcPr>
          <w:p w14:paraId="66D6F3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57" w:type="pct"/>
            <w:vMerge w:val="restart"/>
            <w:vAlign w:val="center"/>
          </w:tcPr>
          <w:p w14:paraId="5F44EA65">
            <w:pPr>
              <w:pStyle w:val="28"/>
              <w:rPr>
                <w:color w:val="000000" w:themeColor="text1"/>
                <w14:textFill>
                  <w14:solidFill>
                    <w14:schemeClr w14:val="tx1"/>
                  </w14:solidFill>
                </w14:textFill>
              </w:rPr>
            </w:pPr>
            <w:r>
              <w:rPr>
                <w:color w:val="000000" w:themeColor="text1"/>
                <w14:textFill>
                  <w14:solidFill>
                    <w14:schemeClr w14:val="tx1"/>
                  </w14:solidFill>
                </w14:textFill>
              </w:rPr>
              <w:t>云南红塔塑胶有限公司</w:t>
            </w:r>
          </w:p>
        </w:tc>
        <w:tc>
          <w:tcPr>
            <w:tcW w:w="249" w:type="pct"/>
            <w:vMerge w:val="restart"/>
            <w:vAlign w:val="center"/>
          </w:tcPr>
          <w:p w14:paraId="71E10A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东面</w:t>
            </w:r>
          </w:p>
        </w:tc>
        <w:tc>
          <w:tcPr>
            <w:tcW w:w="407" w:type="pct"/>
            <w:vMerge w:val="restart"/>
            <w:vAlign w:val="center"/>
          </w:tcPr>
          <w:p w14:paraId="614C25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270m</w:t>
            </w:r>
          </w:p>
        </w:tc>
        <w:tc>
          <w:tcPr>
            <w:tcW w:w="1182" w:type="pct"/>
            <w:vMerge w:val="restart"/>
            <w:vAlign w:val="center"/>
          </w:tcPr>
          <w:p w14:paraId="413A80D1">
            <w:pPr>
              <w:pStyle w:val="28"/>
              <w:rPr>
                <w:color w:val="000000" w:themeColor="text1"/>
                <w14:textFill>
                  <w14:solidFill>
                    <w14:schemeClr w14:val="tx1"/>
                  </w14:solidFill>
                </w14:textFill>
              </w:rPr>
            </w:pPr>
            <w:r>
              <w:rPr>
                <w:color w:val="000000" w:themeColor="text1"/>
                <w14:textFill>
                  <w14:solidFill>
                    <w14:schemeClr w14:val="tx1"/>
                  </w14:solidFill>
                </w14:textFill>
              </w:rPr>
              <w:t>年产7万吨BOPP薄膜</w:t>
            </w:r>
          </w:p>
        </w:tc>
        <w:tc>
          <w:tcPr>
            <w:tcW w:w="189" w:type="pct"/>
            <w:vMerge w:val="restart"/>
            <w:vAlign w:val="center"/>
          </w:tcPr>
          <w:p w14:paraId="7C6CB3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85" w:type="pct"/>
            <w:vAlign w:val="center"/>
          </w:tcPr>
          <w:p w14:paraId="712E62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挤出、涂布、拉伸废气</w:t>
            </w:r>
          </w:p>
        </w:tc>
        <w:tc>
          <w:tcPr>
            <w:tcW w:w="1381" w:type="pct"/>
            <w:vAlign w:val="center"/>
          </w:tcPr>
          <w:p w14:paraId="1B87B8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r>
      <w:tr w14:paraId="14F8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1A8567B">
            <w:pPr>
              <w:pStyle w:val="28"/>
              <w:rPr>
                <w:color w:val="000000" w:themeColor="text1"/>
                <w14:textFill>
                  <w14:solidFill>
                    <w14:schemeClr w14:val="tx1"/>
                  </w14:solidFill>
                </w14:textFill>
              </w:rPr>
            </w:pPr>
          </w:p>
        </w:tc>
        <w:tc>
          <w:tcPr>
            <w:tcW w:w="457" w:type="pct"/>
            <w:vMerge w:val="continue"/>
            <w:vAlign w:val="center"/>
          </w:tcPr>
          <w:p w14:paraId="720A8EE9">
            <w:pPr>
              <w:pStyle w:val="28"/>
              <w:rPr>
                <w:color w:val="000000" w:themeColor="text1"/>
                <w14:textFill>
                  <w14:solidFill>
                    <w14:schemeClr w14:val="tx1"/>
                  </w14:solidFill>
                </w14:textFill>
              </w:rPr>
            </w:pPr>
          </w:p>
        </w:tc>
        <w:tc>
          <w:tcPr>
            <w:tcW w:w="249" w:type="pct"/>
            <w:vMerge w:val="continue"/>
            <w:vAlign w:val="center"/>
          </w:tcPr>
          <w:p w14:paraId="1A1985DF">
            <w:pPr>
              <w:pStyle w:val="28"/>
              <w:rPr>
                <w:color w:val="000000" w:themeColor="text1"/>
                <w14:textFill>
                  <w14:solidFill>
                    <w14:schemeClr w14:val="tx1"/>
                  </w14:solidFill>
                </w14:textFill>
              </w:rPr>
            </w:pPr>
          </w:p>
        </w:tc>
        <w:tc>
          <w:tcPr>
            <w:tcW w:w="407" w:type="pct"/>
            <w:vMerge w:val="continue"/>
            <w:vAlign w:val="center"/>
          </w:tcPr>
          <w:p w14:paraId="60316DFD">
            <w:pPr>
              <w:pStyle w:val="28"/>
              <w:rPr>
                <w:color w:val="000000" w:themeColor="text1"/>
                <w14:textFill>
                  <w14:solidFill>
                    <w14:schemeClr w14:val="tx1"/>
                  </w14:solidFill>
                </w14:textFill>
              </w:rPr>
            </w:pPr>
          </w:p>
        </w:tc>
        <w:tc>
          <w:tcPr>
            <w:tcW w:w="1182" w:type="pct"/>
            <w:vMerge w:val="continue"/>
            <w:vAlign w:val="center"/>
          </w:tcPr>
          <w:p w14:paraId="635562AB">
            <w:pPr>
              <w:pStyle w:val="28"/>
              <w:rPr>
                <w:color w:val="000000" w:themeColor="text1"/>
                <w14:textFill>
                  <w14:solidFill>
                    <w14:schemeClr w14:val="tx1"/>
                  </w14:solidFill>
                </w14:textFill>
              </w:rPr>
            </w:pPr>
          </w:p>
        </w:tc>
        <w:tc>
          <w:tcPr>
            <w:tcW w:w="189" w:type="pct"/>
            <w:vMerge w:val="continue"/>
            <w:vAlign w:val="center"/>
          </w:tcPr>
          <w:p w14:paraId="5DB71934">
            <w:pPr>
              <w:pStyle w:val="28"/>
              <w:rPr>
                <w:color w:val="000000" w:themeColor="text1"/>
                <w14:textFill>
                  <w14:solidFill>
                    <w14:schemeClr w14:val="tx1"/>
                  </w14:solidFill>
                </w14:textFill>
              </w:rPr>
            </w:pPr>
          </w:p>
        </w:tc>
        <w:tc>
          <w:tcPr>
            <w:tcW w:w="885" w:type="pct"/>
            <w:vAlign w:val="center"/>
          </w:tcPr>
          <w:p w14:paraId="544ECC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上料、混料粉尘</w:t>
            </w:r>
          </w:p>
        </w:tc>
        <w:tc>
          <w:tcPr>
            <w:tcW w:w="1381" w:type="pct"/>
            <w:vAlign w:val="center"/>
          </w:tcPr>
          <w:p w14:paraId="6E1ACB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14:paraId="2F83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258E7884">
            <w:pPr>
              <w:pStyle w:val="28"/>
              <w:rPr>
                <w:color w:val="000000" w:themeColor="text1"/>
                <w14:textFill>
                  <w14:solidFill>
                    <w14:schemeClr w14:val="tx1"/>
                  </w14:solidFill>
                </w14:textFill>
              </w:rPr>
            </w:pPr>
          </w:p>
        </w:tc>
        <w:tc>
          <w:tcPr>
            <w:tcW w:w="457" w:type="pct"/>
            <w:vMerge w:val="continue"/>
            <w:vAlign w:val="center"/>
          </w:tcPr>
          <w:p w14:paraId="65B222F0">
            <w:pPr>
              <w:pStyle w:val="28"/>
              <w:rPr>
                <w:color w:val="000000" w:themeColor="text1"/>
                <w14:textFill>
                  <w14:solidFill>
                    <w14:schemeClr w14:val="tx1"/>
                  </w14:solidFill>
                </w14:textFill>
              </w:rPr>
            </w:pPr>
          </w:p>
        </w:tc>
        <w:tc>
          <w:tcPr>
            <w:tcW w:w="249" w:type="pct"/>
            <w:vMerge w:val="continue"/>
            <w:vAlign w:val="center"/>
          </w:tcPr>
          <w:p w14:paraId="7DF339DC">
            <w:pPr>
              <w:pStyle w:val="28"/>
              <w:rPr>
                <w:color w:val="000000" w:themeColor="text1"/>
                <w14:textFill>
                  <w14:solidFill>
                    <w14:schemeClr w14:val="tx1"/>
                  </w14:solidFill>
                </w14:textFill>
              </w:rPr>
            </w:pPr>
          </w:p>
        </w:tc>
        <w:tc>
          <w:tcPr>
            <w:tcW w:w="407" w:type="pct"/>
            <w:vMerge w:val="continue"/>
            <w:vAlign w:val="center"/>
          </w:tcPr>
          <w:p w14:paraId="76FFA39B">
            <w:pPr>
              <w:pStyle w:val="28"/>
              <w:rPr>
                <w:color w:val="000000" w:themeColor="text1"/>
                <w14:textFill>
                  <w14:solidFill>
                    <w14:schemeClr w14:val="tx1"/>
                  </w14:solidFill>
                </w14:textFill>
              </w:rPr>
            </w:pPr>
          </w:p>
        </w:tc>
        <w:tc>
          <w:tcPr>
            <w:tcW w:w="1182" w:type="pct"/>
            <w:vMerge w:val="continue"/>
            <w:vAlign w:val="center"/>
          </w:tcPr>
          <w:p w14:paraId="483466B9">
            <w:pPr>
              <w:pStyle w:val="28"/>
              <w:rPr>
                <w:color w:val="000000" w:themeColor="text1"/>
                <w14:textFill>
                  <w14:solidFill>
                    <w14:schemeClr w14:val="tx1"/>
                  </w14:solidFill>
                </w14:textFill>
              </w:rPr>
            </w:pPr>
          </w:p>
        </w:tc>
        <w:tc>
          <w:tcPr>
            <w:tcW w:w="189" w:type="pct"/>
            <w:vAlign w:val="center"/>
          </w:tcPr>
          <w:p w14:paraId="1D5592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85" w:type="pct"/>
            <w:vAlign w:val="center"/>
          </w:tcPr>
          <w:p w14:paraId="76F3B3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381" w:type="pct"/>
            <w:vAlign w:val="center"/>
          </w:tcPr>
          <w:p w14:paraId="7E3417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cr</w:t>
            </w: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w:t>
            </w:r>
          </w:p>
        </w:tc>
      </w:tr>
      <w:tr w14:paraId="30CC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706D5411">
            <w:pPr>
              <w:pStyle w:val="28"/>
              <w:rPr>
                <w:color w:val="000000" w:themeColor="text1"/>
                <w14:textFill>
                  <w14:solidFill>
                    <w14:schemeClr w14:val="tx1"/>
                  </w14:solidFill>
                </w14:textFill>
              </w:rPr>
            </w:pPr>
          </w:p>
        </w:tc>
        <w:tc>
          <w:tcPr>
            <w:tcW w:w="457" w:type="pct"/>
            <w:vMerge w:val="continue"/>
            <w:vAlign w:val="center"/>
          </w:tcPr>
          <w:p w14:paraId="2D3F0477">
            <w:pPr>
              <w:pStyle w:val="28"/>
              <w:rPr>
                <w:color w:val="000000" w:themeColor="text1"/>
                <w14:textFill>
                  <w14:solidFill>
                    <w14:schemeClr w14:val="tx1"/>
                  </w14:solidFill>
                </w14:textFill>
              </w:rPr>
            </w:pPr>
          </w:p>
        </w:tc>
        <w:tc>
          <w:tcPr>
            <w:tcW w:w="249" w:type="pct"/>
            <w:vMerge w:val="continue"/>
            <w:vAlign w:val="center"/>
          </w:tcPr>
          <w:p w14:paraId="659B1F79">
            <w:pPr>
              <w:pStyle w:val="28"/>
              <w:rPr>
                <w:color w:val="000000" w:themeColor="text1"/>
                <w14:textFill>
                  <w14:solidFill>
                    <w14:schemeClr w14:val="tx1"/>
                  </w14:solidFill>
                </w14:textFill>
              </w:rPr>
            </w:pPr>
          </w:p>
        </w:tc>
        <w:tc>
          <w:tcPr>
            <w:tcW w:w="407" w:type="pct"/>
            <w:vMerge w:val="continue"/>
            <w:vAlign w:val="center"/>
          </w:tcPr>
          <w:p w14:paraId="0B13416C">
            <w:pPr>
              <w:pStyle w:val="28"/>
              <w:rPr>
                <w:color w:val="000000" w:themeColor="text1"/>
                <w14:textFill>
                  <w14:solidFill>
                    <w14:schemeClr w14:val="tx1"/>
                  </w14:solidFill>
                </w14:textFill>
              </w:rPr>
            </w:pPr>
          </w:p>
        </w:tc>
        <w:tc>
          <w:tcPr>
            <w:tcW w:w="1182" w:type="pct"/>
            <w:vMerge w:val="continue"/>
            <w:vAlign w:val="center"/>
          </w:tcPr>
          <w:p w14:paraId="7CC18540">
            <w:pPr>
              <w:pStyle w:val="28"/>
              <w:rPr>
                <w:color w:val="000000" w:themeColor="text1"/>
                <w14:textFill>
                  <w14:solidFill>
                    <w14:schemeClr w14:val="tx1"/>
                  </w14:solidFill>
                </w14:textFill>
              </w:rPr>
            </w:pPr>
          </w:p>
        </w:tc>
        <w:tc>
          <w:tcPr>
            <w:tcW w:w="1074" w:type="pct"/>
            <w:gridSpan w:val="2"/>
            <w:vAlign w:val="center"/>
          </w:tcPr>
          <w:p w14:paraId="2721F1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vAlign w:val="center"/>
          </w:tcPr>
          <w:p w14:paraId="5C2FCC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r w14:paraId="62CF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20EE0D97">
            <w:pPr>
              <w:pStyle w:val="28"/>
              <w:rPr>
                <w:color w:val="000000" w:themeColor="text1"/>
                <w14:textFill>
                  <w14:solidFill>
                    <w14:schemeClr w14:val="tx1"/>
                  </w14:solidFill>
                </w14:textFill>
              </w:rPr>
            </w:pPr>
          </w:p>
        </w:tc>
        <w:tc>
          <w:tcPr>
            <w:tcW w:w="457" w:type="pct"/>
            <w:vMerge w:val="continue"/>
            <w:vAlign w:val="center"/>
          </w:tcPr>
          <w:p w14:paraId="678C2F92">
            <w:pPr>
              <w:pStyle w:val="28"/>
              <w:rPr>
                <w:color w:val="000000" w:themeColor="text1"/>
                <w14:textFill>
                  <w14:solidFill>
                    <w14:schemeClr w14:val="tx1"/>
                  </w14:solidFill>
                </w14:textFill>
              </w:rPr>
            </w:pPr>
          </w:p>
        </w:tc>
        <w:tc>
          <w:tcPr>
            <w:tcW w:w="249" w:type="pct"/>
            <w:vMerge w:val="continue"/>
            <w:vAlign w:val="center"/>
          </w:tcPr>
          <w:p w14:paraId="0809EC74">
            <w:pPr>
              <w:pStyle w:val="28"/>
              <w:rPr>
                <w:color w:val="000000" w:themeColor="text1"/>
                <w14:textFill>
                  <w14:solidFill>
                    <w14:schemeClr w14:val="tx1"/>
                  </w14:solidFill>
                </w14:textFill>
              </w:rPr>
            </w:pPr>
          </w:p>
        </w:tc>
        <w:tc>
          <w:tcPr>
            <w:tcW w:w="407" w:type="pct"/>
            <w:vMerge w:val="continue"/>
            <w:vAlign w:val="center"/>
          </w:tcPr>
          <w:p w14:paraId="7FC0CDA4">
            <w:pPr>
              <w:pStyle w:val="28"/>
              <w:rPr>
                <w:color w:val="000000" w:themeColor="text1"/>
                <w14:textFill>
                  <w14:solidFill>
                    <w14:schemeClr w14:val="tx1"/>
                  </w14:solidFill>
                </w14:textFill>
              </w:rPr>
            </w:pPr>
          </w:p>
        </w:tc>
        <w:tc>
          <w:tcPr>
            <w:tcW w:w="1182" w:type="pct"/>
            <w:vMerge w:val="continue"/>
            <w:vAlign w:val="center"/>
          </w:tcPr>
          <w:p w14:paraId="229E12ED">
            <w:pPr>
              <w:pStyle w:val="28"/>
              <w:rPr>
                <w:color w:val="000000" w:themeColor="text1"/>
                <w14:textFill>
                  <w14:solidFill>
                    <w14:schemeClr w14:val="tx1"/>
                  </w14:solidFill>
                </w14:textFill>
              </w:rPr>
            </w:pPr>
          </w:p>
        </w:tc>
        <w:tc>
          <w:tcPr>
            <w:tcW w:w="1074" w:type="pct"/>
            <w:gridSpan w:val="2"/>
            <w:vAlign w:val="center"/>
          </w:tcPr>
          <w:p w14:paraId="2548DB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381" w:type="pct"/>
            <w:vAlign w:val="center"/>
          </w:tcPr>
          <w:p w14:paraId="772508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边角料、不合格品、废活性炭、废抹布</w:t>
            </w:r>
          </w:p>
        </w:tc>
      </w:tr>
      <w:tr w14:paraId="7A15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vAlign w:val="center"/>
          </w:tcPr>
          <w:p w14:paraId="5A5282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57" w:type="pct"/>
            <w:vMerge w:val="restart"/>
            <w:vAlign w:val="center"/>
          </w:tcPr>
          <w:p w14:paraId="2A65CFBB">
            <w:pPr>
              <w:pStyle w:val="28"/>
              <w:rPr>
                <w:color w:val="000000" w:themeColor="text1"/>
                <w14:textFill>
                  <w14:solidFill>
                    <w14:schemeClr w14:val="tx1"/>
                  </w14:solidFill>
                </w14:textFill>
              </w:rPr>
            </w:pPr>
            <w:r>
              <w:rPr>
                <w:color w:val="000000" w:themeColor="text1"/>
                <w14:textFill>
                  <w14:solidFill>
                    <w14:schemeClr w14:val="tx1"/>
                  </w14:solidFill>
                </w14:textFill>
              </w:rPr>
              <w:t>玉溪恩捷新材料有限公司</w:t>
            </w:r>
          </w:p>
        </w:tc>
        <w:tc>
          <w:tcPr>
            <w:tcW w:w="249" w:type="pct"/>
            <w:vMerge w:val="restart"/>
            <w:vAlign w:val="center"/>
          </w:tcPr>
          <w:p w14:paraId="1EDF01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东北面</w:t>
            </w:r>
          </w:p>
        </w:tc>
        <w:tc>
          <w:tcPr>
            <w:tcW w:w="407" w:type="pct"/>
            <w:vMerge w:val="restart"/>
            <w:vAlign w:val="center"/>
          </w:tcPr>
          <w:p w14:paraId="6C3F65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525m</w:t>
            </w:r>
          </w:p>
        </w:tc>
        <w:tc>
          <w:tcPr>
            <w:tcW w:w="1182" w:type="pct"/>
            <w:vMerge w:val="restart"/>
            <w:vAlign w:val="center"/>
          </w:tcPr>
          <w:p w14:paraId="5733ADEB">
            <w:pPr>
              <w:pStyle w:val="28"/>
              <w:rPr>
                <w:color w:val="000000" w:themeColor="text1"/>
                <w14:textFill>
                  <w14:solidFill>
                    <w14:schemeClr w14:val="tx1"/>
                  </w14:solidFill>
                </w14:textFill>
              </w:rPr>
            </w:pPr>
            <w:r>
              <w:rPr>
                <w:color w:val="000000" w:themeColor="text1"/>
                <w14:textFill>
                  <w14:solidFill>
                    <w14:schemeClr w14:val="tx1"/>
                  </w14:solidFill>
                </w14:textFill>
              </w:rPr>
              <w:t>年产16亿平方米锂电池隔离膜</w:t>
            </w:r>
          </w:p>
        </w:tc>
        <w:tc>
          <w:tcPr>
            <w:tcW w:w="189" w:type="pct"/>
            <w:vAlign w:val="center"/>
          </w:tcPr>
          <w:p w14:paraId="74A3FA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85" w:type="pct"/>
            <w:vAlign w:val="center"/>
          </w:tcPr>
          <w:p w14:paraId="51BE4F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投料粉尘、挤出、拉伸废气、热定型废气、萃取废气、烘干、二氯甲烷不凝气、曝气废气、储罐呼吸废气、融入挤出废气、真空清洗废气、燃烧废气</w:t>
            </w:r>
          </w:p>
        </w:tc>
        <w:tc>
          <w:tcPr>
            <w:tcW w:w="1381" w:type="pct"/>
            <w:vAlign w:val="center"/>
          </w:tcPr>
          <w:p w14:paraId="0D0B00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颗粒物、二氧化硫、氮氧化物、挥发性有机物</w:t>
            </w:r>
          </w:p>
        </w:tc>
      </w:tr>
      <w:tr w14:paraId="16FE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18E16CCB">
            <w:pPr>
              <w:pStyle w:val="28"/>
              <w:rPr>
                <w:color w:val="000000" w:themeColor="text1"/>
                <w14:textFill>
                  <w14:solidFill>
                    <w14:schemeClr w14:val="tx1"/>
                  </w14:solidFill>
                </w14:textFill>
              </w:rPr>
            </w:pPr>
          </w:p>
        </w:tc>
        <w:tc>
          <w:tcPr>
            <w:tcW w:w="457" w:type="pct"/>
            <w:vMerge w:val="continue"/>
            <w:vAlign w:val="center"/>
          </w:tcPr>
          <w:p w14:paraId="1B1779A5">
            <w:pPr>
              <w:pStyle w:val="28"/>
              <w:rPr>
                <w:color w:val="000000" w:themeColor="text1"/>
                <w14:textFill>
                  <w14:solidFill>
                    <w14:schemeClr w14:val="tx1"/>
                  </w14:solidFill>
                </w14:textFill>
              </w:rPr>
            </w:pPr>
          </w:p>
        </w:tc>
        <w:tc>
          <w:tcPr>
            <w:tcW w:w="249" w:type="pct"/>
            <w:vMerge w:val="continue"/>
            <w:vAlign w:val="center"/>
          </w:tcPr>
          <w:p w14:paraId="6EA276DF">
            <w:pPr>
              <w:pStyle w:val="28"/>
              <w:rPr>
                <w:color w:val="000000" w:themeColor="text1"/>
                <w14:textFill>
                  <w14:solidFill>
                    <w14:schemeClr w14:val="tx1"/>
                  </w14:solidFill>
                </w14:textFill>
              </w:rPr>
            </w:pPr>
          </w:p>
        </w:tc>
        <w:tc>
          <w:tcPr>
            <w:tcW w:w="407" w:type="pct"/>
            <w:vMerge w:val="continue"/>
            <w:vAlign w:val="center"/>
          </w:tcPr>
          <w:p w14:paraId="69B7313C">
            <w:pPr>
              <w:pStyle w:val="28"/>
              <w:rPr>
                <w:color w:val="000000" w:themeColor="text1"/>
                <w14:textFill>
                  <w14:solidFill>
                    <w14:schemeClr w14:val="tx1"/>
                  </w14:solidFill>
                </w14:textFill>
              </w:rPr>
            </w:pPr>
          </w:p>
        </w:tc>
        <w:tc>
          <w:tcPr>
            <w:tcW w:w="1182" w:type="pct"/>
            <w:vMerge w:val="continue"/>
            <w:vAlign w:val="center"/>
          </w:tcPr>
          <w:p w14:paraId="33E8BE1D">
            <w:pPr>
              <w:pStyle w:val="28"/>
              <w:rPr>
                <w:color w:val="000000" w:themeColor="text1"/>
                <w14:textFill>
                  <w14:solidFill>
                    <w14:schemeClr w14:val="tx1"/>
                  </w14:solidFill>
                </w14:textFill>
              </w:rPr>
            </w:pPr>
          </w:p>
        </w:tc>
        <w:tc>
          <w:tcPr>
            <w:tcW w:w="189" w:type="pct"/>
            <w:vAlign w:val="center"/>
          </w:tcPr>
          <w:p w14:paraId="02D226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85" w:type="pct"/>
            <w:vAlign w:val="center"/>
          </w:tcPr>
          <w:p w14:paraId="532BCA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再造粒冷却水、二氯甲烷解析废水、蒸汽冷凝水、涂布废水、浓水（软水站+纯水站）、冷却塔排水、锅炉排污水、生活污水</w:t>
            </w:r>
          </w:p>
        </w:tc>
        <w:tc>
          <w:tcPr>
            <w:tcW w:w="1381" w:type="pct"/>
            <w:vAlign w:val="center"/>
          </w:tcPr>
          <w:p w14:paraId="520B4F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-N、TN、TP</w:t>
            </w:r>
          </w:p>
        </w:tc>
      </w:tr>
      <w:tr w14:paraId="09A2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39B16865">
            <w:pPr>
              <w:pStyle w:val="28"/>
              <w:rPr>
                <w:color w:val="000000" w:themeColor="text1"/>
                <w14:textFill>
                  <w14:solidFill>
                    <w14:schemeClr w14:val="tx1"/>
                  </w14:solidFill>
                </w14:textFill>
              </w:rPr>
            </w:pPr>
          </w:p>
        </w:tc>
        <w:tc>
          <w:tcPr>
            <w:tcW w:w="457" w:type="pct"/>
            <w:vMerge w:val="continue"/>
            <w:vAlign w:val="center"/>
          </w:tcPr>
          <w:p w14:paraId="65FEBD1C">
            <w:pPr>
              <w:pStyle w:val="28"/>
              <w:rPr>
                <w:color w:val="000000" w:themeColor="text1"/>
                <w14:textFill>
                  <w14:solidFill>
                    <w14:schemeClr w14:val="tx1"/>
                  </w14:solidFill>
                </w14:textFill>
              </w:rPr>
            </w:pPr>
          </w:p>
        </w:tc>
        <w:tc>
          <w:tcPr>
            <w:tcW w:w="249" w:type="pct"/>
            <w:vMerge w:val="continue"/>
            <w:vAlign w:val="center"/>
          </w:tcPr>
          <w:p w14:paraId="78A9D3E1">
            <w:pPr>
              <w:pStyle w:val="28"/>
              <w:rPr>
                <w:color w:val="000000" w:themeColor="text1"/>
                <w14:textFill>
                  <w14:solidFill>
                    <w14:schemeClr w14:val="tx1"/>
                  </w14:solidFill>
                </w14:textFill>
              </w:rPr>
            </w:pPr>
          </w:p>
        </w:tc>
        <w:tc>
          <w:tcPr>
            <w:tcW w:w="407" w:type="pct"/>
            <w:vMerge w:val="continue"/>
            <w:vAlign w:val="center"/>
          </w:tcPr>
          <w:p w14:paraId="2632507B">
            <w:pPr>
              <w:pStyle w:val="28"/>
              <w:rPr>
                <w:color w:val="000000" w:themeColor="text1"/>
                <w14:textFill>
                  <w14:solidFill>
                    <w14:schemeClr w14:val="tx1"/>
                  </w14:solidFill>
                </w14:textFill>
              </w:rPr>
            </w:pPr>
          </w:p>
        </w:tc>
        <w:tc>
          <w:tcPr>
            <w:tcW w:w="1182" w:type="pct"/>
            <w:vMerge w:val="continue"/>
            <w:vAlign w:val="center"/>
          </w:tcPr>
          <w:p w14:paraId="73464E54">
            <w:pPr>
              <w:pStyle w:val="28"/>
              <w:rPr>
                <w:color w:val="000000" w:themeColor="text1"/>
                <w14:textFill>
                  <w14:solidFill>
                    <w14:schemeClr w14:val="tx1"/>
                  </w14:solidFill>
                </w14:textFill>
              </w:rPr>
            </w:pPr>
          </w:p>
        </w:tc>
        <w:tc>
          <w:tcPr>
            <w:tcW w:w="1074" w:type="pct"/>
            <w:gridSpan w:val="2"/>
            <w:shd w:val="clear" w:color="auto" w:fill="auto"/>
            <w:vAlign w:val="center"/>
          </w:tcPr>
          <w:p w14:paraId="6B37EF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shd w:val="clear" w:color="auto" w:fill="auto"/>
            <w:vAlign w:val="center"/>
          </w:tcPr>
          <w:p w14:paraId="5BFCBB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r w14:paraId="53C7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53DC791">
            <w:pPr>
              <w:pStyle w:val="28"/>
              <w:rPr>
                <w:color w:val="000000" w:themeColor="text1"/>
                <w14:textFill>
                  <w14:solidFill>
                    <w14:schemeClr w14:val="tx1"/>
                  </w14:solidFill>
                </w14:textFill>
              </w:rPr>
            </w:pPr>
          </w:p>
        </w:tc>
        <w:tc>
          <w:tcPr>
            <w:tcW w:w="457" w:type="pct"/>
            <w:vMerge w:val="continue"/>
            <w:vAlign w:val="center"/>
          </w:tcPr>
          <w:p w14:paraId="6E1DD014">
            <w:pPr>
              <w:pStyle w:val="28"/>
              <w:rPr>
                <w:color w:val="000000" w:themeColor="text1"/>
                <w14:textFill>
                  <w14:solidFill>
                    <w14:schemeClr w14:val="tx1"/>
                  </w14:solidFill>
                </w14:textFill>
              </w:rPr>
            </w:pPr>
          </w:p>
        </w:tc>
        <w:tc>
          <w:tcPr>
            <w:tcW w:w="249" w:type="pct"/>
            <w:vMerge w:val="continue"/>
            <w:vAlign w:val="center"/>
          </w:tcPr>
          <w:p w14:paraId="08C47745">
            <w:pPr>
              <w:pStyle w:val="28"/>
              <w:rPr>
                <w:color w:val="000000" w:themeColor="text1"/>
                <w14:textFill>
                  <w14:solidFill>
                    <w14:schemeClr w14:val="tx1"/>
                  </w14:solidFill>
                </w14:textFill>
              </w:rPr>
            </w:pPr>
          </w:p>
        </w:tc>
        <w:tc>
          <w:tcPr>
            <w:tcW w:w="407" w:type="pct"/>
            <w:vMerge w:val="continue"/>
            <w:vAlign w:val="center"/>
          </w:tcPr>
          <w:p w14:paraId="74204A09">
            <w:pPr>
              <w:pStyle w:val="28"/>
              <w:rPr>
                <w:color w:val="000000" w:themeColor="text1"/>
                <w14:textFill>
                  <w14:solidFill>
                    <w14:schemeClr w14:val="tx1"/>
                  </w14:solidFill>
                </w14:textFill>
              </w:rPr>
            </w:pPr>
          </w:p>
        </w:tc>
        <w:tc>
          <w:tcPr>
            <w:tcW w:w="1182" w:type="pct"/>
            <w:vMerge w:val="continue"/>
            <w:vAlign w:val="center"/>
          </w:tcPr>
          <w:p w14:paraId="15C52F69">
            <w:pPr>
              <w:pStyle w:val="28"/>
              <w:rPr>
                <w:color w:val="000000" w:themeColor="text1"/>
                <w14:textFill>
                  <w14:solidFill>
                    <w14:schemeClr w14:val="tx1"/>
                  </w14:solidFill>
                </w14:textFill>
              </w:rPr>
            </w:pPr>
          </w:p>
        </w:tc>
        <w:tc>
          <w:tcPr>
            <w:tcW w:w="1074" w:type="pct"/>
            <w:gridSpan w:val="2"/>
            <w:shd w:val="clear" w:color="auto" w:fill="auto"/>
            <w:vAlign w:val="center"/>
          </w:tcPr>
          <w:p w14:paraId="48B897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381" w:type="pct"/>
            <w:shd w:val="clear" w:color="auto" w:fill="auto"/>
            <w:vAlign w:val="center"/>
          </w:tcPr>
          <w:p w14:paraId="6C9CBB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生活垃圾、粉尘、规格料、氧化铝废渣、废包装袋、废活性炭、含杂质碟片、石蜡油、含石蜡油废渣、废过滤网、废滤膜、废白土、废包装桶、废机油、废活性炭（含氯）、废活性炭、废导热油、废含油抹布手套</w:t>
            </w:r>
          </w:p>
        </w:tc>
      </w:tr>
      <w:tr w14:paraId="1033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vAlign w:val="center"/>
          </w:tcPr>
          <w:p w14:paraId="2058B9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57" w:type="pct"/>
            <w:vMerge w:val="restart"/>
            <w:vAlign w:val="center"/>
          </w:tcPr>
          <w:p w14:paraId="06D35AB3">
            <w:pPr>
              <w:pStyle w:val="28"/>
              <w:rPr>
                <w:color w:val="000000" w:themeColor="text1"/>
                <w14:textFill>
                  <w14:solidFill>
                    <w14:schemeClr w14:val="tx1"/>
                  </w14:solidFill>
                </w14:textFill>
              </w:rPr>
            </w:pPr>
            <w:r>
              <w:rPr>
                <w:color w:val="000000" w:themeColor="text1"/>
                <w14:textFill>
                  <w14:solidFill>
                    <w14:schemeClr w14:val="tx1"/>
                  </w14:solidFill>
                </w14:textFill>
              </w:rPr>
              <w:t>玉溪维和药业股份有限公司</w:t>
            </w:r>
          </w:p>
        </w:tc>
        <w:tc>
          <w:tcPr>
            <w:tcW w:w="249" w:type="pct"/>
            <w:vMerge w:val="restart"/>
            <w:vAlign w:val="center"/>
          </w:tcPr>
          <w:p w14:paraId="754B3D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东北面</w:t>
            </w:r>
          </w:p>
        </w:tc>
        <w:tc>
          <w:tcPr>
            <w:tcW w:w="407" w:type="pct"/>
            <w:vMerge w:val="restart"/>
            <w:vAlign w:val="center"/>
          </w:tcPr>
          <w:p w14:paraId="629275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380m</w:t>
            </w:r>
          </w:p>
        </w:tc>
        <w:tc>
          <w:tcPr>
            <w:tcW w:w="1182" w:type="pct"/>
            <w:vMerge w:val="restart"/>
            <w:vAlign w:val="center"/>
          </w:tcPr>
          <w:p w14:paraId="27A7EF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9" w:type="pct"/>
            <w:vAlign w:val="center"/>
          </w:tcPr>
          <w:p w14:paraId="70996C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85" w:type="pct"/>
            <w:vAlign w:val="center"/>
          </w:tcPr>
          <w:p w14:paraId="48E2BD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提取车间废气、锅炉燃烧废气</w:t>
            </w:r>
          </w:p>
        </w:tc>
        <w:tc>
          <w:tcPr>
            <w:tcW w:w="1381" w:type="pct"/>
            <w:vAlign w:val="center"/>
          </w:tcPr>
          <w:p w14:paraId="3D8772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颗粒物、二氧化硫、氮氧化物、挥发性有机物</w:t>
            </w:r>
          </w:p>
        </w:tc>
      </w:tr>
      <w:tr w14:paraId="2ECB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34873128">
            <w:pPr>
              <w:pStyle w:val="28"/>
              <w:rPr>
                <w:color w:val="000000" w:themeColor="text1"/>
                <w14:textFill>
                  <w14:solidFill>
                    <w14:schemeClr w14:val="tx1"/>
                  </w14:solidFill>
                </w14:textFill>
              </w:rPr>
            </w:pPr>
          </w:p>
        </w:tc>
        <w:tc>
          <w:tcPr>
            <w:tcW w:w="457" w:type="pct"/>
            <w:vMerge w:val="continue"/>
            <w:vAlign w:val="center"/>
          </w:tcPr>
          <w:p w14:paraId="41759782">
            <w:pPr>
              <w:pStyle w:val="28"/>
              <w:rPr>
                <w:color w:val="000000" w:themeColor="text1"/>
                <w14:textFill>
                  <w14:solidFill>
                    <w14:schemeClr w14:val="tx1"/>
                  </w14:solidFill>
                </w14:textFill>
              </w:rPr>
            </w:pPr>
          </w:p>
        </w:tc>
        <w:tc>
          <w:tcPr>
            <w:tcW w:w="249" w:type="pct"/>
            <w:vMerge w:val="continue"/>
            <w:vAlign w:val="center"/>
          </w:tcPr>
          <w:p w14:paraId="5742371C">
            <w:pPr>
              <w:pStyle w:val="28"/>
              <w:rPr>
                <w:color w:val="000000" w:themeColor="text1"/>
                <w14:textFill>
                  <w14:solidFill>
                    <w14:schemeClr w14:val="tx1"/>
                  </w14:solidFill>
                </w14:textFill>
              </w:rPr>
            </w:pPr>
          </w:p>
        </w:tc>
        <w:tc>
          <w:tcPr>
            <w:tcW w:w="407" w:type="pct"/>
            <w:vMerge w:val="continue"/>
            <w:vAlign w:val="center"/>
          </w:tcPr>
          <w:p w14:paraId="224901B1">
            <w:pPr>
              <w:pStyle w:val="28"/>
              <w:rPr>
                <w:color w:val="000000" w:themeColor="text1"/>
                <w14:textFill>
                  <w14:solidFill>
                    <w14:schemeClr w14:val="tx1"/>
                  </w14:solidFill>
                </w14:textFill>
              </w:rPr>
            </w:pPr>
          </w:p>
        </w:tc>
        <w:tc>
          <w:tcPr>
            <w:tcW w:w="1182" w:type="pct"/>
            <w:vMerge w:val="continue"/>
            <w:vAlign w:val="center"/>
          </w:tcPr>
          <w:p w14:paraId="65D2B8F1">
            <w:pPr>
              <w:pStyle w:val="28"/>
              <w:rPr>
                <w:color w:val="000000" w:themeColor="text1"/>
                <w14:textFill>
                  <w14:solidFill>
                    <w14:schemeClr w14:val="tx1"/>
                  </w14:solidFill>
                </w14:textFill>
              </w:rPr>
            </w:pPr>
          </w:p>
        </w:tc>
        <w:tc>
          <w:tcPr>
            <w:tcW w:w="189" w:type="pct"/>
            <w:vAlign w:val="center"/>
          </w:tcPr>
          <w:p w14:paraId="600DE6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85" w:type="pct"/>
            <w:vAlign w:val="center"/>
          </w:tcPr>
          <w:p w14:paraId="106378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生产废水、清洗废水、生活污水</w:t>
            </w:r>
          </w:p>
        </w:tc>
        <w:tc>
          <w:tcPr>
            <w:tcW w:w="1381" w:type="pct"/>
            <w:vAlign w:val="center"/>
          </w:tcPr>
          <w:p w14:paraId="530981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-N、TN、TP</w:t>
            </w:r>
          </w:p>
        </w:tc>
      </w:tr>
      <w:tr w14:paraId="5B1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4074DC93">
            <w:pPr>
              <w:pStyle w:val="28"/>
              <w:rPr>
                <w:color w:val="000000" w:themeColor="text1"/>
                <w14:textFill>
                  <w14:solidFill>
                    <w14:schemeClr w14:val="tx1"/>
                  </w14:solidFill>
                </w14:textFill>
              </w:rPr>
            </w:pPr>
          </w:p>
        </w:tc>
        <w:tc>
          <w:tcPr>
            <w:tcW w:w="457" w:type="pct"/>
            <w:vMerge w:val="continue"/>
            <w:vAlign w:val="center"/>
          </w:tcPr>
          <w:p w14:paraId="5E3EB81C">
            <w:pPr>
              <w:pStyle w:val="28"/>
              <w:rPr>
                <w:color w:val="000000" w:themeColor="text1"/>
                <w14:textFill>
                  <w14:solidFill>
                    <w14:schemeClr w14:val="tx1"/>
                  </w14:solidFill>
                </w14:textFill>
              </w:rPr>
            </w:pPr>
          </w:p>
        </w:tc>
        <w:tc>
          <w:tcPr>
            <w:tcW w:w="249" w:type="pct"/>
            <w:vMerge w:val="continue"/>
            <w:vAlign w:val="center"/>
          </w:tcPr>
          <w:p w14:paraId="2729F9AB">
            <w:pPr>
              <w:pStyle w:val="28"/>
              <w:rPr>
                <w:color w:val="000000" w:themeColor="text1"/>
                <w14:textFill>
                  <w14:solidFill>
                    <w14:schemeClr w14:val="tx1"/>
                  </w14:solidFill>
                </w14:textFill>
              </w:rPr>
            </w:pPr>
          </w:p>
        </w:tc>
        <w:tc>
          <w:tcPr>
            <w:tcW w:w="407" w:type="pct"/>
            <w:vMerge w:val="continue"/>
            <w:vAlign w:val="center"/>
          </w:tcPr>
          <w:p w14:paraId="105BD364">
            <w:pPr>
              <w:pStyle w:val="28"/>
              <w:rPr>
                <w:color w:val="000000" w:themeColor="text1"/>
                <w14:textFill>
                  <w14:solidFill>
                    <w14:schemeClr w14:val="tx1"/>
                  </w14:solidFill>
                </w14:textFill>
              </w:rPr>
            </w:pPr>
          </w:p>
        </w:tc>
        <w:tc>
          <w:tcPr>
            <w:tcW w:w="1182" w:type="pct"/>
            <w:vMerge w:val="continue"/>
            <w:vAlign w:val="center"/>
          </w:tcPr>
          <w:p w14:paraId="2DC954A2">
            <w:pPr>
              <w:pStyle w:val="28"/>
              <w:rPr>
                <w:color w:val="000000" w:themeColor="text1"/>
                <w14:textFill>
                  <w14:solidFill>
                    <w14:schemeClr w14:val="tx1"/>
                  </w14:solidFill>
                </w14:textFill>
              </w:rPr>
            </w:pPr>
          </w:p>
        </w:tc>
        <w:tc>
          <w:tcPr>
            <w:tcW w:w="1074" w:type="pct"/>
            <w:gridSpan w:val="2"/>
            <w:shd w:val="clear" w:color="auto" w:fill="auto"/>
            <w:vAlign w:val="center"/>
          </w:tcPr>
          <w:p w14:paraId="1FC092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shd w:val="clear" w:color="auto" w:fill="auto"/>
            <w:vAlign w:val="center"/>
          </w:tcPr>
          <w:p w14:paraId="39B7CB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r w14:paraId="63BE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vAlign w:val="center"/>
          </w:tcPr>
          <w:p w14:paraId="5428A92D">
            <w:pPr>
              <w:pStyle w:val="28"/>
              <w:rPr>
                <w:color w:val="000000" w:themeColor="text1"/>
                <w14:textFill>
                  <w14:solidFill>
                    <w14:schemeClr w14:val="tx1"/>
                  </w14:solidFill>
                </w14:textFill>
              </w:rPr>
            </w:pPr>
          </w:p>
        </w:tc>
        <w:tc>
          <w:tcPr>
            <w:tcW w:w="457" w:type="pct"/>
            <w:vMerge w:val="continue"/>
            <w:vAlign w:val="center"/>
          </w:tcPr>
          <w:p w14:paraId="36EF056E">
            <w:pPr>
              <w:pStyle w:val="28"/>
              <w:rPr>
                <w:color w:val="000000" w:themeColor="text1"/>
                <w14:textFill>
                  <w14:solidFill>
                    <w14:schemeClr w14:val="tx1"/>
                  </w14:solidFill>
                </w14:textFill>
              </w:rPr>
            </w:pPr>
          </w:p>
        </w:tc>
        <w:tc>
          <w:tcPr>
            <w:tcW w:w="249" w:type="pct"/>
            <w:vMerge w:val="continue"/>
            <w:vAlign w:val="center"/>
          </w:tcPr>
          <w:p w14:paraId="0AB01DE3">
            <w:pPr>
              <w:pStyle w:val="28"/>
              <w:rPr>
                <w:color w:val="000000" w:themeColor="text1"/>
                <w14:textFill>
                  <w14:solidFill>
                    <w14:schemeClr w14:val="tx1"/>
                  </w14:solidFill>
                </w14:textFill>
              </w:rPr>
            </w:pPr>
          </w:p>
        </w:tc>
        <w:tc>
          <w:tcPr>
            <w:tcW w:w="407" w:type="pct"/>
            <w:vMerge w:val="continue"/>
            <w:vAlign w:val="center"/>
          </w:tcPr>
          <w:p w14:paraId="21774789">
            <w:pPr>
              <w:pStyle w:val="28"/>
              <w:rPr>
                <w:color w:val="000000" w:themeColor="text1"/>
                <w14:textFill>
                  <w14:solidFill>
                    <w14:schemeClr w14:val="tx1"/>
                  </w14:solidFill>
                </w14:textFill>
              </w:rPr>
            </w:pPr>
          </w:p>
        </w:tc>
        <w:tc>
          <w:tcPr>
            <w:tcW w:w="1182" w:type="pct"/>
            <w:vMerge w:val="continue"/>
            <w:vAlign w:val="center"/>
          </w:tcPr>
          <w:p w14:paraId="780023D7">
            <w:pPr>
              <w:pStyle w:val="28"/>
              <w:rPr>
                <w:color w:val="000000" w:themeColor="text1"/>
                <w14:textFill>
                  <w14:solidFill>
                    <w14:schemeClr w14:val="tx1"/>
                  </w14:solidFill>
                </w14:textFill>
              </w:rPr>
            </w:pPr>
          </w:p>
        </w:tc>
        <w:tc>
          <w:tcPr>
            <w:tcW w:w="1074" w:type="pct"/>
            <w:gridSpan w:val="2"/>
            <w:vAlign w:val="center"/>
          </w:tcPr>
          <w:p w14:paraId="386BDD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381" w:type="pct"/>
            <w:vAlign w:val="center"/>
          </w:tcPr>
          <w:p w14:paraId="1D1C5A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废药渣、废包装材料</w:t>
            </w:r>
          </w:p>
        </w:tc>
      </w:tr>
      <w:tr w14:paraId="3DB8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Align w:val="center"/>
          </w:tcPr>
          <w:p w14:paraId="12AF79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57" w:type="pct"/>
            <w:vAlign w:val="center"/>
          </w:tcPr>
          <w:p w14:paraId="70DF8D93">
            <w:pPr>
              <w:pStyle w:val="28"/>
              <w:rPr>
                <w:color w:val="000000" w:themeColor="text1"/>
                <w14:textFill>
                  <w14:solidFill>
                    <w14:schemeClr w14:val="tx1"/>
                  </w14:solidFill>
                </w14:textFill>
              </w:rPr>
            </w:pPr>
            <w:r>
              <w:rPr>
                <w:color w:val="000000" w:themeColor="text1"/>
                <w14:textFill>
                  <w14:solidFill>
                    <w14:schemeClr w14:val="tx1"/>
                  </w14:solidFill>
                </w14:textFill>
              </w:rPr>
              <w:t>御罐茶玉溪工厂</w:t>
            </w:r>
          </w:p>
        </w:tc>
        <w:tc>
          <w:tcPr>
            <w:tcW w:w="249" w:type="pct"/>
            <w:vAlign w:val="center"/>
          </w:tcPr>
          <w:p w14:paraId="4B4728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西南面</w:t>
            </w:r>
          </w:p>
        </w:tc>
        <w:tc>
          <w:tcPr>
            <w:tcW w:w="407" w:type="pct"/>
            <w:vAlign w:val="center"/>
          </w:tcPr>
          <w:p w14:paraId="03F435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60m</w:t>
            </w:r>
          </w:p>
        </w:tc>
        <w:tc>
          <w:tcPr>
            <w:tcW w:w="1182" w:type="pct"/>
            <w:vAlign w:val="center"/>
          </w:tcPr>
          <w:p w14:paraId="4AA90C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4" w:type="pct"/>
            <w:gridSpan w:val="2"/>
            <w:vAlign w:val="center"/>
          </w:tcPr>
          <w:p w14:paraId="524660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381" w:type="pct"/>
            <w:vAlign w:val="center"/>
          </w:tcPr>
          <w:p w14:paraId="70DF33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r>
    </w:tbl>
    <w:p w14:paraId="7BDFE597">
      <w:pPr>
        <w:ind w:firstLine="480"/>
        <w:rPr>
          <w:color w:val="000000" w:themeColor="text1"/>
          <w14:textFill>
            <w14:solidFill>
              <w14:schemeClr w14:val="tx1"/>
            </w14:solidFill>
          </w14:textFill>
        </w:rPr>
        <w:sectPr>
          <w:pgSz w:w="16838" w:h="11906" w:orient="landscape"/>
          <w:pgMar w:top="1440" w:right="1803" w:bottom="1440" w:left="1803" w:header="907" w:footer="992" w:gutter="0"/>
          <w:cols w:space="425" w:num="1"/>
          <w:docGrid w:type="lines" w:linePitch="312" w:charSpace="0"/>
        </w:sectPr>
      </w:pPr>
    </w:p>
    <w:p w14:paraId="61D72199">
      <w:pPr>
        <w:pStyle w:val="3"/>
        <w:rPr>
          <w:color w:val="000000" w:themeColor="text1"/>
          <w14:textFill>
            <w14:solidFill>
              <w14:schemeClr w14:val="tx1"/>
            </w14:solidFill>
          </w14:textFill>
        </w:rPr>
      </w:pPr>
      <w:bookmarkStart w:id="66" w:name="_Toc6485"/>
      <w:r>
        <w:rPr>
          <w:color w:val="000000" w:themeColor="text1"/>
          <w14:textFill>
            <w14:solidFill>
              <w14:schemeClr w14:val="tx1"/>
            </w14:solidFill>
          </w14:textFill>
        </w:rPr>
        <w:t>4.2环境现状调查与评价</w:t>
      </w:r>
      <w:bookmarkEnd w:id="66"/>
    </w:p>
    <w:p w14:paraId="1530D103">
      <w:pPr>
        <w:ind w:firstLine="480"/>
        <w:rPr>
          <w:color w:val="000000" w:themeColor="text1"/>
          <w14:textFill>
            <w14:solidFill>
              <w14:schemeClr w14:val="tx1"/>
            </w14:solidFill>
          </w14:textFill>
        </w:rPr>
      </w:pPr>
      <w:r>
        <w:rPr>
          <w:color w:val="000000" w:themeColor="text1"/>
          <w14:textFill>
            <w14:solidFill>
              <w14:schemeClr w14:val="tx1"/>
            </w14:solidFill>
          </w14:textFill>
        </w:rPr>
        <w:t>为调查项目区环境质量现状，建设单位委托云南亚明环境监测科技有限公司于</w:t>
      </w:r>
      <w:r>
        <w:rPr>
          <w:rFonts w:hint="eastAsia"/>
          <w:color w:val="000000" w:themeColor="text1"/>
          <w14:textFill>
            <w14:solidFill>
              <w14:schemeClr w14:val="tx1"/>
            </w14:solidFill>
          </w14:textFill>
        </w:rPr>
        <w:t>2025</w:t>
      </w:r>
      <w:r>
        <w:rPr>
          <w:color w:val="000000" w:themeColor="text1"/>
          <w14:textFill>
            <w14:solidFill>
              <w14:schemeClr w14:val="tx1"/>
            </w14:solidFill>
          </w14:textFill>
        </w:rPr>
        <w:t>年9月</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日~9月</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日对项目区及周边进行环境空气、噪声及土壤进行补充监测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5日</w:t>
      </w:r>
      <w:r>
        <w:rPr>
          <w:rFonts w:hint="eastAsia"/>
          <w:color w:val="000000" w:themeColor="text1"/>
          <w14:textFill>
            <w14:solidFill>
              <w14:schemeClr w14:val="tx1"/>
            </w14:solidFill>
          </w14:textFill>
        </w:rPr>
        <w:t>对土壤进行了补充监测。</w:t>
      </w:r>
    </w:p>
    <w:p w14:paraId="0CCF1F2F">
      <w:pPr>
        <w:pStyle w:val="4"/>
        <w:rPr>
          <w:color w:val="000000" w:themeColor="text1"/>
          <w14:textFill>
            <w14:solidFill>
              <w14:schemeClr w14:val="tx1"/>
            </w14:solidFill>
          </w14:textFill>
        </w:rPr>
      </w:pPr>
      <w:bookmarkStart w:id="67" w:name="_Toc30087"/>
      <w:r>
        <w:rPr>
          <w:color w:val="000000" w:themeColor="text1"/>
          <w14:textFill>
            <w14:solidFill>
              <w14:schemeClr w14:val="tx1"/>
            </w14:solidFill>
          </w14:textFill>
        </w:rPr>
        <w:t>4.2.1环境空气质量现状</w:t>
      </w:r>
      <w:bookmarkEnd w:id="67"/>
    </w:p>
    <w:p w14:paraId="00EBFF4E">
      <w:pPr>
        <w:pStyle w:val="5"/>
        <w:rPr>
          <w:color w:val="000000" w:themeColor="text1"/>
          <w14:textFill>
            <w14:solidFill>
              <w14:schemeClr w14:val="tx1"/>
            </w14:solidFill>
          </w14:textFill>
        </w:rPr>
      </w:pPr>
      <w:r>
        <w:rPr>
          <w:color w:val="000000" w:themeColor="text1"/>
          <w14:textFill>
            <w14:solidFill>
              <w14:schemeClr w14:val="tx1"/>
            </w14:solidFill>
          </w14:textFill>
        </w:rPr>
        <w:t>4.2.1.1达标区判定</w:t>
      </w:r>
    </w:p>
    <w:p w14:paraId="20F584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项目位于玉溪高新区核心区九龙地块，项目环境空气功能区属二类区，环境空气质量六项基本因子执行《环境空气质量标准》（GB3095-2026）过渡阶段二级浓度限值。</w:t>
      </w:r>
    </w:p>
    <w:p w14:paraId="78AE13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距离本项目最近的环境空气质量自动监测站为</w:t>
      </w:r>
      <w:bookmarkStart w:id="68" w:name="_Hlk226540655"/>
      <w:r>
        <w:rPr>
          <w:rFonts w:hint="eastAsia"/>
          <w:color w:val="000000" w:themeColor="text1"/>
          <w14:textFill>
            <w14:solidFill>
              <w14:schemeClr w14:val="tx1"/>
            </w14:solidFill>
          </w14:textFill>
        </w:rPr>
        <w:t>北城街道自动监测站</w:t>
      </w:r>
      <w:bookmarkEnd w:id="68"/>
      <w:r>
        <w:rPr>
          <w:rFonts w:hint="eastAsia"/>
          <w:color w:val="000000" w:themeColor="text1"/>
          <w14:textFill>
            <w14:solidFill>
              <w14:schemeClr w14:val="tx1"/>
            </w14:solidFill>
          </w14:textFill>
        </w:rPr>
        <w:t>，北城街道的空气监测站位于‌北城街道办事处楼顶，位于本项目东面，距离约2.5km。</w:t>
      </w:r>
      <w:r>
        <w:rPr>
          <w:color w:val="000000" w:themeColor="text1"/>
          <w14:textFill>
            <w14:solidFill>
              <w14:schemeClr w14:val="tx1"/>
            </w14:solidFill>
          </w14:textFill>
        </w:rPr>
        <w:t>环境空气质量现状引用</w:t>
      </w:r>
      <w:r>
        <w:rPr>
          <w:rFonts w:hint="eastAsia"/>
          <w:color w:val="000000" w:themeColor="text1"/>
          <w14:textFill>
            <w14:solidFill>
              <w14:schemeClr w14:val="tx1"/>
            </w14:solidFill>
          </w14:textFill>
        </w:rPr>
        <w:t>2024</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北城街道自动监测站</w:t>
      </w:r>
      <w:r>
        <w:rPr>
          <w:color w:val="000000" w:themeColor="text1"/>
          <w14:textFill>
            <w14:solidFill>
              <w14:schemeClr w14:val="tx1"/>
            </w14:solidFill>
          </w14:textFill>
        </w:rPr>
        <w:t>空气质量统计数据。详细数据如下表：</w:t>
      </w:r>
    </w:p>
    <w:p w14:paraId="493974DD">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w:t>
      </w:r>
      <w:r>
        <w:rPr>
          <w:color w:val="000000" w:themeColor="text1"/>
          <w14:textFill>
            <w14:solidFill>
              <w14:schemeClr w14:val="tx1"/>
            </w14:solidFill>
          </w14:textFill>
        </w:rPr>
        <w:t xml:space="preserve">  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年玉溪市</w:t>
      </w:r>
      <w:r>
        <w:rPr>
          <w:rFonts w:hint="eastAsia"/>
          <w:color w:val="000000" w:themeColor="text1"/>
          <w14:textFill>
            <w14:solidFill>
              <w14:schemeClr w14:val="tx1"/>
            </w14:solidFill>
          </w14:textFill>
        </w:rPr>
        <w:t>北城街道</w:t>
      </w:r>
      <w:r>
        <w:rPr>
          <w:color w:val="000000" w:themeColor="text1"/>
          <w14:textFill>
            <w14:solidFill>
              <w14:schemeClr w14:val="tx1"/>
            </w14:solidFill>
          </w14:textFill>
        </w:rPr>
        <w:t>环境空气质量统计结果</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629"/>
        <w:gridCol w:w="1424"/>
        <w:gridCol w:w="1437"/>
        <w:gridCol w:w="1262"/>
        <w:gridCol w:w="1232"/>
      </w:tblGrid>
      <w:tr w14:paraId="541A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14:paraId="3C4510E3">
            <w:pPr>
              <w:pStyle w:val="28"/>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423" w:type="pct"/>
            <w:vAlign w:val="center"/>
          </w:tcPr>
          <w:p w14:paraId="40A59CB2">
            <w:pPr>
              <w:pStyle w:val="28"/>
              <w:rPr>
                <w:color w:val="000000" w:themeColor="text1"/>
                <w14:textFill>
                  <w14:solidFill>
                    <w14:schemeClr w14:val="tx1"/>
                  </w14:solidFill>
                </w14:textFill>
              </w:rPr>
            </w:pPr>
            <w:r>
              <w:rPr>
                <w:color w:val="000000" w:themeColor="text1"/>
                <w14:textFill>
                  <w14:solidFill>
                    <w14:schemeClr w14:val="tx1"/>
                  </w14:solidFill>
                </w14:textFill>
              </w:rPr>
              <w:t>年评价指标</w:t>
            </w:r>
          </w:p>
        </w:tc>
        <w:tc>
          <w:tcPr>
            <w:tcW w:w="771" w:type="pct"/>
            <w:vAlign w:val="center"/>
          </w:tcPr>
          <w:p w14:paraId="2C793667">
            <w:pPr>
              <w:pStyle w:val="28"/>
              <w:rPr>
                <w:color w:val="000000" w:themeColor="text1"/>
                <w14:textFill>
                  <w14:solidFill>
                    <w14:schemeClr w14:val="tx1"/>
                  </w14:solidFill>
                </w14:textFill>
              </w:rPr>
            </w:pPr>
            <w:r>
              <w:rPr>
                <w:color w:val="000000" w:themeColor="text1"/>
                <w14:textFill>
                  <w14:solidFill>
                    <w14:schemeClr w14:val="tx1"/>
                  </w14:solidFill>
                </w14:textFill>
              </w:rPr>
              <w:t>现状浓度（ug/m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778" w:type="pct"/>
            <w:vAlign w:val="center"/>
          </w:tcPr>
          <w:p w14:paraId="4128C9CF">
            <w:pPr>
              <w:pStyle w:val="28"/>
              <w:rPr>
                <w:color w:val="000000" w:themeColor="text1"/>
                <w14:textFill>
                  <w14:solidFill>
                    <w14:schemeClr w14:val="tx1"/>
                  </w14:solidFill>
                </w14:textFill>
              </w:rPr>
            </w:pPr>
            <w:r>
              <w:rPr>
                <w:color w:val="000000" w:themeColor="text1"/>
                <w14:textFill>
                  <w14:solidFill>
                    <w14:schemeClr w14:val="tx1"/>
                  </w14:solidFill>
                </w14:textFill>
              </w:rPr>
              <w:t>标准值</w:t>
            </w:r>
          </w:p>
          <w:p w14:paraId="54D2F379">
            <w:pPr>
              <w:pStyle w:val="28"/>
              <w:rPr>
                <w:color w:val="000000" w:themeColor="text1"/>
                <w14:textFill>
                  <w14:solidFill>
                    <w14:schemeClr w14:val="tx1"/>
                  </w14:solidFill>
                </w14:textFill>
              </w:rPr>
            </w:pPr>
            <w:r>
              <w:rPr>
                <w:color w:val="000000" w:themeColor="text1"/>
                <w14:textFill>
                  <w14:solidFill>
                    <w14:schemeClr w14:val="tx1"/>
                  </w14:solidFill>
                </w14:textFill>
              </w:rPr>
              <w:t>（ug/m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683" w:type="pct"/>
            <w:vAlign w:val="center"/>
          </w:tcPr>
          <w:p w14:paraId="3BD34AAA">
            <w:pPr>
              <w:pStyle w:val="28"/>
              <w:rPr>
                <w:color w:val="000000" w:themeColor="text1"/>
                <w14:textFill>
                  <w14:solidFill>
                    <w14:schemeClr w14:val="tx1"/>
                  </w14:solidFill>
                </w14:textFill>
              </w:rPr>
            </w:pPr>
            <w:r>
              <w:rPr>
                <w:color w:val="000000" w:themeColor="text1"/>
                <w14:textFill>
                  <w14:solidFill>
                    <w14:schemeClr w14:val="tx1"/>
                  </w14:solidFill>
                </w14:textFill>
              </w:rPr>
              <w:t>占标率%</w:t>
            </w:r>
            <w:r>
              <w:rPr>
                <w:rFonts w:hint="eastAsia"/>
                <w:color w:val="000000" w:themeColor="text1"/>
                <w14:textFill>
                  <w14:solidFill>
                    <w14:schemeClr w14:val="tx1"/>
                  </w14:solidFill>
                </w14:textFill>
              </w:rPr>
              <w:t>）</w:t>
            </w:r>
          </w:p>
        </w:tc>
        <w:tc>
          <w:tcPr>
            <w:tcW w:w="667" w:type="pct"/>
            <w:vAlign w:val="center"/>
          </w:tcPr>
          <w:p w14:paraId="33E43034">
            <w:pPr>
              <w:pStyle w:val="28"/>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6CD9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restart"/>
            <w:vAlign w:val="center"/>
          </w:tcPr>
          <w:p w14:paraId="05EDCEE1">
            <w:pPr>
              <w:pStyle w:val="28"/>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423" w:type="pct"/>
            <w:vAlign w:val="center"/>
          </w:tcPr>
          <w:p w14:paraId="0F2640FE">
            <w:pPr>
              <w:pStyle w:val="28"/>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771" w:type="pct"/>
            <w:vAlign w:val="center"/>
          </w:tcPr>
          <w:p w14:paraId="49980D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w:t>
            </w:r>
          </w:p>
        </w:tc>
        <w:tc>
          <w:tcPr>
            <w:tcW w:w="778" w:type="pct"/>
            <w:vAlign w:val="center"/>
          </w:tcPr>
          <w:p w14:paraId="69391E62">
            <w:pPr>
              <w:pStyle w:val="2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83" w:type="pct"/>
            <w:vAlign w:val="center"/>
          </w:tcPr>
          <w:p w14:paraId="4F4F89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25.5</w:t>
            </w:r>
          </w:p>
        </w:tc>
        <w:tc>
          <w:tcPr>
            <w:tcW w:w="667" w:type="pct"/>
            <w:vAlign w:val="center"/>
          </w:tcPr>
          <w:p w14:paraId="394A277E">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1C0A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continue"/>
            <w:vAlign w:val="center"/>
          </w:tcPr>
          <w:p w14:paraId="7FE0D626">
            <w:pPr>
              <w:pStyle w:val="28"/>
              <w:rPr>
                <w:color w:val="000000" w:themeColor="text1"/>
                <w14:textFill>
                  <w14:solidFill>
                    <w14:schemeClr w14:val="tx1"/>
                  </w14:solidFill>
                </w14:textFill>
              </w:rPr>
            </w:pPr>
          </w:p>
        </w:tc>
        <w:tc>
          <w:tcPr>
            <w:tcW w:w="1423" w:type="pct"/>
            <w:vAlign w:val="center"/>
          </w:tcPr>
          <w:p w14:paraId="6F84794C">
            <w:pPr>
              <w:pStyle w:val="28"/>
              <w:rPr>
                <w:color w:val="000000" w:themeColor="text1"/>
                <w14:textFill>
                  <w14:solidFill>
                    <w14:schemeClr w14:val="tx1"/>
                  </w14:solidFill>
                </w14:textFill>
              </w:rPr>
            </w:pPr>
            <w:r>
              <w:rPr>
                <w:color w:val="000000" w:themeColor="text1"/>
                <w14:textFill>
                  <w14:solidFill>
                    <w14:schemeClr w14:val="tx1"/>
                  </w14:solidFill>
                </w14:textFill>
              </w:rPr>
              <w:t>98%日平均质量浓度</w:t>
            </w:r>
          </w:p>
        </w:tc>
        <w:tc>
          <w:tcPr>
            <w:tcW w:w="771" w:type="pct"/>
            <w:vAlign w:val="center"/>
          </w:tcPr>
          <w:p w14:paraId="482E3E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778" w:type="pct"/>
            <w:vAlign w:val="center"/>
          </w:tcPr>
          <w:p w14:paraId="311E22D5">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83" w:type="pct"/>
            <w:vAlign w:val="center"/>
          </w:tcPr>
          <w:p w14:paraId="6C2B1E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667" w:type="pct"/>
            <w:vAlign w:val="center"/>
          </w:tcPr>
          <w:p w14:paraId="4D3F9A2E">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B7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restart"/>
            <w:vAlign w:val="center"/>
          </w:tcPr>
          <w:p w14:paraId="60E4A5BD">
            <w:pPr>
              <w:pStyle w:val="28"/>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423" w:type="pct"/>
            <w:vAlign w:val="center"/>
          </w:tcPr>
          <w:p w14:paraId="3EB72AFD">
            <w:pPr>
              <w:pStyle w:val="28"/>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771" w:type="pct"/>
            <w:vAlign w:val="center"/>
          </w:tcPr>
          <w:p w14:paraId="13F8F1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16.6</w:t>
            </w:r>
          </w:p>
        </w:tc>
        <w:tc>
          <w:tcPr>
            <w:tcW w:w="778" w:type="pct"/>
            <w:vAlign w:val="center"/>
          </w:tcPr>
          <w:p w14:paraId="5064AA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83" w:type="pct"/>
            <w:vAlign w:val="center"/>
          </w:tcPr>
          <w:p w14:paraId="40F533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41.5</w:t>
            </w:r>
          </w:p>
        </w:tc>
        <w:tc>
          <w:tcPr>
            <w:tcW w:w="667" w:type="pct"/>
            <w:vAlign w:val="center"/>
          </w:tcPr>
          <w:p w14:paraId="19C9529F">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2BAE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continue"/>
            <w:vAlign w:val="center"/>
          </w:tcPr>
          <w:p w14:paraId="71C4058C">
            <w:pPr>
              <w:pStyle w:val="28"/>
              <w:rPr>
                <w:color w:val="000000" w:themeColor="text1"/>
                <w14:textFill>
                  <w14:solidFill>
                    <w14:schemeClr w14:val="tx1"/>
                  </w14:solidFill>
                </w14:textFill>
              </w:rPr>
            </w:pPr>
          </w:p>
        </w:tc>
        <w:tc>
          <w:tcPr>
            <w:tcW w:w="1423" w:type="pct"/>
            <w:vAlign w:val="center"/>
          </w:tcPr>
          <w:p w14:paraId="0815AF11">
            <w:pPr>
              <w:pStyle w:val="28"/>
              <w:rPr>
                <w:color w:val="000000" w:themeColor="text1"/>
                <w14:textFill>
                  <w14:solidFill>
                    <w14:schemeClr w14:val="tx1"/>
                  </w14:solidFill>
                </w14:textFill>
              </w:rPr>
            </w:pPr>
            <w:r>
              <w:rPr>
                <w:color w:val="000000" w:themeColor="text1"/>
                <w14:textFill>
                  <w14:solidFill>
                    <w14:schemeClr w14:val="tx1"/>
                  </w14:solidFill>
                </w14:textFill>
              </w:rPr>
              <w:t>98%日平均质量浓度</w:t>
            </w:r>
          </w:p>
        </w:tc>
        <w:tc>
          <w:tcPr>
            <w:tcW w:w="771" w:type="pct"/>
            <w:vAlign w:val="center"/>
          </w:tcPr>
          <w:p w14:paraId="42E9E5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778" w:type="pct"/>
            <w:vAlign w:val="center"/>
          </w:tcPr>
          <w:p w14:paraId="221781C0">
            <w:pPr>
              <w:pStyle w:val="2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83" w:type="pct"/>
            <w:vAlign w:val="center"/>
          </w:tcPr>
          <w:p w14:paraId="7AD979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47.5</w:t>
            </w:r>
          </w:p>
        </w:tc>
        <w:tc>
          <w:tcPr>
            <w:tcW w:w="667" w:type="pct"/>
            <w:vAlign w:val="center"/>
          </w:tcPr>
          <w:p w14:paraId="0414C3F7">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433D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restart"/>
            <w:vAlign w:val="center"/>
          </w:tcPr>
          <w:p w14:paraId="5FB27A08">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423" w:type="pct"/>
            <w:vAlign w:val="center"/>
          </w:tcPr>
          <w:p w14:paraId="5D00717A">
            <w:pPr>
              <w:pStyle w:val="28"/>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771" w:type="pct"/>
            <w:vAlign w:val="center"/>
          </w:tcPr>
          <w:p w14:paraId="750E36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30.2</w:t>
            </w:r>
          </w:p>
        </w:tc>
        <w:tc>
          <w:tcPr>
            <w:tcW w:w="778" w:type="pct"/>
            <w:shd w:val="clear" w:color="auto" w:fill="auto"/>
            <w:vAlign w:val="center"/>
          </w:tcPr>
          <w:p w14:paraId="3D565C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83" w:type="pct"/>
            <w:shd w:val="clear" w:color="auto" w:fill="auto"/>
          </w:tcPr>
          <w:p w14:paraId="3527A0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50.33 </w:t>
            </w:r>
          </w:p>
        </w:tc>
        <w:tc>
          <w:tcPr>
            <w:tcW w:w="667" w:type="pct"/>
            <w:vAlign w:val="center"/>
          </w:tcPr>
          <w:p w14:paraId="4C35B3C0">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7CDD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continue"/>
            <w:vAlign w:val="center"/>
          </w:tcPr>
          <w:p w14:paraId="30A26FB7">
            <w:pPr>
              <w:pStyle w:val="28"/>
              <w:rPr>
                <w:color w:val="000000" w:themeColor="text1"/>
                <w14:textFill>
                  <w14:solidFill>
                    <w14:schemeClr w14:val="tx1"/>
                  </w14:solidFill>
                </w14:textFill>
              </w:rPr>
            </w:pPr>
          </w:p>
        </w:tc>
        <w:tc>
          <w:tcPr>
            <w:tcW w:w="1423" w:type="pct"/>
            <w:vAlign w:val="center"/>
          </w:tcPr>
          <w:p w14:paraId="62A49A38">
            <w:pPr>
              <w:pStyle w:val="28"/>
              <w:rPr>
                <w:color w:val="000000" w:themeColor="text1"/>
                <w14:textFill>
                  <w14:solidFill>
                    <w14:schemeClr w14:val="tx1"/>
                  </w14:solidFill>
                </w14:textFill>
              </w:rPr>
            </w:pPr>
            <w:r>
              <w:rPr>
                <w:color w:val="000000" w:themeColor="text1"/>
                <w14:textFill>
                  <w14:solidFill>
                    <w14:schemeClr w14:val="tx1"/>
                  </w14:solidFill>
                </w14:textFill>
              </w:rPr>
              <w:t>95%日平均质量浓度</w:t>
            </w:r>
          </w:p>
        </w:tc>
        <w:tc>
          <w:tcPr>
            <w:tcW w:w="771" w:type="pct"/>
            <w:vAlign w:val="center"/>
          </w:tcPr>
          <w:p w14:paraId="5FBD2E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78" w:type="pct"/>
            <w:shd w:val="clear" w:color="auto" w:fill="auto"/>
            <w:vAlign w:val="center"/>
          </w:tcPr>
          <w:p w14:paraId="77BD6EF1">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683" w:type="pct"/>
            <w:shd w:val="clear" w:color="auto" w:fill="auto"/>
          </w:tcPr>
          <w:p w14:paraId="39560C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41.67 </w:t>
            </w:r>
          </w:p>
        </w:tc>
        <w:tc>
          <w:tcPr>
            <w:tcW w:w="667" w:type="pct"/>
            <w:vAlign w:val="center"/>
          </w:tcPr>
          <w:p w14:paraId="352F9112">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65C0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restart"/>
            <w:vAlign w:val="center"/>
          </w:tcPr>
          <w:p w14:paraId="4F0BA31B">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423" w:type="pct"/>
            <w:vAlign w:val="center"/>
          </w:tcPr>
          <w:p w14:paraId="0C7D2A4A">
            <w:pPr>
              <w:pStyle w:val="28"/>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771" w:type="pct"/>
            <w:vAlign w:val="center"/>
          </w:tcPr>
          <w:p w14:paraId="38CC06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21.8</w:t>
            </w:r>
          </w:p>
        </w:tc>
        <w:tc>
          <w:tcPr>
            <w:tcW w:w="778" w:type="pct"/>
            <w:shd w:val="clear" w:color="auto" w:fill="auto"/>
            <w:vAlign w:val="center"/>
          </w:tcPr>
          <w:p w14:paraId="061FE1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683" w:type="pct"/>
            <w:shd w:val="clear" w:color="auto" w:fill="auto"/>
          </w:tcPr>
          <w:p w14:paraId="10137F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72.67 </w:t>
            </w:r>
          </w:p>
        </w:tc>
        <w:tc>
          <w:tcPr>
            <w:tcW w:w="667" w:type="pct"/>
            <w:vAlign w:val="center"/>
          </w:tcPr>
          <w:p w14:paraId="57189961">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30B5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continue"/>
            <w:vAlign w:val="center"/>
          </w:tcPr>
          <w:p w14:paraId="36505092">
            <w:pPr>
              <w:pStyle w:val="28"/>
              <w:rPr>
                <w:color w:val="000000" w:themeColor="text1"/>
                <w14:textFill>
                  <w14:solidFill>
                    <w14:schemeClr w14:val="tx1"/>
                  </w14:solidFill>
                </w14:textFill>
              </w:rPr>
            </w:pPr>
          </w:p>
        </w:tc>
        <w:tc>
          <w:tcPr>
            <w:tcW w:w="1423" w:type="pct"/>
            <w:vAlign w:val="center"/>
          </w:tcPr>
          <w:p w14:paraId="422FB107">
            <w:pPr>
              <w:pStyle w:val="28"/>
              <w:rPr>
                <w:color w:val="000000" w:themeColor="text1"/>
                <w14:textFill>
                  <w14:solidFill>
                    <w14:schemeClr w14:val="tx1"/>
                  </w14:solidFill>
                </w14:textFill>
              </w:rPr>
            </w:pPr>
            <w:r>
              <w:rPr>
                <w:color w:val="000000" w:themeColor="text1"/>
                <w14:textFill>
                  <w14:solidFill>
                    <w14:schemeClr w14:val="tx1"/>
                  </w14:solidFill>
                </w14:textFill>
              </w:rPr>
              <w:t>95%日平均质量浓度</w:t>
            </w:r>
          </w:p>
        </w:tc>
        <w:tc>
          <w:tcPr>
            <w:tcW w:w="771" w:type="pct"/>
            <w:vAlign w:val="center"/>
          </w:tcPr>
          <w:p w14:paraId="3AA738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778" w:type="pct"/>
            <w:shd w:val="clear" w:color="auto" w:fill="auto"/>
            <w:vAlign w:val="center"/>
          </w:tcPr>
          <w:p w14:paraId="3C1D40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83" w:type="pct"/>
            <w:shd w:val="clear" w:color="auto" w:fill="auto"/>
          </w:tcPr>
          <w:p w14:paraId="4936E4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68.33 </w:t>
            </w:r>
          </w:p>
        </w:tc>
        <w:tc>
          <w:tcPr>
            <w:tcW w:w="667" w:type="pct"/>
            <w:vAlign w:val="center"/>
          </w:tcPr>
          <w:p w14:paraId="59D73916">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0537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14:paraId="4B42B2EE">
            <w:pPr>
              <w:pStyle w:val="28"/>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423" w:type="pct"/>
            <w:vAlign w:val="center"/>
          </w:tcPr>
          <w:p w14:paraId="58D73664">
            <w:pPr>
              <w:pStyle w:val="28"/>
              <w:rPr>
                <w:color w:val="000000" w:themeColor="text1"/>
                <w14:textFill>
                  <w14:solidFill>
                    <w14:schemeClr w14:val="tx1"/>
                  </w14:solidFill>
                </w14:textFill>
              </w:rPr>
            </w:pPr>
            <w:r>
              <w:rPr>
                <w:color w:val="000000" w:themeColor="text1"/>
                <w14:textFill>
                  <w14:solidFill>
                    <w14:schemeClr w14:val="tx1"/>
                  </w14:solidFill>
                </w14:textFill>
              </w:rPr>
              <w:t>95%日平均质量浓度</w:t>
            </w:r>
          </w:p>
          <w:p w14:paraId="534E83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771" w:type="pct"/>
            <w:vAlign w:val="center"/>
          </w:tcPr>
          <w:p w14:paraId="061E6C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78" w:type="pct"/>
            <w:vAlign w:val="center"/>
          </w:tcPr>
          <w:p w14:paraId="583621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83" w:type="pct"/>
            <w:vAlign w:val="center"/>
          </w:tcPr>
          <w:p w14:paraId="2F9CF2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67" w:type="pct"/>
            <w:vAlign w:val="center"/>
          </w:tcPr>
          <w:p w14:paraId="330C9830">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4B5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14:paraId="30FDB06B">
            <w:pPr>
              <w:pStyle w:val="28"/>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423" w:type="pct"/>
            <w:vAlign w:val="center"/>
          </w:tcPr>
          <w:p w14:paraId="0F65CD05">
            <w:pPr>
              <w:pStyle w:val="28"/>
              <w:rPr>
                <w:color w:val="000000" w:themeColor="text1"/>
                <w14:textFill>
                  <w14:solidFill>
                    <w14:schemeClr w14:val="tx1"/>
                  </w14:solidFill>
                </w14:textFill>
              </w:rPr>
            </w:pPr>
            <w:r>
              <w:rPr>
                <w:color w:val="000000" w:themeColor="text1"/>
                <w14:textFill>
                  <w14:solidFill>
                    <w14:schemeClr w14:val="tx1"/>
                  </w14:solidFill>
                </w14:textFill>
              </w:rPr>
              <w:t>90%日最大8小时平均质量浓度</w:t>
            </w:r>
          </w:p>
        </w:tc>
        <w:tc>
          <w:tcPr>
            <w:tcW w:w="771" w:type="pct"/>
            <w:vAlign w:val="center"/>
          </w:tcPr>
          <w:p w14:paraId="4F76EB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w:t>
            </w:r>
          </w:p>
        </w:tc>
        <w:tc>
          <w:tcPr>
            <w:tcW w:w="778" w:type="pct"/>
            <w:vAlign w:val="center"/>
          </w:tcPr>
          <w:p w14:paraId="2039EC16">
            <w:pPr>
              <w:pStyle w:val="28"/>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683" w:type="pct"/>
            <w:vAlign w:val="center"/>
          </w:tcPr>
          <w:p w14:paraId="6922B9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63.75</w:t>
            </w:r>
          </w:p>
        </w:tc>
        <w:tc>
          <w:tcPr>
            <w:tcW w:w="667" w:type="pct"/>
            <w:vAlign w:val="center"/>
          </w:tcPr>
          <w:p w14:paraId="743C9F3D">
            <w:pPr>
              <w:pStyle w:val="28"/>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5E5D70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根据上表可以判定，项目所在区域SO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、CO、</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六项基本因子均能满足《环境空气质量标准》（GB3095-2026）过渡阶段二级标准限值要求，因此项目所在区域为达标区</w:t>
      </w:r>
      <w:r>
        <w:rPr>
          <w:color w:val="000000" w:themeColor="text1"/>
          <w14:textFill>
            <w14:solidFill>
              <w14:schemeClr w14:val="tx1"/>
            </w14:solidFill>
          </w14:textFill>
        </w:rPr>
        <w:t>。</w:t>
      </w:r>
    </w:p>
    <w:p w14:paraId="41AF09EC">
      <w:pPr>
        <w:pStyle w:val="5"/>
        <w:rPr>
          <w:color w:val="000000" w:themeColor="text1"/>
          <w14:textFill>
            <w14:solidFill>
              <w14:schemeClr w14:val="tx1"/>
            </w14:solidFill>
          </w14:textFill>
        </w:rPr>
      </w:pPr>
      <w:r>
        <w:rPr>
          <w:color w:val="000000" w:themeColor="text1"/>
          <w14:textFill>
            <w14:solidFill>
              <w14:schemeClr w14:val="tx1"/>
            </w14:solidFill>
          </w14:textFill>
        </w:rPr>
        <w:t>4.2.1.2 补充监测</w:t>
      </w:r>
    </w:p>
    <w:p w14:paraId="731C7407">
      <w:pPr>
        <w:ind w:firstLine="480"/>
        <w:rPr>
          <w:color w:val="000000" w:themeColor="text1"/>
          <w:vertAlign w:val="superscript"/>
          <w14:textFill>
            <w14:solidFill>
              <w14:schemeClr w14:val="tx1"/>
            </w14:solidFill>
          </w14:textFill>
        </w:rPr>
      </w:pPr>
      <w:r>
        <w:rPr>
          <w:color w:val="000000" w:themeColor="text1"/>
          <w14:textFill>
            <w14:solidFill>
              <w14:schemeClr w14:val="tx1"/>
            </w14:solidFill>
          </w14:textFill>
        </w:rPr>
        <w:t>根据本项目大气污染物排放特征，为调查项目区环境空气中</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，本次环评补充监测</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本项目评价范围涉及</w:t>
      </w:r>
      <w:bookmarkStart w:id="69" w:name="_Hlk226540509"/>
      <w:r>
        <w:rPr>
          <w:rFonts w:hint="eastAsia"/>
          <w:color w:val="000000" w:themeColor="text1"/>
          <w14:textFill>
            <w14:solidFill>
              <w14:schemeClr w14:val="tx1"/>
            </w14:solidFill>
          </w14:textFill>
        </w:rPr>
        <w:t>九龙池风景名胜区</w:t>
      </w:r>
      <w:bookmarkEnd w:id="69"/>
      <w:r>
        <w:rPr>
          <w:rFonts w:hint="eastAsia"/>
          <w:color w:val="000000" w:themeColor="text1"/>
          <w14:textFill>
            <w14:solidFill>
              <w14:schemeClr w14:val="tx1"/>
            </w14:solidFill>
          </w14:textFill>
        </w:rPr>
        <w:t>，为一类功能区，因此补充监测九龙池风景名胜区PM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p>
    <w:p w14:paraId="259C33D2">
      <w:pPr>
        <w:ind w:firstLine="482"/>
        <w:rPr>
          <w:b/>
          <w:color w:val="000000" w:themeColor="text1"/>
          <w14:textFill>
            <w14:solidFill>
              <w14:schemeClr w14:val="tx1"/>
            </w14:solidFill>
          </w14:textFill>
        </w:rPr>
      </w:pPr>
      <w:bookmarkStart w:id="70" w:name="_Toc25156902"/>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）监测点位</w:t>
      </w:r>
      <w:bookmarkEnd w:id="70"/>
    </w:p>
    <w:p w14:paraId="747CBBC1">
      <w:pPr>
        <w:ind w:firstLine="480"/>
        <w:rPr>
          <w:color w:val="000000" w:themeColor="text1"/>
          <w14:textFill>
            <w14:solidFill>
              <w14:schemeClr w14:val="tx1"/>
            </w14:solidFill>
          </w14:textFill>
        </w:rPr>
      </w:pPr>
      <w:r>
        <w:rPr>
          <w:rFonts w:hint="eastAsia" w:cs="Times New Roman"/>
          <w:color w:val="000000" w:themeColor="text1"/>
          <w:kern w:val="0"/>
          <w14:textFill>
            <w14:solidFill>
              <w14:schemeClr w14:val="tx1"/>
            </w14:solidFill>
          </w14:textFill>
        </w:rPr>
        <w:t>G1项目区、G2大莲池村（项目区下风向）、G3玉溪市九龙池风景名胜区</w:t>
      </w:r>
      <w:r>
        <w:rPr>
          <w:rFonts w:hint="eastAsia"/>
          <w:color w:val="000000" w:themeColor="text1"/>
          <w14:textFill>
            <w14:solidFill>
              <w14:schemeClr w14:val="tx1"/>
            </w14:solidFill>
          </w14:textFill>
        </w:rPr>
        <w:t>。</w:t>
      </w:r>
    </w:p>
    <w:p w14:paraId="40F53FC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监测点位信息详见表4.2-2，监测点位详见图4.2-1。</w:t>
      </w:r>
    </w:p>
    <w:p w14:paraId="1B9D319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表4.2-2 监测点位信息表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746"/>
        <w:gridCol w:w="1652"/>
        <w:gridCol w:w="1937"/>
        <w:gridCol w:w="1082"/>
        <w:gridCol w:w="943"/>
        <w:gridCol w:w="913"/>
      </w:tblGrid>
      <w:tr w14:paraId="2169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524" w:type="pct"/>
            <w:vAlign w:val="center"/>
          </w:tcPr>
          <w:p w14:paraId="7883C4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监测点位名称</w:t>
            </w:r>
          </w:p>
        </w:tc>
        <w:tc>
          <w:tcPr>
            <w:tcW w:w="944" w:type="pct"/>
            <w:vAlign w:val="center"/>
          </w:tcPr>
          <w:p w14:paraId="721BCB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监测点位坐标</w:t>
            </w:r>
          </w:p>
        </w:tc>
        <w:tc>
          <w:tcPr>
            <w:tcW w:w="893" w:type="pct"/>
            <w:vAlign w:val="center"/>
          </w:tcPr>
          <w:p w14:paraId="2F5BCE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监测因子</w:t>
            </w:r>
          </w:p>
        </w:tc>
        <w:tc>
          <w:tcPr>
            <w:tcW w:w="1047" w:type="pct"/>
            <w:vAlign w:val="center"/>
          </w:tcPr>
          <w:p w14:paraId="701E9F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监测时段</w:t>
            </w:r>
          </w:p>
        </w:tc>
        <w:tc>
          <w:tcPr>
            <w:tcW w:w="585" w:type="pct"/>
            <w:vAlign w:val="center"/>
          </w:tcPr>
          <w:p w14:paraId="61D556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相对厂址方位</w:t>
            </w:r>
          </w:p>
        </w:tc>
        <w:tc>
          <w:tcPr>
            <w:tcW w:w="510" w:type="pct"/>
            <w:vAlign w:val="center"/>
          </w:tcPr>
          <w:p w14:paraId="5060AB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相对厂界距离/m</w:t>
            </w:r>
          </w:p>
        </w:tc>
        <w:tc>
          <w:tcPr>
            <w:tcW w:w="493" w:type="pct"/>
            <w:vAlign w:val="center"/>
          </w:tcPr>
          <w:p w14:paraId="27A102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p w14:paraId="66D8ACC6">
            <w:pPr>
              <w:pStyle w:val="28"/>
              <w:rPr>
                <w:color w:val="000000" w:themeColor="text1"/>
                <w14:textFill>
                  <w14:solidFill>
                    <w14:schemeClr w14:val="tx1"/>
                  </w14:solidFill>
                </w14:textFill>
              </w:rPr>
            </w:pPr>
          </w:p>
        </w:tc>
      </w:tr>
      <w:tr w14:paraId="1CBB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1C8393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G1项目区</w:t>
            </w:r>
          </w:p>
        </w:tc>
        <w:tc>
          <w:tcPr>
            <w:tcW w:w="944" w:type="pct"/>
            <w:vAlign w:val="center"/>
          </w:tcPr>
          <w:p w14:paraId="7EAC211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102°31′35.48675″</w:t>
            </w:r>
          </w:p>
          <w:p w14:paraId="2C7EBDB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24°26′14.95185″</w:t>
            </w:r>
          </w:p>
        </w:tc>
        <w:tc>
          <w:tcPr>
            <w:tcW w:w="893" w:type="pct"/>
            <w:vAlign w:val="center"/>
          </w:tcPr>
          <w:p w14:paraId="1540AB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047" w:type="pct"/>
            <w:vAlign w:val="center"/>
          </w:tcPr>
          <w:p w14:paraId="6D0EE2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2029.9.9-2025.9.15</w:t>
            </w:r>
          </w:p>
        </w:tc>
        <w:tc>
          <w:tcPr>
            <w:tcW w:w="585" w:type="pct"/>
            <w:vAlign w:val="center"/>
          </w:tcPr>
          <w:p w14:paraId="6F21B8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项目区</w:t>
            </w:r>
          </w:p>
        </w:tc>
        <w:tc>
          <w:tcPr>
            <w:tcW w:w="510" w:type="pct"/>
            <w:vAlign w:val="center"/>
          </w:tcPr>
          <w:p w14:paraId="7BB601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93" w:type="pct"/>
            <w:vAlign w:val="center"/>
          </w:tcPr>
          <w:p w14:paraId="106F66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7C7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6BD916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G2大莲池村</w:t>
            </w:r>
          </w:p>
        </w:tc>
        <w:tc>
          <w:tcPr>
            <w:tcW w:w="944" w:type="pct"/>
            <w:vAlign w:val="center"/>
          </w:tcPr>
          <w:p w14:paraId="0235BFCE">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102°31′44.02261″</w:t>
            </w:r>
          </w:p>
          <w:p w14:paraId="630BFF80">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24°26′18.89147″</w:t>
            </w:r>
          </w:p>
        </w:tc>
        <w:tc>
          <w:tcPr>
            <w:tcW w:w="893" w:type="pct"/>
            <w:vAlign w:val="center"/>
          </w:tcPr>
          <w:p w14:paraId="5E55BE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047" w:type="pct"/>
            <w:vAlign w:val="center"/>
          </w:tcPr>
          <w:p w14:paraId="1A6C90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2029.9.9-2025.9.15</w:t>
            </w:r>
          </w:p>
        </w:tc>
        <w:tc>
          <w:tcPr>
            <w:tcW w:w="585" w:type="pct"/>
            <w:vAlign w:val="center"/>
          </w:tcPr>
          <w:p w14:paraId="51FC9A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510" w:type="pct"/>
            <w:vAlign w:val="center"/>
          </w:tcPr>
          <w:p w14:paraId="62AE2B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493" w:type="pct"/>
            <w:vAlign w:val="center"/>
          </w:tcPr>
          <w:p w14:paraId="4ECC89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厂区主导风向下风向</w:t>
            </w:r>
          </w:p>
        </w:tc>
      </w:tr>
      <w:tr w14:paraId="51DC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559516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G3九龙池风景名胜区</w:t>
            </w:r>
          </w:p>
        </w:tc>
        <w:tc>
          <w:tcPr>
            <w:tcW w:w="944" w:type="pct"/>
            <w:vAlign w:val="center"/>
          </w:tcPr>
          <w:p w14:paraId="53980FA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102°30′54.97037″</w:t>
            </w:r>
          </w:p>
          <w:p w14:paraId="0B9D9CCA">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24°25′28.83502″</w:t>
            </w:r>
          </w:p>
        </w:tc>
        <w:tc>
          <w:tcPr>
            <w:tcW w:w="893" w:type="pct"/>
            <w:vAlign w:val="center"/>
          </w:tcPr>
          <w:p w14:paraId="3894B5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047" w:type="pct"/>
            <w:vAlign w:val="center"/>
          </w:tcPr>
          <w:p w14:paraId="3C00A1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2029.9.9-2025.9.15</w:t>
            </w:r>
          </w:p>
        </w:tc>
        <w:tc>
          <w:tcPr>
            <w:tcW w:w="585" w:type="pct"/>
            <w:vAlign w:val="center"/>
          </w:tcPr>
          <w:p w14:paraId="7F2DD3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510" w:type="pct"/>
            <w:vAlign w:val="center"/>
          </w:tcPr>
          <w:p w14:paraId="1C1590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1765</w:t>
            </w:r>
          </w:p>
        </w:tc>
        <w:tc>
          <w:tcPr>
            <w:tcW w:w="493" w:type="pct"/>
            <w:vAlign w:val="center"/>
          </w:tcPr>
          <w:p w14:paraId="025D56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位于大气评价范围内</w:t>
            </w:r>
          </w:p>
        </w:tc>
      </w:tr>
    </w:tbl>
    <w:p w14:paraId="56D646AA">
      <w:pPr>
        <w:pStyle w:val="27"/>
        <w:rPr>
          <w:color w:val="000000" w:themeColor="text1"/>
          <w14:textFill>
            <w14:solidFill>
              <w14:schemeClr w14:val="tx1"/>
            </w14:solidFill>
          </w14:textFill>
        </w:rPr>
      </w:pPr>
      <w:r>
        <w:drawing>
          <wp:inline distT="0" distB="0" distL="114300" distR="114300">
            <wp:extent cx="4643120" cy="4509135"/>
            <wp:effectExtent l="0" t="0" r="5080" b="571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0"/>
                    <a:stretch>
                      <a:fillRect/>
                    </a:stretch>
                  </pic:blipFill>
                  <pic:spPr>
                    <a:xfrm>
                      <a:off x="0" y="0"/>
                      <a:ext cx="4643120" cy="4509135"/>
                    </a:xfrm>
                    <a:prstGeom prst="rect">
                      <a:avLst/>
                    </a:prstGeom>
                    <a:noFill/>
                    <a:ln>
                      <a:noFill/>
                    </a:ln>
                  </pic:spPr>
                </pic:pic>
              </a:graphicData>
            </a:graphic>
          </wp:inline>
        </w:drawing>
      </w:r>
    </w:p>
    <w:p w14:paraId="7561C3C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图4.2-1 环境空气现状监测点位示意图</w:t>
      </w:r>
    </w:p>
    <w:p w14:paraId="42A03881">
      <w:pPr>
        <w:ind w:firstLine="482"/>
        <w:rPr>
          <w:b/>
          <w:color w:val="000000" w:themeColor="text1"/>
          <w14:textFill>
            <w14:solidFill>
              <w14:schemeClr w14:val="tx1"/>
            </w14:solidFill>
          </w14:textFill>
        </w:rPr>
      </w:pPr>
      <w:bookmarkStart w:id="71" w:name="_Toc25156903"/>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）监测项目、监测时间及监测频率</w:t>
      </w:r>
      <w:bookmarkEnd w:id="71"/>
    </w:p>
    <w:p w14:paraId="17A481E9">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监测项目：</w:t>
      </w:r>
      <w:r>
        <w:rPr>
          <w:rFonts w:hint="eastAsia"/>
          <w:color w:val="000000" w:themeColor="text1"/>
          <w14:textFill>
            <w14:solidFill>
              <w14:schemeClr w14:val="tx1"/>
            </w14:solidFill>
          </w14:textFill>
        </w:rPr>
        <w:t>TVOC8小时平均值，H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S小时平均值，PM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、CO测24小时平均浓度，SO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S小时平均值</w:t>
      </w:r>
    </w:p>
    <w:p w14:paraId="1D188157">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监测时间：</w:t>
      </w:r>
      <w:r>
        <w:rPr>
          <w:rFonts w:hint="eastAsia"/>
          <w:color w:val="000000" w:themeColor="text1"/>
          <w14:textFill>
            <w14:solidFill>
              <w14:schemeClr w14:val="tx1"/>
            </w14:solidFill>
          </w14:textFill>
        </w:rPr>
        <w:t>2025年9月9日</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25年</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日</w:t>
      </w:r>
    </w:p>
    <w:p w14:paraId="5026BB33">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监测频率：</w:t>
      </w:r>
      <w:r>
        <w:rPr>
          <w:rFonts w:cs="Times New Roman"/>
          <w:color w:val="000000" w:themeColor="text1"/>
          <w:kern w:val="0"/>
          <w14:textFill>
            <w14:solidFill>
              <w14:schemeClr w14:val="tx1"/>
            </w14:solidFill>
          </w14:textFill>
        </w:rPr>
        <w:t>连续监测7天</w:t>
      </w:r>
    </w:p>
    <w:p w14:paraId="78E87023">
      <w:pPr>
        <w:ind w:firstLine="482"/>
        <w:rPr>
          <w:b/>
          <w:color w:val="000000" w:themeColor="text1"/>
          <w14:textFill>
            <w14:solidFill>
              <w14:schemeClr w14:val="tx1"/>
            </w14:solidFill>
          </w14:textFill>
        </w:rPr>
      </w:pPr>
      <w:bookmarkStart w:id="72" w:name="_Toc25156904"/>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）评价因子</w:t>
      </w:r>
      <w:bookmarkEnd w:id="72"/>
    </w:p>
    <w:p w14:paraId="0822DC0A">
      <w:pPr>
        <w:ind w:firstLine="480"/>
        <w:rPr>
          <w:color w:val="000000" w:themeColor="text1"/>
          <w14:textFill>
            <w14:solidFill>
              <w14:schemeClr w14:val="tx1"/>
            </w14:solidFill>
          </w14:textFill>
        </w:rPr>
      </w:pPr>
      <w:bookmarkStart w:id="73" w:name="_Toc25156905"/>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p>
    <w:p w14:paraId="3C601FB5">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）评价标准</w:t>
      </w:r>
      <w:bookmarkEnd w:id="73"/>
    </w:p>
    <w:p w14:paraId="4EAD45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九龙池风景名胜区执行《环境空气质量标准》（GB3095-2026）过渡阶段一级标准，其他区域执行《环境空气质量标准》（GB3095-2026）过渡阶段二级标准，《环境空气质量标准》（</w:t>
      </w:r>
      <w:r>
        <w:rPr>
          <w:color w:val="000000" w:themeColor="text1"/>
          <w14:textFill>
            <w14:solidFill>
              <w14:schemeClr w14:val="tx1"/>
            </w14:solidFill>
          </w14:textFill>
        </w:rPr>
        <w:t>GB3095-</w:t>
      </w:r>
      <w:r>
        <w:rPr>
          <w:rFonts w:hint="eastAsia"/>
          <w:color w:val="000000" w:themeColor="text1"/>
          <w14:textFill>
            <w14:solidFill>
              <w14:schemeClr w14:val="tx1"/>
            </w14:solidFill>
          </w14:textFill>
        </w:rPr>
        <w:t>2026）中未设置VOCs、H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S标准，因此本项目TVOC、H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S评价标准参照执行《环境影响评价技术导则大气环境》（</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）附录D表</w:t>
      </w:r>
      <w:r>
        <w:rPr>
          <w:color w:val="000000" w:themeColor="text1"/>
          <w14:textFill>
            <w14:solidFill>
              <w14:schemeClr w14:val="tx1"/>
            </w14:solidFill>
          </w14:textFill>
        </w:rPr>
        <w:t>D.1</w:t>
      </w:r>
      <w:r>
        <w:rPr>
          <w:rFonts w:hint="eastAsia"/>
          <w:color w:val="000000" w:themeColor="text1"/>
          <w14:textFill>
            <w14:solidFill>
              <w14:schemeClr w14:val="tx1"/>
            </w14:solidFill>
          </w14:textFill>
        </w:rPr>
        <w:t>中的总挥发性有机物（TVOC）8小时浓度限值，即：600</w:t>
      </w:r>
      <w:r>
        <w:rPr>
          <w:rFonts w:ascii="Calibri" w:hAnsi="Calibri" w:cs="Calibri"/>
          <w:color w:val="000000" w:themeColor="text1"/>
          <w14:textFill>
            <w14:solidFill>
              <w14:schemeClr w14:val="tx1"/>
            </w14:solidFill>
          </w14:textFill>
        </w:rPr>
        <w:t>µ</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，硫化氢小时浓度限值，即10</w:t>
      </w:r>
      <w:r>
        <w:rPr>
          <w:rFonts w:ascii="Calibri" w:hAnsi="Calibri" w:cs="Calibri"/>
          <w:color w:val="000000" w:themeColor="text1"/>
          <w14:textFill>
            <w14:solidFill>
              <w14:schemeClr w14:val="tx1"/>
            </w14:solidFill>
          </w14:textFill>
        </w:rPr>
        <w:t>µ</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85BF4FB">
      <w:pPr>
        <w:ind w:firstLine="482"/>
        <w:rPr>
          <w:b/>
          <w:color w:val="000000" w:themeColor="text1"/>
          <w14:textFill>
            <w14:solidFill>
              <w14:schemeClr w14:val="tx1"/>
            </w14:solidFill>
          </w14:textFill>
        </w:rPr>
      </w:pPr>
      <w:bookmarkStart w:id="74" w:name="_Toc25156906"/>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5</w:t>
      </w:r>
      <w:r>
        <w:rPr>
          <w:rFonts w:hint="eastAsia"/>
          <w:b/>
          <w:color w:val="000000" w:themeColor="text1"/>
          <w14:textFill>
            <w14:solidFill>
              <w14:schemeClr w14:val="tx1"/>
            </w14:solidFill>
          </w14:textFill>
        </w:rPr>
        <w:t>）评价方法</w:t>
      </w:r>
      <w:bookmarkEnd w:id="74"/>
    </w:p>
    <w:p w14:paraId="2AD238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采用单项质量指数法进行评价。</w:t>
      </w:r>
    </w:p>
    <w:p w14:paraId="5DD8B3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评价指数：</w:t>
      </w:r>
    </w:p>
    <w:p w14:paraId="5D6B692D">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1045" cy="269875"/>
            <wp:effectExtent l="0" t="0" r="1905" b="1651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31"/>
                    <a:stretch>
                      <a:fillRect/>
                    </a:stretch>
                  </pic:blipFill>
                  <pic:spPr>
                    <a:xfrm>
                      <a:off x="0" y="0"/>
                      <a:ext cx="741045" cy="269875"/>
                    </a:xfrm>
                    <a:prstGeom prst="rect">
                      <a:avLst/>
                    </a:prstGeom>
                    <a:noFill/>
                    <a:ln>
                      <a:noFill/>
                    </a:ln>
                  </pic:spPr>
                </pic:pic>
              </a:graphicData>
            </a:graphic>
          </wp:inline>
        </w:drawing>
      </w:r>
    </w:p>
    <w:p w14:paraId="7CAED3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14:paraId="59E9C616">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某种污染因子现状监测值，</w:t>
      </w:r>
      <w:r>
        <w:rPr>
          <w:color w:val="000000" w:themeColor="text1"/>
          <w14:textFill>
            <w14:solidFill>
              <w14:schemeClr w14:val="tx1"/>
            </w14:solidFill>
          </w14:textFill>
        </w:rPr>
        <w:t>mg/Nm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7861236A">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环境空气质量标准，</w:t>
      </w:r>
      <w:r>
        <w:rPr>
          <w:color w:val="000000" w:themeColor="text1"/>
          <w14:textFill>
            <w14:solidFill>
              <w14:schemeClr w14:val="tx1"/>
            </w14:solidFill>
          </w14:textFill>
        </w:rPr>
        <w:t>mg/Nm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41988927">
      <w:pPr>
        <w:ind w:firstLine="482"/>
        <w:rPr>
          <w:b/>
          <w:color w:val="000000" w:themeColor="text1"/>
          <w14:textFill>
            <w14:solidFill>
              <w14:schemeClr w14:val="tx1"/>
            </w14:solidFill>
          </w14:textFill>
        </w:rPr>
      </w:pPr>
      <w:bookmarkStart w:id="75" w:name="_Toc25156907"/>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）评价结果</w:t>
      </w:r>
      <w:bookmarkEnd w:id="75"/>
    </w:p>
    <w:p w14:paraId="13D26986">
      <w:pPr>
        <w:ind w:firstLine="480"/>
        <w:rPr>
          <w:b/>
          <w:color w:val="000000" w:themeColor="text1"/>
          <w:sz w:val="21"/>
          <w:vertAlign w:val="superscript"/>
          <w14:textFill>
            <w14:solidFill>
              <w14:schemeClr w14:val="tx1"/>
            </w14:solidFill>
          </w14:textFill>
        </w:rPr>
      </w:pPr>
      <w:r>
        <w:rPr>
          <w:color w:val="000000" w:themeColor="text1"/>
          <w14:textFill>
            <w14:solidFill>
              <w14:schemeClr w14:val="tx1"/>
            </w14:solidFill>
          </w14:textFill>
        </w:rPr>
        <w:t>本次监测环境空气现状监测结果及评价结果见下表</w:t>
      </w:r>
      <w:r>
        <w:rPr>
          <w:rFonts w:hint="eastAsia"/>
          <w:color w:val="000000" w:themeColor="text1"/>
          <w14:textFill>
            <w14:solidFill>
              <w14:schemeClr w14:val="tx1"/>
            </w14:solidFill>
          </w14:textFill>
        </w:rPr>
        <w:t>。</w:t>
      </w:r>
    </w:p>
    <w:p w14:paraId="0B314FC7">
      <w:pPr>
        <w:pStyle w:val="27"/>
        <w:rPr>
          <w:rFonts w:hint="eastAsia"/>
          <w:color w:val="000000" w:themeColor="text1"/>
          <w14:textFill>
            <w14:solidFill>
              <w14:schemeClr w14:val="tx1"/>
            </w14:solidFill>
          </w14:textFill>
        </w:rPr>
      </w:pPr>
    </w:p>
    <w:p w14:paraId="322CA9AC">
      <w:pPr>
        <w:pStyle w:val="27"/>
        <w:rPr>
          <w:rFonts w:hint="eastAsia"/>
          <w:color w:val="000000" w:themeColor="text1"/>
          <w14:textFill>
            <w14:solidFill>
              <w14:schemeClr w14:val="tx1"/>
            </w14:solidFill>
          </w14:textFill>
        </w:rPr>
      </w:pPr>
    </w:p>
    <w:p w14:paraId="1BD76B74">
      <w:pPr>
        <w:pStyle w:val="27"/>
        <w:rPr>
          <w:rFonts w:hint="eastAsia"/>
          <w:color w:val="000000" w:themeColor="text1"/>
          <w14:textFill>
            <w14:solidFill>
              <w14:schemeClr w14:val="tx1"/>
            </w14:solidFill>
          </w14:textFill>
        </w:rPr>
      </w:pPr>
    </w:p>
    <w:p w14:paraId="777C8562">
      <w:pPr>
        <w:pStyle w:val="27"/>
        <w:rPr>
          <w:rFonts w:hint="eastAsia"/>
          <w:color w:val="000000" w:themeColor="text1"/>
          <w14:textFill>
            <w14:solidFill>
              <w14:schemeClr w14:val="tx1"/>
            </w14:solidFill>
          </w14:textFill>
        </w:rPr>
      </w:pPr>
    </w:p>
    <w:p w14:paraId="5701D111">
      <w:pPr>
        <w:pStyle w:val="27"/>
        <w:rPr>
          <w:rFonts w:hint="eastAsia"/>
          <w:color w:val="000000" w:themeColor="text1"/>
          <w14:textFill>
            <w14:solidFill>
              <w14:schemeClr w14:val="tx1"/>
            </w14:solidFill>
          </w14:textFill>
        </w:rPr>
      </w:pPr>
    </w:p>
    <w:p w14:paraId="0A26F0AE">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表4.2-3环境空气质量现状补充监测结果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074"/>
        <w:gridCol w:w="1263"/>
        <w:gridCol w:w="1227"/>
        <w:gridCol w:w="1671"/>
        <w:gridCol w:w="1686"/>
        <w:gridCol w:w="760"/>
      </w:tblGrid>
      <w:tr w14:paraId="34A2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12EC03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1264" w:type="pct"/>
            <w:gridSpan w:val="2"/>
            <w:vAlign w:val="center"/>
          </w:tcPr>
          <w:p w14:paraId="0340BA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评价指标</w:t>
            </w:r>
          </w:p>
        </w:tc>
        <w:tc>
          <w:tcPr>
            <w:tcW w:w="664" w:type="pct"/>
            <w:vAlign w:val="center"/>
          </w:tcPr>
          <w:p w14:paraId="6531D6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评价标准（</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904" w:type="pct"/>
            <w:vAlign w:val="center"/>
          </w:tcPr>
          <w:p w14:paraId="440E8E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监测浓度范围（</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912" w:type="pct"/>
            <w:vAlign w:val="center"/>
          </w:tcPr>
          <w:p w14:paraId="7D8542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最大浓度占标率（%）</w:t>
            </w:r>
          </w:p>
        </w:tc>
        <w:tc>
          <w:tcPr>
            <w:tcW w:w="411" w:type="pct"/>
            <w:vAlign w:val="center"/>
          </w:tcPr>
          <w:p w14:paraId="7C5A70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18AD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4" w:type="pct"/>
            <w:vMerge w:val="restart"/>
            <w:vAlign w:val="center"/>
          </w:tcPr>
          <w:p w14:paraId="611CE9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G1项目区</w:t>
            </w:r>
          </w:p>
        </w:tc>
        <w:tc>
          <w:tcPr>
            <w:tcW w:w="580" w:type="pct"/>
            <w:vAlign w:val="center"/>
          </w:tcPr>
          <w:p w14:paraId="2D2DFB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w:t>
            </w:r>
          </w:p>
        </w:tc>
        <w:tc>
          <w:tcPr>
            <w:tcW w:w="683" w:type="pct"/>
            <w:vAlign w:val="center"/>
          </w:tcPr>
          <w:p w14:paraId="5819D5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8h平均值</w:t>
            </w:r>
          </w:p>
        </w:tc>
        <w:tc>
          <w:tcPr>
            <w:tcW w:w="664" w:type="pct"/>
            <w:vAlign w:val="center"/>
          </w:tcPr>
          <w:p w14:paraId="722FD7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904" w:type="pct"/>
            <w:vAlign w:val="center"/>
          </w:tcPr>
          <w:p w14:paraId="30593F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14.6~32.7</w:t>
            </w:r>
          </w:p>
        </w:tc>
        <w:tc>
          <w:tcPr>
            <w:tcW w:w="912" w:type="pct"/>
            <w:shd w:val="clear" w:color="auto" w:fill="auto"/>
            <w:vAlign w:val="center"/>
          </w:tcPr>
          <w:p w14:paraId="6AD773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5.45</w:t>
            </w:r>
          </w:p>
        </w:tc>
        <w:tc>
          <w:tcPr>
            <w:tcW w:w="411" w:type="pct"/>
            <w:shd w:val="clear" w:color="auto" w:fill="auto"/>
            <w:vAlign w:val="center"/>
          </w:tcPr>
          <w:p w14:paraId="6681B2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DE5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44" w:type="pct"/>
            <w:vMerge w:val="continue"/>
            <w:vAlign w:val="center"/>
          </w:tcPr>
          <w:p w14:paraId="4ED425B4">
            <w:pPr>
              <w:pStyle w:val="28"/>
              <w:rPr>
                <w:color w:val="000000" w:themeColor="text1"/>
                <w14:textFill>
                  <w14:solidFill>
                    <w14:schemeClr w14:val="tx1"/>
                  </w14:solidFill>
                </w14:textFill>
              </w:rPr>
            </w:pPr>
          </w:p>
        </w:tc>
        <w:tc>
          <w:tcPr>
            <w:tcW w:w="580" w:type="pct"/>
            <w:vAlign w:val="center"/>
          </w:tcPr>
          <w:p w14:paraId="3BB73A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683" w:type="pct"/>
            <w:vAlign w:val="center"/>
          </w:tcPr>
          <w:p w14:paraId="7F572D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vAlign w:val="center"/>
          </w:tcPr>
          <w:p w14:paraId="4E758F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04" w:type="pct"/>
            <w:vAlign w:val="center"/>
          </w:tcPr>
          <w:p w14:paraId="0F212F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c>
          <w:tcPr>
            <w:tcW w:w="912" w:type="pct"/>
            <w:shd w:val="clear" w:color="auto" w:fill="auto"/>
            <w:vAlign w:val="center"/>
          </w:tcPr>
          <w:p w14:paraId="071F9F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80.00</w:t>
            </w:r>
          </w:p>
        </w:tc>
        <w:tc>
          <w:tcPr>
            <w:tcW w:w="411" w:type="pct"/>
            <w:shd w:val="clear" w:color="auto" w:fill="auto"/>
            <w:vAlign w:val="center"/>
          </w:tcPr>
          <w:p w14:paraId="632CEF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C20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restart"/>
            <w:vAlign w:val="center"/>
          </w:tcPr>
          <w:p w14:paraId="7370B6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G2大莲池村（项目区下风向）</w:t>
            </w:r>
          </w:p>
        </w:tc>
        <w:tc>
          <w:tcPr>
            <w:tcW w:w="580" w:type="pct"/>
            <w:shd w:val="clear" w:color="auto" w:fill="auto"/>
            <w:vAlign w:val="center"/>
          </w:tcPr>
          <w:p w14:paraId="460E9D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w:t>
            </w:r>
          </w:p>
        </w:tc>
        <w:tc>
          <w:tcPr>
            <w:tcW w:w="683" w:type="pct"/>
            <w:shd w:val="clear" w:color="auto" w:fill="auto"/>
            <w:vAlign w:val="center"/>
          </w:tcPr>
          <w:p w14:paraId="39CCC9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8h平均值</w:t>
            </w:r>
          </w:p>
        </w:tc>
        <w:tc>
          <w:tcPr>
            <w:tcW w:w="664" w:type="pct"/>
            <w:shd w:val="clear" w:color="auto" w:fill="auto"/>
            <w:vAlign w:val="center"/>
          </w:tcPr>
          <w:p w14:paraId="0069E5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904" w:type="pct"/>
            <w:vAlign w:val="center"/>
          </w:tcPr>
          <w:p w14:paraId="79A694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14.3~33.8</w:t>
            </w:r>
          </w:p>
        </w:tc>
        <w:tc>
          <w:tcPr>
            <w:tcW w:w="912" w:type="pct"/>
            <w:shd w:val="clear" w:color="auto" w:fill="auto"/>
            <w:vAlign w:val="center"/>
          </w:tcPr>
          <w:p w14:paraId="069B15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5.63</w:t>
            </w:r>
          </w:p>
        </w:tc>
        <w:tc>
          <w:tcPr>
            <w:tcW w:w="411" w:type="pct"/>
            <w:shd w:val="clear" w:color="auto" w:fill="auto"/>
            <w:vAlign w:val="center"/>
          </w:tcPr>
          <w:p w14:paraId="068CA1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E98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6A1F3CF2">
            <w:pPr>
              <w:pStyle w:val="28"/>
              <w:rPr>
                <w:color w:val="000000" w:themeColor="text1"/>
                <w14:textFill>
                  <w14:solidFill>
                    <w14:schemeClr w14:val="tx1"/>
                  </w14:solidFill>
                </w14:textFill>
              </w:rPr>
            </w:pPr>
          </w:p>
        </w:tc>
        <w:tc>
          <w:tcPr>
            <w:tcW w:w="580" w:type="pct"/>
            <w:shd w:val="clear" w:color="auto" w:fill="auto"/>
            <w:vAlign w:val="center"/>
          </w:tcPr>
          <w:p w14:paraId="4B7207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683" w:type="pct"/>
            <w:shd w:val="clear" w:color="auto" w:fill="auto"/>
            <w:vAlign w:val="center"/>
          </w:tcPr>
          <w:p w14:paraId="708B0F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shd w:val="clear" w:color="auto" w:fill="auto"/>
            <w:vAlign w:val="center"/>
          </w:tcPr>
          <w:p w14:paraId="21F021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04" w:type="pct"/>
            <w:vAlign w:val="center"/>
          </w:tcPr>
          <w:p w14:paraId="143FB4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12" w:type="pct"/>
            <w:shd w:val="clear" w:color="auto" w:fill="auto"/>
            <w:vAlign w:val="center"/>
          </w:tcPr>
          <w:p w14:paraId="6AF12C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411" w:type="pct"/>
            <w:shd w:val="clear" w:color="auto" w:fill="auto"/>
            <w:vAlign w:val="center"/>
          </w:tcPr>
          <w:p w14:paraId="4132A2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55E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restart"/>
            <w:vAlign w:val="center"/>
          </w:tcPr>
          <w:p w14:paraId="433FEE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G3玉溪市九龙池风景名胜区</w:t>
            </w:r>
          </w:p>
        </w:tc>
        <w:tc>
          <w:tcPr>
            <w:tcW w:w="580" w:type="pct"/>
            <w:vMerge w:val="restart"/>
            <w:vAlign w:val="center"/>
          </w:tcPr>
          <w:p w14:paraId="06B255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683" w:type="pct"/>
            <w:shd w:val="clear" w:color="auto" w:fill="auto"/>
            <w:vAlign w:val="center"/>
          </w:tcPr>
          <w:p w14:paraId="0275C7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shd w:val="clear" w:color="auto" w:fill="auto"/>
            <w:vAlign w:val="center"/>
          </w:tcPr>
          <w:p w14:paraId="7B6A32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904" w:type="pct"/>
            <w:vAlign w:val="center"/>
          </w:tcPr>
          <w:p w14:paraId="342503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13~18</w:t>
            </w:r>
          </w:p>
        </w:tc>
        <w:tc>
          <w:tcPr>
            <w:tcW w:w="912" w:type="pct"/>
            <w:shd w:val="clear" w:color="auto" w:fill="auto"/>
            <w:vAlign w:val="center"/>
          </w:tcPr>
          <w:p w14:paraId="0B01AC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411" w:type="pct"/>
            <w:shd w:val="clear" w:color="auto" w:fill="auto"/>
            <w:vAlign w:val="center"/>
          </w:tcPr>
          <w:p w14:paraId="5A31D8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C80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52C3EEBD">
            <w:pPr>
              <w:pStyle w:val="28"/>
              <w:rPr>
                <w:color w:val="000000" w:themeColor="text1"/>
                <w14:textFill>
                  <w14:solidFill>
                    <w14:schemeClr w14:val="tx1"/>
                  </w14:solidFill>
                </w14:textFill>
              </w:rPr>
            </w:pPr>
          </w:p>
        </w:tc>
        <w:tc>
          <w:tcPr>
            <w:tcW w:w="580" w:type="pct"/>
            <w:vMerge w:val="continue"/>
            <w:vAlign w:val="center"/>
          </w:tcPr>
          <w:p w14:paraId="41AAA87E">
            <w:pPr>
              <w:pStyle w:val="28"/>
              <w:rPr>
                <w:color w:val="000000" w:themeColor="text1"/>
                <w14:textFill>
                  <w14:solidFill>
                    <w14:schemeClr w14:val="tx1"/>
                  </w14:solidFill>
                </w14:textFill>
              </w:rPr>
            </w:pPr>
          </w:p>
        </w:tc>
        <w:tc>
          <w:tcPr>
            <w:tcW w:w="683" w:type="pct"/>
            <w:shd w:val="clear" w:color="auto" w:fill="auto"/>
            <w:vAlign w:val="center"/>
          </w:tcPr>
          <w:p w14:paraId="4B0ECF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日均值</w:t>
            </w:r>
          </w:p>
        </w:tc>
        <w:tc>
          <w:tcPr>
            <w:tcW w:w="664" w:type="pct"/>
            <w:shd w:val="clear" w:color="auto" w:fill="auto"/>
            <w:vAlign w:val="center"/>
          </w:tcPr>
          <w:p w14:paraId="1247BA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904" w:type="pct"/>
            <w:vAlign w:val="center"/>
          </w:tcPr>
          <w:p w14:paraId="64CF78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14~16</w:t>
            </w:r>
          </w:p>
        </w:tc>
        <w:tc>
          <w:tcPr>
            <w:tcW w:w="912" w:type="pct"/>
            <w:shd w:val="clear" w:color="auto" w:fill="auto"/>
            <w:vAlign w:val="center"/>
          </w:tcPr>
          <w:p w14:paraId="0647C6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32.00</w:t>
            </w:r>
          </w:p>
        </w:tc>
        <w:tc>
          <w:tcPr>
            <w:tcW w:w="411" w:type="pct"/>
            <w:shd w:val="clear" w:color="auto" w:fill="auto"/>
            <w:vAlign w:val="center"/>
          </w:tcPr>
          <w:p w14:paraId="0A9F4E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F73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19FB0BC2">
            <w:pPr>
              <w:pStyle w:val="28"/>
              <w:rPr>
                <w:color w:val="000000" w:themeColor="text1"/>
                <w14:textFill>
                  <w14:solidFill>
                    <w14:schemeClr w14:val="tx1"/>
                  </w14:solidFill>
                </w14:textFill>
              </w:rPr>
            </w:pPr>
          </w:p>
        </w:tc>
        <w:tc>
          <w:tcPr>
            <w:tcW w:w="580" w:type="pct"/>
            <w:vMerge w:val="restart"/>
            <w:vAlign w:val="center"/>
          </w:tcPr>
          <w:p w14:paraId="4EFEC6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p>
        </w:tc>
        <w:tc>
          <w:tcPr>
            <w:tcW w:w="683" w:type="pct"/>
            <w:shd w:val="clear" w:color="auto" w:fill="auto"/>
            <w:vAlign w:val="center"/>
          </w:tcPr>
          <w:p w14:paraId="1F1B93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shd w:val="clear" w:color="auto" w:fill="auto"/>
            <w:vAlign w:val="center"/>
          </w:tcPr>
          <w:p w14:paraId="7FEB41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904" w:type="pct"/>
            <w:vAlign w:val="center"/>
          </w:tcPr>
          <w:p w14:paraId="7F4939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12~17</w:t>
            </w:r>
          </w:p>
        </w:tc>
        <w:tc>
          <w:tcPr>
            <w:tcW w:w="912" w:type="pct"/>
            <w:shd w:val="clear" w:color="auto" w:fill="auto"/>
            <w:vAlign w:val="center"/>
          </w:tcPr>
          <w:p w14:paraId="372576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8.50</w:t>
            </w:r>
          </w:p>
        </w:tc>
        <w:tc>
          <w:tcPr>
            <w:tcW w:w="411" w:type="pct"/>
            <w:shd w:val="clear" w:color="auto" w:fill="auto"/>
            <w:vAlign w:val="center"/>
          </w:tcPr>
          <w:p w14:paraId="3349C0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29A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795C4177">
            <w:pPr>
              <w:pStyle w:val="28"/>
              <w:rPr>
                <w:color w:val="000000" w:themeColor="text1"/>
                <w14:textFill>
                  <w14:solidFill>
                    <w14:schemeClr w14:val="tx1"/>
                  </w14:solidFill>
                </w14:textFill>
              </w:rPr>
            </w:pPr>
          </w:p>
        </w:tc>
        <w:tc>
          <w:tcPr>
            <w:tcW w:w="580" w:type="pct"/>
            <w:vMerge w:val="continue"/>
            <w:vAlign w:val="center"/>
          </w:tcPr>
          <w:p w14:paraId="63485D3A">
            <w:pPr>
              <w:pStyle w:val="28"/>
              <w:rPr>
                <w:color w:val="000000" w:themeColor="text1"/>
                <w14:textFill>
                  <w14:solidFill>
                    <w14:schemeClr w14:val="tx1"/>
                  </w14:solidFill>
                </w14:textFill>
              </w:rPr>
            </w:pPr>
          </w:p>
        </w:tc>
        <w:tc>
          <w:tcPr>
            <w:tcW w:w="683" w:type="pct"/>
            <w:shd w:val="clear" w:color="auto" w:fill="auto"/>
            <w:vAlign w:val="center"/>
          </w:tcPr>
          <w:p w14:paraId="6A2D62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日均值</w:t>
            </w:r>
          </w:p>
        </w:tc>
        <w:tc>
          <w:tcPr>
            <w:tcW w:w="664" w:type="pct"/>
            <w:shd w:val="clear" w:color="auto" w:fill="auto"/>
            <w:vAlign w:val="center"/>
          </w:tcPr>
          <w:p w14:paraId="6A2C49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904" w:type="pct"/>
            <w:vAlign w:val="center"/>
          </w:tcPr>
          <w:p w14:paraId="401E86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13~14</w:t>
            </w:r>
          </w:p>
        </w:tc>
        <w:tc>
          <w:tcPr>
            <w:tcW w:w="912" w:type="pct"/>
            <w:shd w:val="clear" w:color="auto" w:fill="auto"/>
            <w:vAlign w:val="center"/>
          </w:tcPr>
          <w:p w14:paraId="6E164E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17.50</w:t>
            </w:r>
          </w:p>
        </w:tc>
        <w:tc>
          <w:tcPr>
            <w:tcW w:w="411" w:type="pct"/>
            <w:shd w:val="clear" w:color="auto" w:fill="auto"/>
            <w:vAlign w:val="center"/>
          </w:tcPr>
          <w:p w14:paraId="68DD73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AB2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pct"/>
            <w:vMerge w:val="continue"/>
            <w:vAlign w:val="center"/>
          </w:tcPr>
          <w:p w14:paraId="5E608824">
            <w:pPr>
              <w:pStyle w:val="28"/>
              <w:rPr>
                <w:color w:val="000000" w:themeColor="text1"/>
                <w14:textFill>
                  <w14:solidFill>
                    <w14:schemeClr w14:val="tx1"/>
                  </w14:solidFill>
                </w14:textFill>
              </w:rPr>
            </w:pPr>
          </w:p>
        </w:tc>
        <w:tc>
          <w:tcPr>
            <w:tcW w:w="580" w:type="pct"/>
            <w:vAlign w:val="center"/>
          </w:tcPr>
          <w:p w14:paraId="3853C5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p>
        </w:tc>
        <w:tc>
          <w:tcPr>
            <w:tcW w:w="683" w:type="pct"/>
            <w:shd w:val="clear" w:color="auto" w:fill="auto"/>
            <w:vAlign w:val="center"/>
          </w:tcPr>
          <w:p w14:paraId="00C662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日平均值</w:t>
            </w:r>
          </w:p>
        </w:tc>
        <w:tc>
          <w:tcPr>
            <w:tcW w:w="664" w:type="pct"/>
            <w:shd w:val="clear" w:color="auto" w:fill="auto"/>
            <w:vAlign w:val="center"/>
          </w:tcPr>
          <w:p w14:paraId="55BF09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904" w:type="pct"/>
            <w:vAlign w:val="center"/>
          </w:tcPr>
          <w:p w14:paraId="1CEF48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19~26</w:t>
            </w:r>
          </w:p>
        </w:tc>
        <w:tc>
          <w:tcPr>
            <w:tcW w:w="912" w:type="pct"/>
            <w:shd w:val="clear" w:color="auto" w:fill="auto"/>
            <w:vAlign w:val="center"/>
          </w:tcPr>
          <w:p w14:paraId="22BDBC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52.00</w:t>
            </w:r>
          </w:p>
        </w:tc>
        <w:tc>
          <w:tcPr>
            <w:tcW w:w="411" w:type="pct"/>
            <w:shd w:val="clear" w:color="auto" w:fill="auto"/>
            <w:vAlign w:val="center"/>
          </w:tcPr>
          <w:p w14:paraId="6401F8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E1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6547917C">
            <w:pPr>
              <w:pStyle w:val="28"/>
              <w:rPr>
                <w:color w:val="000000" w:themeColor="text1"/>
                <w14:textFill>
                  <w14:solidFill>
                    <w14:schemeClr w14:val="tx1"/>
                  </w14:solidFill>
                </w14:textFill>
              </w:rPr>
            </w:pPr>
          </w:p>
        </w:tc>
        <w:tc>
          <w:tcPr>
            <w:tcW w:w="580" w:type="pct"/>
            <w:vAlign w:val="center"/>
          </w:tcPr>
          <w:p w14:paraId="05A52F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p>
        </w:tc>
        <w:tc>
          <w:tcPr>
            <w:tcW w:w="683" w:type="pct"/>
            <w:shd w:val="clear" w:color="auto" w:fill="auto"/>
            <w:vAlign w:val="center"/>
          </w:tcPr>
          <w:p w14:paraId="2D1FA3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日平均值</w:t>
            </w:r>
          </w:p>
        </w:tc>
        <w:tc>
          <w:tcPr>
            <w:tcW w:w="664" w:type="pct"/>
            <w:shd w:val="clear" w:color="auto" w:fill="auto"/>
            <w:vAlign w:val="center"/>
          </w:tcPr>
          <w:p w14:paraId="31C1D2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904" w:type="pct"/>
            <w:vAlign w:val="center"/>
          </w:tcPr>
          <w:p w14:paraId="73AF84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11~14</w:t>
            </w:r>
          </w:p>
        </w:tc>
        <w:tc>
          <w:tcPr>
            <w:tcW w:w="912" w:type="pct"/>
            <w:shd w:val="clear" w:color="auto" w:fill="auto"/>
            <w:vAlign w:val="center"/>
          </w:tcPr>
          <w:p w14:paraId="2F75AA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p>
        </w:tc>
        <w:tc>
          <w:tcPr>
            <w:tcW w:w="411" w:type="pct"/>
            <w:shd w:val="clear" w:color="auto" w:fill="auto"/>
            <w:vAlign w:val="center"/>
          </w:tcPr>
          <w:p w14:paraId="500A36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E4A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0A3DFE97">
            <w:pPr>
              <w:pStyle w:val="28"/>
              <w:rPr>
                <w:color w:val="000000" w:themeColor="text1"/>
                <w14:textFill>
                  <w14:solidFill>
                    <w14:schemeClr w14:val="tx1"/>
                  </w14:solidFill>
                </w14:textFill>
              </w:rPr>
            </w:pPr>
          </w:p>
        </w:tc>
        <w:tc>
          <w:tcPr>
            <w:tcW w:w="580" w:type="pct"/>
            <w:vMerge w:val="restart"/>
            <w:vAlign w:val="center"/>
          </w:tcPr>
          <w:p w14:paraId="075C8B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w:t>
            </w:r>
          </w:p>
        </w:tc>
        <w:tc>
          <w:tcPr>
            <w:tcW w:w="683" w:type="pct"/>
            <w:shd w:val="clear" w:color="auto" w:fill="auto"/>
            <w:vAlign w:val="center"/>
          </w:tcPr>
          <w:p w14:paraId="045D7A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shd w:val="clear" w:color="auto" w:fill="auto"/>
            <w:vAlign w:val="center"/>
          </w:tcPr>
          <w:p w14:paraId="11292A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904" w:type="pct"/>
            <w:vAlign w:val="center"/>
          </w:tcPr>
          <w:p w14:paraId="734B4E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400~2000</w:t>
            </w:r>
          </w:p>
        </w:tc>
        <w:tc>
          <w:tcPr>
            <w:tcW w:w="912" w:type="pct"/>
            <w:shd w:val="clear" w:color="auto" w:fill="auto"/>
            <w:vAlign w:val="center"/>
          </w:tcPr>
          <w:p w14:paraId="2B1F16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411" w:type="pct"/>
            <w:shd w:val="clear" w:color="auto" w:fill="auto"/>
            <w:vAlign w:val="center"/>
          </w:tcPr>
          <w:p w14:paraId="62B53F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0EE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7679A5AE">
            <w:pPr>
              <w:pStyle w:val="28"/>
              <w:rPr>
                <w:color w:val="000000" w:themeColor="text1"/>
                <w14:textFill>
                  <w14:solidFill>
                    <w14:schemeClr w14:val="tx1"/>
                  </w14:solidFill>
                </w14:textFill>
              </w:rPr>
            </w:pPr>
          </w:p>
        </w:tc>
        <w:tc>
          <w:tcPr>
            <w:tcW w:w="580" w:type="pct"/>
            <w:vMerge w:val="continue"/>
            <w:vAlign w:val="center"/>
          </w:tcPr>
          <w:p w14:paraId="33D5EA1D">
            <w:pPr>
              <w:pStyle w:val="28"/>
              <w:rPr>
                <w:color w:val="000000" w:themeColor="text1"/>
                <w14:textFill>
                  <w14:solidFill>
                    <w14:schemeClr w14:val="tx1"/>
                  </w14:solidFill>
                </w14:textFill>
              </w:rPr>
            </w:pPr>
          </w:p>
        </w:tc>
        <w:tc>
          <w:tcPr>
            <w:tcW w:w="683" w:type="pct"/>
            <w:shd w:val="clear" w:color="auto" w:fill="auto"/>
            <w:vAlign w:val="center"/>
          </w:tcPr>
          <w:p w14:paraId="308335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日均值</w:t>
            </w:r>
          </w:p>
        </w:tc>
        <w:tc>
          <w:tcPr>
            <w:tcW w:w="664" w:type="pct"/>
            <w:shd w:val="clear" w:color="auto" w:fill="auto"/>
            <w:vAlign w:val="center"/>
          </w:tcPr>
          <w:p w14:paraId="34AB16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p>
        </w:tc>
        <w:tc>
          <w:tcPr>
            <w:tcW w:w="904" w:type="pct"/>
            <w:vAlign w:val="center"/>
          </w:tcPr>
          <w:p w14:paraId="228A2A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900~1200</w:t>
            </w:r>
          </w:p>
        </w:tc>
        <w:tc>
          <w:tcPr>
            <w:tcW w:w="912" w:type="pct"/>
            <w:shd w:val="clear" w:color="auto" w:fill="auto"/>
            <w:vAlign w:val="center"/>
          </w:tcPr>
          <w:p w14:paraId="298D44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30.00</w:t>
            </w:r>
          </w:p>
        </w:tc>
        <w:tc>
          <w:tcPr>
            <w:tcW w:w="411" w:type="pct"/>
            <w:shd w:val="clear" w:color="auto" w:fill="auto"/>
            <w:vAlign w:val="center"/>
          </w:tcPr>
          <w:p w14:paraId="2B9226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2A6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6A5D2817">
            <w:pPr>
              <w:pStyle w:val="28"/>
              <w:rPr>
                <w:color w:val="000000" w:themeColor="text1"/>
                <w14:textFill>
                  <w14:solidFill>
                    <w14:schemeClr w14:val="tx1"/>
                  </w14:solidFill>
                </w14:textFill>
              </w:rPr>
            </w:pPr>
          </w:p>
        </w:tc>
        <w:tc>
          <w:tcPr>
            <w:tcW w:w="580" w:type="pct"/>
            <w:vMerge w:val="restart"/>
            <w:vAlign w:val="center"/>
          </w:tcPr>
          <w:p w14:paraId="12D7E8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p>
        </w:tc>
        <w:tc>
          <w:tcPr>
            <w:tcW w:w="683" w:type="pct"/>
            <w:shd w:val="clear" w:color="auto" w:fill="auto"/>
            <w:vAlign w:val="center"/>
          </w:tcPr>
          <w:p w14:paraId="7FEE11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1h平均值</w:t>
            </w:r>
          </w:p>
        </w:tc>
        <w:tc>
          <w:tcPr>
            <w:tcW w:w="664" w:type="pct"/>
            <w:shd w:val="clear" w:color="auto" w:fill="auto"/>
            <w:vAlign w:val="center"/>
          </w:tcPr>
          <w:p w14:paraId="6B24AF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904" w:type="pct"/>
            <w:vAlign w:val="center"/>
          </w:tcPr>
          <w:p w14:paraId="796076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50~87</w:t>
            </w:r>
          </w:p>
        </w:tc>
        <w:tc>
          <w:tcPr>
            <w:tcW w:w="912" w:type="pct"/>
            <w:shd w:val="clear" w:color="auto" w:fill="auto"/>
            <w:vAlign w:val="center"/>
          </w:tcPr>
          <w:p w14:paraId="04AD5A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54.38</w:t>
            </w:r>
          </w:p>
        </w:tc>
        <w:tc>
          <w:tcPr>
            <w:tcW w:w="411" w:type="pct"/>
            <w:shd w:val="clear" w:color="auto" w:fill="auto"/>
            <w:vAlign w:val="center"/>
          </w:tcPr>
          <w:p w14:paraId="096715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8E1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4D2E6CF6">
            <w:pPr>
              <w:pStyle w:val="28"/>
              <w:rPr>
                <w:color w:val="000000" w:themeColor="text1"/>
                <w14:textFill>
                  <w14:solidFill>
                    <w14:schemeClr w14:val="tx1"/>
                  </w14:solidFill>
                </w14:textFill>
              </w:rPr>
            </w:pPr>
          </w:p>
        </w:tc>
        <w:tc>
          <w:tcPr>
            <w:tcW w:w="580" w:type="pct"/>
            <w:vMerge w:val="continue"/>
            <w:vAlign w:val="center"/>
          </w:tcPr>
          <w:p w14:paraId="0916F5AF">
            <w:pPr>
              <w:pStyle w:val="28"/>
              <w:rPr>
                <w:color w:val="000000" w:themeColor="text1"/>
                <w14:textFill>
                  <w14:solidFill>
                    <w14:schemeClr w14:val="tx1"/>
                  </w14:solidFill>
                </w14:textFill>
              </w:rPr>
            </w:pPr>
          </w:p>
        </w:tc>
        <w:tc>
          <w:tcPr>
            <w:tcW w:w="683" w:type="pct"/>
            <w:shd w:val="clear" w:color="auto" w:fill="auto"/>
            <w:vAlign w:val="center"/>
          </w:tcPr>
          <w:p w14:paraId="50DBE5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8h平均值</w:t>
            </w:r>
          </w:p>
        </w:tc>
        <w:tc>
          <w:tcPr>
            <w:tcW w:w="664" w:type="pct"/>
            <w:shd w:val="clear" w:color="auto" w:fill="auto"/>
            <w:vAlign w:val="center"/>
          </w:tcPr>
          <w:p w14:paraId="1F0648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04" w:type="pct"/>
            <w:vAlign w:val="center"/>
          </w:tcPr>
          <w:p w14:paraId="4F26BA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76~79</w:t>
            </w:r>
          </w:p>
        </w:tc>
        <w:tc>
          <w:tcPr>
            <w:tcW w:w="912" w:type="pct"/>
            <w:shd w:val="clear" w:color="auto" w:fill="auto"/>
            <w:vAlign w:val="center"/>
          </w:tcPr>
          <w:p w14:paraId="1BC6F3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79.00</w:t>
            </w:r>
          </w:p>
        </w:tc>
        <w:tc>
          <w:tcPr>
            <w:tcW w:w="411" w:type="pct"/>
            <w:shd w:val="clear" w:color="auto" w:fill="auto"/>
            <w:vAlign w:val="center"/>
          </w:tcPr>
          <w:p w14:paraId="3A6AA8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5D0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7264C637">
            <w:pPr>
              <w:pStyle w:val="28"/>
              <w:rPr>
                <w:color w:val="000000" w:themeColor="text1"/>
                <w14:textFill>
                  <w14:solidFill>
                    <w14:schemeClr w14:val="tx1"/>
                  </w14:solidFill>
                </w14:textFill>
              </w:rPr>
            </w:pPr>
          </w:p>
        </w:tc>
        <w:tc>
          <w:tcPr>
            <w:tcW w:w="580" w:type="pct"/>
            <w:shd w:val="clear" w:color="auto" w:fill="auto"/>
            <w:vAlign w:val="center"/>
          </w:tcPr>
          <w:p w14:paraId="1F1510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TVOC</w:t>
            </w:r>
          </w:p>
        </w:tc>
        <w:tc>
          <w:tcPr>
            <w:tcW w:w="683" w:type="pct"/>
            <w:shd w:val="clear" w:color="auto" w:fill="auto"/>
            <w:vAlign w:val="center"/>
          </w:tcPr>
          <w:p w14:paraId="0616E9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8h平均值</w:t>
            </w:r>
          </w:p>
        </w:tc>
        <w:tc>
          <w:tcPr>
            <w:tcW w:w="664" w:type="pct"/>
            <w:shd w:val="clear" w:color="auto" w:fill="auto"/>
            <w:vAlign w:val="center"/>
          </w:tcPr>
          <w:p w14:paraId="37FED3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904" w:type="pct"/>
            <w:vAlign w:val="center"/>
          </w:tcPr>
          <w:p w14:paraId="460F54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13.1~49.3</w:t>
            </w:r>
          </w:p>
        </w:tc>
        <w:tc>
          <w:tcPr>
            <w:tcW w:w="912" w:type="pct"/>
            <w:shd w:val="clear" w:color="auto" w:fill="auto"/>
            <w:vAlign w:val="center"/>
          </w:tcPr>
          <w:p w14:paraId="5528CE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8.22</w:t>
            </w:r>
          </w:p>
        </w:tc>
        <w:tc>
          <w:tcPr>
            <w:tcW w:w="411" w:type="pct"/>
            <w:shd w:val="clear" w:color="auto" w:fill="auto"/>
            <w:vAlign w:val="center"/>
          </w:tcPr>
          <w:p w14:paraId="198E5E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EE3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14:paraId="19D9001A">
            <w:pPr>
              <w:pStyle w:val="28"/>
              <w:rPr>
                <w:color w:val="000000" w:themeColor="text1"/>
                <w14:textFill>
                  <w14:solidFill>
                    <w14:schemeClr w14:val="tx1"/>
                  </w14:solidFill>
                </w14:textFill>
              </w:rPr>
            </w:pPr>
          </w:p>
        </w:tc>
        <w:tc>
          <w:tcPr>
            <w:tcW w:w="580" w:type="pct"/>
            <w:shd w:val="clear" w:color="auto" w:fill="auto"/>
            <w:vAlign w:val="center"/>
          </w:tcPr>
          <w:p w14:paraId="34E597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683" w:type="pct"/>
            <w:shd w:val="clear" w:color="auto" w:fill="auto"/>
            <w:vAlign w:val="center"/>
          </w:tcPr>
          <w:p w14:paraId="66FD49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h平均值</w:t>
            </w:r>
          </w:p>
        </w:tc>
        <w:tc>
          <w:tcPr>
            <w:tcW w:w="664" w:type="pct"/>
            <w:shd w:val="clear" w:color="auto" w:fill="auto"/>
            <w:vAlign w:val="center"/>
          </w:tcPr>
          <w:p w14:paraId="1DF3A5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04" w:type="pct"/>
            <w:vAlign w:val="center"/>
          </w:tcPr>
          <w:p w14:paraId="272CE5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12" w:type="pct"/>
            <w:shd w:val="clear" w:color="auto" w:fill="auto"/>
            <w:vAlign w:val="center"/>
          </w:tcPr>
          <w:p w14:paraId="00607C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411" w:type="pct"/>
            <w:shd w:val="clear" w:color="auto" w:fill="auto"/>
            <w:vAlign w:val="center"/>
          </w:tcPr>
          <w:p w14:paraId="10A1EB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670B7949">
      <w:pPr>
        <w:ind w:firstLine="480"/>
        <w:rPr>
          <w:color w:val="000000" w:themeColor="text1"/>
          <w14:textFill>
            <w14:solidFill>
              <w14:schemeClr w14:val="tx1"/>
            </w14:solidFill>
          </w14:textFill>
        </w:rPr>
      </w:pPr>
      <w:r>
        <w:rPr>
          <w:color w:val="000000" w:themeColor="text1"/>
          <w14:textFill>
            <w14:solidFill>
              <w14:schemeClr w14:val="tx1"/>
            </w14:solidFill>
          </w14:textFill>
        </w:rPr>
        <w:t>由上表可以看出，</w:t>
      </w:r>
      <w:r>
        <w:rPr>
          <w:rFonts w:hint="eastAsia"/>
          <w:color w:val="000000" w:themeColor="text1"/>
          <w14:textFill>
            <w14:solidFill>
              <w14:schemeClr w14:val="tx1"/>
            </w14:solidFill>
          </w14:textFill>
        </w:rPr>
        <w:t>一类区九龙池风景名胜区的NO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 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 xml:space="preserve"> 监测值均满足《环境空气质量标准》（GB3095-2026）一级标准要求，九龙池风景名胜区、</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区及主导风向下风向大莲池村</w:t>
      </w:r>
      <w:r>
        <w:rPr>
          <w:color w:val="000000" w:themeColor="text1"/>
          <w14:textFill>
            <w14:solidFill>
              <w14:schemeClr w14:val="tx1"/>
            </w14:solidFill>
          </w14:textFill>
        </w:rPr>
        <w:t>各监测点</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S小时浓度满足《环境影响评价技术导则大气环境》（HJ2.2-2018）附录D浓度限值</w:t>
      </w:r>
      <w:r>
        <w:rPr>
          <w:color w:val="000000" w:themeColor="text1"/>
          <w14:textFill>
            <w14:solidFill>
              <w14:schemeClr w14:val="tx1"/>
            </w14:solidFill>
          </w14:textFill>
        </w:rPr>
        <w:t>。</w:t>
      </w:r>
    </w:p>
    <w:p w14:paraId="3E38C91A">
      <w:pPr>
        <w:pStyle w:val="4"/>
        <w:rPr>
          <w:color w:val="000000" w:themeColor="text1"/>
          <w14:textFill>
            <w14:solidFill>
              <w14:schemeClr w14:val="tx1"/>
            </w14:solidFill>
          </w14:textFill>
        </w:rPr>
      </w:pPr>
      <w:bookmarkStart w:id="76" w:name="_Toc491"/>
      <w:r>
        <w:rPr>
          <w:color w:val="000000" w:themeColor="text1"/>
          <w14:textFill>
            <w14:solidFill>
              <w14:schemeClr w14:val="tx1"/>
            </w14:solidFill>
          </w14:textFill>
        </w:rPr>
        <w:t>4.2.2 地表水环境质量现状</w:t>
      </w:r>
      <w:bookmarkEnd w:id="76"/>
    </w:p>
    <w:p w14:paraId="2387AD4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（1）老西河</w:t>
      </w:r>
    </w:p>
    <w:p w14:paraId="270F7DE5">
      <w:pPr>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本次引用玉溪合原能源有限公司</w:t>
      </w:r>
      <w:bookmarkStart w:id="77" w:name="_Hlk226539292"/>
      <w:r>
        <w:rPr>
          <w:rFonts w:hint="eastAsia"/>
          <w:color w:val="000000" w:themeColor="text1"/>
          <w14:textFill>
            <w14:solidFill>
              <w14:schemeClr w14:val="tx1"/>
            </w14:solidFill>
          </w14:textFill>
        </w:rPr>
        <w:t>《</w:t>
      </w:r>
      <w:r>
        <w:rPr>
          <w:color w:val="000000" w:themeColor="text1"/>
          <w14:textFill>
            <w14:solidFill>
              <w14:schemeClr w14:val="tx1"/>
            </w14:solidFill>
          </w14:textFill>
        </w:rPr>
        <w:t>生物质导热油炉红塔塑胶供热项目</w:t>
      </w:r>
      <w:r>
        <w:rPr>
          <w:rFonts w:hint="eastAsia"/>
          <w:color w:val="000000" w:themeColor="text1"/>
          <w14:textFill>
            <w14:solidFill>
              <w14:schemeClr w14:val="tx1"/>
            </w14:solidFill>
          </w14:textFill>
        </w:rPr>
        <w:t>环境影响报告表》</w:t>
      </w:r>
      <w:bookmarkEnd w:id="77"/>
      <w:r>
        <w:rPr>
          <w:rFonts w:hint="eastAsia"/>
          <w:color w:val="000000" w:themeColor="text1"/>
          <w14:textFill>
            <w14:solidFill>
              <w14:schemeClr w14:val="tx1"/>
            </w14:solidFill>
          </w14:textFill>
        </w:rPr>
        <w:t>中</w:t>
      </w:r>
      <w:bookmarkStart w:id="78" w:name="_Hlk226539406"/>
      <w:r>
        <w:rPr>
          <w:rFonts w:hint="eastAsia"/>
          <w:color w:val="000000" w:themeColor="text1"/>
          <w14:textFill>
            <w14:solidFill>
              <w14:schemeClr w14:val="tx1"/>
            </w14:solidFill>
          </w14:textFill>
        </w:rPr>
        <w:t>国检测试控股集团云南京诚检测有限公司</w:t>
      </w:r>
      <w:bookmarkEnd w:id="78"/>
      <w:r>
        <w:rPr>
          <w:rFonts w:hint="eastAsia"/>
          <w:color w:val="000000" w:themeColor="text1"/>
          <w14:textFill>
            <w14:solidFill>
              <w14:schemeClr w14:val="tx1"/>
            </w14:solidFill>
          </w14:textFill>
        </w:rPr>
        <w:t>于</w:t>
      </w:r>
      <w:bookmarkStart w:id="79" w:name="_Hlk226539304"/>
      <w:r>
        <w:rPr>
          <w:rFonts w:hint="eastAsia"/>
          <w:color w:val="000000" w:themeColor="text1"/>
          <w14:textFill>
            <w14:solidFill>
              <w14:schemeClr w14:val="tx1"/>
            </w14:solidFill>
          </w14:textFill>
        </w:rPr>
        <w:t>2023年11月9日至11日</w:t>
      </w:r>
      <w:bookmarkEnd w:id="79"/>
      <w:r>
        <w:rPr>
          <w:rFonts w:hint="eastAsia"/>
          <w:color w:val="000000" w:themeColor="text1"/>
          <w14:textFill>
            <w14:solidFill>
              <w14:schemeClr w14:val="tx1"/>
            </w14:solidFill>
          </w14:textFill>
        </w:rPr>
        <w:t>对老西河（项目区下游472m处）水质进行的监测数据。监测点位详见图4.2-2。数据如下：</w:t>
      </w:r>
    </w:p>
    <w:p w14:paraId="185D92C2">
      <w:pPr>
        <w:pStyle w:val="27"/>
        <w:rPr>
          <w:color w:val="000000" w:themeColor="text1"/>
          <w14:textFill>
            <w14:solidFill>
              <w14:schemeClr w14:val="tx1"/>
            </w14:solidFill>
          </w14:textFill>
        </w:rPr>
      </w:pPr>
      <w:r>
        <w:drawing>
          <wp:inline distT="0" distB="0" distL="114300" distR="114300">
            <wp:extent cx="4686300" cy="4962525"/>
            <wp:effectExtent l="0" t="0" r="0" b="952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2"/>
                    <a:stretch>
                      <a:fillRect/>
                    </a:stretch>
                  </pic:blipFill>
                  <pic:spPr>
                    <a:xfrm>
                      <a:off x="0" y="0"/>
                      <a:ext cx="4686300" cy="4962525"/>
                    </a:xfrm>
                    <a:prstGeom prst="rect">
                      <a:avLst/>
                    </a:prstGeom>
                    <a:noFill/>
                    <a:ln>
                      <a:noFill/>
                    </a:ln>
                  </pic:spPr>
                </pic:pic>
              </a:graphicData>
            </a:graphic>
          </wp:inline>
        </w:drawing>
      </w:r>
    </w:p>
    <w:p w14:paraId="58D3EAC7">
      <w:pPr>
        <w:pStyle w:val="14"/>
        <w:ind w:firstLine="422"/>
        <w:jc w:val="center"/>
        <w:rPr>
          <w:rFonts w:ascii="Times New Roman" w:hAnsi="Times New Roman"/>
          <w:b/>
          <w:color w:val="000000" w:themeColor="text1"/>
          <w:kern w:val="0"/>
          <w:sz w:val="21"/>
          <w:szCs w:val="21"/>
          <w14:textFill>
            <w14:solidFill>
              <w14:schemeClr w14:val="tx1"/>
            </w14:solidFill>
          </w14:textFill>
        </w:rPr>
      </w:pPr>
      <w:r>
        <w:rPr>
          <w:rFonts w:hint="eastAsia" w:ascii="Times New Roman" w:hAnsi="Times New Roman"/>
          <w:b/>
          <w:color w:val="000000" w:themeColor="text1"/>
          <w:kern w:val="0"/>
          <w:sz w:val="21"/>
          <w:szCs w:val="21"/>
          <w14:textFill>
            <w14:solidFill>
              <w14:schemeClr w14:val="tx1"/>
            </w14:solidFill>
          </w14:textFill>
        </w:rPr>
        <w:t>图4.2-2 地表水监测点位示意图</w:t>
      </w:r>
    </w:p>
    <w:p w14:paraId="7B596F00">
      <w:pPr>
        <w:pStyle w:val="14"/>
        <w:ind w:firstLine="422"/>
        <w:jc w:val="center"/>
        <w:rPr>
          <w:color w:val="000000" w:themeColor="text1"/>
          <w:sz w:val="21"/>
          <w:szCs w:val="21"/>
          <w14:textFill>
            <w14:solidFill>
              <w14:schemeClr w14:val="tx1"/>
            </w14:solidFill>
          </w14:textFill>
        </w:rPr>
      </w:pPr>
      <w:r>
        <w:rPr>
          <w:rFonts w:ascii="Times New Roman" w:hAnsi="Times New Roman"/>
          <w:b/>
          <w:color w:val="000000" w:themeColor="text1"/>
          <w:kern w:val="0"/>
          <w:sz w:val="21"/>
          <w:szCs w:val="21"/>
          <w14:textFill>
            <w14:solidFill>
              <w14:schemeClr w14:val="tx1"/>
            </w14:solidFill>
          </w14:textFill>
        </w:rPr>
        <w:t>表</w:t>
      </w:r>
      <w:r>
        <w:rPr>
          <w:rFonts w:hint="eastAsia" w:ascii="Times New Roman" w:hAnsi="Times New Roman"/>
          <w:b/>
          <w:color w:val="000000" w:themeColor="text1"/>
          <w:kern w:val="0"/>
          <w:sz w:val="21"/>
          <w:szCs w:val="21"/>
          <w14:textFill>
            <w14:solidFill>
              <w14:schemeClr w14:val="tx1"/>
            </w14:solidFill>
          </w14:textFill>
        </w:rPr>
        <w:t>4.2-4</w:t>
      </w:r>
      <w:r>
        <w:rPr>
          <w:rFonts w:ascii="Times New Roman" w:hAnsi="Times New Roman"/>
          <w:b/>
          <w:color w:val="000000" w:themeColor="text1"/>
          <w:kern w:val="0"/>
          <w:sz w:val="21"/>
          <w:szCs w:val="21"/>
          <w14:textFill>
            <w14:solidFill>
              <w14:schemeClr w14:val="tx1"/>
            </w14:solidFill>
          </w14:textFill>
        </w:rPr>
        <w:t xml:space="preserve">  地表水环境</w:t>
      </w:r>
      <w:r>
        <w:rPr>
          <w:rFonts w:hint="eastAsia" w:ascii="Times New Roman" w:hAnsi="Times New Roman"/>
          <w:b/>
          <w:color w:val="000000" w:themeColor="text1"/>
          <w:kern w:val="0"/>
          <w:sz w:val="21"/>
          <w:szCs w:val="21"/>
          <w14:textFill>
            <w14:solidFill>
              <w14:schemeClr w14:val="tx1"/>
            </w14:solidFill>
          </w14:textFill>
        </w:rPr>
        <w:t>质量现状监测值</w:t>
      </w:r>
      <w:r>
        <w:rPr>
          <w:rFonts w:ascii="Times New Roman" w:hAnsi="Times New Roman"/>
          <w:b/>
          <w:color w:val="000000" w:themeColor="text1"/>
          <w:kern w:val="0"/>
          <w:sz w:val="21"/>
          <w:szCs w:val="21"/>
          <w14:textFill>
            <w14:solidFill>
              <w14:schemeClr w14:val="tx1"/>
            </w14:solidFill>
          </w14:textFill>
        </w:rPr>
        <w:t xml:space="preserve">  单位：mg/L</w:t>
      </w:r>
      <w:r>
        <w:rPr>
          <w:rFonts w:hint="eastAsia" w:ascii="Times New Roman" w:hAnsi="Times New Roman"/>
          <w:b/>
          <w:color w:val="000000" w:themeColor="text1"/>
          <w:kern w:val="0"/>
          <w:sz w:val="21"/>
          <w:szCs w:val="21"/>
          <w14:textFill>
            <w14:solidFill>
              <w14:schemeClr w14:val="tx1"/>
            </w14:solidFill>
          </w14:textFill>
        </w:rPr>
        <w:t>（</w:t>
      </w:r>
      <w:r>
        <w:rPr>
          <w:rFonts w:ascii="Times New Roman" w:hAnsi="Times New Roman"/>
          <w:b/>
          <w:color w:val="000000" w:themeColor="text1"/>
          <w:kern w:val="0"/>
          <w:sz w:val="21"/>
          <w:szCs w:val="21"/>
          <w14:textFill>
            <w14:solidFill>
              <w14:schemeClr w14:val="tx1"/>
            </w14:solidFill>
          </w14:textFill>
        </w:rPr>
        <w:t>pH为无量纲</w:t>
      </w:r>
      <w:r>
        <w:rPr>
          <w:rFonts w:hint="eastAsia" w:ascii="Times New Roman" w:hAnsi="Times New Roman"/>
          <w:b/>
          <w:color w:val="000000" w:themeColor="text1"/>
          <w:kern w:val="0"/>
          <w:sz w:val="21"/>
          <w:szCs w:val="21"/>
          <w14:textFill>
            <w14:solidFill>
              <w14:schemeClr w14:val="tx1"/>
            </w14:solidFill>
          </w14:textFill>
        </w:rPr>
        <w:t>）</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5"/>
        <w:gridCol w:w="1371"/>
        <w:gridCol w:w="754"/>
        <w:gridCol w:w="784"/>
        <w:gridCol w:w="865"/>
        <w:gridCol w:w="754"/>
        <w:gridCol w:w="754"/>
        <w:gridCol w:w="761"/>
      </w:tblGrid>
      <w:tr w14:paraId="5FA0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29" w:type="pct"/>
            <w:vMerge w:val="restart"/>
            <w:tcBorders>
              <w:top w:val="single" w:color="auto" w:sz="4" w:space="0"/>
              <w:left w:val="single" w:color="auto" w:sz="4" w:space="0"/>
              <w:right w:val="single" w:color="auto" w:sz="4" w:space="0"/>
            </w:tcBorders>
            <w:vAlign w:val="center"/>
          </w:tcPr>
          <w:p w14:paraId="31043A7A">
            <w:pPr>
              <w:pStyle w:val="28"/>
              <w:rPr>
                <w:color w:val="000000" w:themeColor="text1"/>
                <w14:textFill>
                  <w14:solidFill>
                    <w14:schemeClr w14:val="tx1"/>
                  </w14:solidFill>
                </w14:textFill>
              </w:rPr>
            </w:pPr>
            <w:r>
              <w:rPr>
                <w:color w:val="000000" w:themeColor="text1"/>
                <w14:textFill>
                  <w14:solidFill>
                    <w14:schemeClr w14:val="tx1"/>
                  </w14:solidFill>
                </w14:textFill>
              </w:rPr>
              <w:t>采样点</w:t>
            </w:r>
          </w:p>
          <w:p w14:paraId="0A442E52">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741" w:type="pct"/>
            <w:vMerge w:val="restart"/>
            <w:tcBorders>
              <w:top w:val="single" w:color="auto" w:sz="4" w:space="0"/>
              <w:left w:val="single" w:color="auto" w:sz="4" w:space="0"/>
              <w:right w:val="single" w:color="000000" w:sz="4" w:space="0"/>
            </w:tcBorders>
            <w:vAlign w:val="center"/>
          </w:tcPr>
          <w:p w14:paraId="74B1A4A7">
            <w:pPr>
              <w:pStyle w:val="28"/>
              <w:rPr>
                <w:color w:val="000000" w:themeColor="text1"/>
                <w14:textFill>
                  <w14:solidFill>
                    <w14:schemeClr w14:val="tx1"/>
                  </w14:solidFill>
                </w14:textFill>
              </w:rPr>
            </w:pPr>
            <w:r>
              <w:rPr>
                <w:color w:val="000000" w:themeColor="text1"/>
                <w14:textFill>
                  <w14:solidFill>
                    <w14:schemeClr w14:val="tx1"/>
                  </w14:solidFill>
                </w14:textFill>
              </w:rPr>
              <w:t>采样</w:t>
            </w:r>
          </w:p>
          <w:p w14:paraId="5E068298">
            <w:pPr>
              <w:pStyle w:val="28"/>
              <w:rPr>
                <w:color w:val="000000" w:themeColor="text1"/>
                <w14:textFill>
                  <w14:solidFill>
                    <w14:schemeClr w14:val="tx1"/>
                  </w14:solidFill>
                </w14:textFill>
              </w:rPr>
            </w:pPr>
            <w:r>
              <w:rPr>
                <w:color w:val="000000" w:themeColor="text1"/>
                <w14:textFill>
                  <w14:solidFill>
                    <w14:schemeClr w14:val="tx1"/>
                  </w14:solidFill>
                </w14:textFill>
              </w:rPr>
              <w:t>时间</w:t>
            </w:r>
          </w:p>
        </w:tc>
        <w:tc>
          <w:tcPr>
            <w:tcW w:w="2528" w:type="pct"/>
            <w:gridSpan w:val="6"/>
            <w:tcBorders>
              <w:top w:val="single" w:color="auto" w:sz="4" w:space="0"/>
              <w:left w:val="single" w:color="auto" w:sz="4" w:space="0"/>
              <w:bottom w:val="single" w:color="auto" w:sz="4" w:space="0"/>
              <w:right w:val="single" w:color="auto" w:sz="4" w:space="0"/>
            </w:tcBorders>
            <w:vAlign w:val="center"/>
          </w:tcPr>
          <w:p w14:paraId="3ACCD8A9">
            <w:pPr>
              <w:pStyle w:val="28"/>
              <w:rPr>
                <w:color w:val="000000" w:themeColor="text1"/>
                <w14:textFill>
                  <w14:solidFill>
                    <w14:schemeClr w14:val="tx1"/>
                  </w14:solidFill>
                </w14:textFill>
              </w:rPr>
            </w:pPr>
            <w:r>
              <w:rPr>
                <w:color w:val="000000" w:themeColor="text1"/>
                <w14:textFill>
                  <w14:solidFill>
                    <w14:schemeClr w14:val="tx1"/>
                  </w14:solidFill>
                </w14:textFill>
              </w:rPr>
              <w:t>检测结果</w:t>
            </w:r>
          </w:p>
        </w:tc>
      </w:tr>
      <w:tr w14:paraId="5218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9" w:type="pct"/>
            <w:vMerge w:val="continue"/>
            <w:tcBorders>
              <w:left w:val="single" w:color="auto" w:sz="4" w:space="0"/>
              <w:bottom w:val="single" w:color="auto" w:sz="4" w:space="0"/>
              <w:right w:val="single" w:color="auto" w:sz="4" w:space="0"/>
            </w:tcBorders>
            <w:vAlign w:val="center"/>
          </w:tcPr>
          <w:p w14:paraId="30CA6227">
            <w:pPr>
              <w:pStyle w:val="28"/>
              <w:rPr>
                <w:color w:val="000000" w:themeColor="text1"/>
                <w14:textFill>
                  <w14:solidFill>
                    <w14:schemeClr w14:val="tx1"/>
                  </w14:solidFill>
                </w14:textFill>
              </w:rPr>
            </w:pPr>
          </w:p>
        </w:tc>
        <w:tc>
          <w:tcPr>
            <w:tcW w:w="741" w:type="pct"/>
            <w:vMerge w:val="continue"/>
            <w:tcBorders>
              <w:left w:val="single" w:color="auto" w:sz="4" w:space="0"/>
              <w:bottom w:val="single" w:color="auto" w:sz="4" w:space="0"/>
              <w:right w:val="single" w:color="000000" w:sz="4" w:space="0"/>
            </w:tcBorders>
            <w:vAlign w:val="center"/>
          </w:tcPr>
          <w:p w14:paraId="5F243467">
            <w:pPr>
              <w:pStyle w:val="28"/>
              <w:rPr>
                <w:color w:val="000000" w:themeColor="text1"/>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vAlign w:val="center"/>
          </w:tcPr>
          <w:p w14:paraId="0AFB4324">
            <w:pPr>
              <w:pStyle w:val="28"/>
              <w:rPr>
                <w:color w:val="000000" w:themeColor="text1"/>
                <w14:textFill>
                  <w14:solidFill>
                    <w14:schemeClr w14:val="tx1"/>
                  </w14:solidFill>
                </w14:textFill>
              </w:rPr>
            </w:pPr>
            <w:r>
              <w:rPr>
                <w:color w:val="000000" w:themeColor="text1"/>
                <w14:textFill>
                  <w14:solidFill>
                    <w14:schemeClr w14:val="tx1"/>
                  </w14:solidFill>
                </w14:textFill>
              </w:rPr>
              <w:t>pH</w:t>
            </w:r>
          </w:p>
        </w:tc>
        <w:tc>
          <w:tcPr>
            <w:tcW w:w="424" w:type="pct"/>
            <w:tcBorders>
              <w:top w:val="single" w:color="auto" w:sz="4" w:space="0"/>
              <w:left w:val="single" w:color="auto" w:sz="4" w:space="0"/>
              <w:bottom w:val="single" w:color="auto" w:sz="4" w:space="0"/>
              <w:right w:val="single" w:color="auto" w:sz="4" w:space="0"/>
            </w:tcBorders>
            <w:vAlign w:val="center"/>
          </w:tcPr>
          <w:p w14:paraId="644B68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468" w:type="pct"/>
            <w:tcBorders>
              <w:top w:val="single" w:color="auto" w:sz="4" w:space="0"/>
              <w:left w:val="single" w:color="auto" w:sz="4" w:space="0"/>
              <w:bottom w:val="single" w:color="auto" w:sz="4" w:space="0"/>
              <w:right w:val="single" w:color="auto" w:sz="4" w:space="0"/>
            </w:tcBorders>
            <w:vAlign w:val="center"/>
          </w:tcPr>
          <w:p w14:paraId="3C0397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408" w:type="pct"/>
            <w:tcBorders>
              <w:top w:val="single" w:color="auto" w:sz="4" w:space="0"/>
              <w:left w:val="single" w:color="auto" w:sz="4" w:space="0"/>
              <w:bottom w:val="single" w:color="auto" w:sz="4" w:space="0"/>
              <w:right w:val="single" w:color="auto" w:sz="4" w:space="0"/>
            </w:tcBorders>
            <w:vAlign w:val="center"/>
          </w:tcPr>
          <w:p w14:paraId="70E22918">
            <w:pPr>
              <w:pStyle w:val="2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408" w:type="pct"/>
            <w:tcBorders>
              <w:top w:val="single" w:color="auto" w:sz="4" w:space="0"/>
              <w:left w:val="single" w:color="auto" w:sz="4" w:space="0"/>
              <w:bottom w:val="single" w:color="auto" w:sz="4" w:space="0"/>
              <w:right w:val="single" w:color="auto" w:sz="4" w:space="0"/>
            </w:tcBorders>
            <w:vAlign w:val="center"/>
          </w:tcPr>
          <w:p w14:paraId="2F4F7754">
            <w:pPr>
              <w:pStyle w:val="28"/>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409" w:type="pct"/>
            <w:tcBorders>
              <w:top w:val="single" w:color="auto" w:sz="4" w:space="0"/>
              <w:left w:val="single" w:color="auto" w:sz="4" w:space="0"/>
              <w:bottom w:val="single" w:color="auto" w:sz="4" w:space="0"/>
              <w:right w:val="single" w:color="auto" w:sz="4" w:space="0"/>
            </w:tcBorders>
            <w:vAlign w:val="center"/>
          </w:tcPr>
          <w:p w14:paraId="16A1A3DD">
            <w:pPr>
              <w:pStyle w:val="28"/>
              <w:rPr>
                <w:color w:val="000000" w:themeColor="text1"/>
                <w14:textFill>
                  <w14:solidFill>
                    <w14:schemeClr w14:val="tx1"/>
                  </w14:solidFill>
                </w14:textFill>
              </w:rPr>
            </w:pPr>
            <w:r>
              <w:rPr>
                <w:color w:val="000000" w:themeColor="text1"/>
                <w14:textFill>
                  <w14:solidFill>
                    <w14:schemeClr w14:val="tx1"/>
                  </w14:solidFill>
                </w14:textFill>
              </w:rPr>
              <w:t>总磷</w:t>
            </w:r>
          </w:p>
        </w:tc>
      </w:tr>
      <w:tr w14:paraId="6835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9" w:type="pct"/>
            <w:vMerge w:val="restart"/>
            <w:tcBorders>
              <w:top w:val="single" w:color="auto" w:sz="4" w:space="0"/>
              <w:left w:val="single" w:color="auto" w:sz="4" w:space="0"/>
              <w:right w:val="single" w:color="auto" w:sz="4" w:space="0"/>
            </w:tcBorders>
            <w:vAlign w:val="center"/>
          </w:tcPr>
          <w:p w14:paraId="02A9E943">
            <w:pPr>
              <w:pStyle w:val="28"/>
              <w:rPr>
                <w:color w:val="000000" w:themeColor="text1"/>
                <w14:textFill>
                  <w14:solidFill>
                    <w14:schemeClr w14:val="tx1"/>
                  </w14:solidFill>
                </w14:textFill>
              </w:rPr>
            </w:pPr>
            <w:r>
              <w:rPr>
                <w:color w:val="000000" w:themeColor="text1"/>
                <w14:textFill>
                  <w14:solidFill>
                    <w14:schemeClr w14:val="tx1"/>
                  </w14:solidFill>
                </w14:textFill>
              </w:rPr>
              <w:t>老西河项目区下游</w:t>
            </w:r>
            <w:r>
              <w:rPr>
                <w:rFonts w:hint="eastAsia"/>
                <w:color w:val="000000" w:themeColor="text1"/>
                <w14:textFill>
                  <w14:solidFill>
                    <w14:schemeClr w14:val="tx1"/>
                  </w14:solidFill>
                </w14:textFill>
              </w:rPr>
              <w:t>472</w:t>
            </w:r>
            <w:r>
              <w:rPr>
                <w:color w:val="000000" w:themeColor="text1"/>
                <w14:textFill>
                  <w14:solidFill>
                    <w14:schemeClr w14:val="tx1"/>
                  </w14:solidFill>
                </w14:textFill>
              </w:rPr>
              <w:t>m处</w:t>
            </w:r>
          </w:p>
        </w:tc>
        <w:tc>
          <w:tcPr>
            <w:tcW w:w="741" w:type="pct"/>
            <w:tcBorders>
              <w:top w:val="single" w:color="auto" w:sz="4" w:space="0"/>
              <w:left w:val="single" w:color="auto" w:sz="4" w:space="0"/>
              <w:right w:val="single" w:color="000000" w:sz="4" w:space="0"/>
            </w:tcBorders>
            <w:vAlign w:val="center"/>
          </w:tcPr>
          <w:p w14:paraId="4B66581A">
            <w:pPr>
              <w:pStyle w:val="28"/>
              <w:rPr>
                <w:color w:val="000000" w:themeColor="text1"/>
                <w14:textFill>
                  <w14:solidFill>
                    <w14:schemeClr w14:val="tx1"/>
                  </w14:solidFill>
                </w14:textFill>
              </w:rPr>
            </w:pPr>
            <w:r>
              <w:rPr>
                <w:color w:val="000000" w:themeColor="text1"/>
                <w14:textFill>
                  <w14:solidFill>
                    <w14:schemeClr w14:val="tx1"/>
                  </w14:solidFill>
                </w14:textFill>
              </w:rPr>
              <w:t>2023.11.09</w:t>
            </w:r>
          </w:p>
        </w:tc>
        <w:tc>
          <w:tcPr>
            <w:tcW w:w="408" w:type="pct"/>
            <w:tcBorders>
              <w:top w:val="single" w:color="auto" w:sz="4" w:space="0"/>
              <w:left w:val="single" w:color="auto" w:sz="4" w:space="0"/>
              <w:bottom w:val="single" w:color="auto" w:sz="4" w:space="0"/>
              <w:right w:val="single" w:color="auto" w:sz="4" w:space="0"/>
            </w:tcBorders>
            <w:vAlign w:val="center"/>
          </w:tcPr>
          <w:p w14:paraId="304EB0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424" w:type="pct"/>
            <w:tcBorders>
              <w:top w:val="single" w:color="auto" w:sz="4" w:space="0"/>
              <w:left w:val="single" w:color="auto" w:sz="4" w:space="0"/>
              <w:bottom w:val="single" w:color="auto" w:sz="4" w:space="0"/>
              <w:right w:val="single" w:color="auto" w:sz="4" w:space="0"/>
            </w:tcBorders>
            <w:vAlign w:val="center"/>
          </w:tcPr>
          <w:p w14:paraId="55C6609C">
            <w:pPr>
              <w:pStyle w:val="28"/>
              <w:rPr>
                <w:color w:val="000000" w:themeColor="text1"/>
                <w14:textFill>
                  <w14:solidFill>
                    <w14:schemeClr w14:val="tx1"/>
                  </w14:solidFill>
                </w14:textFill>
              </w:rPr>
            </w:pPr>
            <w:r>
              <w:rPr>
                <w:color w:val="000000" w:themeColor="text1"/>
                <w14:textFill>
                  <w14:solidFill>
                    <w14:schemeClr w14:val="tx1"/>
                  </w14:solidFill>
                </w14:textFill>
              </w:rPr>
              <w:t>41</w:t>
            </w:r>
          </w:p>
        </w:tc>
        <w:tc>
          <w:tcPr>
            <w:tcW w:w="468" w:type="pct"/>
            <w:tcBorders>
              <w:top w:val="single" w:color="auto" w:sz="4" w:space="0"/>
              <w:left w:val="single" w:color="auto" w:sz="4" w:space="0"/>
              <w:bottom w:val="single" w:color="auto" w:sz="4" w:space="0"/>
              <w:right w:val="single" w:color="auto" w:sz="4" w:space="0"/>
            </w:tcBorders>
            <w:vAlign w:val="center"/>
          </w:tcPr>
          <w:p w14:paraId="36751CFC">
            <w:pPr>
              <w:pStyle w:val="28"/>
              <w:rPr>
                <w:color w:val="000000" w:themeColor="text1"/>
                <w14:textFill>
                  <w14:solidFill>
                    <w14:schemeClr w14:val="tx1"/>
                  </w14:solidFill>
                </w14:textFill>
              </w:rPr>
            </w:pPr>
            <w:r>
              <w:rPr>
                <w:color w:val="000000" w:themeColor="text1"/>
                <w14:textFill>
                  <w14:solidFill>
                    <w14:schemeClr w14:val="tx1"/>
                  </w14:solidFill>
                </w14:textFill>
              </w:rPr>
              <w:t>9.5</w:t>
            </w:r>
          </w:p>
        </w:tc>
        <w:tc>
          <w:tcPr>
            <w:tcW w:w="408" w:type="pct"/>
            <w:tcBorders>
              <w:top w:val="single" w:color="auto" w:sz="4" w:space="0"/>
              <w:left w:val="single" w:color="auto" w:sz="4" w:space="0"/>
              <w:bottom w:val="single" w:color="auto" w:sz="4" w:space="0"/>
              <w:right w:val="single" w:color="auto" w:sz="4" w:space="0"/>
            </w:tcBorders>
            <w:vAlign w:val="center"/>
          </w:tcPr>
          <w:p w14:paraId="45E5C0FE">
            <w:pPr>
              <w:pStyle w:val="28"/>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408" w:type="pct"/>
            <w:tcBorders>
              <w:top w:val="single" w:color="auto" w:sz="4" w:space="0"/>
              <w:left w:val="single" w:color="auto" w:sz="4" w:space="0"/>
              <w:bottom w:val="single" w:color="auto" w:sz="4" w:space="0"/>
              <w:right w:val="single" w:color="auto" w:sz="4" w:space="0"/>
            </w:tcBorders>
            <w:vAlign w:val="center"/>
          </w:tcPr>
          <w:p w14:paraId="1A29BB20">
            <w:pPr>
              <w:pStyle w:val="28"/>
              <w:rPr>
                <w:color w:val="000000" w:themeColor="text1"/>
                <w14:textFill>
                  <w14:solidFill>
                    <w14:schemeClr w14:val="tx1"/>
                  </w14:solidFill>
                </w14:textFill>
              </w:rPr>
            </w:pPr>
            <w:r>
              <w:rPr>
                <w:color w:val="000000" w:themeColor="text1"/>
                <w14:textFill>
                  <w14:solidFill>
                    <w14:schemeClr w14:val="tx1"/>
                  </w14:solidFill>
                </w14:textFill>
              </w:rPr>
              <w:t>19.4</w:t>
            </w:r>
          </w:p>
        </w:tc>
        <w:tc>
          <w:tcPr>
            <w:tcW w:w="409" w:type="pct"/>
            <w:tcBorders>
              <w:top w:val="single" w:color="auto" w:sz="4" w:space="0"/>
              <w:left w:val="single" w:color="auto" w:sz="4" w:space="0"/>
              <w:bottom w:val="single" w:color="auto" w:sz="4" w:space="0"/>
              <w:right w:val="single" w:color="auto" w:sz="4" w:space="0"/>
            </w:tcBorders>
            <w:vAlign w:val="center"/>
          </w:tcPr>
          <w:p w14:paraId="4DFC6ED9">
            <w:pPr>
              <w:pStyle w:val="28"/>
              <w:rPr>
                <w:color w:val="000000" w:themeColor="text1"/>
                <w14:textFill>
                  <w14:solidFill>
                    <w14:schemeClr w14:val="tx1"/>
                  </w14:solidFill>
                </w14:textFill>
              </w:rPr>
            </w:pPr>
            <w:r>
              <w:rPr>
                <w:color w:val="000000" w:themeColor="text1"/>
                <w14:textFill>
                  <w14:solidFill>
                    <w14:schemeClr w14:val="tx1"/>
                  </w14:solidFill>
                </w14:textFill>
              </w:rPr>
              <w:t>0.39</w:t>
            </w:r>
          </w:p>
        </w:tc>
      </w:tr>
      <w:tr w14:paraId="7320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9" w:type="pct"/>
            <w:vMerge w:val="continue"/>
            <w:tcBorders>
              <w:left w:val="single" w:color="auto" w:sz="4" w:space="0"/>
              <w:right w:val="single" w:color="auto" w:sz="4" w:space="0"/>
            </w:tcBorders>
            <w:vAlign w:val="center"/>
          </w:tcPr>
          <w:p w14:paraId="64765431">
            <w:pPr>
              <w:pStyle w:val="28"/>
              <w:rPr>
                <w:color w:val="000000" w:themeColor="text1"/>
                <w14:textFill>
                  <w14:solidFill>
                    <w14:schemeClr w14:val="tx1"/>
                  </w14:solidFill>
                </w14:textFill>
              </w:rPr>
            </w:pPr>
          </w:p>
        </w:tc>
        <w:tc>
          <w:tcPr>
            <w:tcW w:w="741" w:type="pct"/>
            <w:tcBorders>
              <w:top w:val="single" w:color="auto" w:sz="4" w:space="0"/>
              <w:left w:val="single" w:color="auto" w:sz="4" w:space="0"/>
              <w:right w:val="single" w:color="000000" w:sz="4" w:space="0"/>
            </w:tcBorders>
            <w:vAlign w:val="center"/>
          </w:tcPr>
          <w:p w14:paraId="2A88D423">
            <w:pPr>
              <w:pStyle w:val="28"/>
              <w:rPr>
                <w:color w:val="000000" w:themeColor="text1"/>
                <w14:textFill>
                  <w14:solidFill>
                    <w14:schemeClr w14:val="tx1"/>
                  </w14:solidFill>
                </w14:textFill>
              </w:rPr>
            </w:pPr>
            <w:r>
              <w:rPr>
                <w:color w:val="000000" w:themeColor="text1"/>
                <w14:textFill>
                  <w14:solidFill>
                    <w14:schemeClr w14:val="tx1"/>
                  </w14:solidFill>
                </w14:textFill>
              </w:rPr>
              <w:t>2023.11.10</w:t>
            </w:r>
          </w:p>
        </w:tc>
        <w:tc>
          <w:tcPr>
            <w:tcW w:w="408" w:type="pct"/>
            <w:tcBorders>
              <w:top w:val="single" w:color="auto" w:sz="4" w:space="0"/>
              <w:left w:val="single" w:color="auto" w:sz="4" w:space="0"/>
              <w:bottom w:val="single" w:color="auto" w:sz="4" w:space="0"/>
              <w:right w:val="single" w:color="auto" w:sz="4" w:space="0"/>
            </w:tcBorders>
            <w:vAlign w:val="center"/>
          </w:tcPr>
          <w:p w14:paraId="5E3F11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424" w:type="pct"/>
            <w:tcBorders>
              <w:top w:val="single" w:color="auto" w:sz="4" w:space="0"/>
              <w:left w:val="single" w:color="auto" w:sz="4" w:space="0"/>
              <w:bottom w:val="single" w:color="auto" w:sz="4" w:space="0"/>
              <w:right w:val="single" w:color="auto" w:sz="4" w:space="0"/>
            </w:tcBorders>
            <w:vAlign w:val="center"/>
          </w:tcPr>
          <w:p w14:paraId="34939824">
            <w:pPr>
              <w:pStyle w:val="28"/>
              <w:rPr>
                <w:color w:val="000000" w:themeColor="text1"/>
                <w14:textFill>
                  <w14:solidFill>
                    <w14:schemeClr w14:val="tx1"/>
                  </w14:solidFill>
                </w14:textFill>
              </w:rPr>
            </w:pPr>
            <w:r>
              <w:rPr>
                <w:color w:val="000000" w:themeColor="text1"/>
                <w14:textFill>
                  <w14:solidFill>
                    <w14:schemeClr w14:val="tx1"/>
                  </w14:solidFill>
                </w14:textFill>
              </w:rPr>
              <w:t>44</w:t>
            </w:r>
          </w:p>
        </w:tc>
        <w:tc>
          <w:tcPr>
            <w:tcW w:w="468" w:type="pct"/>
            <w:tcBorders>
              <w:top w:val="single" w:color="auto" w:sz="4" w:space="0"/>
              <w:left w:val="single" w:color="auto" w:sz="4" w:space="0"/>
              <w:bottom w:val="single" w:color="auto" w:sz="4" w:space="0"/>
              <w:right w:val="single" w:color="auto" w:sz="4" w:space="0"/>
            </w:tcBorders>
            <w:vAlign w:val="center"/>
          </w:tcPr>
          <w:p w14:paraId="1D406A55">
            <w:pPr>
              <w:pStyle w:val="28"/>
              <w:rPr>
                <w:color w:val="000000" w:themeColor="text1"/>
                <w14:textFill>
                  <w14:solidFill>
                    <w14:schemeClr w14:val="tx1"/>
                  </w14:solidFill>
                </w14:textFill>
              </w:rPr>
            </w:pPr>
            <w:r>
              <w:rPr>
                <w:color w:val="000000" w:themeColor="text1"/>
                <w14:textFill>
                  <w14:solidFill>
                    <w14:schemeClr w14:val="tx1"/>
                  </w14:solidFill>
                </w14:textFill>
              </w:rPr>
              <w:t>8.5</w:t>
            </w:r>
          </w:p>
        </w:tc>
        <w:tc>
          <w:tcPr>
            <w:tcW w:w="408" w:type="pct"/>
            <w:tcBorders>
              <w:top w:val="single" w:color="auto" w:sz="4" w:space="0"/>
              <w:left w:val="single" w:color="auto" w:sz="4" w:space="0"/>
              <w:bottom w:val="single" w:color="auto" w:sz="4" w:space="0"/>
              <w:right w:val="single" w:color="auto" w:sz="4" w:space="0"/>
            </w:tcBorders>
            <w:vAlign w:val="center"/>
          </w:tcPr>
          <w:p w14:paraId="4B3BFCC5">
            <w:pPr>
              <w:pStyle w:val="28"/>
              <w:rPr>
                <w:color w:val="000000" w:themeColor="text1"/>
                <w14:textFill>
                  <w14:solidFill>
                    <w14:schemeClr w14:val="tx1"/>
                  </w14:solidFill>
                </w14:textFill>
              </w:rPr>
            </w:pPr>
            <w:r>
              <w:rPr>
                <w:color w:val="000000" w:themeColor="text1"/>
                <w14:textFill>
                  <w14:solidFill>
                    <w14:schemeClr w14:val="tx1"/>
                  </w14:solidFill>
                </w14:textFill>
              </w:rPr>
              <w:t>12.2</w:t>
            </w:r>
          </w:p>
        </w:tc>
        <w:tc>
          <w:tcPr>
            <w:tcW w:w="408" w:type="pct"/>
            <w:tcBorders>
              <w:top w:val="single" w:color="auto" w:sz="4" w:space="0"/>
              <w:left w:val="single" w:color="auto" w:sz="4" w:space="0"/>
              <w:bottom w:val="single" w:color="auto" w:sz="4" w:space="0"/>
              <w:right w:val="single" w:color="auto" w:sz="4" w:space="0"/>
            </w:tcBorders>
            <w:vAlign w:val="center"/>
          </w:tcPr>
          <w:p w14:paraId="575CECC1">
            <w:pPr>
              <w:pStyle w:val="28"/>
              <w:rPr>
                <w:color w:val="000000" w:themeColor="text1"/>
                <w14:textFill>
                  <w14:solidFill>
                    <w14:schemeClr w14:val="tx1"/>
                  </w14:solidFill>
                </w14:textFill>
              </w:rPr>
            </w:pPr>
            <w:r>
              <w:rPr>
                <w:color w:val="000000" w:themeColor="text1"/>
                <w14:textFill>
                  <w14:solidFill>
                    <w14:schemeClr w14:val="tx1"/>
                  </w14:solidFill>
                </w14:textFill>
              </w:rPr>
              <w:t>20.4</w:t>
            </w:r>
          </w:p>
        </w:tc>
        <w:tc>
          <w:tcPr>
            <w:tcW w:w="409" w:type="pct"/>
            <w:tcBorders>
              <w:top w:val="single" w:color="auto" w:sz="4" w:space="0"/>
              <w:left w:val="single" w:color="auto" w:sz="4" w:space="0"/>
              <w:bottom w:val="single" w:color="auto" w:sz="4" w:space="0"/>
              <w:right w:val="single" w:color="auto" w:sz="4" w:space="0"/>
            </w:tcBorders>
            <w:vAlign w:val="center"/>
          </w:tcPr>
          <w:p w14:paraId="22F38421">
            <w:pPr>
              <w:pStyle w:val="28"/>
              <w:rPr>
                <w:color w:val="000000" w:themeColor="text1"/>
                <w14:textFill>
                  <w14:solidFill>
                    <w14:schemeClr w14:val="tx1"/>
                  </w14:solidFill>
                </w14:textFill>
              </w:rPr>
            </w:pPr>
            <w:r>
              <w:rPr>
                <w:color w:val="000000" w:themeColor="text1"/>
                <w14:textFill>
                  <w14:solidFill>
                    <w14:schemeClr w14:val="tx1"/>
                  </w14:solidFill>
                </w14:textFill>
              </w:rPr>
              <w:t>0.35</w:t>
            </w:r>
          </w:p>
        </w:tc>
      </w:tr>
      <w:tr w14:paraId="7952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29" w:type="pct"/>
            <w:vMerge w:val="continue"/>
            <w:tcBorders>
              <w:left w:val="single" w:color="auto" w:sz="4" w:space="0"/>
              <w:right w:val="single" w:color="auto" w:sz="4" w:space="0"/>
            </w:tcBorders>
            <w:vAlign w:val="center"/>
          </w:tcPr>
          <w:p w14:paraId="44FCB848">
            <w:pPr>
              <w:pStyle w:val="28"/>
              <w:rPr>
                <w:color w:val="000000" w:themeColor="text1"/>
                <w14:textFill>
                  <w14:solidFill>
                    <w14:schemeClr w14:val="tx1"/>
                  </w14:solidFill>
                </w14:textFill>
              </w:rPr>
            </w:pPr>
          </w:p>
        </w:tc>
        <w:tc>
          <w:tcPr>
            <w:tcW w:w="741" w:type="pct"/>
            <w:tcBorders>
              <w:top w:val="single" w:color="auto" w:sz="4" w:space="0"/>
              <w:left w:val="single" w:color="auto" w:sz="4" w:space="0"/>
              <w:bottom w:val="single" w:color="auto" w:sz="4" w:space="0"/>
              <w:right w:val="single" w:color="000000" w:sz="4" w:space="0"/>
            </w:tcBorders>
            <w:vAlign w:val="center"/>
          </w:tcPr>
          <w:p w14:paraId="2E367B66">
            <w:pPr>
              <w:pStyle w:val="28"/>
              <w:rPr>
                <w:color w:val="000000" w:themeColor="text1"/>
                <w14:textFill>
                  <w14:solidFill>
                    <w14:schemeClr w14:val="tx1"/>
                  </w14:solidFill>
                </w14:textFill>
              </w:rPr>
            </w:pPr>
            <w:r>
              <w:rPr>
                <w:color w:val="000000" w:themeColor="text1"/>
                <w14:textFill>
                  <w14:solidFill>
                    <w14:schemeClr w14:val="tx1"/>
                  </w14:solidFill>
                </w14:textFill>
              </w:rPr>
              <w:t>2023.11.11</w:t>
            </w:r>
          </w:p>
        </w:tc>
        <w:tc>
          <w:tcPr>
            <w:tcW w:w="408" w:type="pct"/>
            <w:tcBorders>
              <w:top w:val="single" w:color="auto" w:sz="4" w:space="0"/>
              <w:left w:val="single" w:color="auto" w:sz="4" w:space="0"/>
              <w:bottom w:val="single" w:color="auto" w:sz="4" w:space="0"/>
              <w:right w:val="single" w:color="auto" w:sz="4" w:space="0"/>
            </w:tcBorders>
            <w:vAlign w:val="center"/>
          </w:tcPr>
          <w:p w14:paraId="7B28B8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424" w:type="pct"/>
            <w:tcBorders>
              <w:top w:val="single" w:color="auto" w:sz="4" w:space="0"/>
              <w:left w:val="single" w:color="auto" w:sz="4" w:space="0"/>
              <w:bottom w:val="single" w:color="auto" w:sz="4" w:space="0"/>
              <w:right w:val="single" w:color="auto" w:sz="4" w:space="0"/>
            </w:tcBorders>
            <w:vAlign w:val="center"/>
          </w:tcPr>
          <w:p w14:paraId="6434DBF6">
            <w:pPr>
              <w:pStyle w:val="28"/>
              <w:rPr>
                <w:color w:val="000000" w:themeColor="text1"/>
                <w14:textFill>
                  <w14:solidFill>
                    <w14:schemeClr w14:val="tx1"/>
                  </w14:solidFill>
                </w14:textFill>
              </w:rPr>
            </w:pPr>
            <w:r>
              <w:rPr>
                <w:color w:val="000000" w:themeColor="text1"/>
                <w14:textFill>
                  <w14:solidFill>
                    <w14:schemeClr w14:val="tx1"/>
                  </w14:solidFill>
                </w14:textFill>
              </w:rPr>
              <w:t>42</w:t>
            </w:r>
          </w:p>
        </w:tc>
        <w:tc>
          <w:tcPr>
            <w:tcW w:w="468" w:type="pct"/>
            <w:tcBorders>
              <w:top w:val="single" w:color="auto" w:sz="4" w:space="0"/>
              <w:left w:val="single" w:color="auto" w:sz="4" w:space="0"/>
              <w:bottom w:val="single" w:color="auto" w:sz="4" w:space="0"/>
              <w:right w:val="single" w:color="auto" w:sz="4" w:space="0"/>
            </w:tcBorders>
            <w:vAlign w:val="center"/>
          </w:tcPr>
          <w:p w14:paraId="5AE75E08">
            <w:pPr>
              <w:pStyle w:val="28"/>
              <w:rPr>
                <w:color w:val="000000" w:themeColor="text1"/>
                <w14:textFill>
                  <w14:solidFill>
                    <w14:schemeClr w14:val="tx1"/>
                  </w14:solidFill>
                </w14:textFill>
              </w:rPr>
            </w:pPr>
            <w:r>
              <w:rPr>
                <w:color w:val="000000" w:themeColor="text1"/>
                <w14:textFill>
                  <w14:solidFill>
                    <w14:schemeClr w14:val="tx1"/>
                  </w14:solidFill>
                </w14:textFill>
              </w:rPr>
              <w:t>9.7</w:t>
            </w:r>
          </w:p>
        </w:tc>
        <w:tc>
          <w:tcPr>
            <w:tcW w:w="408" w:type="pct"/>
            <w:tcBorders>
              <w:top w:val="single" w:color="auto" w:sz="4" w:space="0"/>
              <w:left w:val="single" w:color="auto" w:sz="4" w:space="0"/>
              <w:bottom w:val="single" w:color="auto" w:sz="4" w:space="0"/>
              <w:right w:val="single" w:color="auto" w:sz="4" w:space="0"/>
            </w:tcBorders>
            <w:vAlign w:val="center"/>
          </w:tcPr>
          <w:p w14:paraId="790F47CC">
            <w:pPr>
              <w:pStyle w:val="28"/>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408" w:type="pct"/>
            <w:tcBorders>
              <w:top w:val="single" w:color="auto" w:sz="4" w:space="0"/>
              <w:left w:val="single" w:color="auto" w:sz="4" w:space="0"/>
              <w:bottom w:val="single" w:color="auto" w:sz="4" w:space="0"/>
              <w:right w:val="single" w:color="auto" w:sz="4" w:space="0"/>
            </w:tcBorders>
            <w:vAlign w:val="center"/>
          </w:tcPr>
          <w:p w14:paraId="5A4256B7">
            <w:pPr>
              <w:pStyle w:val="28"/>
              <w:rPr>
                <w:color w:val="000000" w:themeColor="text1"/>
                <w14:textFill>
                  <w14:solidFill>
                    <w14:schemeClr w14:val="tx1"/>
                  </w14:solidFill>
                </w14:textFill>
              </w:rPr>
            </w:pPr>
            <w:r>
              <w:rPr>
                <w:color w:val="000000" w:themeColor="text1"/>
                <w14:textFill>
                  <w14:solidFill>
                    <w14:schemeClr w14:val="tx1"/>
                  </w14:solidFill>
                </w14:textFill>
              </w:rPr>
              <w:t>19.4</w:t>
            </w:r>
          </w:p>
        </w:tc>
        <w:tc>
          <w:tcPr>
            <w:tcW w:w="409" w:type="pct"/>
            <w:tcBorders>
              <w:top w:val="single" w:color="auto" w:sz="4" w:space="0"/>
              <w:left w:val="single" w:color="auto" w:sz="4" w:space="0"/>
              <w:bottom w:val="single" w:color="auto" w:sz="4" w:space="0"/>
              <w:right w:val="single" w:color="auto" w:sz="4" w:space="0"/>
            </w:tcBorders>
            <w:vAlign w:val="center"/>
          </w:tcPr>
          <w:p w14:paraId="3E05A331">
            <w:pPr>
              <w:pStyle w:val="28"/>
              <w:rPr>
                <w:color w:val="000000" w:themeColor="text1"/>
                <w14:textFill>
                  <w14:solidFill>
                    <w14:schemeClr w14:val="tx1"/>
                  </w14:solidFill>
                </w14:textFill>
              </w:rPr>
            </w:pPr>
            <w:r>
              <w:rPr>
                <w:color w:val="000000" w:themeColor="text1"/>
                <w14:textFill>
                  <w14:solidFill>
                    <w14:schemeClr w14:val="tx1"/>
                  </w14:solidFill>
                </w14:textFill>
              </w:rPr>
              <w:t>0.42</w:t>
            </w:r>
          </w:p>
        </w:tc>
      </w:tr>
      <w:tr w14:paraId="1D38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71" w:type="pct"/>
            <w:gridSpan w:val="2"/>
            <w:tcBorders>
              <w:left w:val="single" w:color="auto" w:sz="4" w:space="0"/>
              <w:right w:val="single" w:color="000000" w:sz="4" w:space="0"/>
            </w:tcBorders>
            <w:vAlign w:val="center"/>
          </w:tcPr>
          <w:p w14:paraId="675A6635">
            <w:pPr>
              <w:pStyle w:val="28"/>
              <w:rPr>
                <w:color w:val="000000" w:themeColor="text1"/>
                <w14:textFill>
                  <w14:solidFill>
                    <w14:schemeClr w14:val="tx1"/>
                  </w14:solidFill>
                </w14:textFill>
              </w:rPr>
            </w:pPr>
            <w:r>
              <w:rPr>
                <w:color w:val="000000" w:themeColor="text1"/>
                <w14:textFill>
                  <w14:solidFill>
                    <w14:schemeClr w14:val="tx1"/>
                  </w14:solidFill>
                </w14:textFill>
              </w:rPr>
              <w:t>Ⅴ类标准限值</w:t>
            </w:r>
          </w:p>
        </w:tc>
        <w:tc>
          <w:tcPr>
            <w:tcW w:w="408" w:type="pct"/>
            <w:tcBorders>
              <w:top w:val="single" w:color="auto" w:sz="4" w:space="0"/>
              <w:left w:val="single" w:color="auto" w:sz="4" w:space="0"/>
              <w:bottom w:val="single" w:color="auto" w:sz="4" w:space="0"/>
              <w:right w:val="single" w:color="auto" w:sz="4" w:space="0"/>
            </w:tcBorders>
            <w:vAlign w:val="center"/>
          </w:tcPr>
          <w:p w14:paraId="120FF4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424" w:type="pct"/>
            <w:tcBorders>
              <w:top w:val="single" w:color="auto" w:sz="4" w:space="0"/>
              <w:left w:val="single" w:color="auto" w:sz="4" w:space="0"/>
              <w:bottom w:val="single" w:color="auto" w:sz="4" w:space="0"/>
              <w:right w:val="single" w:color="auto" w:sz="4" w:space="0"/>
            </w:tcBorders>
            <w:vAlign w:val="center"/>
          </w:tcPr>
          <w:p w14:paraId="092FCF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468" w:type="pct"/>
            <w:tcBorders>
              <w:top w:val="single" w:color="auto" w:sz="4" w:space="0"/>
              <w:left w:val="single" w:color="auto" w:sz="4" w:space="0"/>
              <w:bottom w:val="single" w:color="auto" w:sz="4" w:space="0"/>
              <w:right w:val="single" w:color="auto" w:sz="4" w:space="0"/>
            </w:tcBorders>
            <w:vAlign w:val="center"/>
          </w:tcPr>
          <w:p w14:paraId="0A39C4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08" w:type="pct"/>
            <w:tcBorders>
              <w:top w:val="single" w:color="auto" w:sz="4" w:space="0"/>
              <w:left w:val="single" w:color="auto" w:sz="4" w:space="0"/>
              <w:bottom w:val="single" w:color="auto" w:sz="4" w:space="0"/>
              <w:right w:val="single" w:color="auto" w:sz="4" w:space="0"/>
            </w:tcBorders>
            <w:vAlign w:val="center"/>
          </w:tcPr>
          <w:p w14:paraId="652B24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408" w:type="pct"/>
            <w:tcBorders>
              <w:top w:val="single" w:color="auto" w:sz="4" w:space="0"/>
              <w:left w:val="single" w:color="auto" w:sz="4" w:space="0"/>
              <w:bottom w:val="single" w:color="auto" w:sz="4" w:space="0"/>
              <w:right w:val="single" w:color="auto" w:sz="4" w:space="0"/>
            </w:tcBorders>
            <w:vAlign w:val="center"/>
          </w:tcPr>
          <w:p w14:paraId="431479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409" w:type="pct"/>
            <w:tcBorders>
              <w:top w:val="single" w:color="auto" w:sz="4" w:space="0"/>
              <w:left w:val="single" w:color="auto" w:sz="4" w:space="0"/>
              <w:bottom w:val="single" w:color="auto" w:sz="4" w:space="0"/>
              <w:right w:val="single" w:color="auto" w:sz="4" w:space="0"/>
            </w:tcBorders>
            <w:vAlign w:val="center"/>
          </w:tcPr>
          <w:p w14:paraId="039243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r>
      <w:tr w14:paraId="7197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71" w:type="pct"/>
            <w:gridSpan w:val="2"/>
            <w:tcBorders>
              <w:left w:val="single" w:color="auto" w:sz="4" w:space="0"/>
              <w:right w:val="single" w:color="000000" w:sz="4" w:space="0"/>
            </w:tcBorders>
            <w:vAlign w:val="center"/>
          </w:tcPr>
          <w:p w14:paraId="19E351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408" w:type="pct"/>
            <w:tcBorders>
              <w:top w:val="single" w:color="auto" w:sz="4" w:space="0"/>
              <w:left w:val="single" w:color="auto" w:sz="4" w:space="0"/>
              <w:bottom w:val="single" w:color="auto" w:sz="4" w:space="0"/>
              <w:right w:val="single" w:color="auto" w:sz="4" w:space="0"/>
            </w:tcBorders>
            <w:vAlign w:val="center"/>
          </w:tcPr>
          <w:p w14:paraId="40CAAD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24" w:type="pct"/>
            <w:tcBorders>
              <w:top w:val="single" w:color="auto" w:sz="4" w:space="0"/>
              <w:left w:val="single" w:color="auto" w:sz="4" w:space="0"/>
              <w:bottom w:val="single" w:color="auto" w:sz="4" w:space="0"/>
              <w:right w:val="single" w:color="auto" w:sz="4" w:space="0"/>
            </w:tcBorders>
            <w:vAlign w:val="center"/>
          </w:tcPr>
          <w:p w14:paraId="3A771D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c>
          <w:tcPr>
            <w:tcW w:w="468" w:type="pct"/>
            <w:tcBorders>
              <w:top w:val="single" w:color="auto" w:sz="4" w:space="0"/>
              <w:left w:val="single" w:color="auto" w:sz="4" w:space="0"/>
              <w:bottom w:val="single" w:color="auto" w:sz="4" w:space="0"/>
              <w:right w:val="single" w:color="auto" w:sz="4" w:space="0"/>
            </w:tcBorders>
            <w:vAlign w:val="center"/>
          </w:tcPr>
          <w:p w14:paraId="06ABC1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08" w:type="pct"/>
            <w:tcBorders>
              <w:top w:val="single" w:color="auto" w:sz="4" w:space="0"/>
              <w:left w:val="single" w:color="auto" w:sz="4" w:space="0"/>
              <w:bottom w:val="single" w:color="auto" w:sz="4" w:space="0"/>
              <w:right w:val="single" w:color="auto" w:sz="4" w:space="0"/>
            </w:tcBorders>
            <w:vAlign w:val="center"/>
          </w:tcPr>
          <w:p w14:paraId="063C83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c>
          <w:tcPr>
            <w:tcW w:w="408" w:type="pct"/>
            <w:tcBorders>
              <w:top w:val="single" w:color="auto" w:sz="4" w:space="0"/>
              <w:left w:val="single" w:color="auto" w:sz="4" w:space="0"/>
              <w:bottom w:val="single" w:color="auto" w:sz="4" w:space="0"/>
              <w:right w:val="single" w:color="auto" w:sz="4" w:space="0"/>
            </w:tcBorders>
            <w:vAlign w:val="center"/>
          </w:tcPr>
          <w:p w14:paraId="5A8272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c>
          <w:tcPr>
            <w:tcW w:w="409" w:type="pct"/>
            <w:tcBorders>
              <w:top w:val="single" w:color="auto" w:sz="4" w:space="0"/>
              <w:left w:val="single" w:color="auto" w:sz="4" w:space="0"/>
              <w:bottom w:val="single" w:color="auto" w:sz="4" w:space="0"/>
              <w:right w:val="single" w:color="auto" w:sz="4" w:space="0"/>
            </w:tcBorders>
            <w:vAlign w:val="center"/>
          </w:tcPr>
          <w:p w14:paraId="597827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bl>
    <w:p w14:paraId="4D517315">
      <w:pPr>
        <w:ind w:firstLine="480"/>
        <w:rPr>
          <w:color w:val="000000" w:themeColor="text1"/>
          <w14:textFill>
            <w14:solidFill>
              <w14:schemeClr w14:val="tx1"/>
            </w14:solidFill>
          </w14:textFill>
        </w:rPr>
      </w:pPr>
      <w:r>
        <w:rPr>
          <w:color w:val="000000" w:themeColor="text1"/>
          <w14:textFill>
            <w14:solidFill>
              <w14:schemeClr w14:val="tx1"/>
            </w14:solidFill>
          </w14:textFill>
        </w:rPr>
        <w:t>从上表监测结果可知，</w:t>
      </w:r>
      <w:r>
        <w:rPr>
          <w:rFonts w:hint="eastAsia"/>
          <w:color w:val="000000" w:themeColor="text1"/>
          <w14:textFill>
            <w14:solidFill>
              <w14:schemeClr w14:val="tx1"/>
            </w14:solidFill>
          </w14:textFill>
        </w:rPr>
        <w:t>老西河</w:t>
      </w:r>
      <w:r>
        <w:rPr>
          <w:color w:val="000000" w:themeColor="text1"/>
          <w14:textFill>
            <w14:solidFill>
              <w14:schemeClr w14:val="tx1"/>
            </w14:solidFill>
          </w14:textFill>
        </w:rPr>
        <w:t>监测断面中监测</w:t>
      </w:r>
      <w:r>
        <w:rPr>
          <w:rFonts w:hint="eastAsia"/>
          <w:color w:val="000000" w:themeColor="text1"/>
          <w14:textFill>
            <w14:solidFill>
              <w14:schemeClr w14:val="tx1"/>
            </w14:solidFill>
          </w14:textFill>
        </w:rPr>
        <w:t>指标除BOD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外其他</w:t>
      </w:r>
      <w:r>
        <w:rPr>
          <w:color w:val="000000" w:themeColor="text1"/>
          <w14:textFill>
            <w14:solidFill>
              <w14:schemeClr w14:val="tx1"/>
            </w14:solidFill>
          </w14:textFill>
        </w:rPr>
        <w:t>均出现不同程度的超标。综上，</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西河水质不满足《地表水环境质量标准》（GB3838-2002）Ⅴ类水质标准，超标原因主要是沿途农村生活面源和农田面源的污染。</w:t>
      </w:r>
    </w:p>
    <w:p w14:paraId="48B8D05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（2）玉溪大河</w:t>
      </w:r>
    </w:p>
    <w:p w14:paraId="751E2A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玉溪市生态环境状况公报（2024年度）》玉溪大河（矣读可断面）为出境断面，2024年综合水质评价Ⅳ类（与2023年相同），不满足水功能区划Ⅲ类水质标准的要求，超标原因主要为玉溪大河接纳了中心城区污水处理厂尾水及沿途村庄生活污水及农业面源污染所致。</w:t>
      </w:r>
    </w:p>
    <w:p w14:paraId="214592AA">
      <w:pPr>
        <w:pStyle w:val="4"/>
        <w:rPr>
          <w:color w:val="000000" w:themeColor="text1"/>
          <w14:textFill>
            <w14:solidFill>
              <w14:schemeClr w14:val="tx1"/>
            </w14:solidFill>
          </w14:textFill>
        </w:rPr>
      </w:pPr>
      <w:bookmarkStart w:id="80" w:name="_Toc963"/>
      <w:r>
        <w:rPr>
          <w:color w:val="000000" w:themeColor="text1"/>
          <w14:textFill>
            <w14:solidFill>
              <w14:schemeClr w14:val="tx1"/>
            </w14:solidFill>
          </w14:textFill>
        </w:rPr>
        <w:t>4.2.3 声环境质量现状</w:t>
      </w:r>
      <w:bookmarkEnd w:id="80"/>
    </w:p>
    <w:p w14:paraId="051836C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监测点位</w:t>
      </w:r>
    </w:p>
    <w:p w14:paraId="0CFA8B40">
      <w:pPr>
        <w:ind w:firstLine="480"/>
        <w:rPr>
          <w:color w:val="000000" w:themeColor="text1"/>
          <w14:textFill>
            <w14:solidFill>
              <w14:schemeClr w14:val="tx1"/>
            </w14:solidFill>
          </w14:textFill>
        </w:rPr>
      </w:pPr>
      <w:r>
        <w:rPr>
          <w:color w:val="000000" w:themeColor="text1"/>
          <w14:textFill>
            <w14:solidFill>
              <w14:schemeClr w14:val="tx1"/>
            </w14:solidFill>
          </w14:textFill>
        </w:rPr>
        <w:t>项目租用已建成厂房，属于厂中厂，项目厂界东面、南面均为厂房，无独立厂房边界，故以租用厂房的建筑物厂界东、厂界作为本项目厂界东、厂界南监测点。</w:t>
      </w:r>
      <w:r>
        <w:rPr>
          <w:rFonts w:hint="eastAsia"/>
          <w:color w:val="000000" w:themeColor="text1"/>
          <w14:textFill>
            <w14:solidFill>
              <w14:schemeClr w14:val="tx1"/>
            </w14:solidFill>
          </w14:textFill>
        </w:rPr>
        <w:t>监测点位为：</w:t>
      </w:r>
      <w:r>
        <w:rPr>
          <w:color w:val="000000" w:themeColor="text1"/>
          <w14:textFill>
            <w14:solidFill>
              <w14:schemeClr w14:val="tx1"/>
            </w14:solidFill>
          </w14:textFill>
        </w:rPr>
        <w:t>N1东厂界1m处、N2南厂界1m处、N3西厂界1m处、N4北厂界1m处、N5大莲池村</w:t>
      </w:r>
    </w:p>
    <w:p w14:paraId="02BCBBA5">
      <w:pPr>
        <w:ind w:firstLine="480"/>
        <w:rPr>
          <w:color w:val="000000" w:themeColor="text1"/>
          <w14:textFill>
            <w14:solidFill>
              <w14:schemeClr w14:val="tx1"/>
            </w14:solidFill>
          </w14:textFill>
        </w:rPr>
      </w:pPr>
      <w:r>
        <w:rPr>
          <w:color w:val="000000" w:themeColor="text1"/>
          <w14:textFill>
            <w14:solidFill>
              <w14:schemeClr w14:val="tx1"/>
            </w14:solidFill>
          </w14:textFill>
        </w:rPr>
        <w:tab/>
      </w:r>
      <w:r>
        <w:rPr>
          <w:rFonts w:hint="eastAsia"/>
          <w:color w:val="000000" w:themeColor="text1"/>
          <w14:textFill>
            <w14:solidFill>
              <w14:schemeClr w14:val="tx1"/>
            </w14:solidFill>
          </w14:textFill>
        </w:rPr>
        <w:t>监测点位详见图4.2-3。</w:t>
      </w:r>
    </w:p>
    <w:p w14:paraId="1D774E8F">
      <w:pPr>
        <w:pStyle w:val="2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0975" cy="4146550"/>
            <wp:effectExtent l="9525" t="9525" r="25400" b="1587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3"/>
                    <a:stretch>
                      <a:fillRect/>
                    </a:stretch>
                  </pic:blipFill>
                  <pic:spPr>
                    <a:xfrm>
                      <a:off x="0" y="0"/>
                      <a:ext cx="5260975" cy="4146550"/>
                    </a:xfrm>
                    <a:prstGeom prst="rect">
                      <a:avLst/>
                    </a:prstGeom>
                    <a:noFill/>
                    <a:ln>
                      <a:solidFill>
                        <a:schemeClr val="tx1"/>
                      </a:solidFill>
                    </a:ln>
                  </pic:spPr>
                </pic:pic>
              </a:graphicData>
            </a:graphic>
          </wp:inline>
        </w:drawing>
      </w:r>
    </w:p>
    <w:p w14:paraId="050D7E7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图4.2-3 声环境现状监测点位示意图</w:t>
      </w:r>
    </w:p>
    <w:p w14:paraId="71B9AD1D">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（2）监测项目、监测时间及监测频率</w:t>
      </w:r>
      <w:r>
        <w:rPr>
          <w:color w:val="000000" w:themeColor="text1"/>
          <w14:textFill>
            <w14:solidFill>
              <w14:schemeClr w14:val="tx1"/>
            </w14:solidFill>
          </w14:textFill>
        </w:rPr>
        <w:tab/>
      </w:r>
    </w:p>
    <w:p w14:paraId="7B332479">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监测</w:t>
      </w:r>
      <w:r>
        <w:rPr>
          <w:rFonts w:hint="eastAsia"/>
          <w:b/>
          <w:bCs/>
          <w:color w:val="000000" w:themeColor="text1"/>
          <w14:textFill>
            <w14:solidFill>
              <w14:schemeClr w14:val="tx1"/>
            </w14:solidFill>
          </w14:textFill>
        </w:rPr>
        <w:t>项目</w:t>
      </w:r>
      <w:r>
        <w:rPr>
          <w:b/>
          <w:bCs/>
          <w:color w:val="000000" w:themeColor="text1"/>
          <w14:textFill>
            <w14:solidFill>
              <w14:schemeClr w14:val="tx1"/>
            </w14:solidFill>
          </w14:textFill>
        </w:rPr>
        <w:t>：</w:t>
      </w:r>
      <w:r>
        <w:rPr>
          <w:color w:val="000000" w:themeColor="text1"/>
          <w14:textFill>
            <w14:solidFill>
              <w14:schemeClr w14:val="tx1"/>
            </w14:solidFill>
          </w14:textFill>
        </w:rPr>
        <w:t>等效连续A声级Leq (A)</w:t>
      </w:r>
    </w:p>
    <w:p w14:paraId="740B285F">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监测时间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25年9月11日-</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25年9月12日</w:t>
      </w:r>
    </w:p>
    <w:p w14:paraId="6B18AC6F">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监测</w:t>
      </w:r>
      <w:r>
        <w:rPr>
          <w:rFonts w:hint="eastAsia"/>
          <w:b/>
          <w:bCs/>
          <w:color w:val="000000" w:themeColor="text1"/>
          <w14:textFill>
            <w14:solidFill>
              <w14:schemeClr w14:val="tx1"/>
            </w14:solidFill>
          </w14:textFill>
        </w:rPr>
        <w:t>频率</w:t>
      </w:r>
      <w:r>
        <w:rPr>
          <w:b/>
          <w:bCs/>
          <w:color w:val="000000" w:themeColor="text1"/>
          <w14:textFill>
            <w14:solidFill>
              <w14:schemeClr w14:val="tx1"/>
            </w14:solidFill>
          </w14:textFill>
        </w:rPr>
        <w:t>：</w:t>
      </w:r>
      <w:r>
        <w:rPr>
          <w:color w:val="000000" w:themeColor="text1"/>
          <w14:textFill>
            <w14:solidFill>
              <w14:schemeClr w14:val="tx1"/>
            </w14:solidFill>
          </w14:textFill>
        </w:rPr>
        <w:t>连续监测2天，每天昼、夜各监测1次</w:t>
      </w:r>
    </w:p>
    <w:p w14:paraId="2C9C1C21">
      <w:pPr>
        <w:ind w:firstLine="482"/>
        <w:rPr>
          <w:b/>
          <w:bCs/>
          <w:color w:val="000000" w:themeColor="text1"/>
          <w14:textFill>
            <w14:solidFill>
              <w14:schemeClr w14:val="tx1"/>
            </w14:solidFill>
          </w14:textFill>
        </w:rPr>
      </w:pPr>
      <w:bookmarkStart w:id="81" w:name="_Toc25156925"/>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3</w:t>
      </w:r>
      <w:r>
        <w:rPr>
          <w:rFonts w:hint="eastAsia"/>
          <w:b/>
          <w:bCs/>
          <w:color w:val="000000" w:themeColor="text1"/>
          <w14:textFill>
            <w14:solidFill>
              <w14:schemeClr w14:val="tx1"/>
            </w14:solidFill>
          </w14:textFill>
        </w:rPr>
        <w:t>）</w:t>
      </w:r>
      <w:bookmarkEnd w:id="81"/>
      <w:bookmarkStart w:id="82" w:name="_Toc25156926"/>
      <w:r>
        <w:rPr>
          <w:rFonts w:hint="eastAsia"/>
          <w:b/>
          <w:bCs/>
          <w:color w:val="000000" w:themeColor="text1"/>
          <w14:textFill>
            <w14:solidFill>
              <w14:schemeClr w14:val="tx1"/>
            </w14:solidFill>
          </w14:textFill>
        </w:rPr>
        <w:t>评价标准</w:t>
      </w:r>
      <w:bookmarkEnd w:id="82"/>
    </w:p>
    <w:p w14:paraId="7BEFF6ED">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大莲池村</w:t>
      </w:r>
      <w:r>
        <w:rPr>
          <w:rFonts w:hint="eastAsia"/>
          <w:color w:val="000000" w:themeColor="text1"/>
          <w14:textFill>
            <w14:solidFill>
              <w14:schemeClr w14:val="tx1"/>
            </w14:solidFill>
          </w14:textFill>
        </w:rPr>
        <w:t>执行《声环境质量标准》（</w:t>
      </w:r>
      <w:r>
        <w:rPr>
          <w:color w:val="000000" w:themeColor="text1"/>
          <w14:textFill>
            <w14:solidFill>
              <w14:schemeClr w14:val="tx1"/>
            </w14:solidFill>
          </w14:textFill>
        </w:rPr>
        <w:t>GB3096-2008</w:t>
      </w:r>
      <w:r>
        <w:rPr>
          <w:rFonts w:hint="eastAsia"/>
          <w:color w:val="000000" w:themeColor="text1"/>
          <w14:textFill>
            <w14:solidFill>
              <w14:schemeClr w14:val="tx1"/>
            </w14:solidFill>
          </w14:textFill>
        </w:rPr>
        <w:t>）中的2类标准，厂区</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噪声执行《声环境质量标准》（</w:t>
      </w:r>
      <w:r>
        <w:rPr>
          <w:color w:val="000000" w:themeColor="text1"/>
          <w14:textFill>
            <w14:solidFill>
              <w14:schemeClr w14:val="tx1"/>
            </w14:solidFill>
          </w14:textFill>
        </w:rPr>
        <w:t>GB3096-2008</w:t>
      </w:r>
      <w:r>
        <w:rPr>
          <w:rFonts w:hint="eastAsia"/>
          <w:color w:val="000000" w:themeColor="text1"/>
          <w14:textFill>
            <w14:solidFill>
              <w14:schemeClr w14:val="tx1"/>
            </w14:solidFill>
          </w14:textFill>
        </w:rPr>
        <w:t>）中的3类标准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厂区西面噪声执行</w:t>
      </w:r>
      <w:r>
        <w:rPr>
          <w:rFonts w:hint="eastAsia"/>
          <w:color w:val="000000" w:themeColor="text1"/>
          <w14:textFill>
            <w14:solidFill>
              <w14:schemeClr w14:val="tx1"/>
            </w14:solidFill>
          </w14:textFill>
        </w:rPr>
        <w:t>《声环境质量标准》（</w:t>
      </w:r>
      <w:r>
        <w:rPr>
          <w:color w:val="000000" w:themeColor="text1"/>
          <w14:textFill>
            <w14:solidFill>
              <w14:schemeClr w14:val="tx1"/>
            </w14:solidFill>
          </w14:textFill>
        </w:rPr>
        <w:t>GB3096-2008</w:t>
      </w:r>
      <w:r>
        <w:rPr>
          <w:rFonts w:hint="eastAsia"/>
          <w:color w:val="000000" w:themeColor="text1"/>
          <w14:textFill>
            <w14:solidFill>
              <w14:schemeClr w14:val="tx1"/>
            </w14:solidFill>
          </w14:textFill>
        </w:rPr>
        <w:t>）中的</w:t>
      </w:r>
      <w:r>
        <w:rPr>
          <w:rFonts w:hint="eastAsia"/>
          <w:color w:val="000000" w:themeColor="text1"/>
          <w:lang w:val="en-US" w:eastAsia="zh-CN"/>
          <w14:textFill>
            <w14:solidFill>
              <w14:schemeClr w14:val="tx1"/>
            </w14:solidFill>
          </w14:textFill>
        </w:rPr>
        <w:t>4a</w:t>
      </w:r>
      <w:r>
        <w:rPr>
          <w:rFonts w:hint="eastAsia"/>
          <w:color w:val="000000" w:themeColor="text1"/>
          <w14:textFill>
            <w14:solidFill>
              <w14:schemeClr w14:val="tx1"/>
            </w14:solidFill>
          </w14:textFill>
        </w:rPr>
        <w:t>类标准。</w:t>
      </w:r>
    </w:p>
    <w:p w14:paraId="3FE0D33D">
      <w:pPr>
        <w:ind w:firstLine="482"/>
        <w:rPr>
          <w:b/>
          <w:bCs/>
          <w:color w:val="000000" w:themeColor="text1"/>
          <w14:textFill>
            <w14:solidFill>
              <w14:schemeClr w14:val="tx1"/>
            </w14:solidFill>
          </w14:textFill>
        </w:rPr>
      </w:pPr>
      <w:bookmarkStart w:id="83" w:name="_Toc25156927"/>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监测分析方法</w:t>
      </w:r>
    </w:p>
    <w:p w14:paraId="2F14AFCA">
      <w:pPr>
        <w:ind w:firstLine="480"/>
        <w:jc w:val="left"/>
        <w:rPr>
          <w:b/>
          <w:color w:val="000000" w:themeColor="text1"/>
          <w14:textFill>
            <w14:solidFill>
              <w14:schemeClr w14:val="tx1"/>
            </w14:solidFill>
          </w14:textFill>
        </w:rPr>
      </w:pPr>
      <w:r>
        <w:rPr>
          <w:color w:val="000000" w:themeColor="text1"/>
          <w14:textFill>
            <w14:solidFill>
              <w14:schemeClr w14:val="tx1"/>
            </w14:solidFill>
          </w14:textFill>
        </w:rPr>
        <w:t>按照国家现行监测技术规范</w:t>
      </w:r>
      <w:r>
        <w:rPr>
          <w:rFonts w:hint="eastAsia"/>
          <w:color w:val="000000" w:themeColor="text1"/>
          <w14:textFill>
            <w14:solidFill>
              <w14:schemeClr w14:val="tx1"/>
            </w14:solidFill>
          </w14:textFill>
        </w:rPr>
        <w:t>。</w:t>
      </w:r>
    </w:p>
    <w:p w14:paraId="47A8B00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（5）评价方法</w:t>
      </w:r>
      <w:bookmarkEnd w:id="83"/>
    </w:p>
    <w:p w14:paraId="2D76AA21">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采用比标法，即将噪声监测结果（</w:t>
      </w:r>
      <w:r>
        <w:rPr>
          <w:color w:val="000000" w:themeColor="text1"/>
          <w14:textFill>
            <w14:solidFill>
              <w14:schemeClr w14:val="tx1"/>
            </w14:solidFill>
          </w14:textFill>
        </w:rPr>
        <w:t>Leq</w:t>
      </w:r>
      <w:r>
        <w:rPr>
          <w:rFonts w:hint="eastAsia"/>
          <w:color w:val="000000" w:themeColor="text1"/>
          <w14:textFill>
            <w14:solidFill>
              <w14:schemeClr w14:val="tx1"/>
            </w14:solidFill>
          </w14:textFill>
        </w:rPr>
        <w:t>值）直接与评价标准对照进行评价。</w:t>
      </w:r>
    </w:p>
    <w:p w14:paraId="3C6991C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（6）监测结果统计分析</w:t>
      </w:r>
    </w:p>
    <w:p w14:paraId="390B28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声环境现状监测结果统计见表4.2-5。</w:t>
      </w:r>
    </w:p>
    <w:p w14:paraId="7F933B7C">
      <w:pPr>
        <w:ind w:firstLine="422"/>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表4.2-5 声环境现状监测结果及评价结果</w:t>
      </w:r>
      <w:r>
        <w:rPr>
          <w:rFonts w:hint="eastAsia" w:hAnsi="宋体"/>
          <w:b/>
          <w:bCs/>
          <w:color w:val="000000" w:themeColor="text1"/>
          <w:sz w:val="21"/>
          <w:szCs w:val="21"/>
          <w:lang w:val="zh-CN"/>
          <w14:textFill>
            <w14:solidFill>
              <w14:schemeClr w14:val="tx1"/>
            </w14:solidFill>
          </w14:textFill>
        </w:rPr>
        <w:t xml:space="preserve">     </w:t>
      </w:r>
      <w:r>
        <w:rPr>
          <w:rFonts w:hAnsi="宋体"/>
          <w:b/>
          <w:bCs/>
          <w:color w:val="000000" w:themeColor="text1"/>
          <w:sz w:val="21"/>
          <w:szCs w:val="21"/>
          <w14:textFill>
            <w14:solidFill>
              <w14:schemeClr w14:val="tx1"/>
            </w14:solidFill>
          </w14:textFill>
        </w:rPr>
        <w:t>单位：</w:t>
      </w:r>
      <w:r>
        <w:rPr>
          <w:b/>
          <w:bCs/>
          <w:color w:val="000000" w:themeColor="text1"/>
          <w:sz w:val="21"/>
          <w:szCs w:val="21"/>
          <w14:textFill>
            <w14:solidFill>
              <w14:schemeClr w14:val="tx1"/>
            </w14:solidFill>
          </w14:textFill>
        </w:rPr>
        <w:t xml:space="preserve"> dB</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A</w:t>
      </w:r>
      <w:r>
        <w:rPr>
          <w:rFonts w:hint="eastAsia"/>
          <w:b/>
          <w:bCs/>
          <w:color w:val="000000" w:themeColor="text1"/>
          <w:sz w:val="21"/>
          <w:szCs w:val="21"/>
          <w14:textFill>
            <w14:solidFill>
              <w14:schemeClr w14:val="tx1"/>
            </w14:solidFill>
          </w14:textFill>
        </w:rPr>
        <w:t>）</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381"/>
        <w:gridCol w:w="776"/>
        <w:gridCol w:w="1495"/>
        <w:gridCol w:w="1837"/>
        <w:gridCol w:w="1289"/>
      </w:tblGrid>
      <w:tr w14:paraId="788B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89" w:type="pct"/>
            <w:vAlign w:val="center"/>
          </w:tcPr>
          <w:p w14:paraId="4E5DFB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检测日期</w:t>
            </w:r>
          </w:p>
        </w:tc>
        <w:tc>
          <w:tcPr>
            <w:tcW w:w="1288" w:type="pct"/>
            <w:vAlign w:val="center"/>
          </w:tcPr>
          <w:p w14:paraId="0682AC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检测点位</w:t>
            </w:r>
          </w:p>
        </w:tc>
        <w:tc>
          <w:tcPr>
            <w:tcW w:w="420" w:type="pct"/>
            <w:vAlign w:val="center"/>
          </w:tcPr>
          <w:p w14:paraId="5E1733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时间</w:t>
            </w:r>
          </w:p>
        </w:tc>
        <w:tc>
          <w:tcPr>
            <w:tcW w:w="809" w:type="pct"/>
            <w:vAlign w:val="center"/>
          </w:tcPr>
          <w:p w14:paraId="3B2EC2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噪声值Leq</w:t>
            </w:r>
          </w:p>
        </w:tc>
        <w:tc>
          <w:tcPr>
            <w:tcW w:w="994" w:type="pct"/>
            <w:shd w:val="clear" w:color="auto" w:fill="auto"/>
            <w:vAlign w:val="center"/>
          </w:tcPr>
          <w:p w14:paraId="0BF491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w:t>
            </w:r>
          </w:p>
        </w:tc>
        <w:tc>
          <w:tcPr>
            <w:tcW w:w="697" w:type="pct"/>
            <w:shd w:val="clear" w:color="auto" w:fill="auto"/>
            <w:vAlign w:val="center"/>
          </w:tcPr>
          <w:p w14:paraId="4082E4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6622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restart"/>
            <w:vAlign w:val="center"/>
          </w:tcPr>
          <w:p w14:paraId="0CD151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2025-09-11</w:t>
            </w:r>
          </w:p>
        </w:tc>
        <w:tc>
          <w:tcPr>
            <w:tcW w:w="1288" w:type="pct"/>
            <w:vMerge w:val="restart"/>
            <w:vAlign w:val="center"/>
          </w:tcPr>
          <w:p w14:paraId="553F31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N1东厂界外1m处</w:t>
            </w:r>
          </w:p>
        </w:tc>
        <w:tc>
          <w:tcPr>
            <w:tcW w:w="420" w:type="pct"/>
            <w:shd w:val="clear" w:color="auto" w:fill="auto"/>
            <w:vAlign w:val="center"/>
          </w:tcPr>
          <w:p w14:paraId="745BED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05B2F8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994" w:type="pct"/>
            <w:vAlign w:val="center"/>
          </w:tcPr>
          <w:p w14:paraId="3DFCDE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28EEA4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D8E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5320DDEE">
            <w:pPr>
              <w:pStyle w:val="28"/>
              <w:rPr>
                <w:color w:val="000000" w:themeColor="text1"/>
                <w14:textFill>
                  <w14:solidFill>
                    <w14:schemeClr w14:val="tx1"/>
                  </w14:solidFill>
                </w14:textFill>
              </w:rPr>
            </w:pPr>
          </w:p>
        </w:tc>
        <w:tc>
          <w:tcPr>
            <w:tcW w:w="1288" w:type="pct"/>
            <w:vMerge w:val="continue"/>
            <w:vAlign w:val="center"/>
          </w:tcPr>
          <w:p w14:paraId="2EEEE6A1">
            <w:pPr>
              <w:pStyle w:val="28"/>
              <w:rPr>
                <w:color w:val="000000" w:themeColor="text1"/>
                <w14:textFill>
                  <w14:solidFill>
                    <w14:schemeClr w14:val="tx1"/>
                  </w14:solidFill>
                </w14:textFill>
              </w:rPr>
            </w:pPr>
          </w:p>
        </w:tc>
        <w:tc>
          <w:tcPr>
            <w:tcW w:w="420" w:type="pct"/>
            <w:shd w:val="clear" w:color="auto" w:fill="auto"/>
            <w:vAlign w:val="center"/>
          </w:tcPr>
          <w:p w14:paraId="1E1268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435066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994" w:type="pct"/>
            <w:vAlign w:val="center"/>
          </w:tcPr>
          <w:p w14:paraId="7E744A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4E6040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E94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4E5D38D7">
            <w:pPr>
              <w:pStyle w:val="28"/>
              <w:rPr>
                <w:color w:val="000000" w:themeColor="text1"/>
                <w14:textFill>
                  <w14:solidFill>
                    <w14:schemeClr w14:val="tx1"/>
                  </w14:solidFill>
                </w14:textFill>
              </w:rPr>
            </w:pPr>
          </w:p>
        </w:tc>
        <w:tc>
          <w:tcPr>
            <w:tcW w:w="1288" w:type="pct"/>
            <w:vMerge w:val="restart"/>
            <w:vAlign w:val="center"/>
          </w:tcPr>
          <w:p w14:paraId="695A81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N2南厂界外1m处</w:t>
            </w:r>
          </w:p>
        </w:tc>
        <w:tc>
          <w:tcPr>
            <w:tcW w:w="420" w:type="pct"/>
            <w:shd w:val="clear" w:color="auto" w:fill="auto"/>
            <w:vAlign w:val="center"/>
          </w:tcPr>
          <w:p w14:paraId="502B91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32821B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994" w:type="pct"/>
            <w:shd w:val="clear" w:color="auto" w:fill="auto"/>
            <w:vAlign w:val="center"/>
          </w:tcPr>
          <w:p w14:paraId="445F5D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198F03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9B5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3C1331B0">
            <w:pPr>
              <w:pStyle w:val="28"/>
              <w:rPr>
                <w:color w:val="000000" w:themeColor="text1"/>
                <w14:textFill>
                  <w14:solidFill>
                    <w14:schemeClr w14:val="tx1"/>
                  </w14:solidFill>
                </w14:textFill>
              </w:rPr>
            </w:pPr>
          </w:p>
        </w:tc>
        <w:tc>
          <w:tcPr>
            <w:tcW w:w="1288" w:type="pct"/>
            <w:vMerge w:val="continue"/>
            <w:vAlign w:val="center"/>
          </w:tcPr>
          <w:p w14:paraId="4765FFF5">
            <w:pPr>
              <w:pStyle w:val="28"/>
              <w:rPr>
                <w:color w:val="000000" w:themeColor="text1"/>
                <w14:textFill>
                  <w14:solidFill>
                    <w14:schemeClr w14:val="tx1"/>
                  </w14:solidFill>
                </w14:textFill>
              </w:rPr>
            </w:pPr>
          </w:p>
        </w:tc>
        <w:tc>
          <w:tcPr>
            <w:tcW w:w="420" w:type="pct"/>
            <w:shd w:val="clear" w:color="auto" w:fill="auto"/>
            <w:vAlign w:val="center"/>
          </w:tcPr>
          <w:p w14:paraId="2F193D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766226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94" w:type="pct"/>
            <w:shd w:val="clear" w:color="auto" w:fill="auto"/>
            <w:vAlign w:val="center"/>
          </w:tcPr>
          <w:p w14:paraId="2E5B53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008D59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5A4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51947D84">
            <w:pPr>
              <w:pStyle w:val="28"/>
              <w:rPr>
                <w:color w:val="000000" w:themeColor="text1"/>
                <w14:textFill>
                  <w14:solidFill>
                    <w14:schemeClr w14:val="tx1"/>
                  </w14:solidFill>
                </w14:textFill>
              </w:rPr>
            </w:pPr>
          </w:p>
        </w:tc>
        <w:tc>
          <w:tcPr>
            <w:tcW w:w="1288" w:type="pct"/>
            <w:vMerge w:val="restart"/>
            <w:vAlign w:val="center"/>
          </w:tcPr>
          <w:p w14:paraId="48A008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N3西厂界外1m处</w:t>
            </w:r>
          </w:p>
        </w:tc>
        <w:tc>
          <w:tcPr>
            <w:tcW w:w="420" w:type="pct"/>
            <w:shd w:val="clear" w:color="auto" w:fill="auto"/>
            <w:vAlign w:val="center"/>
          </w:tcPr>
          <w:p w14:paraId="3E6EE3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3F1CA8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994" w:type="pct"/>
            <w:shd w:val="clear" w:color="auto" w:fill="auto"/>
            <w:vAlign w:val="center"/>
          </w:tcPr>
          <w:p w14:paraId="49830314">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697" w:type="pct"/>
            <w:shd w:val="clear" w:color="auto" w:fill="auto"/>
            <w:vAlign w:val="center"/>
          </w:tcPr>
          <w:p w14:paraId="4219DF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82B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49180120">
            <w:pPr>
              <w:pStyle w:val="28"/>
              <w:rPr>
                <w:color w:val="000000" w:themeColor="text1"/>
                <w14:textFill>
                  <w14:solidFill>
                    <w14:schemeClr w14:val="tx1"/>
                  </w14:solidFill>
                </w14:textFill>
              </w:rPr>
            </w:pPr>
          </w:p>
        </w:tc>
        <w:tc>
          <w:tcPr>
            <w:tcW w:w="1288" w:type="pct"/>
            <w:vMerge w:val="continue"/>
            <w:vAlign w:val="center"/>
          </w:tcPr>
          <w:p w14:paraId="38F01798">
            <w:pPr>
              <w:pStyle w:val="28"/>
              <w:rPr>
                <w:color w:val="000000" w:themeColor="text1"/>
                <w14:textFill>
                  <w14:solidFill>
                    <w14:schemeClr w14:val="tx1"/>
                  </w14:solidFill>
                </w14:textFill>
              </w:rPr>
            </w:pPr>
          </w:p>
        </w:tc>
        <w:tc>
          <w:tcPr>
            <w:tcW w:w="420" w:type="pct"/>
            <w:shd w:val="clear" w:color="auto" w:fill="auto"/>
            <w:vAlign w:val="center"/>
          </w:tcPr>
          <w:p w14:paraId="6DC5FC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5F71FC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94" w:type="pct"/>
            <w:shd w:val="clear" w:color="auto" w:fill="auto"/>
            <w:vAlign w:val="center"/>
          </w:tcPr>
          <w:p w14:paraId="32EF99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2CD450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64D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713EF1A0">
            <w:pPr>
              <w:pStyle w:val="28"/>
              <w:rPr>
                <w:color w:val="000000" w:themeColor="text1"/>
                <w14:textFill>
                  <w14:solidFill>
                    <w14:schemeClr w14:val="tx1"/>
                  </w14:solidFill>
                </w14:textFill>
              </w:rPr>
            </w:pPr>
          </w:p>
        </w:tc>
        <w:tc>
          <w:tcPr>
            <w:tcW w:w="1288" w:type="pct"/>
            <w:vMerge w:val="restart"/>
            <w:vAlign w:val="center"/>
          </w:tcPr>
          <w:p w14:paraId="16C86D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N4北厂界外1m处</w:t>
            </w:r>
          </w:p>
        </w:tc>
        <w:tc>
          <w:tcPr>
            <w:tcW w:w="420" w:type="pct"/>
            <w:shd w:val="clear" w:color="auto" w:fill="auto"/>
            <w:vAlign w:val="center"/>
          </w:tcPr>
          <w:p w14:paraId="222B1F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6B5A0E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994" w:type="pct"/>
            <w:shd w:val="clear" w:color="auto" w:fill="auto"/>
            <w:vAlign w:val="center"/>
          </w:tcPr>
          <w:p w14:paraId="78F965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12ABDD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130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5120D79A">
            <w:pPr>
              <w:pStyle w:val="28"/>
              <w:rPr>
                <w:color w:val="000000" w:themeColor="text1"/>
                <w14:textFill>
                  <w14:solidFill>
                    <w14:schemeClr w14:val="tx1"/>
                  </w14:solidFill>
                </w14:textFill>
              </w:rPr>
            </w:pPr>
          </w:p>
        </w:tc>
        <w:tc>
          <w:tcPr>
            <w:tcW w:w="1288" w:type="pct"/>
            <w:vMerge w:val="continue"/>
            <w:vAlign w:val="center"/>
          </w:tcPr>
          <w:p w14:paraId="73FC03B0">
            <w:pPr>
              <w:pStyle w:val="28"/>
              <w:rPr>
                <w:color w:val="000000" w:themeColor="text1"/>
                <w14:textFill>
                  <w14:solidFill>
                    <w14:schemeClr w14:val="tx1"/>
                  </w14:solidFill>
                </w14:textFill>
              </w:rPr>
            </w:pPr>
          </w:p>
        </w:tc>
        <w:tc>
          <w:tcPr>
            <w:tcW w:w="420" w:type="pct"/>
            <w:shd w:val="clear" w:color="auto" w:fill="auto"/>
            <w:vAlign w:val="center"/>
          </w:tcPr>
          <w:p w14:paraId="262661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2976B7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994" w:type="pct"/>
            <w:shd w:val="clear" w:color="auto" w:fill="auto"/>
            <w:vAlign w:val="center"/>
          </w:tcPr>
          <w:p w14:paraId="4A61E1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2813F8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DBD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5EBED81C">
            <w:pPr>
              <w:pStyle w:val="28"/>
              <w:rPr>
                <w:color w:val="000000" w:themeColor="text1"/>
                <w14:textFill>
                  <w14:solidFill>
                    <w14:schemeClr w14:val="tx1"/>
                  </w14:solidFill>
                </w14:textFill>
              </w:rPr>
            </w:pPr>
          </w:p>
        </w:tc>
        <w:tc>
          <w:tcPr>
            <w:tcW w:w="1288" w:type="pct"/>
            <w:vMerge w:val="restart"/>
            <w:vAlign w:val="center"/>
          </w:tcPr>
          <w:p w14:paraId="5A7583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N5大莲池村</w:t>
            </w:r>
          </w:p>
        </w:tc>
        <w:tc>
          <w:tcPr>
            <w:tcW w:w="420" w:type="pct"/>
            <w:shd w:val="clear" w:color="auto" w:fill="auto"/>
            <w:vAlign w:val="center"/>
          </w:tcPr>
          <w:p w14:paraId="695358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3D8600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994" w:type="pct"/>
            <w:vAlign w:val="center"/>
          </w:tcPr>
          <w:p w14:paraId="58C7D7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97" w:type="pct"/>
            <w:shd w:val="clear" w:color="auto" w:fill="auto"/>
            <w:vAlign w:val="center"/>
          </w:tcPr>
          <w:p w14:paraId="05A172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16B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7B099C61">
            <w:pPr>
              <w:pStyle w:val="28"/>
              <w:rPr>
                <w:color w:val="000000" w:themeColor="text1"/>
                <w14:textFill>
                  <w14:solidFill>
                    <w14:schemeClr w14:val="tx1"/>
                  </w14:solidFill>
                </w14:textFill>
              </w:rPr>
            </w:pPr>
          </w:p>
        </w:tc>
        <w:tc>
          <w:tcPr>
            <w:tcW w:w="1288" w:type="pct"/>
            <w:vMerge w:val="continue"/>
            <w:vAlign w:val="center"/>
          </w:tcPr>
          <w:p w14:paraId="3AC141BB">
            <w:pPr>
              <w:pStyle w:val="28"/>
              <w:rPr>
                <w:color w:val="000000" w:themeColor="text1"/>
                <w14:textFill>
                  <w14:solidFill>
                    <w14:schemeClr w14:val="tx1"/>
                  </w14:solidFill>
                </w14:textFill>
              </w:rPr>
            </w:pPr>
          </w:p>
        </w:tc>
        <w:tc>
          <w:tcPr>
            <w:tcW w:w="420" w:type="pct"/>
            <w:shd w:val="clear" w:color="auto" w:fill="auto"/>
            <w:vAlign w:val="center"/>
          </w:tcPr>
          <w:p w14:paraId="23036C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5569A5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994" w:type="pct"/>
            <w:vAlign w:val="center"/>
          </w:tcPr>
          <w:p w14:paraId="510059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97" w:type="pct"/>
            <w:shd w:val="clear" w:color="auto" w:fill="auto"/>
            <w:vAlign w:val="center"/>
          </w:tcPr>
          <w:p w14:paraId="1587AF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42B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restart"/>
            <w:vAlign w:val="center"/>
          </w:tcPr>
          <w:p w14:paraId="55836C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2025-09-12</w:t>
            </w:r>
          </w:p>
        </w:tc>
        <w:tc>
          <w:tcPr>
            <w:tcW w:w="1288" w:type="pct"/>
            <w:vMerge w:val="restart"/>
            <w:vAlign w:val="center"/>
          </w:tcPr>
          <w:p w14:paraId="2DE6F6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N1东厂界外1m处</w:t>
            </w:r>
          </w:p>
        </w:tc>
        <w:tc>
          <w:tcPr>
            <w:tcW w:w="420" w:type="pct"/>
            <w:shd w:val="clear" w:color="auto" w:fill="auto"/>
            <w:vAlign w:val="center"/>
          </w:tcPr>
          <w:p w14:paraId="10809C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30F768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994" w:type="pct"/>
            <w:shd w:val="clear" w:color="auto" w:fill="auto"/>
            <w:vAlign w:val="center"/>
          </w:tcPr>
          <w:p w14:paraId="1E754A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14BE50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0B3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7677536B">
            <w:pPr>
              <w:pStyle w:val="28"/>
              <w:rPr>
                <w:color w:val="000000" w:themeColor="text1"/>
                <w14:textFill>
                  <w14:solidFill>
                    <w14:schemeClr w14:val="tx1"/>
                  </w14:solidFill>
                </w14:textFill>
              </w:rPr>
            </w:pPr>
          </w:p>
        </w:tc>
        <w:tc>
          <w:tcPr>
            <w:tcW w:w="1288" w:type="pct"/>
            <w:vMerge w:val="continue"/>
            <w:vAlign w:val="center"/>
          </w:tcPr>
          <w:p w14:paraId="5AC838FD">
            <w:pPr>
              <w:pStyle w:val="28"/>
              <w:rPr>
                <w:color w:val="000000" w:themeColor="text1"/>
                <w14:textFill>
                  <w14:solidFill>
                    <w14:schemeClr w14:val="tx1"/>
                  </w14:solidFill>
                </w14:textFill>
              </w:rPr>
            </w:pPr>
          </w:p>
        </w:tc>
        <w:tc>
          <w:tcPr>
            <w:tcW w:w="420" w:type="pct"/>
            <w:shd w:val="clear" w:color="auto" w:fill="auto"/>
            <w:vAlign w:val="center"/>
          </w:tcPr>
          <w:p w14:paraId="4E3F2B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686E4B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994" w:type="pct"/>
            <w:shd w:val="clear" w:color="auto" w:fill="auto"/>
            <w:vAlign w:val="center"/>
          </w:tcPr>
          <w:p w14:paraId="6A541F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3857F0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9E4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15C0024C">
            <w:pPr>
              <w:pStyle w:val="28"/>
              <w:rPr>
                <w:color w:val="000000" w:themeColor="text1"/>
                <w14:textFill>
                  <w14:solidFill>
                    <w14:schemeClr w14:val="tx1"/>
                  </w14:solidFill>
                </w14:textFill>
              </w:rPr>
            </w:pPr>
          </w:p>
        </w:tc>
        <w:tc>
          <w:tcPr>
            <w:tcW w:w="1288" w:type="pct"/>
            <w:vMerge w:val="restart"/>
            <w:vAlign w:val="center"/>
          </w:tcPr>
          <w:p w14:paraId="0224DE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N2南厂界外1m处</w:t>
            </w:r>
          </w:p>
        </w:tc>
        <w:tc>
          <w:tcPr>
            <w:tcW w:w="420" w:type="pct"/>
            <w:shd w:val="clear" w:color="auto" w:fill="auto"/>
            <w:vAlign w:val="center"/>
          </w:tcPr>
          <w:p w14:paraId="5B6A34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145FEE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994" w:type="pct"/>
            <w:shd w:val="clear" w:color="auto" w:fill="auto"/>
            <w:vAlign w:val="center"/>
          </w:tcPr>
          <w:p w14:paraId="3F3F1B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7307B6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8B6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105A1C99">
            <w:pPr>
              <w:pStyle w:val="28"/>
              <w:rPr>
                <w:color w:val="000000" w:themeColor="text1"/>
                <w14:textFill>
                  <w14:solidFill>
                    <w14:schemeClr w14:val="tx1"/>
                  </w14:solidFill>
                </w14:textFill>
              </w:rPr>
            </w:pPr>
          </w:p>
        </w:tc>
        <w:tc>
          <w:tcPr>
            <w:tcW w:w="1288" w:type="pct"/>
            <w:vMerge w:val="continue"/>
            <w:vAlign w:val="center"/>
          </w:tcPr>
          <w:p w14:paraId="6C07CCFB">
            <w:pPr>
              <w:pStyle w:val="28"/>
              <w:rPr>
                <w:color w:val="000000" w:themeColor="text1"/>
                <w14:textFill>
                  <w14:solidFill>
                    <w14:schemeClr w14:val="tx1"/>
                  </w14:solidFill>
                </w14:textFill>
              </w:rPr>
            </w:pPr>
          </w:p>
        </w:tc>
        <w:tc>
          <w:tcPr>
            <w:tcW w:w="420" w:type="pct"/>
            <w:shd w:val="clear" w:color="auto" w:fill="auto"/>
            <w:vAlign w:val="center"/>
          </w:tcPr>
          <w:p w14:paraId="024FAA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454336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94" w:type="pct"/>
            <w:shd w:val="clear" w:color="auto" w:fill="auto"/>
            <w:vAlign w:val="center"/>
          </w:tcPr>
          <w:p w14:paraId="3E9B84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6F396A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32F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55FA526F">
            <w:pPr>
              <w:pStyle w:val="28"/>
              <w:rPr>
                <w:color w:val="000000" w:themeColor="text1"/>
                <w14:textFill>
                  <w14:solidFill>
                    <w14:schemeClr w14:val="tx1"/>
                  </w14:solidFill>
                </w14:textFill>
              </w:rPr>
            </w:pPr>
          </w:p>
        </w:tc>
        <w:tc>
          <w:tcPr>
            <w:tcW w:w="1288" w:type="pct"/>
            <w:vMerge w:val="restart"/>
            <w:vAlign w:val="center"/>
          </w:tcPr>
          <w:p w14:paraId="7F3944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N3西厂界外1m处</w:t>
            </w:r>
          </w:p>
        </w:tc>
        <w:tc>
          <w:tcPr>
            <w:tcW w:w="420" w:type="pct"/>
            <w:shd w:val="clear" w:color="auto" w:fill="auto"/>
            <w:vAlign w:val="center"/>
          </w:tcPr>
          <w:p w14:paraId="530EED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7EB5CA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994" w:type="pct"/>
            <w:shd w:val="clear" w:color="auto" w:fill="auto"/>
            <w:vAlign w:val="center"/>
          </w:tcPr>
          <w:p w14:paraId="1F135671">
            <w:pPr>
              <w:pStyle w:val="28"/>
              <w:ind w:firstLine="0" w:firstLineChars="0"/>
              <w:rPr>
                <w:rFonts w:hint="default"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697" w:type="pct"/>
            <w:shd w:val="clear" w:color="auto" w:fill="auto"/>
            <w:vAlign w:val="center"/>
          </w:tcPr>
          <w:p w14:paraId="43E7EB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FC7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4DE26A90">
            <w:pPr>
              <w:pStyle w:val="28"/>
              <w:rPr>
                <w:color w:val="000000" w:themeColor="text1"/>
                <w14:textFill>
                  <w14:solidFill>
                    <w14:schemeClr w14:val="tx1"/>
                  </w14:solidFill>
                </w14:textFill>
              </w:rPr>
            </w:pPr>
          </w:p>
        </w:tc>
        <w:tc>
          <w:tcPr>
            <w:tcW w:w="1288" w:type="pct"/>
            <w:vMerge w:val="continue"/>
            <w:vAlign w:val="center"/>
          </w:tcPr>
          <w:p w14:paraId="021EF2A1">
            <w:pPr>
              <w:pStyle w:val="28"/>
              <w:rPr>
                <w:color w:val="000000" w:themeColor="text1"/>
                <w14:textFill>
                  <w14:solidFill>
                    <w14:schemeClr w14:val="tx1"/>
                  </w14:solidFill>
                </w14:textFill>
              </w:rPr>
            </w:pPr>
          </w:p>
        </w:tc>
        <w:tc>
          <w:tcPr>
            <w:tcW w:w="420" w:type="pct"/>
            <w:shd w:val="clear" w:color="auto" w:fill="auto"/>
            <w:vAlign w:val="center"/>
          </w:tcPr>
          <w:p w14:paraId="784EB5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7E988C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94" w:type="pct"/>
            <w:shd w:val="clear" w:color="auto" w:fill="auto"/>
            <w:vAlign w:val="center"/>
          </w:tcPr>
          <w:p w14:paraId="3D61D222">
            <w:pPr>
              <w:pStyle w:val="28"/>
              <w:ind w:firstLine="0" w:firstLineChars="0"/>
              <w:rPr>
                <w:rFonts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6CC72A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AB3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1FFED97F">
            <w:pPr>
              <w:pStyle w:val="28"/>
              <w:rPr>
                <w:color w:val="000000" w:themeColor="text1"/>
                <w14:textFill>
                  <w14:solidFill>
                    <w14:schemeClr w14:val="tx1"/>
                  </w14:solidFill>
                </w14:textFill>
              </w:rPr>
            </w:pPr>
          </w:p>
        </w:tc>
        <w:tc>
          <w:tcPr>
            <w:tcW w:w="1288" w:type="pct"/>
            <w:vMerge w:val="restart"/>
            <w:vAlign w:val="center"/>
          </w:tcPr>
          <w:p w14:paraId="0EEAA1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N4北厂界外1m处</w:t>
            </w:r>
          </w:p>
        </w:tc>
        <w:tc>
          <w:tcPr>
            <w:tcW w:w="420" w:type="pct"/>
            <w:shd w:val="clear" w:color="auto" w:fill="auto"/>
            <w:vAlign w:val="center"/>
          </w:tcPr>
          <w:p w14:paraId="5A52AA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30708D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994" w:type="pct"/>
            <w:shd w:val="clear" w:color="auto" w:fill="auto"/>
            <w:vAlign w:val="center"/>
          </w:tcPr>
          <w:p w14:paraId="690015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7" w:type="pct"/>
            <w:shd w:val="clear" w:color="auto" w:fill="auto"/>
            <w:vAlign w:val="center"/>
          </w:tcPr>
          <w:p w14:paraId="4345E0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B85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03851B43">
            <w:pPr>
              <w:pStyle w:val="28"/>
              <w:rPr>
                <w:color w:val="000000" w:themeColor="text1"/>
                <w14:textFill>
                  <w14:solidFill>
                    <w14:schemeClr w14:val="tx1"/>
                  </w14:solidFill>
                </w14:textFill>
              </w:rPr>
            </w:pPr>
          </w:p>
        </w:tc>
        <w:tc>
          <w:tcPr>
            <w:tcW w:w="1288" w:type="pct"/>
            <w:vMerge w:val="continue"/>
            <w:vAlign w:val="center"/>
          </w:tcPr>
          <w:p w14:paraId="24738686">
            <w:pPr>
              <w:pStyle w:val="28"/>
              <w:rPr>
                <w:color w:val="000000" w:themeColor="text1"/>
                <w14:textFill>
                  <w14:solidFill>
                    <w14:schemeClr w14:val="tx1"/>
                  </w14:solidFill>
                </w14:textFill>
              </w:rPr>
            </w:pPr>
          </w:p>
        </w:tc>
        <w:tc>
          <w:tcPr>
            <w:tcW w:w="420" w:type="pct"/>
            <w:shd w:val="clear" w:color="auto" w:fill="auto"/>
            <w:vAlign w:val="center"/>
          </w:tcPr>
          <w:p w14:paraId="7EFC8A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3958AB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94" w:type="pct"/>
            <w:shd w:val="clear" w:color="auto" w:fill="auto"/>
            <w:vAlign w:val="center"/>
          </w:tcPr>
          <w:p w14:paraId="19AAF2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7" w:type="pct"/>
            <w:shd w:val="clear" w:color="auto" w:fill="auto"/>
            <w:vAlign w:val="center"/>
          </w:tcPr>
          <w:p w14:paraId="4E2E91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100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7297DBE2">
            <w:pPr>
              <w:pStyle w:val="28"/>
              <w:rPr>
                <w:color w:val="000000" w:themeColor="text1"/>
                <w14:textFill>
                  <w14:solidFill>
                    <w14:schemeClr w14:val="tx1"/>
                  </w14:solidFill>
                </w14:textFill>
              </w:rPr>
            </w:pPr>
          </w:p>
        </w:tc>
        <w:tc>
          <w:tcPr>
            <w:tcW w:w="1288" w:type="pct"/>
            <w:vMerge w:val="restart"/>
            <w:vAlign w:val="center"/>
          </w:tcPr>
          <w:p w14:paraId="46DB53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N5大莲池村</w:t>
            </w:r>
          </w:p>
        </w:tc>
        <w:tc>
          <w:tcPr>
            <w:tcW w:w="420" w:type="pct"/>
            <w:shd w:val="clear" w:color="auto" w:fill="auto"/>
            <w:vAlign w:val="center"/>
          </w:tcPr>
          <w:p w14:paraId="672047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809" w:type="pct"/>
            <w:vAlign w:val="center"/>
          </w:tcPr>
          <w:p w14:paraId="5C668A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994" w:type="pct"/>
            <w:shd w:val="clear" w:color="auto" w:fill="auto"/>
            <w:vAlign w:val="center"/>
          </w:tcPr>
          <w:p w14:paraId="64DFF2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97" w:type="pct"/>
            <w:shd w:val="clear" w:color="auto" w:fill="auto"/>
            <w:vAlign w:val="center"/>
          </w:tcPr>
          <w:p w14:paraId="7E5DD6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17A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89" w:type="pct"/>
            <w:vMerge w:val="continue"/>
            <w:vAlign w:val="center"/>
          </w:tcPr>
          <w:p w14:paraId="361A22B6">
            <w:pPr>
              <w:pStyle w:val="28"/>
              <w:rPr>
                <w:color w:val="000000" w:themeColor="text1"/>
                <w14:textFill>
                  <w14:solidFill>
                    <w14:schemeClr w14:val="tx1"/>
                  </w14:solidFill>
                </w14:textFill>
              </w:rPr>
            </w:pPr>
          </w:p>
        </w:tc>
        <w:tc>
          <w:tcPr>
            <w:tcW w:w="1288" w:type="pct"/>
            <w:vMerge w:val="continue"/>
            <w:vAlign w:val="center"/>
          </w:tcPr>
          <w:p w14:paraId="23B2795C">
            <w:pPr>
              <w:pStyle w:val="28"/>
              <w:rPr>
                <w:color w:val="000000" w:themeColor="text1"/>
                <w14:textFill>
                  <w14:solidFill>
                    <w14:schemeClr w14:val="tx1"/>
                  </w14:solidFill>
                </w14:textFill>
              </w:rPr>
            </w:pPr>
          </w:p>
        </w:tc>
        <w:tc>
          <w:tcPr>
            <w:tcW w:w="420" w:type="pct"/>
            <w:shd w:val="clear" w:color="auto" w:fill="auto"/>
            <w:vAlign w:val="center"/>
          </w:tcPr>
          <w:p w14:paraId="10E67E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809" w:type="pct"/>
            <w:vAlign w:val="center"/>
          </w:tcPr>
          <w:p w14:paraId="7597E0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994" w:type="pct"/>
            <w:shd w:val="clear" w:color="auto" w:fill="auto"/>
            <w:vAlign w:val="center"/>
          </w:tcPr>
          <w:p w14:paraId="5E7D83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97" w:type="pct"/>
            <w:shd w:val="clear" w:color="auto" w:fill="auto"/>
            <w:vAlign w:val="center"/>
          </w:tcPr>
          <w:p w14:paraId="1034B7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6AFAFFEF">
      <w:pPr>
        <w:ind w:firstLine="480"/>
        <w:rPr>
          <w:color w:val="000000" w:themeColor="text1"/>
          <w14:textFill>
            <w14:solidFill>
              <w14:schemeClr w14:val="tx1"/>
            </w14:solidFill>
          </w14:textFill>
        </w:rPr>
      </w:pPr>
      <w:r>
        <w:rPr>
          <w:color w:val="000000" w:themeColor="text1"/>
          <w14:textFill>
            <w14:solidFill>
              <w14:schemeClr w14:val="tx1"/>
            </w14:solidFill>
          </w14:textFill>
        </w:rPr>
        <w:t>由上表知，项目区厂界东、南、北面监测点的环境噪声均满足《声环境质量标准》（GB3096-2008）</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类标准要求</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西</w:t>
      </w:r>
      <w:r>
        <w:rPr>
          <w:color w:val="000000" w:themeColor="text1"/>
          <w14:textFill>
            <w14:solidFill>
              <w14:schemeClr w14:val="tx1"/>
            </w14:solidFill>
          </w14:textFill>
        </w:rPr>
        <w:t>面监测点的环境噪声满足《声环境质量标准》（GB3096-2008）</w:t>
      </w:r>
      <w:r>
        <w:rPr>
          <w:rFonts w:hint="eastAsia"/>
          <w:color w:val="000000" w:themeColor="text1"/>
          <w:lang w:val="en-US" w:eastAsia="zh-CN"/>
          <w14:textFill>
            <w14:solidFill>
              <w14:schemeClr w14:val="tx1"/>
            </w14:solidFill>
          </w14:textFill>
        </w:rPr>
        <w:t>4a</w:t>
      </w:r>
      <w:r>
        <w:rPr>
          <w:color w:val="000000" w:themeColor="text1"/>
          <w14:textFill>
            <w14:solidFill>
              <w14:schemeClr w14:val="tx1"/>
            </w14:solidFill>
          </w14:textFill>
        </w:rPr>
        <w:t>类标准要求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项目区最近的村子大莲池村</w:t>
      </w:r>
      <w:r>
        <w:rPr>
          <w:color w:val="000000" w:themeColor="text1"/>
          <w14:textFill>
            <w14:solidFill>
              <w14:schemeClr w14:val="tx1"/>
            </w14:solidFill>
          </w14:textFill>
        </w:rPr>
        <w:t>监测点的环境噪声均满足《声环境质量标准》（GB3096-2008）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类标准要求。</w:t>
      </w:r>
    </w:p>
    <w:p w14:paraId="3A39621F">
      <w:pPr>
        <w:pStyle w:val="4"/>
        <w:rPr>
          <w:color w:val="000000" w:themeColor="text1"/>
          <w14:textFill>
            <w14:solidFill>
              <w14:schemeClr w14:val="tx1"/>
            </w14:solidFill>
          </w14:textFill>
        </w:rPr>
      </w:pPr>
      <w:bookmarkStart w:id="84" w:name="_Toc11105"/>
      <w:r>
        <w:rPr>
          <w:color w:val="000000" w:themeColor="text1"/>
          <w14:textFill>
            <w14:solidFill>
              <w14:schemeClr w14:val="tx1"/>
            </w14:solidFill>
          </w14:textFill>
        </w:rPr>
        <w:t>4.2.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土壤环境现状</w:t>
      </w:r>
      <w:bookmarkEnd w:id="84"/>
    </w:p>
    <w:p w14:paraId="10421313">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4.2.4.1土壤类型</w:t>
      </w:r>
    </w:p>
    <w:p w14:paraId="10B397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根据《中国土壤分类与代码》（GB/T 17296-2009）和国家土壤信息服务平台提供的数据，本项目占地区域土壤类型红壤。</w:t>
      </w:r>
    </w:p>
    <w:p w14:paraId="44D7B0C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40655" cy="2517140"/>
            <wp:effectExtent l="0" t="0" r="17145" b="16510"/>
            <wp:docPr id="65" name="图片 65" descr="449066f39d76e1ca214929c51104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49066f39d76e1ca214929c51104195b"/>
                    <pic:cNvPicPr>
                      <a:picLocks noChangeAspect="1"/>
                    </pic:cNvPicPr>
                  </pic:nvPicPr>
                  <pic:blipFill>
                    <a:blip r:embed="rId34"/>
                    <a:stretch>
                      <a:fillRect/>
                    </a:stretch>
                  </pic:blipFill>
                  <pic:spPr>
                    <a:xfrm>
                      <a:off x="0" y="0"/>
                      <a:ext cx="5240655" cy="2517140"/>
                    </a:xfrm>
                    <a:prstGeom prst="rect">
                      <a:avLst/>
                    </a:prstGeom>
                  </pic:spPr>
                </pic:pic>
              </a:graphicData>
            </a:graphic>
          </wp:inline>
        </w:drawing>
      </w:r>
    </w:p>
    <w:p w14:paraId="6000D20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图4.2-4  项目区土壤类型查询结果图</w:t>
      </w:r>
    </w:p>
    <w:p w14:paraId="6F967AD7">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4.2.4.2现状监测</w:t>
      </w:r>
    </w:p>
    <w:p w14:paraId="326426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（1）监测点位</w:t>
      </w:r>
    </w:p>
    <w:p w14:paraId="299E41F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本环评共设置4个表层采样点，即：T1租用厂房西面（原料暂存间和废水处理间附近）、T2租用厂房东北面（距离项目最近）、T3租用厂房北面（项目区下风向）、T4租用厂房西面（对照点）</w:t>
      </w:r>
    </w:p>
    <w:p w14:paraId="0E4D20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采样深度为0-0.2m。</w:t>
      </w:r>
    </w:p>
    <w:p w14:paraId="3B7B28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监测点位详见图</w:t>
      </w:r>
      <w:r>
        <w:rPr>
          <w:rFonts w:hint="eastAsia"/>
          <w:color w:val="000000" w:themeColor="text1"/>
          <w:highlight w:val="none"/>
          <w14:textFill>
            <w14:solidFill>
              <w14:schemeClr w14:val="tx1"/>
            </w14:solidFill>
          </w14:textFill>
        </w:rPr>
        <w:t>4.2-</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p>
    <w:p w14:paraId="6C53BEFE">
      <w:pPr>
        <w:pStyle w:val="27"/>
        <w:bidi w:val="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4164965"/>
            <wp:effectExtent l="0" t="0" r="4445" b="698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5"/>
                    <a:stretch>
                      <a:fillRect/>
                    </a:stretch>
                  </pic:blipFill>
                  <pic:spPr>
                    <a:xfrm>
                      <a:off x="0" y="0"/>
                      <a:ext cx="5272405" cy="4164965"/>
                    </a:xfrm>
                    <a:prstGeom prst="rect">
                      <a:avLst/>
                    </a:prstGeom>
                    <a:noFill/>
                    <a:ln>
                      <a:noFill/>
                    </a:ln>
                  </pic:spPr>
                </pic:pic>
              </a:graphicData>
            </a:graphic>
          </wp:inline>
        </w:drawing>
      </w:r>
    </w:p>
    <w:p w14:paraId="4ABCFA9A">
      <w:pPr>
        <w:pStyle w:val="2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图4.2-5  土壤环境现状监测点位示意图</w:t>
      </w:r>
    </w:p>
    <w:p w14:paraId="7B08B13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hint="default"/>
          <w:b/>
          <w:bCs/>
          <w:color w:val="000000" w:themeColor="text1"/>
          <w:sz w:val="24"/>
          <w:szCs w:val="24"/>
          <w:lang w:val="en-US" w:eastAsia="zh-CN"/>
          <w14:textFill>
            <w14:solidFill>
              <w14:schemeClr w14:val="tx1"/>
            </w14:solidFill>
          </w14:textFill>
        </w:rPr>
        <w:t>监测因子</w:t>
      </w:r>
    </w:p>
    <w:p w14:paraId="102EB43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T2、T4：</w:t>
      </w:r>
      <w:r>
        <w:rPr>
          <w:rFonts w:hint="default"/>
          <w:b w:val="0"/>
          <w:bCs w:val="0"/>
          <w:color w:val="000000" w:themeColor="text1"/>
          <w:sz w:val="24"/>
          <w:szCs w:val="24"/>
          <w:lang w:val="en-US" w:eastAsia="zh-CN"/>
          <w14:textFill>
            <w14:solidFill>
              <w14:schemeClr w14:val="tx1"/>
            </w14:solidFill>
          </w14:textFill>
        </w:rPr>
        <w:t>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苯酚、苯并[a]蒽、苯并[a]芘、苯并[b]荧蒽、苯并[k]荧蒽、䓛、二苯并[a,h]蒽、茚并[1,2,3-cd]芘、萘</w:t>
      </w:r>
    </w:p>
    <w:p w14:paraId="5DD0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T1、T3：</w:t>
      </w:r>
      <w:r>
        <w:rPr>
          <w:rFonts w:hint="default"/>
          <w:b w:val="0"/>
          <w:bCs w:val="0"/>
          <w:color w:val="000000" w:themeColor="text1"/>
          <w:sz w:val="24"/>
          <w:szCs w:val="24"/>
          <w:lang w:val="en-US" w:eastAsia="zh-CN"/>
          <w14:textFill>
            <w14:solidFill>
              <w14:schemeClr w14:val="tx1"/>
            </w14:solidFill>
          </w14:textFill>
        </w:rPr>
        <w:t>pH、砷、镉、铬（六价）、铜、铅、汞、镍</w:t>
      </w:r>
    </w:p>
    <w:p w14:paraId="2D9597F6">
      <w:pPr>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（3）监测时间、</w:t>
      </w:r>
      <w:r>
        <w:rPr>
          <w:rFonts w:hint="default"/>
          <w:b/>
          <w:bCs/>
          <w:color w:val="000000" w:themeColor="text1"/>
          <w:sz w:val="24"/>
          <w:szCs w:val="24"/>
          <w:lang w:val="en-US" w:eastAsia="zh-CN"/>
          <w14:textFill>
            <w14:solidFill>
              <w14:schemeClr w14:val="tx1"/>
            </w14:solidFill>
          </w14:textFill>
        </w:rPr>
        <w:t>监测频次</w:t>
      </w:r>
    </w:p>
    <w:p w14:paraId="77B570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监测时间：</w:t>
      </w:r>
      <w:r>
        <w:rPr>
          <w:rFonts w:hint="eastAsia"/>
          <w:b w:val="0"/>
          <w:bCs w:val="0"/>
          <w:color w:val="000000" w:themeColor="text1"/>
          <w:sz w:val="24"/>
          <w:szCs w:val="24"/>
          <w:lang w:val="en-US" w:eastAsia="zh-CN"/>
          <w14:textFill>
            <w14:solidFill>
              <w14:schemeClr w14:val="tx1"/>
            </w14:solidFill>
          </w14:textFill>
        </w:rPr>
        <w:t>2025年9月10日</w:t>
      </w:r>
    </w:p>
    <w:p w14:paraId="1629B2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监测</w:t>
      </w:r>
      <w:r>
        <w:rPr>
          <w:rFonts w:hint="eastAsia"/>
          <w:b/>
          <w:bCs/>
          <w:color w:val="000000" w:themeColor="text1"/>
          <w:sz w:val="24"/>
          <w:szCs w:val="24"/>
          <w:lang w:val="en-US" w:eastAsia="zh-CN"/>
          <w14:textFill>
            <w14:solidFill>
              <w14:schemeClr w14:val="tx1"/>
            </w14:solidFill>
          </w14:textFill>
        </w:rPr>
        <w:t>频次</w:t>
      </w:r>
      <w:r>
        <w:rPr>
          <w:rFonts w:hint="eastAsia"/>
          <w:b w:val="0"/>
          <w:bCs w:val="0"/>
          <w:color w:val="000000" w:themeColor="text1"/>
          <w:sz w:val="24"/>
          <w:szCs w:val="24"/>
          <w:lang w:val="en-US" w:eastAsia="zh-CN"/>
          <w14:textFill>
            <w14:solidFill>
              <w14:schemeClr w14:val="tx1"/>
            </w14:solidFill>
          </w14:textFill>
        </w:rPr>
        <w:t>：监测1</w:t>
      </w:r>
      <w:r>
        <w:rPr>
          <w:rFonts w:hint="default"/>
          <w:b w:val="0"/>
          <w:bCs w:val="0"/>
          <w:color w:val="000000" w:themeColor="text1"/>
          <w:sz w:val="24"/>
          <w:szCs w:val="24"/>
          <w:lang w:val="en-US" w:eastAsia="zh-CN"/>
          <w14:textFill>
            <w14:solidFill>
              <w14:schemeClr w14:val="tx1"/>
            </w14:solidFill>
          </w14:textFill>
        </w:rPr>
        <w:t>天</w:t>
      </w:r>
    </w:p>
    <w:p w14:paraId="328FA9E0">
      <w:pPr>
        <w:ind w:firstLine="480"/>
        <w:jc w:val="lef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4</w:t>
      </w:r>
      <w:r>
        <w:rPr>
          <w:b/>
          <w:bCs/>
          <w:color w:val="000000" w:themeColor="text1"/>
          <w:highlight w:val="none"/>
          <w14:textFill>
            <w14:solidFill>
              <w14:schemeClr w14:val="tx1"/>
            </w14:solidFill>
          </w14:textFill>
        </w:rPr>
        <w:t>）评价标准</w:t>
      </w:r>
    </w:p>
    <w:p w14:paraId="4C74D10A">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占地范围内执行《土壤环境质量  建设用地土壤污染风险管控标准（试行）》（GB36600-2018）中第二类用地标准，占地范围外执行《土壤环境质量 农用地土壤污染风险管控标准（试行）（GB15618-2018）中其他类用地标准</w:t>
      </w:r>
      <w:r>
        <w:rPr>
          <w:color w:val="000000" w:themeColor="text1"/>
          <w:highlight w:val="none"/>
          <w14:textFill>
            <w14:solidFill>
              <w14:schemeClr w14:val="tx1"/>
            </w14:solidFill>
          </w14:textFill>
        </w:rPr>
        <w:t>。</w:t>
      </w:r>
    </w:p>
    <w:p w14:paraId="38843E3B">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5</w:t>
      </w:r>
      <w:r>
        <w:rPr>
          <w:rFonts w:hint="eastAsia"/>
          <w:b/>
          <w:bCs/>
          <w:color w:val="000000" w:themeColor="text1"/>
          <w:highlight w:val="none"/>
          <w14:textFill>
            <w14:solidFill>
              <w14:schemeClr w14:val="tx1"/>
            </w14:solidFill>
          </w14:textFill>
        </w:rPr>
        <w:t>）评价方法</w:t>
      </w:r>
    </w:p>
    <w:p w14:paraId="44542FD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土壤质量评价采用标准指数法，标准指数＞1，表明该土壤因子已超标，标准指数越大，超标越严重。根据土壤现状监测中各因子对应的质量标准，分别计算每一种污染物的标准指数Pi，然后进行评价：</w:t>
      </w:r>
    </w:p>
    <w:p w14:paraId="6CBCB6E7">
      <w:pPr>
        <w:spacing w:line="240" w:lineRule="auto"/>
        <w:ind w:firstLine="480"/>
        <w:jc w:val="center"/>
        <w:rPr>
          <w:color w:val="000000" w:themeColor="text1"/>
          <w:highlight w:val="none"/>
          <w14:textFill>
            <w14:solidFill>
              <w14:schemeClr w14:val="tx1"/>
            </w14:solidFill>
          </w14:textFill>
        </w:rPr>
      </w:pPr>
      <w:r>
        <w:rPr>
          <w:color w:val="000000" w:themeColor="text1"/>
          <w:position w:val="-30"/>
          <w:szCs w:val="26"/>
          <w:highlight w:val="none"/>
          <w14:textFill>
            <w14:solidFill>
              <w14:schemeClr w14:val="tx1"/>
            </w14:solidFill>
          </w14:textFill>
        </w:rPr>
        <w:object>
          <v:shape id="_x0000_i1027" o:spt="75" type="#_x0000_t75" style="height:39pt;width:41.45pt;" o:ole="t" filled="f" o:preferrelative="t" stroked="f" coordsize="21600,21600">
            <v:path/>
            <v:fill on="f" focussize="0,0"/>
            <v:stroke on="f" joinstyle="miter"/>
            <v:imagedata r:id="rId37" o:title=""/>
            <o:lock v:ext="edit" aspectratio="t"/>
            <w10:wrap type="none"/>
            <w10:anchorlock/>
          </v:shape>
          <o:OLEObject Type="Embed" ProgID="Equation.3" ShapeID="_x0000_i1027" DrawAspect="Content" ObjectID="_1468075727" r:id="rId36">
            <o:LockedField>false</o:LockedField>
          </o:OLEObject>
        </w:object>
      </w:r>
    </w:p>
    <w:p w14:paraId="1EC1ADA9">
      <w:pPr>
        <w:spacing w:line="440" w:lineRule="exact"/>
        <w:ind w:firstLine="48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式中：</w:t>
      </w:r>
      <w:r>
        <w:rPr>
          <w:rFonts w:hint="eastAsia"/>
          <w:color w:val="000000" w:themeColor="text1"/>
          <w:highlight w:val="none"/>
          <w14:textFill>
            <w14:solidFill>
              <w14:schemeClr w14:val="tx1"/>
            </w14:solidFill>
          </w14:textFill>
        </w:rPr>
        <w:t>P</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标准指数；</w:t>
      </w:r>
    </w:p>
    <w:p w14:paraId="072FFC0C">
      <w:pPr>
        <w:spacing w:line="44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C</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评价因子</w:t>
      </w:r>
      <w:r>
        <w:rPr>
          <w:color w:val="000000" w:themeColor="text1"/>
          <w:highlight w:val="none"/>
          <w14:textFill>
            <w14:solidFill>
              <w14:schemeClr w14:val="tx1"/>
            </w14:solidFill>
          </w14:textFill>
        </w:rPr>
        <w:t>i</w:t>
      </w:r>
      <w:r>
        <w:rPr>
          <w:rFonts w:hAnsi="宋体"/>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j</w:t>
      </w:r>
      <w:r>
        <w:rPr>
          <w:rFonts w:hAnsi="宋体"/>
          <w:color w:val="000000" w:themeColor="text1"/>
          <w:highlight w:val="none"/>
          <w14:textFill>
            <w14:solidFill>
              <w14:schemeClr w14:val="tx1"/>
            </w14:solidFill>
          </w14:textFill>
        </w:rPr>
        <w:t>点的实测浓度值，</w:t>
      </w:r>
      <w:r>
        <w:rPr>
          <w:rFonts w:hint="eastAsia"/>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g/kg</w:t>
      </w:r>
      <w:r>
        <w:rPr>
          <w:rFonts w:hAnsi="宋体"/>
          <w:color w:val="000000" w:themeColor="text1"/>
          <w:highlight w:val="none"/>
          <w14:textFill>
            <w14:solidFill>
              <w14:schemeClr w14:val="tx1"/>
            </w14:solidFill>
          </w14:textFill>
        </w:rPr>
        <w:t>；</w:t>
      </w:r>
    </w:p>
    <w:p w14:paraId="56E50F0E">
      <w:pPr>
        <w:ind w:firstLine="480"/>
        <w:rPr>
          <w:rFonts w:hint="eastAsia"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评价因子</w:t>
      </w:r>
      <w:r>
        <w:rPr>
          <w:color w:val="000000" w:themeColor="text1"/>
          <w:highlight w:val="none"/>
          <w14:textFill>
            <w14:solidFill>
              <w14:schemeClr w14:val="tx1"/>
            </w14:solidFill>
          </w14:textFill>
        </w:rPr>
        <w:t>i</w:t>
      </w:r>
      <w:r>
        <w:rPr>
          <w:rFonts w:hAnsi="宋体"/>
          <w:color w:val="000000" w:themeColor="text1"/>
          <w:highlight w:val="none"/>
          <w14:textFill>
            <w14:solidFill>
              <w14:schemeClr w14:val="tx1"/>
            </w14:solidFill>
          </w14:textFill>
        </w:rPr>
        <w:t>的评价标准值，</w:t>
      </w:r>
      <w:r>
        <w:rPr>
          <w:rFonts w:hint="eastAsia"/>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g/kg</w:t>
      </w:r>
      <w:r>
        <w:rPr>
          <w:rFonts w:hint="eastAsia" w:hAnsi="宋体"/>
          <w:color w:val="000000" w:themeColor="text1"/>
          <w:highlight w:val="none"/>
          <w14:textFill>
            <w14:solidFill>
              <w14:schemeClr w14:val="tx1"/>
            </w14:solidFill>
          </w14:textFill>
        </w:rPr>
        <w:t>。</w:t>
      </w:r>
    </w:p>
    <w:p w14:paraId="477E32DF">
      <w:pPr>
        <w:ind w:firstLine="482"/>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6</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理化性质</w:t>
      </w:r>
    </w:p>
    <w:p w14:paraId="1A570A16">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监测点位土壤理化性质见表4.2-6。</w:t>
      </w:r>
    </w:p>
    <w:p w14:paraId="49411D2A">
      <w:pPr>
        <w:pStyle w:val="2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表4.2-6土壤理化性质一览表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1401"/>
        <w:gridCol w:w="867"/>
        <w:gridCol w:w="800"/>
        <w:gridCol w:w="1004"/>
        <w:gridCol w:w="935"/>
        <w:gridCol w:w="1004"/>
        <w:gridCol w:w="935"/>
        <w:gridCol w:w="1005"/>
        <w:gridCol w:w="940"/>
      </w:tblGrid>
      <w:tr w14:paraId="4D2A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gridSpan w:val="2"/>
            <w:vAlign w:val="center"/>
          </w:tcPr>
          <w:p w14:paraId="71D7809C">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采样点位</w:t>
            </w:r>
          </w:p>
        </w:tc>
        <w:tc>
          <w:tcPr>
            <w:tcW w:w="901" w:type="pct"/>
            <w:gridSpan w:val="2"/>
            <w:vAlign w:val="center"/>
          </w:tcPr>
          <w:p w14:paraId="1CE05012">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T1租用厂房西面（原料暂存间和废水处理间附近）</w:t>
            </w:r>
          </w:p>
        </w:tc>
        <w:tc>
          <w:tcPr>
            <w:tcW w:w="1049" w:type="pct"/>
            <w:gridSpan w:val="2"/>
            <w:vAlign w:val="center"/>
          </w:tcPr>
          <w:p w14:paraId="492D39A4">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T2租用厂房东北面（距离项目最近）</w:t>
            </w:r>
          </w:p>
        </w:tc>
        <w:tc>
          <w:tcPr>
            <w:tcW w:w="1049" w:type="pct"/>
            <w:gridSpan w:val="2"/>
            <w:vAlign w:val="center"/>
          </w:tcPr>
          <w:p w14:paraId="03F2D2C9">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T3租用厂房北面（项目区下风向）</w:t>
            </w:r>
          </w:p>
        </w:tc>
        <w:tc>
          <w:tcPr>
            <w:tcW w:w="1052" w:type="pct"/>
            <w:gridSpan w:val="2"/>
            <w:vAlign w:val="center"/>
          </w:tcPr>
          <w:p w14:paraId="063ABCB8">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T4租用厂房西面（对照点）</w:t>
            </w:r>
          </w:p>
        </w:tc>
      </w:tr>
      <w:tr w14:paraId="7612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gridSpan w:val="2"/>
            <w:vAlign w:val="center"/>
          </w:tcPr>
          <w:p w14:paraId="119B19EC">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采样时间</w:t>
            </w:r>
          </w:p>
        </w:tc>
        <w:tc>
          <w:tcPr>
            <w:tcW w:w="4052" w:type="pct"/>
            <w:gridSpan w:val="8"/>
            <w:vAlign w:val="center"/>
          </w:tcPr>
          <w:p w14:paraId="3AD1EF15">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2025年9月10日</w:t>
            </w:r>
          </w:p>
        </w:tc>
      </w:tr>
      <w:tr w14:paraId="7151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gridSpan w:val="2"/>
            <w:vAlign w:val="center"/>
          </w:tcPr>
          <w:p w14:paraId="05C7CF59">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点位坐标</w:t>
            </w:r>
          </w:p>
        </w:tc>
        <w:tc>
          <w:tcPr>
            <w:tcW w:w="469" w:type="pct"/>
            <w:shd w:val="clear" w:color="auto" w:fill="auto"/>
            <w:vAlign w:val="center"/>
          </w:tcPr>
          <w:p w14:paraId="5F98596D">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35.48</w:t>
            </w:r>
            <w:r>
              <w:rPr>
                <w:rFonts w:hint="default" w:ascii="Times New Roman" w:hAnsi="Times New Roman" w:cs="Times New Roman"/>
                <w:color w:val="000000" w:themeColor="text1"/>
                <w14:textFill>
                  <w14:solidFill>
                    <w14:schemeClr w14:val="tx1"/>
                  </w14:solidFill>
                </w14:textFill>
              </w:rPr>
              <w:t xml:space="preserve">" </w:t>
            </w:r>
          </w:p>
        </w:tc>
        <w:tc>
          <w:tcPr>
            <w:tcW w:w="432" w:type="pct"/>
            <w:shd w:val="clear" w:color="auto" w:fill="auto"/>
            <w:vAlign w:val="center"/>
          </w:tcPr>
          <w:p w14:paraId="6B5D679A">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14.21</w:t>
            </w:r>
            <w:r>
              <w:rPr>
                <w:rFonts w:hint="default" w:ascii="Times New Roman" w:hAnsi="Times New Roman" w:cs="Times New Roman"/>
                <w:color w:val="000000" w:themeColor="text1"/>
                <w14:textFill>
                  <w14:solidFill>
                    <w14:schemeClr w14:val="tx1"/>
                  </w14:solidFill>
                </w14:textFill>
              </w:rPr>
              <w:t>"</w:t>
            </w:r>
          </w:p>
        </w:tc>
        <w:tc>
          <w:tcPr>
            <w:tcW w:w="543" w:type="pct"/>
            <w:shd w:val="clear" w:color="auto" w:fill="auto"/>
            <w:vAlign w:val="center"/>
          </w:tcPr>
          <w:p w14:paraId="0B32075D">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36.59</w:t>
            </w:r>
            <w:r>
              <w:rPr>
                <w:rFonts w:hint="default" w:ascii="Times New Roman" w:hAnsi="Times New Roman" w:cs="Times New Roman"/>
                <w:color w:val="000000" w:themeColor="text1"/>
                <w14:textFill>
                  <w14:solidFill>
                    <w14:schemeClr w14:val="tx1"/>
                  </w14:solidFill>
                </w14:textFill>
              </w:rPr>
              <w:t xml:space="preserve">" </w:t>
            </w:r>
          </w:p>
        </w:tc>
        <w:tc>
          <w:tcPr>
            <w:tcW w:w="505" w:type="pct"/>
            <w:shd w:val="clear" w:color="auto" w:fill="auto"/>
            <w:vAlign w:val="center"/>
          </w:tcPr>
          <w:p w14:paraId="030CC523">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15.24</w:t>
            </w:r>
            <w:r>
              <w:rPr>
                <w:rFonts w:hint="default" w:ascii="Times New Roman" w:hAnsi="Times New Roman" w:cs="Times New Roman"/>
                <w:color w:val="000000" w:themeColor="text1"/>
                <w14:textFill>
                  <w14:solidFill>
                    <w14:schemeClr w14:val="tx1"/>
                  </w14:solidFill>
                </w14:textFill>
              </w:rPr>
              <w:t>"</w:t>
            </w:r>
          </w:p>
        </w:tc>
        <w:tc>
          <w:tcPr>
            <w:tcW w:w="543" w:type="pct"/>
            <w:shd w:val="clear" w:color="auto" w:fill="auto"/>
            <w:vAlign w:val="center"/>
          </w:tcPr>
          <w:p w14:paraId="240762FA">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38.72</w:t>
            </w:r>
            <w:r>
              <w:rPr>
                <w:rFonts w:hint="default" w:ascii="Times New Roman" w:hAnsi="Times New Roman" w:cs="Times New Roman"/>
                <w:color w:val="000000" w:themeColor="text1"/>
                <w14:textFill>
                  <w14:solidFill>
                    <w14:schemeClr w14:val="tx1"/>
                  </w14:solidFill>
                </w14:textFill>
              </w:rPr>
              <w:t xml:space="preserve">" </w:t>
            </w:r>
          </w:p>
        </w:tc>
        <w:tc>
          <w:tcPr>
            <w:tcW w:w="505" w:type="pct"/>
            <w:shd w:val="clear" w:color="auto" w:fill="auto"/>
            <w:vAlign w:val="center"/>
          </w:tcPr>
          <w:p w14:paraId="3DE12698">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16.00</w:t>
            </w:r>
            <w:r>
              <w:rPr>
                <w:rFonts w:hint="default" w:ascii="Times New Roman" w:hAnsi="Times New Roman" w:cs="Times New Roman"/>
                <w:color w:val="000000" w:themeColor="text1"/>
                <w14:textFill>
                  <w14:solidFill>
                    <w14:schemeClr w14:val="tx1"/>
                  </w14:solidFill>
                </w14:textFill>
              </w:rPr>
              <w:t>"</w:t>
            </w:r>
          </w:p>
        </w:tc>
        <w:tc>
          <w:tcPr>
            <w:tcW w:w="543" w:type="pct"/>
            <w:shd w:val="clear" w:color="auto" w:fill="auto"/>
            <w:vAlign w:val="center"/>
          </w:tcPr>
          <w:p w14:paraId="063DA936">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31.79</w:t>
            </w:r>
            <w:r>
              <w:rPr>
                <w:rFonts w:hint="default" w:ascii="Times New Roman" w:hAnsi="Times New Roman" w:cs="Times New Roman"/>
                <w:color w:val="000000" w:themeColor="text1"/>
                <w14:textFill>
                  <w14:solidFill>
                    <w14:schemeClr w14:val="tx1"/>
                  </w14:solidFill>
                </w14:textFill>
              </w:rPr>
              <w:t xml:space="preserve">" </w:t>
            </w:r>
          </w:p>
        </w:tc>
        <w:tc>
          <w:tcPr>
            <w:tcW w:w="508" w:type="pct"/>
            <w:shd w:val="clear" w:color="auto" w:fill="auto"/>
            <w:vAlign w:val="center"/>
          </w:tcPr>
          <w:p w14:paraId="6C502465">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13.14</w:t>
            </w:r>
            <w:r>
              <w:rPr>
                <w:rFonts w:hint="default" w:ascii="Times New Roman" w:hAnsi="Times New Roman" w:cs="Times New Roman"/>
                <w:color w:val="000000" w:themeColor="text1"/>
                <w14:textFill>
                  <w14:solidFill>
                    <w14:schemeClr w14:val="tx1"/>
                  </w14:solidFill>
                </w14:textFill>
              </w:rPr>
              <w:t>"</w:t>
            </w:r>
          </w:p>
        </w:tc>
      </w:tr>
      <w:tr w14:paraId="3902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gridSpan w:val="2"/>
            <w:vAlign w:val="center"/>
          </w:tcPr>
          <w:p w14:paraId="1BE9089A">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层次</w:t>
            </w:r>
          </w:p>
        </w:tc>
        <w:tc>
          <w:tcPr>
            <w:tcW w:w="901" w:type="pct"/>
            <w:gridSpan w:val="2"/>
            <w:vAlign w:val="center"/>
          </w:tcPr>
          <w:p w14:paraId="2B14CB67">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0-0.2m</w:t>
            </w:r>
          </w:p>
        </w:tc>
        <w:tc>
          <w:tcPr>
            <w:tcW w:w="1049" w:type="pct"/>
            <w:gridSpan w:val="2"/>
            <w:vAlign w:val="center"/>
          </w:tcPr>
          <w:p w14:paraId="408199FD">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0-0.2m</w:t>
            </w:r>
          </w:p>
        </w:tc>
        <w:tc>
          <w:tcPr>
            <w:tcW w:w="1049" w:type="pct"/>
            <w:gridSpan w:val="2"/>
            <w:vAlign w:val="center"/>
          </w:tcPr>
          <w:p w14:paraId="2E61B145">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0-0.2m</w:t>
            </w:r>
          </w:p>
        </w:tc>
        <w:tc>
          <w:tcPr>
            <w:tcW w:w="1052" w:type="pct"/>
            <w:gridSpan w:val="2"/>
            <w:vAlign w:val="center"/>
          </w:tcPr>
          <w:p w14:paraId="49345DD0">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0-0.2m</w:t>
            </w:r>
          </w:p>
        </w:tc>
      </w:tr>
      <w:tr w14:paraId="0A98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restart"/>
            <w:vAlign w:val="center"/>
          </w:tcPr>
          <w:p w14:paraId="347395CE">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现场记录</w:t>
            </w:r>
          </w:p>
        </w:tc>
        <w:tc>
          <w:tcPr>
            <w:tcW w:w="757" w:type="pct"/>
            <w:vAlign w:val="center"/>
          </w:tcPr>
          <w:p w14:paraId="63F830D9">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颜色</w:t>
            </w:r>
          </w:p>
        </w:tc>
        <w:tc>
          <w:tcPr>
            <w:tcW w:w="901" w:type="pct"/>
            <w:gridSpan w:val="2"/>
            <w:vAlign w:val="center"/>
          </w:tcPr>
          <w:p w14:paraId="6407D44F">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棕</w:t>
            </w:r>
          </w:p>
        </w:tc>
        <w:tc>
          <w:tcPr>
            <w:tcW w:w="1049" w:type="pct"/>
            <w:gridSpan w:val="2"/>
            <w:vAlign w:val="center"/>
          </w:tcPr>
          <w:p w14:paraId="0ECC4E13">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红棕</w:t>
            </w:r>
          </w:p>
        </w:tc>
        <w:tc>
          <w:tcPr>
            <w:tcW w:w="1049" w:type="pct"/>
            <w:gridSpan w:val="2"/>
            <w:vAlign w:val="center"/>
          </w:tcPr>
          <w:p w14:paraId="7450EF49">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红棕</w:t>
            </w:r>
          </w:p>
        </w:tc>
        <w:tc>
          <w:tcPr>
            <w:tcW w:w="1052" w:type="pct"/>
            <w:gridSpan w:val="2"/>
            <w:vAlign w:val="center"/>
          </w:tcPr>
          <w:p w14:paraId="5F337646">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深棕</w:t>
            </w:r>
          </w:p>
        </w:tc>
      </w:tr>
      <w:tr w14:paraId="7113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5DC961FA">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502076F0">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结构</w:t>
            </w:r>
          </w:p>
        </w:tc>
        <w:tc>
          <w:tcPr>
            <w:tcW w:w="901" w:type="pct"/>
            <w:gridSpan w:val="2"/>
            <w:vAlign w:val="center"/>
          </w:tcPr>
          <w:p w14:paraId="32DA1160">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团粒</w:t>
            </w:r>
          </w:p>
        </w:tc>
        <w:tc>
          <w:tcPr>
            <w:tcW w:w="1049" w:type="pct"/>
            <w:gridSpan w:val="2"/>
            <w:vAlign w:val="center"/>
          </w:tcPr>
          <w:p w14:paraId="64E04052">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团粒</w:t>
            </w:r>
          </w:p>
        </w:tc>
        <w:tc>
          <w:tcPr>
            <w:tcW w:w="1049" w:type="pct"/>
            <w:gridSpan w:val="2"/>
            <w:vAlign w:val="center"/>
          </w:tcPr>
          <w:p w14:paraId="6B032079">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团粒</w:t>
            </w:r>
          </w:p>
        </w:tc>
        <w:tc>
          <w:tcPr>
            <w:tcW w:w="1052" w:type="pct"/>
            <w:gridSpan w:val="2"/>
            <w:vAlign w:val="center"/>
          </w:tcPr>
          <w:p w14:paraId="151E9C3F">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团粒</w:t>
            </w:r>
          </w:p>
        </w:tc>
      </w:tr>
      <w:tr w14:paraId="6816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293B1CE2">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shd w:val="clear" w:color="auto" w:fill="auto"/>
            <w:vAlign w:val="center"/>
          </w:tcPr>
          <w:p w14:paraId="25CBF092">
            <w:pPr>
              <w:pStyle w:val="28"/>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质地</w:t>
            </w:r>
          </w:p>
        </w:tc>
        <w:tc>
          <w:tcPr>
            <w:tcW w:w="901" w:type="pct"/>
            <w:gridSpan w:val="2"/>
            <w:shd w:val="clear" w:color="auto" w:fill="auto"/>
            <w:vAlign w:val="center"/>
          </w:tcPr>
          <w:p w14:paraId="00524C2A">
            <w:pPr>
              <w:pStyle w:val="28"/>
              <w:keepNext w:val="0"/>
              <w:keepLines w:val="0"/>
              <w:suppressLineNumbers w:val="0"/>
              <w:bidi w:val="0"/>
              <w:spacing w:before="0" w:beforeAutospacing="0" w:after="0" w:afterAutospacing="0"/>
              <w:ind w:left="0" w:right="0"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壤土</w:t>
            </w:r>
          </w:p>
        </w:tc>
        <w:tc>
          <w:tcPr>
            <w:tcW w:w="1049" w:type="pct"/>
            <w:gridSpan w:val="2"/>
            <w:shd w:val="clear" w:color="auto" w:fill="auto"/>
            <w:vAlign w:val="center"/>
          </w:tcPr>
          <w:p w14:paraId="509B942A">
            <w:pPr>
              <w:pStyle w:val="28"/>
              <w:keepNext w:val="0"/>
              <w:keepLines w:val="0"/>
              <w:suppressLineNumbers w:val="0"/>
              <w:bidi w:val="0"/>
              <w:spacing w:before="0" w:beforeAutospacing="0" w:after="0" w:afterAutospacing="0"/>
              <w:ind w:left="0" w:right="0"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壤土</w:t>
            </w:r>
          </w:p>
        </w:tc>
        <w:tc>
          <w:tcPr>
            <w:tcW w:w="1049" w:type="pct"/>
            <w:gridSpan w:val="2"/>
            <w:shd w:val="clear" w:color="auto" w:fill="auto"/>
            <w:vAlign w:val="center"/>
          </w:tcPr>
          <w:p w14:paraId="69ED600D">
            <w:pPr>
              <w:pStyle w:val="28"/>
              <w:keepNext w:val="0"/>
              <w:keepLines w:val="0"/>
              <w:suppressLineNumbers w:val="0"/>
              <w:bidi w:val="0"/>
              <w:spacing w:before="0" w:beforeAutospacing="0" w:after="0" w:afterAutospacing="0"/>
              <w:ind w:left="0" w:right="0"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粘土</w:t>
            </w:r>
          </w:p>
        </w:tc>
        <w:tc>
          <w:tcPr>
            <w:tcW w:w="1052" w:type="pct"/>
            <w:gridSpan w:val="2"/>
            <w:shd w:val="clear" w:color="auto" w:fill="auto"/>
            <w:vAlign w:val="center"/>
          </w:tcPr>
          <w:p w14:paraId="78756FC1">
            <w:pPr>
              <w:pStyle w:val="28"/>
              <w:keepNext w:val="0"/>
              <w:keepLines w:val="0"/>
              <w:suppressLineNumbers w:val="0"/>
              <w:bidi w:val="0"/>
              <w:spacing w:before="0" w:beforeAutospacing="0" w:after="0" w:afterAutospacing="0"/>
              <w:ind w:left="0" w:right="0"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壤土</w:t>
            </w:r>
          </w:p>
        </w:tc>
      </w:tr>
      <w:tr w14:paraId="70ED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150F1B07">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shd w:val="clear" w:color="auto" w:fill="auto"/>
            <w:vAlign w:val="center"/>
          </w:tcPr>
          <w:p w14:paraId="209DB9A0">
            <w:pPr>
              <w:pStyle w:val="28"/>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砂砾含量</w:t>
            </w:r>
          </w:p>
        </w:tc>
        <w:tc>
          <w:tcPr>
            <w:tcW w:w="901" w:type="pct"/>
            <w:gridSpan w:val="2"/>
            <w:vAlign w:val="center"/>
          </w:tcPr>
          <w:p w14:paraId="2661B028">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c>
          <w:tcPr>
            <w:tcW w:w="1049" w:type="pct"/>
            <w:gridSpan w:val="2"/>
            <w:vAlign w:val="center"/>
          </w:tcPr>
          <w:p w14:paraId="21A4828F">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c>
          <w:tcPr>
            <w:tcW w:w="1049" w:type="pct"/>
            <w:gridSpan w:val="2"/>
            <w:vAlign w:val="center"/>
          </w:tcPr>
          <w:p w14:paraId="08467231">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c>
          <w:tcPr>
            <w:tcW w:w="1052" w:type="pct"/>
            <w:gridSpan w:val="2"/>
            <w:vAlign w:val="center"/>
          </w:tcPr>
          <w:p w14:paraId="5D804F44">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14:paraId="7FDD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3609AB73">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shd w:val="clear" w:color="auto" w:fill="auto"/>
            <w:vAlign w:val="center"/>
          </w:tcPr>
          <w:p w14:paraId="121CC303">
            <w:pPr>
              <w:pStyle w:val="28"/>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其他异物</w:t>
            </w:r>
          </w:p>
        </w:tc>
        <w:tc>
          <w:tcPr>
            <w:tcW w:w="901" w:type="pct"/>
            <w:gridSpan w:val="2"/>
            <w:vAlign w:val="center"/>
          </w:tcPr>
          <w:p w14:paraId="1DA85D47">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少许根系</w:t>
            </w:r>
          </w:p>
        </w:tc>
        <w:tc>
          <w:tcPr>
            <w:tcW w:w="1049" w:type="pct"/>
            <w:gridSpan w:val="2"/>
            <w:vAlign w:val="center"/>
          </w:tcPr>
          <w:p w14:paraId="6BAE9BE8">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c>
          <w:tcPr>
            <w:tcW w:w="1049" w:type="pct"/>
            <w:gridSpan w:val="2"/>
            <w:vAlign w:val="center"/>
          </w:tcPr>
          <w:p w14:paraId="0418572C">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c>
          <w:tcPr>
            <w:tcW w:w="1052" w:type="pct"/>
            <w:gridSpan w:val="2"/>
            <w:vAlign w:val="center"/>
          </w:tcPr>
          <w:p w14:paraId="0D79F1B5">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少许根系</w:t>
            </w:r>
          </w:p>
        </w:tc>
      </w:tr>
      <w:tr w14:paraId="06A9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restart"/>
            <w:vAlign w:val="center"/>
          </w:tcPr>
          <w:p w14:paraId="5036D9DE">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实验室测定</w:t>
            </w:r>
          </w:p>
        </w:tc>
        <w:tc>
          <w:tcPr>
            <w:tcW w:w="757" w:type="pct"/>
            <w:vAlign w:val="center"/>
          </w:tcPr>
          <w:p w14:paraId="6358F547">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pH值（无量纲）</w:t>
            </w:r>
          </w:p>
        </w:tc>
        <w:tc>
          <w:tcPr>
            <w:tcW w:w="901" w:type="pct"/>
            <w:gridSpan w:val="2"/>
            <w:vAlign w:val="center"/>
          </w:tcPr>
          <w:p w14:paraId="3014AA5F">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7.89</w:t>
            </w:r>
          </w:p>
        </w:tc>
        <w:tc>
          <w:tcPr>
            <w:tcW w:w="1049" w:type="pct"/>
            <w:gridSpan w:val="2"/>
            <w:vAlign w:val="center"/>
          </w:tcPr>
          <w:p w14:paraId="07891299">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5.80</w:t>
            </w:r>
          </w:p>
        </w:tc>
        <w:tc>
          <w:tcPr>
            <w:tcW w:w="1049" w:type="pct"/>
            <w:gridSpan w:val="2"/>
            <w:vAlign w:val="center"/>
          </w:tcPr>
          <w:p w14:paraId="51AF6FB4">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5.48</w:t>
            </w:r>
          </w:p>
        </w:tc>
        <w:tc>
          <w:tcPr>
            <w:tcW w:w="1052" w:type="pct"/>
            <w:gridSpan w:val="2"/>
            <w:vAlign w:val="center"/>
          </w:tcPr>
          <w:p w14:paraId="37026C0E">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7.89</w:t>
            </w:r>
          </w:p>
        </w:tc>
      </w:tr>
      <w:tr w14:paraId="3871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7EE6ACC3">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278463C8">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阳离子交换量（</w:t>
            </w:r>
            <w:r>
              <w:rPr>
                <w:rFonts w:hint="default" w:ascii="Times New Roman" w:hAnsi="Times New Roman" w:cs="Times New Roman"/>
                <w:color w:val="000000" w:themeColor="text1"/>
                <w:spacing w:val="14"/>
                <w:sz w:val="24"/>
                <w:szCs w:val="24"/>
                <w:highlight w:val="none"/>
                <w14:textFill>
                  <w14:solidFill>
                    <w14:schemeClr w14:val="tx1"/>
                  </w14:solidFill>
                </w14:textFill>
              </w:rPr>
              <w:t>cmol</w:t>
            </w:r>
            <w:r>
              <w:rPr>
                <w:rFonts w:hint="default" w:ascii="Times New Roman" w:hAnsi="Times New Roman" w:cs="Times New Roman"/>
                <w:color w:val="000000" w:themeColor="text1"/>
                <w:spacing w:val="14"/>
                <w:sz w:val="24"/>
                <w:szCs w:val="24"/>
                <w:highlight w:val="none"/>
                <w:vertAlign w:val="superscript"/>
                <w14:textFill>
                  <w14:solidFill>
                    <w14:schemeClr w14:val="tx1"/>
                  </w14:solidFill>
                </w14:textFill>
              </w:rPr>
              <w:t>+</w:t>
            </w:r>
            <w:r>
              <w:rPr>
                <w:rFonts w:hint="default" w:ascii="Times New Roman" w:hAnsi="Times New Roman" w:cs="Times New Roman"/>
                <w:color w:val="000000" w:themeColor="text1"/>
                <w:spacing w:val="14"/>
                <w:sz w:val="24"/>
                <w:szCs w:val="24"/>
                <w:highlight w:val="none"/>
                <w14:textFill>
                  <w14:solidFill>
                    <w14:schemeClr w14:val="tx1"/>
                  </w14:solidFill>
                </w14:textFill>
              </w:rPr>
              <w:t>/kg</w:t>
            </w:r>
            <w:r>
              <w:rPr>
                <w:rFonts w:hint="default" w:ascii="Times New Roman" w:hAnsi="Times New Roman" w:cs="Times New Roman"/>
                <w:color w:val="000000" w:themeColor="text1"/>
                <w:lang w:val="en-US" w:eastAsia="zh-CN"/>
                <w14:textFill>
                  <w14:solidFill>
                    <w14:schemeClr w14:val="tx1"/>
                  </w14:solidFill>
                </w14:textFill>
              </w:rPr>
              <w:t>）</w:t>
            </w:r>
          </w:p>
        </w:tc>
        <w:tc>
          <w:tcPr>
            <w:tcW w:w="901" w:type="pct"/>
            <w:gridSpan w:val="2"/>
            <w:shd w:val="clear" w:color="auto" w:fill="auto"/>
            <w:vAlign w:val="center"/>
          </w:tcPr>
          <w:p w14:paraId="4C551607">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10.6</w:t>
            </w:r>
          </w:p>
        </w:tc>
        <w:tc>
          <w:tcPr>
            <w:tcW w:w="1049" w:type="pct"/>
            <w:gridSpan w:val="2"/>
            <w:shd w:val="clear" w:color="auto" w:fill="auto"/>
            <w:vAlign w:val="center"/>
          </w:tcPr>
          <w:p w14:paraId="4F36FBCB">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1049" w:type="pct"/>
            <w:gridSpan w:val="2"/>
            <w:shd w:val="clear" w:color="auto" w:fill="auto"/>
            <w:vAlign w:val="center"/>
          </w:tcPr>
          <w:p w14:paraId="677FBC5A">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1052" w:type="pct"/>
            <w:gridSpan w:val="2"/>
            <w:shd w:val="clear" w:color="auto" w:fill="auto"/>
            <w:vAlign w:val="center"/>
          </w:tcPr>
          <w:p w14:paraId="39BA7256">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11.8</w:t>
            </w:r>
          </w:p>
        </w:tc>
      </w:tr>
      <w:tr w14:paraId="1966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6F632984">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59994C1B">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氧化还原电位（</w:t>
            </w:r>
            <w:r>
              <w:rPr>
                <w:rFonts w:hint="default" w:ascii="Times New Roman" w:hAnsi="Times New Roman" w:cs="Times New Roman"/>
                <w:color w:val="000000" w:themeColor="text1"/>
                <w:spacing w:val="14"/>
                <w:sz w:val="24"/>
                <w:szCs w:val="24"/>
                <w:highlight w:val="none"/>
                <w14:textFill>
                  <w14:solidFill>
                    <w14:schemeClr w14:val="tx1"/>
                  </w14:solidFill>
                </w14:textFill>
              </w:rPr>
              <w:t>mV</w:t>
            </w:r>
            <w:r>
              <w:rPr>
                <w:rFonts w:hint="default" w:ascii="Times New Roman" w:hAnsi="Times New Roman" w:cs="Times New Roman"/>
                <w:color w:val="000000" w:themeColor="text1"/>
                <w:lang w:val="en-US" w:eastAsia="zh-CN"/>
                <w14:textFill>
                  <w14:solidFill>
                    <w14:schemeClr w14:val="tx1"/>
                  </w14:solidFill>
                </w14:textFill>
              </w:rPr>
              <w:t>）</w:t>
            </w:r>
          </w:p>
        </w:tc>
        <w:tc>
          <w:tcPr>
            <w:tcW w:w="901" w:type="pct"/>
            <w:gridSpan w:val="2"/>
            <w:shd w:val="clear" w:color="auto" w:fill="auto"/>
            <w:vAlign w:val="center"/>
          </w:tcPr>
          <w:p w14:paraId="31208695">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475</w:t>
            </w:r>
          </w:p>
        </w:tc>
        <w:tc>
          <w:tcPr>
            <w:tcW w:w="1049" w:type="pct"/>
            <w:gridSpan w:val="2"/>
            <w:shd w:val="clear" w:color="auto" w:fill="auto"/>
            <w:vAlign w:val="center"/>
          </w:tcPr>
          <w:p w14:paraId="033D66C1">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492</w:t>
            </w:r>
          </w:p>
        </w:tc>
        <w:tc>
          <w:tcPr>
            <w:tcW w:w="1049" w:type="pct"/>
            <w:gridSpan w:val="2"/>
            <w:shd w:val="clear" w:color="auto" w:fill="auto"/>
            <w:vAlign w:val="center"/>
          </w:tcPr>
          <w:p w14:paraId="05234E0E">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480</w:t>
            </w:r>
          </w:p>
        </w:tc>
        <w:tc>
          <w:tcPr>
            <w:tcW w:w="1052" w:type="pct"/>
            <w:gridSpan w:val="2"/>
            <w:shd w:val="clear" w:color="auto" w:fill="auto"/>
            <w:vAlign w:val="center"/>
          </w:tcPr>
          <w:p w14:paraId="6D360895">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445</w:t>
            </w:r>
          </w:p>
        </w:tc>
      </w:tr>
      <w:tr w14:paraId="17ED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7E077C25">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3BDAFFEF">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饱和 含水率/（</w:t>
            </w:r>
            <w:r>
              <w:rPr>
                <w:rFonts w:hint="default" w:ascii="Times New Roman" w:hAnsi="Times New Roman" w:cs="Times New Roman"/>
                <w:color w:val="000000" w:themeColor="text1"/>
                <w:spacing w:val="14"/>
                <w:sz w:val="24"/>
                <w:szCs w:val="24"/>
                <w:highlight w:val="none"/>
                <w14:textFill>
                  <w14:solidFill>
                    <w14:schemeClr w14:val="tx1"/>
                  </w14:solidFill>
                </w14:textFill>
              </w:rPr>
              <w:t>mm/min</w:t>
            </w:r>
            <w:r>
              <w:rPr>
                <w:rFonts w:hint="default" w:ascii="Times New Roman" w:hAnsi="Times New Roman" w:cs="Times New Roman"/>
                <w:color w:val="000000" w:themeColor="text1"/>
                <w:lang w:val="en-US" w:eastAsia="zh-CN"/>
                <w14:textFill>
                  <w14:solidFill>
                    <w14:schemeClr w14:val="tx1"/>
                  </w14:solidFill>
                </w14:textFill>
              </w:rPr>
              <w:t>）</w:t>
            </w:r>
          </w:p>
        </w:tc>
        <w:tc>
          <w:tcPr>
            <w:tcW w:w="901" w:type="pct"/>
            <w:gridSpan w:val="2"/>
            <w:shd w:val="clear" w:color="auto" w:fill="auto"/>
            <w:vAlign w:val="center"/>
          </w:tcPr>
          <w:p w14:paraId="518D5EC6">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1049" w:type="pct"/>
            <w:gridSpan w:val="2"/>
            <w:shd w:val="clear" w:color="auto" w:fill="auto"/>
            <w:vAlign w:val="center"/>
          </w:tcPr>
          <w:p w14:paraId="5FA8C4ED">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0.25</w:t>
            </w:r>
          </w:p>
        </w:tc>
        <w:tc>
          <w:tcPr>
            <w:tcW w:w="1049" w:type="pct"/>
            <w:gridSpan w:val="2"/>
            <w:shd w:val="clear" w:color="auto" w:fill="auto"/>
            <w:vAlign w:val="center"/>
          </w:tcPr>
          <w:p w14:paraId="33680928">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0.26</w:t>
            </w:r>
          </w:p>
        </w:tc>
        <w:tc>
          <w:tcPr>
            <w:tcW w:w="1052" w:type="pct"/>
            <w:gridSpan w:val="2"/>
            <w:shd w:val="clear" w:color="auto" w:fill="auto"/>
            <w:vAlign w:val="center"/>
          </w:tcPr>
          <w:p w14:paraId="79707400">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r>
      <w:tr w14:paraId="42F0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08675778">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52F283CF">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土壤容重/（</w:t>
            </w:r>
            <w:r>
              <w:rPr>
                <w:rFonts w:hint="default" w:ascii="Times New Roman" w:hAnsi="Times New Roman" w:cs="Times New Roman"/>
                <w:color w:val="000000" w:themeColor="text1"/>
                <w:spacing w:val="14"/>
                <w:sz w:val="24"/>
                <w:szCs w:val="24"/>
                <w:highlight w:val="none"/>
                <w14:textFill>
                  <w14:solidFill>
                    <w14:schemeClr w14:val="tx1"/>
                  </w14:solidFill>
                </w14:textFill>
              </w:rPr>
              <w:t>g/cm</w:t>
            </w:r>
            <w:r>
              <w:rPr>
                <w:rFonts w:hint="eastAsia" w:ascii="Times New Roman" w:hAnsi="Times New Roman" w:cs="Times New Roman"/>
                <w:color w:val="000000" w:themeColor="text1"/>
                <w:spacing w:val="14"/>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tc>
        <w:tc>
          <w:tcPr>
            <w:tcW w:w="901" w:type="pct"/>
            <w:gridSpan w:val="2"/>
            <w:shd w:val="clear" w:color="auto" w:fill="auto"/>
            <w:vAlign w:val="center"/>
          </w:tcPr>
          <w:p w14:paraId="30AEE0A9">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1.34</w:t>
            </w:r>
          </w:p>
        </w:tc>
        <w:tc>
          <w:tcPr>
            <w:tcW w:w="1049" w:type="pct"/>
            <w:gridSpan w:val="2"/>
            <w:shd w:val="clear" w:color="auto" w:fill="auto"/>
            <w:vAlign w:val="center"/>
          </w:tcPr>
          <w:p w14:paraId="349CD2C4">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w:t>
            </w:r>
          </w:p>
        </w:tc>
        <w:tc>
          <w:tcPr>
            <w:tcW w:w="1049" w:type="pct"/>
            <w:gridSpan w:val="2"/>
            <w:shd w:val="clear" w:color="auto" w:fill="auto"/>
            <w:vAlign w:val="center"/>
          </w:tcPr>
          <w:p w14:paraId="79B05501">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w:t>
            </w:r>
          </w:p>
        </w:tc>
        <w:tc>
          <w:tcPr>
            <w:tcW w:w="1052" w:type="pct"/>
            <w:gridSpan w:val="2"/>
            <w:shd w:val="clear" w:color="auto" w:fill="auto"/>
            <w:vAlign w:val="center"/>
          </w:tcPr>
          <w:p w14:paraId="3B73AAC9">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1.08</w:t>
            </w:r>
          </w:p>
        </w:tc>
      </w:tr>
      <w:tr w14:paraId="3090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Merge w:val="continue"/>
            <w:vAlign w:val="center"/>
          </w:tcPr>
          <w:p w14:paraId="1A967D46">
            <w:pPr>
              <w:pStyle w:val="28"/>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57" w:type="pct"/>
            <w:vAlign w:val="center"/>
          </w:tcPr>
          <w:p w14:paraId="1D7062F4">
            <w:pPr>
              <w:pStyle w:val="28"/>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孔隙度（%）</w:t>
            </w:r>
          </w:p>
        </w:tc>
        <w:tc>
          <w:tcPr>
            <w:tcW w:w="901" w:type="pct"/>
            <w:gridSpan w:val="2"/>
            <w:shd w:val="clear" w:color="auto" w:fill="auto"/>
            <w:vAlign w:val="center"/>
          </w:tcPr>
          <w:p w14:paraId="6F6334B1">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48.9</w:t>
            </w:r>
          </w:p>
        </w:tc>
        <w:tc>
          <w:tcPr>
            <w:tcW w:w="1049" w:type="pct"/>
            <w:gridSpan w:val="2"/>
            <w:shd w:val="clear" w:color="auto" w:fill="auto"/>
            <w:vAlign w:val="center"/>
          </w:tcPr>
          <w:p w14:paraId="5D013652">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51.0</w:t>
            </w:r>
          </w:p>
        </w:tc>
        <w:tc>
          <w:tcPr>
            <w:tcW w:w="1049" w:type="pct"/>
            <w:gridSpan w:val="2"/>
            <w:shd w:val="clear" w:color="auto" w:fill="auto"/>
            <w:vAlign w:val="center"/>
          </w:tcPr>
          <w:p w14:paraId="0969C6EE">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51.3</w:t>
            </w:r>
          </w:p>
        </w:tc>
        <w:tc>
          <w:tcPr>
            <w:tcW w:w="1052" w:type="pct"/>
            <w:gridSpan w:val="2"/>
            <w:shd w:val="clear" w:color="auto" w:fill="auto"/>
            <w:vAlign w:val="center"/>
          </w:tcPr>
          <w:p w14:paraId="57AF75E7">
            <w:pPr>
              <w:pStyle w:val="28"/>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55.8</w:t>
            </w:r>
          </w:p>
        </w:tc>
      </w:tr>
    </w:tbl>
    <w:p w14:paraId="2CDD5D36">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（7）监测结果统计分析</w:t>
      </w:r>
    </w:p>
    <w:p w14:paraId="0A351DA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土壤环境质量现状监测结果及评价结果见表4.2-7。</w:t>
      </w:r>
    </w:p>
    <w:p w14:paraId="439E2D6F">
      <w:pPr>
        <w:pStyle w:val="2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4.2-7</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厂区内</w:t>
      </w:r>
      <w:r>
        <w:rPr>
          <w:rFonts w:hint="eastAsia"/>
          <w:color w:val="000000" w:themeColor="text1"/>
          <w:highlight w:val="none"/>
          <w14:textFill>
            <w14:solidFill>
              <w14:schemeClr w14:val="tx1"/>
            </w14:solidFill>
          </w14:textFill>
        </w:rPr>
        <w:t>土壤环境质量现状监测结果及评价结果</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表层样</w:t>
      </w:r>
      <w:r>
        <w:rPr>
          <w:rFonts w:hint="eastAsia"/>
          <w:color w:val="000000" w:themeColor="text1"/>
          <w:highlight w:val="none"/>
          <w:lang w:eastAsia="zh-CN"/>
          <w14:textFill>
            <w14:solidFill>
              <w14:schemeClr w14:val="tx1"/>
            </w14:solidFill>
          </w14:textFill>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2190"/>
        <w:gridCol w:w="1009"/>
        <w:gridCol w:w="902"/>
        <w:gridCol w:w="1553"/>
        <w:gridCol w:w="1429"/>
        <w:gridCol w:w="745"/>
      </w:tblGrid>
      <w:tr w14:paraId="283B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14:paraId="7FAAF23D">
            <w:pPr>
              <w:pStyle w:val="28"/>
              <w:keepNext w:val="0"/>
              <w:keepLines w:val="0"/>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监测点位</w:t>
            </w:r>
          </w:p>
        </w:tc>
        <w:tc>
          <w:tcPr>
            <w:tcW w:w="1185" w:type="pct"/>
            <w:vAlign w:val="center"/>
          </w:tcPr>
          <w:p w14:paraId="406106C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w:t>
            </w:r>
          </w:p>
        </w:tc>
        <w:tc>
          <w:tcPr>
            <w:tcW w:w="546" w:type="pct"/>
            <w:shd w:val="clear" w:color="auto" w:fill="auto"/>
            <w:vAlign w:val="center"/>
          </w:tcPr>
          <w:p w14:paraId="6A2B385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单位</w:t>
            </w:r>
          </w:p>
        </w:tc>
        <w:tc>
          <w:tcPr>
            <w:tcW w:w="488" w:type="pct"/>
            <w:shd w:val="clear" w:color="auto" w:fill="auto"/>
            <w:vAlign w:val="center"/>
          </w:tcPr>
          <w:p w14:paraId="14AA65A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监测结果</w:t>
            </w:r>
          </w:p>
        </w:tc>
        <w:tc>
          <w:tcPr>
            <w:tcW w:w="840" w:type="pct"/>
            <w:shd w:val="clear" w:color="auto" w:fill="auto"/>
            <w:vAlign w:val="center"/>
          </w:tcPr>
          <w:p w14:paraId="3F7316B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筛选值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第二类用地</w:t>
            </w:r>
            <w:r>
              <w:rPr>
                <w:rFonts w:hint="eastAsia"/>
                <w:color w:val="000000" w:themeColor="text1"/>
                <w:lang w:eastAsia="zh-CN"/>
                <w14:textFill>
                  <w14:solidFill>
                    <w14:schemeClr w14:val="tx1"/>
                  </w14:solidFill>
                </w14:textFill>
              </w:rPr>
              <w:t>）</w:t>
            </w:r>
          </w:p>
        </w:tc>
        <w:tc>
          <w:tcPr>
            <w:tcW w:w="773" w:type="pct"/>
            <w:shd w:val="clear" w:color="auto" w:fill="auto"/>
            <w:vAlign w:val="center"/>
          </w:tcPr>
          <w:p w14:paraId="740A6F4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标准指数</w:t>
            </w:r>
          </w:p>
        </w:tc>
        <w:tc>
          <w:tcPr>
            <w:tcW w:w="400" w:type="pct"/>
            <w:shd w:val="clear" w:color="auto" w:fill="auto"/>
            <w:vAlign w:val="center"/>
          </w:tcPr>
          <w:p w14:paraId="5F1957D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达标情况</w:t>
            </w:r>
          </w:p>
        </w:tc>
      </w:tr>
      <w:tr w14:paraId="1ADC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restart"/>
            <w:vAlign w:val="center"/>
          </w:tcPr>
          <w:p w14:paraId="18808A7F">
            <w:pPr>
              <w:pStyle w:val="28"/>
              <w:keepNext w:val="0"/>
              <w:keepLines w:val="0"/>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T1租用厂房西面（原料暂存间和废水处理间附近）</w:t>
            </w:r>
          </w:p>
          <w:p w14:paraId="025AE80D">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采样深度（0-0.2m）</w:t>
            </w:r>
          </w:p>
        </w:tc>
        <w:tc>
          <w:tcPr>
            <w:tcW w:w="1185" w:type="pct"/>
            <w:shd w:val="clear" w:color="auto" w:fill="auto"/>
            <w:vAlign w:val="center"/>
          </w:tcPr>
          <w:p w14:paraId="15ED79F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pH</w:t>
            </w:r>
          </w:p>
        </w:tc>
        <w:tc>
          <w:tcPr>
            <w:tcW w:w="546" w:type="pct"/>
            <w:shd w:val="clear" w:color="auto" w:fill="auto"/>
            <w:vAlign w:val="center"/>
          </w:tcPr>
          <w:p w14:paraId="79FB4A7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无量纲</w:t>
            </w:r>
          </w:p>
        </w:tc>
        <w:tc>
          <w:tcPr>
            <w:tcW w:w="488" w:type="pct"/>
            <w:shd w:val="clear" w:color="auto" w:fill="auto"/>
            <w:vAlign w:val="center"/>
          </w:tcPr>
          <w:p w14:paraId="084C04F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7.89</w:t>
            </w:r>
          </w:p>
        </w:tc>
        <w:tc>
          <w:tcPr>
            <w:tcW w:w="840" w:type="pct"/>
            <w:shd w:val="clear" w:color="auto" w:fill="auto"/>
            <w:vAlign w:val="center"/>
          </w:tcPr>
          <w:p w14:paraId="7D418E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8FEB9C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FFA5B3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558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F75261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0A2D277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总砷</w:t>
            </w:r>
          </w:p>
        </w:tc>
        <w:tc>
          <w:tcPr>
            <w:tcW w:w="546" w:type="pct"/>
            <w:shd w:val="clear" w:color="auto" w:fill="auto"/>
            <w:vAlign w:val="center"/>
          </w:tcPr>
          <w:p w14:paraId="3EA6B9A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2BB82D7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21.3</w:t>
            </w:r>
          </w:p>
        </w:tc>
        <w:tc>
          <w:tcPr>
            <w:tcW w:w="840" w:type="pct"/>
            <w:shd w:val="clear" w:color="auto" w:fill="auto"/>
            <w:vAlign w:val="center"/>
          </w:tcPr>
          <w:p w14:paraId="53189632">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773" w:type="pct"/>
            <w:shd w:val="clear" w:color="auto" w:fill="auto"/>
            <w:vAlign w:val="center"/>
          </w:tcPr>
          <w:p w14:paraId="7EDBC48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0.355</w:t>
            </w:r>
          </w:p>
        </w:tc>
        <w:tc>
          <w:tcPr>
            <w:tcW w:w="400" w:type="pct"/>
            <w:shd w:val="clear" w:color="auto" w:fill="auto"/>
            <w:vAlign w:val="center"/>
          </w:tcPr>
          <w:p w14:paraId="59A4687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BAE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DCC606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4051384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镉</w:t>
            </w:r>
          </w:p>
        </w:tc>
        <w:tc>
          <w:tcPr>
            <w:tcW w:w="546" w:type="pct"/>
            <w:shd w:val="clear" w:color="auto" w:fill="auto"/>
            <w:vAlign w:val="center"/>
          </w:tcPr>
          <w:p w14:paraId="7558E1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6ADFEBF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0.24</w:t>
            </w:r>
          </w:p>
        </w:tc>
        <w:tc>
          <w:tcPr>
            <w:tcW w:w="840" w:type="pct"/>
            <w:shd w:val="clear" w:color="auto" w:fill="auto"/>
            <w:vAlign w:val="center"/>
          </w:tcPr>
          <w:p w14:paraId="48FCA710">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773" w:type="pct"/>
            <w:shd w:val="clear" w:color="auto" w:fill="auto"/>
            <w:vAlign w:val="center"/>
          </w:tcPr>
          <w:p w14:paraId="76969C4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0.004</w:t>
            </w:r>
          </w:p>
        </w:tc>
        <w:tc>
          <w:tcPr>
            <w:tcW w:w="400" w:type="pct"/>
            <w:shd w:val="clear" w:color="auto" w:fill="auto"/>
            <w:vAlign w:val="center"/>
          </w:tcPr>
          <w:p w14:paraId="11D262C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82C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33DCC1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1980A75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546" w:type="pct"/>
            <w:shd w:val="clear" w:color="auto" w:fill="auto"/>
            <w:vAlign w:val="center"/>
          </w:tcPr>
          <w:p w14:paraId="08128D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52B3F02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0.5L</w:t>
            </w:r>
          </w:p>
        </w:tc>
        <w:tc>
          <w:tcPr>
            <w:tcW w:w="840" w:type="pct"/>
            <w:shd w:val="clear" w:color="auto" w:fill="auto"/>
            <w:vAlign w:val="center"/>
          </w:tcPr>
          <w:p w14:paraId="439DAFB4">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w:t>
            </w:r>
          </w:p>
        </w:tc>
        <w:tc>
          <w:tcPr>
            <w:tcW w:w="773" w:type="pct"/>
            <w:shd w:val="clear" w:color="auto" w:fill="auto"/>
            <w:vAlign w:val="center"/>
          </w:tcPr>
          <w:p w14:paraId="0D7CE9D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0.088</w:t>
            </w:r>
          </w:p>
        </w:tc>
        <w:tc>
          <w:tcPr>
            <w:tcW w:w="400" w:type="pct"/>
            <w:shd w:val="clear" w:color="auto" w:fill="auto"/>
            <w:vAlign w:val="center"/>
          </w:tcPr>
          <w:p w14:paraId="21D6CC0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463F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55E15F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3EB75B3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铜</w:t>
            </w:r>
          </w:p>
        </w:tc>
        <w:tc>
          <w:tcPr>
            <w:tcW w:w="546" w:type="pct"/>
            <w:shd w:val="clear" w:color="auto" w:fill="auto"/>
            <w:vAlign w:val="center"/>
          </w:tcPr>
          <w:p w14:paraId="5D37AF5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2A376FC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840" w:type="pct"/>
            <w:shd w:val="clear" w:color="auto" w:fill="auto"/>
            <w:vAlign w:val="center"/>
          </w:tcPr>
          <w:p w14:paraId="222B632A">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18000</w:t>
            </w:r>
          </w:p>
        </w:tc>
        <w:tc>
          <w:tcPr>
            <w:tcW w:w="773" w:type="pct"/>
            <w:shd w:val="clear" w:color="auto" w:fill="auto"/>
            <w:vAlign w:val="center"/>
          </w:tcPr>
          <w:p w14:paraId="368E1FE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0.004</w:t>
            </w:r>
          </w:p>
        </w:tc>
        <w:tc>
          <w:tcPr>
            <w:tcW w:w="400" w:type="pct"/>
            <w:shd w:val="clear" w:color="auto" w:fill="auto"/>
            <w:vAlign w:val="center"/>
          </w:tcPr>
          <w:p w14:paraId="7F2D7FD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C1E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4713A2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551A148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铅</w:t>
            </w:r>
          </w:p>
        </w:tc>
        <w:tc>
          <w:tcPr>
            <w:tcW w:w="546" w:type="pct"/>
            <w:shd w:val="clear" w:color="auto" w:fill="auto"/>
            <w:vAlign w:val="center"/>
          </w:tcPr>
          <w:p w14:paraId="1AD2178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3FA3959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w:t>
            </w:r>
          </w:p>
        </w:tc>
        <w:tc>
          <w:tcPr>
            <w:tcW w:w="840" w:type="pct"/>
            <w:shd w:val="clear" w:color="auto" w:fill="auto"/>
            <w:vAlign w:val="center"/>
          </w:tcPr>
          <w:p w14:paraId="325F82D3">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800</w:t>
            </w:r>
          </w:p>
        </w:tc>
        <w:tc>
          <w:tcPr>
            <w:tcW w:w="773" w:type="pct"/>
            <w:shd w:val="clear" w:color="auto" w:fill="auto"/>
            <w:vAlign w:val="center"/>
          </w:tcPr>
          <w:p w14:paraId="5646D34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0.041</w:t>
            </w:r>
          </w:p>
        </w:tc>
        <w:tc>
          <w:tcPr>
            <w:tcW w:w="400" w:type="pct"/>
            <w:shd w:val="clear" w:color="auto" w:fill="auto"/>
            <w:vAlign w:val="center"/>
          </w:tcPr>
          <w:p w14:paraId="0B82E8B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7CD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8C4805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2162970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总汞</w:t>
            </w:r>
          </w:p>
        </w:tc>
        <w:tc>
          <w:tcPr>
            <w:tcW w:w="546" w:type="pct"/>
            <w:shd w:val="clear" w:color="auto" w:fill="auto"/>
            <w:vAlign w:val="center"/>
          </w:tcPr>
          <w:p w14:paraId="7D201C4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156573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0.091</w:t>
            </w:r>
          </w:p>
        </w:tc>
        <w:tc>
          <w:tcPr>
            <w:tcW w:w="840" w:type="pct"/>
            <w:shd w:val="clear" w:color="auto" w:fill="auto"/>
            <w:vAlign w:val="center"/>
          </w:tcPr>
          <w:p w14:paraId="58F249AB">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773" w:type="pct"/>
            <w:shd w:val="clear" w:color="auto" w:fill="auto"/>
            <w:vAlign w:val="center"/>
          </w:tcPr>
          <w:p w14:paraId="102E7DD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w:t>
            </w:r>
          </w:p>
        </w:tc>
        <w:tc>
          <w:tcPr>
            <w:tcW w:w="400" w:type="pct"/>
            <w:shd w:val="clear" w:color="auto" w:fill="auto"/>
            <w:vAlign w:val="center"/>
          </w:tcPr>
          <w:p w14:paraId="177FAD6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245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687A1A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65B1336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镍</w:t>
            </w:r>
          </w:p>
        </w:tc>
        <w:tc>
          <w:tcPr>
            <w:tcW w:w="546" w:type="pct"/>
            <w:shd w:val="clear" w:color="auto" w:fill="auto"/>
            <w:vAlign w:val="center"/>
          </w:tcPr>
          <w:p w14:paraId="4637AE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56A1802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840" w:type="pct"/>
            <w:shd w:val="clear" w:color="auto" w:fill="auto"/>
            <w:vAlign w:val="center"/>
          </w:tcPr>
          <w:p w14:paraId="27DB3D0B">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w:t>
            </w:r>
          </w:p>
        </w:tc>
        <w:tc>
          <w:tcPr>
            <w:tcW w:w="773" w:type="pct"/>
            <w:shd w:val="clear" w:color="auto" w:fill="auto"/>
            <w:vAlign w:val="center"/>
          </w:tcPr>
          <w:p w14:paraId="524CBA4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0.053</w:t>
            </w:r>
          </w:p>
        </w:tc>
        <w:tc>
          <w:tcPr>
            <w:tcW w:w="400" w:type="pct"/>
            <w:shd w:val="clear" w:color="auto" w:fill="auto"/>
            <w:vAlign w:val="center"/>
          </w:tcPr>
          <w:p w14:paraId="03F954E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DDC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restart"/>
            <w:vAlign w:val="center"/>
          </w:tcPr>
          <w:p w14:paraId="0CBECBB7">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T2租用厂房东北面（距离项目最近）</w:t>
            </w:r>
          </w:p>
          <w:p w14:paraId="2247005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采样深度（0-0.2m）</w:t>
            </w:r>
          </w:p>
        </w:tc>
        <w:tc>
          <w:tcPr>
            <w:tcW w:w="1185" w:type="pct"/>
            <w:shd w:val="clear" w:color="auto" w:fill="auto"/>
            <w:vAlign w:val="center"/>
          </w:tcPr>
          <w:p w14:paraId="15DFEB3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pH</w:t>
            </w:r>
          </w:p>
        </w:tc>
        <w:tc>
          <w:tcPr>
            <w:tcW w:w="546" w:type="pct"/>
            <w:shd w:val="clear" w:color="auto" w:fill="auto"/>
            <w:vAlign w:val="center"/>
          </w:tcPr>
          <w:p w14:paraId="77A1EE4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无量纲</w:t>
            </w:r>
          </w:p>
        </w:tc>
        <w:tc>
          <w:tcPr>
            <w:tcW w:w="488" w:type="pct"/>
            <w:shd w:val="clear" w:color="auto" w:fill="auto"/>
            <w:vAlign w:val="center"/>
          </w:tcPr>
          <w:p w14:paraId="72672D5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5.80</w:t>
            </w:r>
          </w:p>
        </w:tc>
        <w:tc>
          <w:tcPr>
            <w:tcW w:w="840" w:type="pct"/>
            <w:shd w:val="clear" w:color="auto" w:fill="auto"/>
            <w:vAlign w:val="center"/>
          </w:tcPr>
          <w:p w14:paraId="1E9BBF7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790EEF20">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CD5662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A8B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F3B388E">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4CAD2B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总砷</w:t>
            </w:r>
          </w:p>
        </w:tc>
        <w:tc>
          <w:tcPr>
            <w:tcW w:w="546" w:type="pct"/>
            <w:shd w:val="clear" w:color="auto" w:fill="auto"/>
            <w:vAlign w:val="center"/>
          </w:tcPr>
          <w:p w14:paraId="3EBB708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147AE38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w:t>
            </w:r>
          </w:p>
        </w:tc>
        <w:tc>
          <w:tcPr>
            <w:tcW w:w="840" w:type="pct"/>
            <w:shd w:val="clear" w:color="auto" w:fill="auto"/>
            <w:vAlign w:val="center"/>
          </w:tcPr>
          <w:p w14:paraId="60DBBF3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773" w:type="pct"/>
            <w:shd w:val="clear" w:color="auto" w:fill="auto"/>
            <w:vAlign w:val="center"/>
          </w:tcPr>
          <w:p w14:paraId="283CF2A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0.233</w:t>
            </w:r>
          </w:p>
        </w:tc>
        <w:tc>
          <w:tcPr>
            <w:tcW w:w="400" w:type="pct"/>
            <w:shd w:val="clear" w:color="auto" w:fill="auto"/>
            <w:vAlign w:val="center"/>
          </w:tcPr>
          <w:p w14:paraId="4A0A1F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C4A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329C41E">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5043FC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镉</w:t>
            </w:r>
          </w:p>
        </w:tc>
        <w:tc>
          <w:tcPr>
            <w:tcW w:w="546" w:type="pct"/>
            <w:shd w:val="clear" w:color="auto" w:fill="auto"/>
            <w:vAlign w:val="center"/>
          </w:tcPr>
          <w:p w14:paraId="7BC1DC0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43216E5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w:t>
            </w:r>
          </w:p>
        </w:tc>
        <w:tc>
          <w:tcPr>
            <w:tcW w:w="840" w:type="pct"/>
            <w:shd w:val="clear" w:color="auto" w:fill="auto"/>
            <w:vAlign w:val="center"/>
          </w:tcPr>
          <w:p w14:paraId="2ECF595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773" w:type="pct"/>
            <w:shd w:val="clear" w:color="auto" w:fill="auto"/>
            <w:vAlign w:val="center"/>
          </w:tcPr>
          <w:p w14:paraId="35E18CA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w:t>
            </w:r>
          </w:p>
        </w:tc>
        <w:tc>
          <w:tcPr>
            <w:tcW w:w="400" w:type="pct"/>
            <w:shd w:val="clear" w:color="auto" w:fill="auto"/>
            <w:vAlign w:val="center"/>
          </w:tcPr>
          <w:p w14:paraId="470BBA8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3B0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51E40E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EAB747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546" w:type="pct"/>
            <w:shd w:val="clear" w:color="auto" w:fill="auto"/>
            <w:vAlign w:val="center"/>
          </w:tcPr>
          <w:p w14:paraId="6125DEF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0F2409B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0.5L</w:t>
            </w:r>
          </w:p>
        </w:tc>
        <w:tc>
          <w:tcPr>
            <w:tcW w:w="840" w:type="pct"/>
            <w:shd w:val="clear" w:color="auto" w:fill="auto"/>
            <w:vAlign w:val="center"/>
          </w:tcPr>
          <w:p w14:paraId="47F8EFA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w:t>
            </w:r>
          </w:p>
        </w:tc>
        <w:tc>
          <w:tcPr>
            <w:tcW w:w="773" w:type="pct"/>
            <w:shd w:val="clear" w:color="auto" w:fill="auto"/>
            <w:vAlign w:val="center"/>
          </w:tcPr>
          <w:p w14:paraId="224BC6C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0.088</w:t>
            </w:r>
          </w:p>
        </w:tc>
        <w:tc>
          <w:tcPr>
            <w:tcW w:w="400" w:type="pct"/>
            <w:shd w:val="clear" w:color="auto" w:fill="auto"/>
            <w:vAlign w:val="center"/>
          </w:tcPr>
          <w:p w14:paraId="60EAA34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20D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AF23DD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E21958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铜</w:t>
            </w:r>
          </w:p>
        </w:tc>
        <w:tc>
          <w:tcPr>
            <w:tcW w:w="546" w:type="pct"/>
            <w:shd w:val="clear" w:color="auto" w:fill="auto"/>
            <w:vAlign w:val="center"/>
          </w:tcPr>
          <w:p w14:paraId="6EB409A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7F8B6EE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840" w:type="pct"/>
            <w:shd w:val="clear" w:color="auto" w:fill="auto"/>
            <w:vAlign w:val="center"/>
          </w:tcPr>
          <w:p w14:paraId="4B1ACD1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18000</w:t>
            </w:r>
          </w:p>
        </w:tc>
        <w:tc>
          <w:tcPr>
            <w:tcW w:w="773" w:type="pct"/>
            <w:shd w:val="clear" w:color="auto" w:fill="auto"/>
            <w:vAlign w:val="center"/>
          </w:tcPr>
          <w:p w14:paraId="5A425DA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w:t>
            </w:r>
          </w:p>
        </w:tc>
        <w:tc>
          <w:tcPr>
            <w:tcW w:w="400" w:type="pct"/>
            <w:shd w:val="clear" w:color="auto" w:fill="auto"/>
            <w:vAlign w:val="center"/>
          </w:tcPr>
          <w:p w14:paraId="3CB8176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58C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755E5ED">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A2E7FE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铅</w:t>
            </w:r>
          </w:p>
        </w:tc>
        <w:tc>
          <w:tcPr>
            <w:tcW w:w="546" w:type="pct"/>
            <w:shd w:val="clear" w:color="auto" w:fill="auto"/>
            <w:vAlign w:val="center"/>
          </w:tcPr>
          <w:p w14:paraId="333BAB6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7720850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840" w:type="pct"/>
            <w:shd w:val="clear" w:color="auto" w:fill="auto"/>
            <w:vAlign w:val="center"/>
          </w:tcPr>
          <w:p w14:paraId="01C7C6E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800</w:t>
            </w:r>
          </w:p>
        </w:tc>
        <w:tc>
          <w:tcPr>
            <w:tcW w:w="773" w:type="pct"/>
            <w:shd w:val="clear" w:color="auto" w:fill="auto"/>
            <w:vAlign w:val="center"/>
          </w:tcPr>
          <w:p w14:paraId="474E2CF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0.025</w:t>
            </w:r>
          </w:p>
        </w:tc>
        <w:tc>
          <w:tcPr>
            <w:tcW w:w="400" w:type="pct"/>
            <w:shd w:val="clear" w:color="auto" w:fill="auto"/>
            <w:vAlign w:val="center"/>
          </w:tcPr>
          <w:p w14:paraId="3F5A543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77E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8911DA7">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3C0B9A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总汞</w:t>
            </w:r>
          </w:p>
        </w:tc>
        <w:tc>
          <w:tcPr>
            <w:tcW w:w="546" w:type="pct"/>
            <w:shd w:val="clear" w:color="auto" w:fill="auto"/>
            <w:vAlign w:val="center"/>
          </w:tcPr>
          <w:p w14:paraId="51DFBF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29348E4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0.118</w:t>
            </w:r>
          </w:p>
        </w:tc>
        <w:tc>
          <w:tcPr>
            <w:tcW w:w="840" w:type="pct"/>
            <w:shd w:val="clear" w:color="auto" w:fill="auto"/>
            <w:vAlign w:val="center"/>
          </w:tcPr>
          <w:p w14:paraId="7C6CB86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773" w:type="pct"/>
            <w:shd w:val="clear" w:color="auto" w:fill="auto"/>
            <w:vAlign w:val="center"/>
          </w:tcPr>
          <w:p w14:paraId="2B7F6A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0.003</w:t>
            </w:r>
          </w:p>
        </w:tc>
        <w:tc>
          <w:tcPr>
            <w:tcW w:w="400" w:type="pct"/>
            <w:shd w:val="clear" w:color="auto" w:fill="auto"/>
            <w:vAlign w:val="center"/>
          </w:tcPr>
          <w:p w14:paraId="0A9A48F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B93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BBD1495">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634A96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镍</w:t>
            </w:r>
          </w:p>
        </w:tc>
        <w:tc>
          <w:tcPr>
            <w:tcW w:w="546" w:type="pct"/>
            <w:shd w:val="clear" w:color="auto" w:fill="auto"/>
            <w:vAlign w:val="center"/>
          </w:tcPr>
          <w:p w14:paraId="7EA36CA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5E893CC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840" w:type="pct"/>
            <w:shd w:val="clear" w:color="auto" w:fill="auto"/>
            <w:vAlign w:val="center"/>
          </w:tcPr>
          <w:p w14:paraId="2406F38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w:t>
            </w:r>
          </w:p>
        </w:tc>
        <w:tc>
          <w:tcPr>
            <w:tcW w:w="773" w:type="pct"/>
            <w:shd w:val="clear" w:color="auto" w:fill="auto"/>
            <w:vAlign w:val="center"/>
          </w:tcPr>
          <w:p w14:paraId="06E8CDF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0.042</w:t>
            </w:r>
          </w:p>
        </w:tc>
        <w:tc>
          <w:tcPr>
            <w:tcW w:w="400" w:type="pct"/>
            <w:shd w:val="clear" w:color="auto" w:fill="auto"/>
            <w:vAlign w:val="center"/>
          </w:tcPr>
          <w:p w14:paraId="5F0AEA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2B3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3190CCC">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6EC8C8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氯甲烷</w:t>
            </w:r>
          </w:p>
        </w:tc>
        <w:tc>
          <w:tcPr>
            <w:tcW w:w="546" w:type="pct"/>
            <w:shd w:val="clear" w:color="auto" w:fill="auto"/>
            <w:vAlign w:val="center"/>
          </w:tcPr>
          <w:p w14:paraId="3817110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53F341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vAlign w:val="center"/>
          </w:tcPr>
          <w:p w14:paraId="33E17CE0">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37000</w:t>
            </w:r>
          </w:p>
        </w:tc>
        <w:tc>
          <w:tcPr>
            <w:tcW w:w="773" w:type="pct"/>
            <w:shd w:val="clear" w:color="auto" w:fill="auto"/>
            <w:vAlign w:val="center"/>
          </w:tcPr>
          <w:p w14:paraId="12DA20B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2.70</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E-05</w:t>
            </w:r>
          </w:p>
        </w:tc>
        <w:tc>
          <w:tcPr>
            <w:tcW w:w="400" w:type="pct"/>
            <w:shd w:val="clear" w:color="auto" w:fill="auto"/>
            <w:vAlign w:val="center"/>
          </w:tcPr>
          <w:p w14:paraId="5E48C67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021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0FBA29B">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1717B8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氯乙烯</w:t>
            </w:r>
          </w:p>
        </w:tc>
        <w:tc>
          <w:tcPr>
            <w:tcW w:w="546" w:type="pct"/>
            <w:shd w:val="clear" w:color="auto" w:fill="auto"/>
            <w:vAlign w:val="center"/>
          </w:tcPr>
          <w:p w14:paraId="5526935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054E4AD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vAlign w:val="center"/>
          </w:tcPr>
          <w:p w14:paraId="4BA6424F">
            <w:pPr>
              <w:pStyle w:val="28"/>
              <w:keepNext w:val="0"/>
              <w:keepLines w:val="0"/>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430</w:t>
            </w:r>
          </w:p>
        </w:tc>
        <w:tc>
          <w:tcPr>
            <w:tcW w:w="773" w:type="pct"/>
            <w:shd w:val="clear" w:color="auto" w:fill="auto"/>
            <w:vAlign w:val="center"/>
          </w:tcPr>
          <w:p w14:paraId="7DD7540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w:t>
            </w:r>
          </w:p>
        </w:tc>
        <w:tc>
          <w:tcPr>
            <w:tcW w:w="400" w:type="pct"/>
            <w:shd w:val="clear" w:color="auto" w:fill="auto"/>
            <w:vAlign w:val="center"/>
          </w:tcPr>
          <w:p w14:paraId="3D06281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E47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9F0CA2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6A70CB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1，1-二氯乙烯</w:t>
            </w:r>
          </w:p>
        </w:tc>
        <w:tc>
          <w:tcPr>
            <w:tcW w:w="546" w:type="pct"/>
            <w:shd w:val="clear" w:color="auto" w:fill="auto"/>
            <w:vAlign w:val="center"/>
          </w:tcPr>
          <w:p w14:paraId="45C9ED5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0FEAB37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vAlign w:val="center"/>
          </w:tcPr>
          <w:p w14:paraId="620A0B46">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66000</w:t>
            </w:r>
          </w:p>
        </w:tc>
        <w:tc>
          <w:tcPr>
            <w:tcW w:w="773" w:type="pct"/>
            <w:shd w:val="clear" w:color="auto" w:fill="auto"/>
            <w:vAlign w:val="center"/>
          </w:tcPr>
          <w:p w14:paraId="4CB1A66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1.515E-05</w:t>
            </w:r>
          </w:p>
        </w:tc>
        <w:tc>
          <w:tcPr>
            <w:tcW w:w="400" w:type="pct"/>
            <w:shd w:val="clear" w:color="auto" w:fill="auto"/>
            <w:vAlign w:val="center"/>
          </w:tcPr>
          <w:p w14:paraId="230B42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4FBF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0CF06D1">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B3B8BD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二氯甲烷</w:t>
            </w:r>
          </w:p>
        </w:tc>
        <w:tc>
          <w:tcPr>
            <w:tcW w:w="546" w:type="pct"/>
            <w:shd w:val="clear" w:color="auto" w:fill="auto"/>
            <w:vAlign w:val="center"/>
          </w:tcPr>
          <w:p w14:paraId="36FEE4E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02CA3F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vAlign w:val="center"/>
          </w:tcPr>
          <w:p w14:paraId="7F0A166C">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616000</w:t>
            </w:r>
          </w:p>
        </w:tc>
        <w:tc>
          <w:tcPr>
            <w:tcW w:w="773" w:type="pct"/>
            <w:shd w:val="clear" w:color="auto" w:fill="auto"/>
            <w:vAlign w:val="center"/>
          </w:tcPr>
          <w:p w14:paraId="52586A4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2.435E-06</w:t>
            </w:r>
          </w:p>
        </w:tc>
        <w:tc>
          <w:tcPr>
            <w:tcW w:w="400" w:type="pct"/>
            <w:shd w:val="clear" w:color="auto" w:fill="auto"/>
            <w:vAlign w:val="center"/>
          </w:tcPr>
          <w:p w14:paraId="6499B3D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773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B214B9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09EE09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反式-1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2-二氯乙烯</w:t>
            </w:r>
          </w:p>
        </w:tc>
        <w:tc>
          <w:tcPr>
            <w:tcW w:w="546" w:type="pct"/>
            <w:shd w:val="clear" w:color="auto" w:fill="auto"/>
            <w:vAlign w:val="center"/>
          </w:tcPr>
          <w:p w14:paraId="31B8669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42B7F9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1.4L</w:t>
            </w:r>
          </w:p>
        </w:tc>
        <w:tc>
          <w:tcPr>
            <w:tcW w:w="840" w:type="pct"/>
            <w:vAlign w:val="center"/>
          </w:tcPr>
          <w:p w14:paraId="341D76FA">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54000</w:t>
            </w:r>
          </w:p>
        </w:tc>
        <w:tc>
          <w:tcPr>
            <w:tcW w:w="773" w:type="pct"/>
            <w:shd w:val="clear" w:color="auto" w:fill="auto"/>
            <w:vAlign w:val="center"/>
          </w:tcPr>
          <w:p w14:paraId="54FE9B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2.59</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E-05</w:t>
            </w:r>
          </w:p>
        </w:tc>
        <w:tc>
          <w:tcPr>
            <w:tcW w:w="400" w:type="pct"/>
            <w:shd w:val="clear" w:color="auto" w:fill="auto"/>
            <w:vAlign w:val="center"/>
          </w:tcPr>
          <w:p w14:paraId="77AABA5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4B37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3A365B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BDD476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1-二氯乙烷</w:t>
            </w:r>
          </w:p>
        </w:tc>
        <w:tc>
          <w:tcPr>
            <w:tcW w:w="546" w:type="pct"/>
            <w:shd w:val="clear" w:color="auto" w:fill="auto"/>
            <w:vAlign w:val="center"/>
          </w:tcPr>
          <w:p w14:paraId="2CF7BE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009FA6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55468C2E">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w:t>
            </w:r>
          </w:p>
        </w:tc>
        <w:tc>
          <w:tcPr>
            <w:tcW w:w="773" w:type="pct"/>
            <w:shd w:val="clear" w:color="auto" w:fill="auto"/>
            <w:vAlign w:val="center"/>
          </w:tcPr>
          <w:p w14:paraId="04B7A18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0.0001</w:t>
            </w:r>
          </w:p>
        </w:tc>
        <w:tc>
          <w:tcPr>
            <w:tcW w:w="400" w:type="pct"/>
            <w:shd w:val="clear" w:color="auto" w:fill="auto"/>
            <w:vAlign w:val="center"/>
          </w:tcPr>
          <w:p w14:paraId="3ADA52B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CE4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809E03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256D47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顺式-1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2-二氯乙烯</w:t>
            </w:r>
          </w:p>
        </w:tc>
        <w:tc>
          <w:tcPr>
            <w:tcW w:w="546" w:type="pct"/>
            <w:shd w:val="clear" w:color="auto" w:fill="auto"/>
            <w:vAlign w:val="center"/>
          </w:tcPr>
          <w:p w14:paraId="6711405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605C04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vAlign w:val="center"/>
          </w:tcPr>
          <w:p w14:paraId="4A83B3BD">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596000</w:t>
            </w:r>
          </w:p>
        </w:tc>
        <w:tc>
          <w:tcPr>
            <w:tcW w:w="773" w:type="pct"/>
            <w:shd w:val="clear" w:color="auto" w:fill="auto"/>
            <w:vAlign w:val="center"/>
          </w:tcPr>
          <w:p w14:paraId="5A18C9A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2.181E-06</w:t>
            </w:r>
          </w:p>
        </w:tc>
        <w:tc>
          <w:tcPr>
            <w:tcW w:w="400" w:type="pct"/>
            <w:shd w:val="clear" w:color="auto" w:fill="auto"/>
            <w:vAlign w:val="center"/>
          </w:tcPr>
          <w:p w14:paraId="1B52BD2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1D8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FEA17EB">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0EA627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氯仿</w:t>
            </w:r>
          </w:p>
        </w:tc>
        <w:tc>
          <w:tcPr>
            <w:tcW w:w="546" w:type="pct"/>
            <w:shd w:val="clear" w:color="auto" w:fill="auto"/>
            <w:vAlign w:val="center"/>
          </w:tcPr>
          <w:p w14:paraId="3279E0D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5E036A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vAlign w:val="center"/>
          </w:tcPr>
          <w:p w14:paraId="4C07972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w:t>
            </w:r>
          </w:p>
        </w:tc>
        <w:tc>
          <w:tcPr>
            <w:tcW w:w="773" w:type="pct"/>
            <w:shd w:val="clear" w:color="auto" w:fill="auto"/>
            <w:vAlign w:val="center"/>
          </w:tcPr>
          <w:p w14:paraId="5421F13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0.001</w:t>
            </w:r>
          </w:p>
        </w:tc>
        <w:tc>
          <w:tcPr>
            <w:tcW w:w="400" w:type="pct"/>
            <w:shd w:val="clear" w:color="auto" w:fill="auto"/>
            <w:vAlign w:val="center"/>
          </w:tcPr>
          <w:p w14:paraId="7AD8D07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564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A0AB6EC">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5B3C9E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1-三氯乙烷</w:t>
            </w:r>
          </w:p>
        </w:tc>
        <w:tc>
          <w:tcPr>
            <w:tcW w:w="546" w:type="pct"/>
            <w:shd w:val="clear" w:color="auto" w:fill="auto"/>
            <w:vAlign w:val="center"/>
          </w:tcPr>
          <w:p w14:paraId="7CCE503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9C92FE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vAlign w:val="center"/>
          </w:tcPr>
          <w:p w14:paraId="17764E93">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840000</w:t>
            </w:r>
          </w:p>
        </w:tc>
        <w:tc>
          <w:tcPr>
            <w:tcW w:w="773" w:type="pct"/>
            <w:shd w:val="clear" w:color="auto" w:fill="auto"/>
            <w:vAlign w:val="center"/>
          </w:tcPr>
          <w:p w14:paraId="37CD3E3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1.54</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E-06</w:t>
            </w:r>
          </w:p>
        </w:tc>
        <w:tc>
          <w:tcPr>
            <w:tcW w:w="400" w:type="pct"/>
            <w:shd w:val="clear" w:color="auto" w:fill="auto"/>
            <w:vAlign w:val="center"/>
          </w:tcPr>
          <w:p w14:paraId="1231320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391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C27F955">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4DF4F4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四氯化碳</w:t>
            </w:r>
          </w:p>
        </w:tc>
        <w:tc>
          <w:tcPr>
            <w:tcW w:w="546" w:type="pct"/>
            <w:shd w:val="clear" w:color="auto" w:fill="auto"/>
            <w:vAlign w:val="center"/>
          </w:tcPr>
          <w:p w14:paraId="0B80F60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4F4DFE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vAlign w:val="center"/>
          </w:tcPr>
          <w:p w14:paraId="0A62ADC3">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2800</w:t>
            </w:r>
          </w:p>
        </w:tc>
        <w:tc>
          <w:tcPr>
            <w:tcW w:w="773" w:type="pct"/>
            <w:shd w:val="clear" w:color="auto" w:fill="auto"/>
            <w:vAlign w:val="center"/>
          </w:tcPr>
          <w:p w14:paraId="36EFEDFD">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5</w:t>
            </w:r>
          </w:p>
        </w:tc>
        <w:tc>
          <w:tcPr>
            <w:tcW w:w="400" w:type="pct"/>
            <w:shd w:val="clear" w:color="auto" w:fill="auto"/>
            <w:vAlign w:val="center"/>
          </w:tcPr>
          <w:p w14:paraId="68D00F3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87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DF2A25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C887E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w:t>
            </w:r>
          </w:p>
        </w:tc>
        <w:tc>
          <w:tcPr>
            <w:tcW w:w="546" w:type="pct"/>
            <w:shd w:val="clear" w:color="auto" w:fill="auto"/>
            <w:vAlign w:val="center"/>
          </w:tcPr>
          <w:p w14:paraId="1AE1516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8396FC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1.9L</w:t>
            </w:r>
          </w:p>
        </w:tc>
        <w:tc>
          <w:tcPr>
            <w:tcW w:w="840" w:type="pct"/>
            <w:vAlign w:val="center"/>
          </w:tcPr>
          <w:p w14:paraId="2C8006AE">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4000</w:t>
            </w:r>
          </w:p>
        </w:tc>
        <w:tc>
          <w:tcPr>
            <w:tcW w:w="773" w:type="pct"/>
            <w:shd w:val="clear" w:color="auto" w:fill="auto"/>
            <w:vAlign w:val="center"/>
          </w:tcPr>
          <w:p w14:paraId="2DD1DADF">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5</w:t>
            </w:r>
          </w:p>
        </w:tc>
        <w:tc>
          <w:tcPr>
            <w:tcW w:w="400" w:type="pct"/>
            <w:shd w:val="clear" w:color="auto" w:fill="auto"/>
            <w:vAlign w:val="center"/>
          </w:tcPr>
          <w:p w14:paraId="77686CF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7C3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E3D1412">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A042B3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2-二氯乙烷</w:t>
            </w:r>
          </w:p>
        </w:tc>
        <w:tc>
          <w:tcPr>
            <w:tcW w:w="546" w:type="pct"/>
            <w:shd w:val="clear" w:color="auto" w:fill="auto"/>
            <w:vAlign w:val="center"/>
          </w:tcPr>
          <w:p w14:paraId="1EAEDE5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210A2BE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vAlign w:val="center"/>
          </w:tcPr>
          <w:p w14:paraId="38F2441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5000</w:t>
            </w:r>
          </w:p>
        </w:tc>
        <w:tc>
          <w:tcPr>
            <w:tcW w:w="773" w:type="pct"/>
            <w:shd w:val="clear" w:color="auto" w:fill="auto"/>
            <w:vAlign w:val="center"/>
          </w:tcPr>
          <w:p w14:paraId="2D0BE55C">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3</w:t>
            </w:r>
          </w:p>
        </w:tc>
        <w:tc>
          <w:tcPr>
            <w:tcW w:w="400" w:type="pct"/>
            <w:shd w:val="clear" w:color="auto" w:fill="auto"/>
            <w:vAlign w:val="center"/>
          </w:tcPr>
          <w:p w14:paraId="3CC8559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348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FB9A731">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265A53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三氯乙烯</w:t>
            </w:r>
          </w:p>
        </w:tc>
        <w:tc>
          <w:tcPr>
            <w:tcW w:w="546" w:type="pct"/>
            <w:shd w:val="clear" w:color="auto" w:fill="auto"/>
            <w:vAlign w:val="center"/>
          </w:tcPr>
          <w:p w14:paraId="17AA91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9AFA78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54DFCAFA">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2800</w:t>
            </w:r>
          </w:p>
        </w:tc>
        <w:tc>
          <w:tcPr>
            <w:tcW w:w="773" w:type="pct"/>
            <w:shd w:val="clear" w:color="auto" w:fill="auto"/>
            <w:vAlign w:val="center"/>
          </w:tcPr>
          <w:p w14:paraId="3384280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0.0004</w:t>
            </w:r>
          </w:p>
        </w:tc>
        <w:tc>
          <w:tcPr>
            <w:tcW w:w="400" w:type="pct"/>
            <w:shd w:val="clear" w:color="auto" w:fill="auto"/>
            <w:vAlign w:val="center"/>
          </w:tcPr>
          <w:p w14:paraId="79A322B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A1F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993494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566114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2-二氯丙烷</w:t>
            </w:r>
          </w:p>
        </w:tc>
        <w:tc>
          <w:tcPr>
            <w:tcW w:w="546" w:type="pct"/>
            <w:shd w:val="clear" w:color="auto" w:fill="auto"/>
            <w:vAlign w:val="center"/>
          </w:tcPr>
          <w:p w14:paraId="05A4398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99C91C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vAlign w:val="center"/>
          </w:tcPr>
          <w:p w14:paraId="6B0BBEE1">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5000</w:t>
            </w:r>
          </w:p>
        </w:tc>
        <w:tc>
          <w:tcPr>
            <w:tcW w:w="773" w:type="pct"/>
            <w:shd w:val="clear" w:color="auto" w:fill="auto"/>
            <w:vAlign w:val="center"/>
          </w:tcPr>
          <w:p w14:paraId="35CC4DE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0.0002</w:t>
            </w:r>
          </w:p>
        </w:tc>
        <w:tc>
          <w:tcPr>
            <w:tcW w:w="400" w:type="pct"/>
            <w:shd w:val="clear" w:color="auto" w:fill="auto"/>
            <w:vAlign w:val="center"/>
          </w:tcPr>
          <w:p w14:paraId="1F7E8D5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4F2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544815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464ADD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甲苯</w:t>
            </w:r>
          </w:p>
        </w:tc>
        <w:tc>
          <w:tcPr>
            <w:tcW w:w="546" w:type="pct"/>
            <w:shd w:val="clear" w:color="auto" w:fill="auto"/>
            <w:vAlign w:val="center"/>
          </w:tcPr>
          <w:p w14:paraId="03812A4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366DA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vAlign w:val="center"/>
          </w:tcPr>
          <w:p w14:paraId="7DE37D91">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1200000</w:t>
            </w:r>
          </w:p>
        </w:tc>
        <w:tc>
          <w:tcPr>
            <w:tcW w:w="773" w:type="pct"/>
            <w:shd w:val="clear" w:color="auto" w:fill="auto"/>
            <w:vAlign w:val="center"/>
          </w:tcPr>
          <w:p w14:paraId="6E1D6CE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1.083E-06</w:t>
            </w:r>
          </w:p>
        </w:tc>
        <w:tc>
          <w:tcPr>
            <w:tcW w:w="400" w:type="pct"/>
            <w:shd w:val="clear" w:color="auto" w:fill="auto"/>
            <w:vAlign w:val="center"/>
          </w:tcPr>
          <w:p w14:paraId="443F87A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EC7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0653717">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3D222B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2-三氯乙烷</w:t>
            </w:r>
          </w:p>
        </w:tc>
        <w:tc>
          <w:tcPr>
            <w:tcW w:w="546" w:type="pct"/>
            <w:shd w:val="clear" w:color="auto" w:fill="auto"/>
            <w:vAlign w:val="center"/>
          </w:tcPr>
          <w:p w14:paraId="24FF49B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525E2A6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14D85A93">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2800</w:t>
            </w:r>
          </w:p>
        </w:tc>
        <w:tc>
          <w:tcPr>
            <w:tcW w:w="773" w:type="pct"/>
            <w:shd w:val="clear" w:color="auto" w:fill="auto"/>
            <w:vAlign w:val="center"/>
          </w:tcPr>
          <w:p w14:paraId="6353AE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0.0004</w:t>
            </w:r>
          </w:p>
        </w:tc>
        <w:tc>
          <w:tcPr>
            <w:tcW w:w="400" w:type="pct"/>
            <w:shd w:val="clear" w:color="auto" w:fill="auto"/>
            <w:vAlign w:val="center"/>
          </w:tcPr>
          <w:p w14:paraId="16D036F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FD0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801553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F775C0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四氯乙烯</w:t>
            </w:r>
          </w:p>
        </w:tc>
        <w:tc>
          <w:tcPr>
            <w:tcW w:w="546" w:type="pct"/>
            <w:shd w:val="clear" w:color="auto" w:fill="auto"/>
            <w:vAlign w:val="center"/>
          </w:tcPr>
          <w:p w14:paraId="52502F8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C0A1C6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1.4L</w:t>
            </w:r>
          </w:p>
        </w:tc>
        <w:tc>
          <w:tcPr>
            <w:tcW w:w="840" w:type="pct"/>
            <w:vAlign w:val="center"/>
          </w:tcPr>
          <w:p w14:paraId="3D722BCF">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53000</w:t>
            </w:r>
          </w:p>
        </w:tc>
        <w:tc>
          <w:tcPr>
            <w:tcW w:w="773" w:type="pct"/>
            <w:shd w:val="clear" w:color="auto" w:fill="auto"/>
            <w:vAlign w:val="center"/>
          </w:tcPr>
          <w:p w14:paraId="13B3E68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2.64</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E-05</w:t>
            </w:r>
          </w:p>
        </w:tc>
        <w:tc>
          <w:tcPr>
            <w:tcW w:w="400" w:type="pct"/>
            <w:shd w:val="clear" w:color="auto" w:fill="auto"/>
            <w:vAlign w:val="center"/>
          </w:tcPr>
          <w:p w14:paraId="2A17086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39D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427BB7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A9F341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氯苯</w:t>
            </w:r>
          </w:p>
        </w:tc>
        <w:tc>
          <w:tcPr>
            <w:tcW w:w="546" w:type="pct"/>
            <w:shd w:val="clear" w:color="auto" w:fill="auto"/>
            <w:vAlign w:val="center"/>
          </w:tcPr>
          <w:p w14:paraId="6CC536F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67056E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36A89355">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270000</w:t>
            </w:r>
          </w:p>
        </w:tc>
        <w:tc>
          <w:tcPr>
            <w:tcW w:w="773" w:type="pct"/>
            <w:shd w:val="clear" w:color="auto" w:fill="auto"/>
            <w:vAlign w:val="center"/>
          </w:tcPr>
          <w:p w14:paraId="0A29742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4.444E-06</w:t>
            </w:r>
          </w:p>
        </w:tc>
        <w:tc>
          <w:tcPr>
            <w:tcW w:w="400" w:type="pct"/>
            <w:shd w:val="clear" w:color="auto" w:fill="auto"/>
            <w:vAlign w:val="center"/>
          </w:tcPr>
          <w:p w14:paraId="7A8F21C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108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0B93E2A">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C5E433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2-四氯乙烷</w:t>
            </w:r>
          </w:p>
        </w:tc>
        <w:tc>
          <w:tcPr>
            <w:tcW w:w="546" w:type="pct"/>
            <w:shd w:val="clear" w:color="auto" w:fill="auto"/>
            <w:vAlign w:val="center"/>
          </w:tcPr>
          <w:p w14:paraId="7ADFF51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94F98E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52630C8B">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10000</w:t>
            </w:r>
          </w:p>
        </w:tc>
        <w:tc>
          <w:tcPr>
            <w:tcW w:w="773" w:type="pct"/>
            <w:shd w:val="clear" w:color="auto" w:fill="auto"/>
            <w:vAlign w:val="center"/>
          </w:tcPr>
          <w:p w14:paraId="07DBDBA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0.0001</w:t>
            </w:r>
          </w:p>
        </w:tc>
        <w:tc>
          <w:tcPr>
            <w:tcW w:w="400" w:type="pct"/>
            <w:shd w:val="clear" w:color="auto" w:fill="auto"/>
            <w:vAlign w:val="center"/>
          </w:tcPr>
          <w:p w14:paraId="53F9FA3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CB8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B986296">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47C5D1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乙苯</w:t>
            </w:r>
          </w:p>
        </w:tc>
        <w:tc>
          <w:tcPr>
            <w:tcW w:w="546" w:type="pct"/>
            <w:shd w:val="clear" w:color="auto" w:fill="auto"/>
            <w:vAlign w:val="center"/>
          </w:tcPr>
          <w:p w14:paraId="4EEC545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2E4BF6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194B92A1">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28000</w:t>
            </w:r>
          </w:p>
        </w:tc>
        <w:tc>
          <w:tcPr>
            <w:tcW w:w="773" w:type="pct"/>
            <w:shd w:val="clear" w:color="auto" w:fill="auto"/>
            <w:vAlign w:val="center"/>
          </w:tcPr>
          <w:p w14:paraId="36F2738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4.28</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1E-05</w:t>
            </w:r>
          </w:p>
        </w:tc>
        <w:tc>
          <w:tcPr>
            <w:tcW w:w="400" w:type="pct"/>
            <w:shd w:val="clear" w:color="auto" w:fill="auto"/>
            <w:vAlign w:val="center"/>
          </w:tcPr>
          <w:p w14:paraId="67CC19E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A61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4A04BE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D74228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间</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对-二甲苯</w:t>
            </w:r>
          </w:p>
        </w:tc>
        <w:tc>
          <w:tcPr>
            <w:tcW w:w="546" w:type="pct"/>
            <w:shd w:val="clear" w:color="auto" w:fill="auto"/>
            <w:vAlign w:val="center"/>
          </w:tcPr>
          <w:p w14:paraId="42FF214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4E0698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26689AF2">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570000</w:t>
            </w:r>
          </w:p>
        </w:tc>
        <w:tc>
          <w:tcPr>
            <w:tcW w:w="773" w:type="pct"/>
            <w:shd w:val="clear" w:color="auto" w:fill="auto"/>
            <w:vAlign w:val="center"/>
          </w:tcPr>
          <w:p w14:paraId="1E9916C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2.105E-06</w:t>
            </w:r>
          </w:p>
        </w:tc>
        <w:tc>
          <w:tcPr>
            <w:tcW w:w="400" w:type="pct"/>
            <w:shd w:val="clear" w:color="auto" w:fill="auto"/>
            <w:vAlign w:val="center"/>
          </w:tcPr>
          <w:p w14:paraId="1CBC33B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3759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7DC805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00CDD1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邻-二甲苯</w:t>
            </w:r>
          </w:p>
        </w:tc>
        <w:tc>
          <w:tcPr>
            <w:tcW w:w="546" w:type="pct"/>
            <w:shd w:val="clear" w:color="auto" w:fill="auto"/>
            <w:vAlign w:val="center"/>
          </w:tcPr>
          <w:p w14:paraId="42E6E1F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561CAD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5B4DE3FE">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640000</w:t>
            </w:r>
          </w:p>
        </w:tc>
        <w:tc>
          <w:tcPr>
            <w:tcW w:w="773" w:type="pct"/>
            <w:shd w:val="clear" w:color="auto" w:fill="auto"/>
            <w:vAlign w:val="center"/>
          </w:tcPr>
          <w:p w14:paraId="3C23A37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875E-06</w:t>
            </w:r>
          </w:p>
        </w:tc>
        <w:tc>
          <w:tcPr>
            <w:tcW w:w="400" w:type="pct"/>
            <w:shd w:val="clear" w:color="auto" w:fill="auto"/>
            <w:vAlign w:val="center"/>
          </w:tcPr>
          <w:p w14:paraId="4ED6EE9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77F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F3EF052">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0250A9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苯乙烯</w:t>
            </w:r>
          </w:p>
        </w:tc>
        <w:tc>
          <w:tcPr>
            <w:tcW w:w="546" w:type="pct"/>
            <w:shd w:val="clear" w:color="auto" w:fill="auto"/>
            <w:vAlign w:val="center"/>
          </w:tcPr>
          <w:p w14:paraId="7F43D2D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574E1CA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vAlign w:val="center"/>
          </w:tcPr>
          <w:p w14:paraId="151DE98F">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1290000</w:t>
            </w:r>
          </w:p>
        </w:tc>
        <w:tc>
          <w:tcPr>
            <w:tcW w:w="773" w:type="pct"/>
            <w:shd w:val="clear" w:color="auto" w:fill="auto"/>
            <w:vAlign w:val="center"/>
          </w:tcPr>
          <w:p w14:paraId="51C716A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8.527E-07</w:t>
            </w:r>
          </w:p>
        </w:tc>
        <w:tc>
          <w:tcPr>
            <w:tcW w:w="400" w:type="pct"/>
            <w:shd w:val="clear" w:color="auto" w:fill="auto"/>
            <w:vAlign w:val="center"/>
          </w:tcPr>
          <w:p w14:paraId="384470E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9B9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8625DF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FA9F5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2-四氯乙烷</w:t>
            </w:r>
          </w:p>
        </w:tc>
        <w:tc>
          <w:tcPr>
            <w:tcW w:w="546" w:type="pct"/>
            <w:shd w:val="clear" w:color="auto" w:fill="auto"/>
            <w:vAlign w:val="center"/>
          </w:tcPr>
          <w:p w14:paraId="4C1970E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92B486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34C6A4B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6800</w:t>
            </w:r>
          </w:p>
        </w:tc>
        <w:tc>
          <w:tcPr>
            <w:tcW w:w="773" w:type="pct"/>
            <w:shd w:val="clear" w:color="auto" w:fill="auto"/>
            <w:vAlign w:val="center"/>
          </w:tcPr>
          <w:p w14:paraId="25FEDC29">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2</w:t>
            </w:r>
          </w:p>
        </w:tc>
        <w:tc>
          <w:tcPr>
            <w:tcW w:w="400" w:type="pct"/>
            <w:shd w:val="clear" w:color="auto" w:fill="auto"/>
            <w:vAlign w:val="center"/>
          </w:tcPr>
          <w:p w14:paraId="67FABB8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14E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23282F2">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E15B79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3-三氯丙烷</w:t>
            </w:r>
          </w:p>
        </w:tc>
        <w:tc>
          <w:tcPr>
            <w:tcW w:w="546" w:type="pct"/>
            <w:shd w:val="clear" w:color="auto" w:fill="auto"/>
            <w:vAlign w:val="center"/>
          </w:tcPr>
          <w:p w14:paraId="62CED44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53238C3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vAlign w:val="center"/>
          </w:tcPr>
          <w:p w14:paraId="572EE22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c>
          <w:tcPr>
            <w:tcW w:w="773" w:type="pct"/>
            <w:shd w:val="clear" w:color="auto" w:fill="auto"/>
            <w:vAlign w:val="center"/>
          </w:tcPr>
          <w:p w14:paraId="1E1484D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0.0024</w:t>
            </w:r>
          </w:p>
        </w:tc>
        <w:tc>
          <w:tcPr>
            <w:tcW w:w="400" w:type="pct"/>
            <w:shd w:val="clear" w:color="auto" w:fill="auto"/>
            <w:vAlign w:val="center"/>
          </w:tcPr>
          <w:p w14:paraId="114251B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FF4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7CC239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A1A645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4-二氯苯</w:t>
            </w:r>
          </w:p>
        </w:tc>
        <w:tc>
          <w:tcPr>
            <w:tcW w:w="546" w:type="pct"/>
            <w:shd w:val="clear" w:color="auto" w:fill="auto"/>
            <w:vAlign w:val="center"/>
          </w:tcPr>
          <w:p w14:paraId="3386B3A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EABE7B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vAlign w:val="center"/>
          </w:tcPr>
          <w:p w14:paraId="7D0F5D6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20000</w:t>
            </w:r>
          </w:p>
        </w:tc>
        <w:tc>
          <w:tcPr>
            <w:tcW w:w="773" w:type="pct"/>
            <w:shd w:val="clear" w:color="auto" w:fill="auto"/>
            <w:vAlign w:val="center"/>
          </w:tcPr>
          <w:p w14:paraId="1F1626E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5E-05</w:t>
            </w:r>
          </w:p>
        </w:tc>
        <w:tc>
          <w:tcPr>
            <w:tcW w:w="400" w:type="pct"/>
            <w:shd w:val="clear" w:color="auto" w:fill="auto"/>
            <w:vAlign w:val="center"/>
          </w:tcPr>
          <w:p w14:paraId="1D2A83E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53A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D58738D">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A9E520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2-二氯苯</w:t>
            </w:r>
          </w:p>
        </w:tc>
        <w:tc>
          <w:tcPr>
            <w:tcW w:w="546" w:type="pct"/>
            <w:shd w:val="clear" w:color="auto" w:fill="auto"/>
            <w:vAlign w:val="center"/>
          </w:tcPr>
          <w:p w14:paraId="6C54DE4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C964BF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vAlign w:val="center"/>
          </w:tcPr>
          <w:p w14:paraId="77CAD299">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560000</w:t>
            </w:r>
          </w:p>
        </w:tc>
        <w:tc>
          <w:tcPr>
            <w:tcW w:w="773" w:type="pct"/>
            <w:shd w:val="clear" w:color="auto" w:fill="auto"/>
            <w:vAlign w:val="center"/>
          </w:tcPr>
          <w:p w14:paraId="18706AF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2.67</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E-06</w:t>
            </w:r>
          </w:p>
        </w:tc>
        <w:tc>
          <w:tcPr>
            <w:tcW w:w="400" w:type="pct"/>
            <w:shd w:val="clear" w:color="auto" w:fill="auto"/>
            <w:vAlign w:val="center"/>
          </w:tcPr>
          <w:p w14:paraId="5189F7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EE4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6A616E6">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5D1AD0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2-氯苯酚</w:t>
            </w:r>
          </w:p>
        </w:tc>
        <w:tc>
          <w:tcPr>
            <w:tcW w:w="546" w:type="pct"/>
            <w:shd w:val="clear" w:color="auto" w:fill="auto"/>
            <w:vAlign w:val="center"/>
          </w:tcPr>
          <w:p w14:paraId="24204E5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2ACBDDF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0.06L</w:t>
            </w:r>
          </w:p>
        </w:tc>
        <w:tc>
          <w:tcPr>
            <w:tcW w:w="840" w:type="pct"/>
            <w:vAlign w:val="center"/>
          </w:tcPr>
          <w:p w14:paraId="3D24665D">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2256</w:t>
            </w:r>
          </w:p>
        </w:tc>
        <w:tc>
          <w:tcPr>
            <w:tcW w:w="773" w:type="pct"/>
            <w:shd w:val="clear" w:color="auto" w:fill="auto"/>
            <w:vAlign w:val="center"/>
          </w:tcPr>
          <w:p w14:paraId="6B74886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2.6</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E-05</w:t>
            </w:r>
          </w:p>
        </w:tc>
        <w:tc>
          <w:tcPr>
            <w:tcW w:w="400" w:type="pct"/>
            <w:shd w:val="clear" w:color="auto" w:fill="auto"/>
            <w:vAlign w:val="center"/>
          </w:tcPr>
          <w:p w14:paraId="4ADBCDD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02B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98DFF9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5DA17E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硝基苯</w:t>
            </w:r>
          </w:p>
        </w:tc>
        <w:tc>
          <w:tcPr>
            <w:tcW w:w="546" w:type="pct"/>
            <w:shd w:val="clear" w:color="auto" w:fill="auto"/>
            <w:vAlign w:val="center"/>
          </w:tcPr>
          <w:p w14:paraId="595B460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38FCD79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0.09L</w:t>
            </w:r>
          </w:p>
        </w:tc>
        <w:tc>
          <w:tcPr>
            <w:tcW w:w="840" w:type="pct"/>
            <w:vAlign w:val="center"/>
          </w:tcPr>
          <w:p w14:paraId="441E8CE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w:t>
            </w:r>
          </w:p>
        </w:tc>
        <w:tc>
          <w:tcPr>
            <w:tcW w:w="773" w:type="pct"/>
            <w:shd w:val="clear" w:color="auto" w:fill="auto"/>
            <w:vAlign w:val="center"/>
          </w:tcPr>
          <w:p w14:paraId="6C0C238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0.001</w:t>
            </w:r>
          </w:p>
        </w:tc>
        <w:tc>
          <w:tcPr>
            <w:tcW w:w="400" w:type="pct"/>
            <w:shd w:val="clear" w:color="auto" w:fill="auto"/>
            <w:vAlign w:val="center"/>
          </w:tcPr>
          <w:p w14:paraId="585C9ED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0CB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B5D6BCC">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53AEFB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萘</w:t>
            </w:r>
          </w:p>
        </w:tc>
        <w:tc>
          <w:tcPr>
            <w:tcW w:w="546" w:type="pct"/>
            <w:shd w:val="clear" w:color="auto" w:fill="auto"/>
            <w:vAlign w:val="center"/>
          </w:tcPr>
          <w:p w14:paraId="1148E14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7BEF39F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0.09L</w:t>
            </w:r>
          </w:p>
        </w:tc>
        <w:tc>
          <w:tcPr>
            <w:tcW w:w="840" w:type="pct"/>
            <w:vAlign w:val="center"/>
          </w:tcPr>
          <w:p w14:paraId="50C853FD">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773" w:type="pct"/>
            <w:shd w:val="clear" w:color="auto" w:fill="auto"/>
            <w:vAlign w:val="center"/>
          </w:tcPr>
          <w:p w14:paraId="1E83D0E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0.001</w:t>
            </w:r>
          </w:p>
        </w:tc>
        <w:tc>
          <w:tcPr>
            <w:tcW w:w="400" w:type="pct"/>
            <w:shd w:val="clear" w:color="auto" w:fill="auto"/>
            <w:vAlign w:val="center"/>
          </w:tcPr>
          <w:p w14:paraId="23C54E9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3E2F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D57C82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7F412C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苯并[a]蒽</w:t>
            </w:r>
          </w:p>
        </w:tc>
        <w:tc>
          <w:tcPr>
            <w:tcW w:w="546" w:type="pct"/>
            <w:shd w:val="clear" w:color="auto" w:fill="auto"/>
            <w:vAlign w:val="center"/>
          </w:tcPr>
          <w:p w14:paraId="5F89CA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1C816D2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60DAE5E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73" w:type="pct"/>
            <w:shd w:val="clear" w:color="auto" w:fill="auto"/>
            <w:vAlign w:val="center"/>
          </w:tcPr>
          <w:p w14:paraId="501BDFC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0.007</w:t>
            </w:r>
          </w:p>
        </w:tc>
        <w:tc>
          <w:tcPr>
            <w:tcW w:w="400" w:type="pct"/>
            <w:shd w:val="clear" w:color="auto" w:fill="auto"/>
            <w:vAlign w:val="center"/>
          </w:tcPr>
          <w:p w14:paraId="4ED4CCD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0FF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BC887B7">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E75F06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䓛</w:t>
            </w:r>
          </w:p>
        </w:tc>
        <w:tc>
          <w:tcPr>
            <w:tcW w:w="546" w:type="pct"/>
            <w:shd w:val="clear" w:color="auto" w:fill="auto"/>
            <w:vAlign w:val="center"/>
          </w:tcPr>
          <w:p w14:paraId="357A9D4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67C803B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7F01832F">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1293</w:t>
            </w:r>
          </w:p>
        </w:tc>
        <w:tc>
          <w:tcPr>
            <w:tcW w:w="773" w:type="pct"/>
            <w:shd w:val="clear" w:color="auto" w:fill="auto"/>
            <w:vAlign w:val="center"/>
          </w:tcPr>
          <w:p w14:paraId="2BA39E1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7.73</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E-05</w:t>
            </w:r>
          </w:p>
        </w:tc>
        <w:tc>
          <w:tcPr>
            <w:tcW w:w="400" w:type="pct"/>
            <w:shd w:val="clear" w:color="auto" w:fill="auto"/>
            <w:vAlign w:val="center"/>
          </w:tcPr>
          <w:p w14:paraId="237C99E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345E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721D28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503E1E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苯并[b]荧蒽</w:t>
            </w:r>
          </w:p>
        </w:tc>
        <w:tc>
          <w:tcPr>
            <w:tcW w:w="546" w:type="pct"/>
            <w:shd w:val="clear" w:color="auto" w:fill="auto"/>
            <w:vAlign w:val="center"/>
          </w:tcPr>
          <w:p w14:paraId="4940328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61337B1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0.2L</w:t>
            </w:r>
          </w:p>
        </w:tc>
        <w:tc>
          <w:tcPr>
            <w:tcW w:w="840" w:type="pct"/>
            <w:vAlign w:val="center"/>
          </w:tcPr>
          <w:p w14:paraId="4333AF8C">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73" w:type="pct"/>
            <w:shd w:val="clear" w:color="auto" w:fill="auto"/>
            <w:vAlign w:val="center"/>
          </w:tcPr>
          <w:p w14:paraId="6683C09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0.013</w:t>
            </w:r>
          </w:p>
        </w:tc>
        <w:tc>
          <w:tcPr>
            <w:tcW w:w="400" w:type="pct"/>
            <w:shd w:val="clear" w:color="auto" w:fill="auto"/>
            <w:vAlign w:val="center"/>
          </w:tcPr>
          <w:p w14:paraId="076E2EF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535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C16442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A852B3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苯并[k]荧蒽</w:t>
            </w:r>
          </w:p>
        </w:tc>
        <w:tc>
          <w:tcPr>
            <w:tcW w:w="546" w:type="pct"/>
            <w:shd w:val="clear" w:color="auto" w:fill="auto"/>
            <w:vAlign w:val="center"/>
          </w:tcPr>
          <w:p w14:paraId="307ADBA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24EA349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2878FB32">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151</w:t>
            </w:r>
          </w:p>
        </w:tc>
        <w:tc>
          <w:tcPr>
            <w:tcW w:w="773" w:type="pct"/>
            <w:shd w:val="clear" w:color="auto" w:fill="auto"/>
            <w:vAlign w:val="center"/>
          </w:tcPr>
          <w:p w14:paraId="2E7F38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1</w:t>
            </w:r>
          </w:p>
        </w:tc>
        <w:tc>
          <w:tcPr>
            <w:tcW w:w="400" w:type="pct"/>
            <w:shd w:val="clear" w:color="auto" w:fill="auto"/>
            <w:vAlign w:val="center"/>
          </w:tcPr>
          <w:p w14:paraId="482EA7F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EB9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AA005C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49AD5A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苯并[a]芘</w:t>
            </w:r>
          </w:p>
        </w:tc>
        <w:tc>
          <w:tcPr>
            <w:tcW w:w="546" w:type="pct"/>
            <w:shd w:val="clear" w:color="auto" w:fill="auto"/>
            <w:vAlign w:val="center"/>
          </w:tcPr>
          <w:p w14:paraId="7640458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38E2EA1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1BF8CF29">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73" w:type="pct"/>
            <w:shd w:val="clear" w:color="auto" w:fill="auto"/>
            <w:vAlign w:val="center"/>
          </w:tcPr>
          <w:p w14:paraId="35D8A8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0.067</w:t>
            </w:r>
          </w:p>
        </w:tc>
        <w:tc>
          <w:tcPr>
            <w:tcW w:w="400" w:type="pct"/>
            <w:shd w:val="clear" w:color="auto" w:fill="auto"/>
            <w:vAlign w:val="center"/>
          </w:tcPr>
          <w:p w14:paraId="6097CF8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1D8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5FF9C12">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65225E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茚并[1,2,3-cd]芘</w:t>
            </w:r>
          </w:p>
        </w:tc>
        <w:tc>
          <w:tcPr>
            <w:tcW w:w="546" w:type="pct"/>
            <w:shd w:val="clear" w:color="auto" w:fill="auto"/>
            <w:vAlign w:val="center"/>
          </w:tcPr>
          <w:p w14:paraId="66CDA48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06EDE22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1CB752F4">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73" w:type="pct"/>
            <w:shd w:val="clear" w:color="auto" w:fill="auto"/>
            <w:vAlign w:val="center"/>
          </w:tcPr>
          <w:p w14:paraId="74BCE9A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0.007</w:t>
            </w:r>
          </w:p>
        </w:tc>
        <w:tc>
          <w:tcPr>
            <w:tcW w:w="400" w:type="pct"/>
            <w:shd w:val="clear" w:color="auto" w:fill="auto"/>
            <w:vAlign w:val="center"/>
          </w:tcPr>
          <w:p w14:paraId="66EF1C7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49B1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18EB26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5632ED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二苯并[a,h]蒽</w:t>
            </w:r>
          </w:p>
        </w:tc>
        <w:tc>
          <w:tcPr>
            <w:tcW w:w="546" w:type="pct"/>
            <w:shd w:val="clear" w:color="auto" w:fill="auto"/>
            <w:vAlign w:val="center"/>
          </w:tcPr>
          <w:p w14:paraId="0C56CCE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4D1D0E1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vAlign w:val="center"/>
          </w:tcPr>
          <w:p w14:paraId="2E96F704">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73" w:type="pct"/>
            <w:shd w:val="clear" w:color="auto" w:fill="auto"/>
            <w:vAlign w:val="center"/>
          </w:tcPr>
          <w:p w14:paraId="141956D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0.067</w:t>
            </w:r>
          </w:p>
        </w:tc>
        <w:tc>
          <w:tcPr>
            <w:tcW w:w="400" w:type="pct"/>
            <w:shd w:val="clear" w:color="auto" w:fill="auto"/>
            <w:vAlign w:val="center"/>
          </w:tcPr>
          <w:p w14:paraId="59D035E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BEF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7C946F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A727FB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苯胺</w:t>
            </w:r>
          </w:p>
        </w:tc>
        <w:tc>
          <w:tcPr>
            <w:tcW w:w="546" w:type="pct"/>
            <w:shd w:val="clear" w:color="auto" w:fill="auto"/>
            <w:vAlign w:val="center"/>
          </w:tcPr>
          <w:p w14:paraId="7EA5991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1D3C73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2L</w:t>
            </w:r>
          </w:p>
        </w:tc>
        <w:tc>
          <w:tcPr>
            <w:tcW w:w="840" w:type="pct"/>
            <w:shd w:val="clear" w:color="auto" w:fill="auto"/>
            <w:vAlign w:val="center"/>
          </w:tcPr>
          <w:p w14:paraId="0EFF4942">
            <w:pPr>
              <w:pStyle w:val="28"/>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260000</w:t>
            </w:r>
          </w:p>
        </w:tc>
        <w:tc>
          <w:tcPr>
            <w:tcW w:w="773" w:type="pct"/>
            <w:shd w:val="clear" w:color="auto" w:fill="auto"/>
            <w:vAlign w:val="center"/>
          </w:tcPr>
          <w:p w14:paraId="58EAAA8C">
            <w:pPr>
              <w:pStyle w:val="28"/>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7E-05</w:t>
            </w:r>
          </w:p>
        </w:tc>
        <w:tc>
          <w:tcPr>
            <w:tcW w:w="400" w:type="pct"/>
            <w:shd w:val="clear" w:color="auto" w:fill="auto"/>
            <w:vAlign w:val="center"/>
          </w:tcPr>
          <w:p w14:paraId="38228B4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E9C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restart"/>
            <w:vAlign w:val="center"/>
          </w:tcPr>
          <w:p w14:paraId="57DB849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T3租用厂房北面（项目区下风向）</w:t>
            </w:r>
          </w:p>
          <w:p w14:paraId="7CB1752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采样深度（0-0.2m）</w:t>
            </w:r>
          </w:p>
          <w:p w14:paraId="164E7A19">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4656F86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pH</w:t>
            </w:r>
          </w:p>
        </w:tc>
        <w:tc>
          <w:tcPr>
            <w:tcW w:w="546" w:type="pct"/>
            <w:shd w:val="clear" w:color="auto" w:fill="auto"/>
            <w:vAlign w:val="center"/>
          </w:tcPr>
          <w:p w14:paraId="1540E17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无量纲</w:t>
            </w:r>
          </w:p>
        </w:tc>
        <w:tc>
          <w:tcPr>
            <w:tcW w:w="488" w:type="pct"/>
            <w:shd w:val="clear" w:color="auto" w:fill="auto"/>
            <w:vAlign w:val="center"/>
          </w:tcPr>
          <w:p w14:paraId="5DD7BC5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5.48</w:t>
            </w:r>
          </w:p>
        </w:tc>
        <w:tc>
          <w:tcPr>
            <w:tcW w:w="840" w:type="pct"/>
            <w:shd w:val="clear" w:color="auto" w:fill="auto"/>
            <w:vAlign w:val="center"/>
          </w:tcPr>
          <w:p w14:paraId="1ED7A43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780A6BD">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40AF7A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13F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665359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586C302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总砷</w:t>
            </w:r>
          </w:p>
        </w:tc>
        <w:tc>
          <w:tcPr>
            <w:tcW w:w="546" w:type="pct"/>
            <w:shd w:val="clear" w:color="auto" w:fill="auto"/>
            <w:vAlign w:val="center"/>
          </w:tcPr>
          <w:p w14:paraId="31B8EB7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5E22980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11.9</w:t>
            </w:r>
          </w:p>
        </w:tc>
        <w:tc>
          <w:tcPr>
            <w:tcW w:w="840" w:type="pct"/>
            <w:shd w:val="clear" w:color="auto" w:fill="auto"/>
            <w:vAlign w:val="center"/>
          </w:tcPr>
          <w:p w14:paraId="50915F6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773" w:type="pct"/>
            <w:shd w:val="clear" w:color="auto" w:fill="auto"/>
            <w:vAlign w:val="center"/>
          </w:tcPr>
          <w:p w14:paraId="7CF0EAA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0.198</w:t>
            </w:r>
          </w:p>
        </w:tc>
        <w:tc>
          <w:tcPr>
            <w:tcW w:w="400" w:type="pct"/>
            <w:shd w:val="clear" w:color="auto" w:fill="auto"/>
            <w:vAlign w:val="center"/>
          </w:tcPr>
          <w:p w14:paraId="1ED755F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AD1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9B7B2A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062EA62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镉</w:t>
            </w:r>
          </w:p>
        </w:tc>
        <w:tc>
          <w:tcPr>
            <w:tcW w:w="546" w:type="pct"/>
            <w:shd w:val="clear" w:color="auto" w:fill="auto"/>
            <w:vAlign w:val="center"/>
          </w:tcPr>
          <w:p w14:paraId="45FF0CF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5086E6D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w:t>
            </w:r>
          </w:p>
        </w:tc>
        <w:tc>
          <w:tcPr>
            <w:tcW w:w="840" w:type="pct"/>
            <w:shd w:val="clear" w:color="auto" w:fill="auto"/>
            <w:vAlign w:val="center"/>
          </w:tcPr>
          <w:p w14:paraId="5C85559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773" w:type="pct"/>
            <w:shd w:val="clear" w:color="auto" w:fill="auto"/>
            <w:vAlign w:val="center"/>
          </w:tcPr>
          <w:p w14:paraId="4FC0B6C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0.002</w:t>
            </w:r>
          </w:p>
        </w:tc>
        <w:tc>
          <w:tcPr>
            <w:tcW w:w="400" w:type="pct"/>
            <w:shd w:val="clear" w:color="auto" w:fill="auto"/>
            <w:vAlign w:val="center"/>
          </w:tcPr>
          <w:p w14:paraId="5397DCB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093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E311B7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54D1EBA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546" w:type="pct"/>
            <w:shd w:val="clear" w:color="auto" w:fill="auto"/>
            <w:vAlign w:val="center"/>
          </w:tcPr>
          <w:p w14:paraId="2A6C09F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14F4A22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0.5L</w:t>
            </w:r>
          </w:p>
        </w:tc>
        <w:tc>
          <w:tcPr>
            <w:tcW w:w="840" w:type="pct"/>
            <w:shd w:val="clear" w:color="auto" w:fill="auto"/>
            <w:vAlign w:val="center"/>
          </w:tcPr>
          <w:p w14:paraId="72445A5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w:t>
            </w:r>
          </w:p>
        </w:tc>
        <w:tc>
          <w:tcPr>
            <w:tcW w:w="773" w:type="pct"/>
            <w:shd w:val="clear" w:color="auto" w:fill="auto"/>
            <w:vAlign w:val="center"/>
          </w:tcPr>
          <w:p w14:paraId="13C1F53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0.088</w:t>
            </w:r>
          </w:p>
        </w:tc>
        <w:tc>
          <w:tcPr>
            <w:tcW w:w="400" w:type="pct"/>
            <w:shd w:val="clear" w:color="auto" w:fill="auto"/>
            <w:vAlign w:val="center"/>
          </w:tcPr>
          <w:p w14:paraId="6C2CF22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5E04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063F84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1E0CDDB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铜</w:t>
            </w:r>
          </w:p>
        </w:tc>
        <w:tc>
          <w:tcPr>
            <w:tcW w:w="546" w:type="pct"/>
            <w:shd w:val="clear" w:color="auto" w:fill="auto"/>
            <w:vAlign w:val="center"/>
          </w:tcPr>
          <w:p w14:paraId="69D9923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6CFD695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w:t>
            </w:r>
          </w:p>
        </w:tc>
        <w:tc>
          <w:tcPr>
            <w:tcW w:w="840" w:type="pct"/>
            <w:shd w:val="clear" w:color="auto" w:fill="auto"/>
            <w:vAlign w:val="center"/>
          </w:tcPr>
          <w:p w14:paraId="65FEA0B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18000</w:t>
            </w:r>
          </w:p>
        </w:tc>
        <w:tc>
          <w:tcPr>
            <w:tcW w:w="773" w:type="pct"/>
            <w:shd w:val="clear" w:color="auto" w:fill="auto"/>
            <w:vAlign w:val="center"/>
          </w:tcPr>
          <w:p w14:paraId="46DE056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0.001</w:t>
            </w:r>
          </w:p>
        </w:tc>
        <w:tc>
          <w:tcPr>
            <w:tcW w:w="400" w:type="pct"/>
            <w:shd w:val="clear" w:color="auto" w:fill="auto"/>
            <w:vAlign w:val="center"/>
          </w:tcPr>
          <w:p w14:paraId="1A4BAFE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EB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BEF071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6289BEA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铅</w:t>
            </w:r>
          </w:p>
        </w:tc>
        <w:tc>
          <w:tcPr>
            <w:tcW w:w="546" w:type="pct"/>
            <w:shd w:val="clear" w:color="auto" w:fill="auto"/>
            <w:vAlign w:val="center"/>
          </w:tcPr>
          <w:p w14:paraId="55DC269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7251B93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c>
          <w:tcPr>
            <w:tcW w:w="840" w:type="pct"/>
            <w:shd w:val="clear" w:color="auto" w:fill="auto"/>
            <w:vAlign w:val="center"/>
          </w:tcPr>
          <w:p w14:paraId="5E1CF93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800</w:t>
            </w:r>
          </w:p>
        </w:tc>
        <w:tc>
          <w:tcPr>
            <w:tcW w:w="773" w:type="pct"/>
            <w:shd w:val="clear" w:color="auto" w:fill="auto"/>
            <w:vAlign w:val="center"/>
          </w:tcPr>
          <w:p w14:paraId="6096F4E7">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0.02</w:t>
            </w:r>
            <w:r>
              <w:rPr>
                <w:rFonts w:hint="eastAsia"/>
                <w:color w:val="000000" w:themeColor="text1"/>
                <w:lang w:val="en-US" w:eastAsia="zh-CN"/>
                <w14:textFill>
                  <w14:solidFill>
                    <w14:schemeClr w14:val="tx1"/>
                  </w14:solidFill>
                </w14:textFill>
              </w:rPr>
              <w:t>9</w:t>
            </w:r>
          </w:p>
        </w:tc>
        <w:tc>
          <w:tcPr>
            <w:tcW w:w="400" w:type="pct"/>
            <w:shd w:val="clear" w:color="auto" w:fill="auto"/>
            <w:vAlign w:val="center"/>
          </w:tcPr>
          <w:p w14:paraId="10A1BED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3860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E494E2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2BE90E0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总汞</w:t>
            </w:r>
          </w:p>
        </w:tc>
        <w:tc>
          <w:tcPr>
            <w:tcW w:w="546" w:type="pct"/>
            <w:shd w:val="clear" w:color="auto" w:fill="auto"/>
            <w:vAlign w:val="center"/>
          </w:tcPr>
          <w:p w14:paraId="71053A8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13D91E7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0.096</w:t>
            </w:r>
          </w:p>
        </w:tc>
        <w:tc>
          <w:tcPr>
            <w:tcW w:w="840" w:type="pct"/>
            <w:shd w:val="clear" w:color="auto" w:fill="auto"/>
            <w:vAlign w:val="center"/>
          </w:tcPr>
          <w:p w14:paraId="297EAA3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w:t>
            </w:r>
          </w:p>
        </w:tc>
        <w:tc>
          <w:tcPr>
            <w:tcW w:w="773" w:type="pct"/>
            <w:shd w:val="clear" w:color="auto" w:fill="auto"/>
            <w:vAlign w:val="center"/>
          </w:tcPr>
          <w:p w14:paraId="65B4D8C5">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3</w:t>
            </w:r>
          </w:p>
        </w:tc>
        <w:tc>
          <w:tcPr>
            <w:tcW w:w="400" w:type="pct"/>
            <w:shd w:val="clear" w:color="auto" w:fill="auto"/>
            <w:vAlign w:val="center"/>
          </w:tcPr>
          <w:p w14:paraId="6E2838A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16D3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3BC463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1185" w:type="pct"/>
            <w:shd w:val="clear" w:color="auto" w:fill="auto"/>
            <w:vAlign w:val="center"/>
          </w:tcPr>
          <w:p w14:paraId="27E067E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镍</w:t>
            </w:r>
          </w:p>
        </w:tc>
        <w:tc>
          <w:tcPr>
            <w:tcW w:w="546" w:type="pct"/>
            <w:shd w:val="clear" w:color="auto" w:fill="auto"/>
            <w:vAlign w:val="center"/>
          </w:tcPr>
          <w:p w14:paraId="58A8049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61F330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w:t>
            </w:r>
          </w:p>
        </w:tc>
        <w:tc>
          <w:tcPr>
            <w:tcW w:w="840" w:type="pct"/>
            <w:shd w:val="clear" w:color="auto" w:fill="auto"/>
            <w:vAlign w:val="center"/>
          </w:tcPr>
          <w:p w14:paraId="3310600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w:t>
            </w:r>
          </w:p>
        </w:tc>
        <w:tc>
          <w:tcPr>
            <w:tcW w:w="773" w:type="pct"/>
            <w:shd w:val="clear" w:color="auto" w:fill="auto"/>
            <w:vAlign w:val="center"/>
          </w:tcPr>
          <w:p w14:paraId="08621EA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0.034</w:t>
            </w:r>
          </w:p>
        </w:tc>
        <w:tc>
          <w:tcPr>
            <w:tcW w:w="400" w:type="pct"/>
            <w:shd w:val="clear" w:color="auto" w:fill="auto"/>
            <w:vAlign w:val="center"/>
          </w:tcPr>
          <w:p w14:paraId="57DEAE6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542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restart"/>
            <w:vAlign w:val="center"/>
          </w:tcPr>
          <w:p w14:paraId="3FD6BC48">
            <w:pPr>
              <w:pStyle w:val="28"/>
              <w:keepNext w:val="0"/>
              <w:keepLines w:val="0"/>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T4</w:t>
            </w:r>
            <w:r>
              <w:rPr>
                <w:rFonts w:hint="eastAsia"/>
                <w:color w:val="000000" w:themeColor="text1"/>
                <w14:textFill>
                  <w14:solidFill>
                    <w14:schemeClr w14:val="tx1"/>
                  </w14:solidFill>
                </w14:textFill>
              </w:rPr>
              <w:t>租用厂房西面（对照点）</w:t>
            </w:r>
          </w:p>
          <w:p w14:paraId="6C0EC33F">
            <w:pPr>
              <w:pStyle w:val="28"/>
              <w:keepNext w:val="0"/>
              <w:keepLines w:val="0"/>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采样深度（0-0.2m）</w:t>
            </w:r>
          </w:p>
        </w:tc>
        <w:tc>
          <w:tcPr>
            <w:tcW w:w="1185" w:type="pct"/>
            <w:shd w:val="clear" w:color="auto" w:fill="auto"/>
            <w:vAlign w:val="center"/>
          </w:tcPr>
          <w:p w14:paraId="63130B5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pH</w:t>
            </w:r>
          </w:p>
        </w:tc>
        <w:tc>
          <w:tcPr>
            <w:tcW w:w="546" w:type="pct"/>
            <w:shd w:val="clear" w:color="auto" w:fill="auto"/>
            <w:vAlign w:val="center"/>
          </w:tcPr>
          <w:p w14:paraId="533720A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无量纲</w:t>
            </w:r>
          </w:p>
        </w:tc>
        <w:tc>
          <w:tcPr>
            <w:tcW w:w="488" w:type="pct"/>
            <w:shd w:val="clear" w:color="auto" w:fill="auto"/>
            <w:vAlign w:val="center"/>
          </w:tcPr>
          <w:p w14:paraId="398DF74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7.89</w:t>
            </w:r>
          </w:p>
        </w:tc>
        <w:tc>
          <w:tcPr>
            <w:tcW w:w="840" w:type="pct"/>
            <w:shd w:val="clear" w:color="auto" w:fill="auto"/>
            <w:vAlign w:val="center"/>
          </w:tcPr>
          <w:p w14:paraId="39B35E1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61B96481">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7598575F">
            <w:pPr>
              <w:pStyle w:val="28"/>
              <w:keepNext w:val="0"/>
              <w:keepLines w:val="0"/>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2A2F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4D35AA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95B163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总砷</w:t>
            </w:r>
          </w:p>
        </w:tc>
        <w:tc>
          <w:tcPr>
            <w:tcW w:w="546" w:type="pct"/>
            <w:shd w:val="clear" w:color="auto" w:fill="auto"/>
            <w:vAlign w:val="center"/>
          </w:tcPr>
          <w:p w14:paraId="5E88156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6337A23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8.03</w:t>
            </w:r>
          </w:p>
        </w:tc>
        <w:tc>
          <w:tcPr>
            <w:tcW w:w="840" w:type="pct"/>
            <w:shd w:val="clear" w:color="auto" w:fill="auto"/>
            <w:vAlign w:val="center"/>
          </w:tcPr>
          <w:p w14:paraId="76CEB9AF">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773" w:type="pct"/>
            <w:shd w:val="clear" w:color="auto" w:fill="auto"/>
            <w:vAlign w:val="center"/>
          </w:tcPr>
          <w:p w14:paraId="3A90062A">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0.268</w:t>
            </w:r>
          </w:p>
        </w:tc>
        <w:tc>
          <w:tcPr>
            <w:tcW w:w="400" w:type="pct"/>
            <w:shd w:val="clear" w:color="auto" w:fill="auto"/>
            <w:vAlign w:val="center"/>
          </w:tcPr>
          <w:p w14:paraId="1B6DCA0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407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E9096A2">
            <w:pPr>
              <w:pStyle w:val="28"/>
              <w:keepNext w:val="0"/>
              <w:keepLines w:val="0"/>
              <w:suppressLineNumbers w:val="0"/>
              <w:bidi w:val="0"/>
              <w:spacing w:before="0" w:beforeAutospacing="0" w:after="0" w:afterAutospacing="0"/>
              <w:ind w:left="0" w:right="0"/>
              <w:jc w:val="center"/>
              <w:rPr>
                <w:rFonts w:hint="eastAsia"/>
                <w:color w:val="000000" w:themeColor="text1"/>
                <w:highlight w:val="magenta"/>
                <w:lang w:val="en-US" w:eastAsia="zh-CN"/>
                <w14:textFill>
                  <w14:solidFill>
                    <w14:schemeClr w14:val="tx1"/>
                  </w14:solidFill>
                </w14:textFill>
              </w:rPr>
            </w:pPr>
          </w:p>
        </w:tc>
        <w:tc>
          <w:tcPr>
            <w:tcW w:w="1185" w:type="pct"/>
            <w:shd w:val="clear" w:color="auto" w:fill="auto"/>
            <w:vAlign w:val="center"/>
          </w:tcPr>
          <w:p w14:paraId="2A07587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镉</w:t>
            </w:r>
          </w:p>
        </w:tc>
        <w:tc>
          <w:tcPr>
            <w:tcW w:w="546" w:type="pct"/>
            <w:shd w:val="clear" w:color="auto" w:fill="auto"/>
            <w:vAlign w:val="center"/>
          </w:tcPr>
          <w:p w14:paraId="2DCE237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mg/kg</w:t>
            </w:r>
          </w:p>
        </w:tc>
        <w:tc>
          <w:tcPr>
            <w:tcW w:w="488" w:type="pct"/>
            <w:shd w:val="clear" w:color="auto" w:fill="auto"/>
            <w:vAlign w:val="center"/>
          </w:tcPr>
          <w:p w14:paraId="3F451680">
            <w:pPr>
              <w:pStyle w:val="28"/>
              <w:keepNext w:val="0"/>
              <w:keepLines w:val="0"/>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0.32</w:t>
            </w:r>
          </w:p>
        </w:tc>
        <w:tc>
          <w:tcPr>
            <w:tcW w:w="840" w:type="pct"/>
            <w:shd w:val="clear" w:color="auto" w:fill="auto"/>
            <w:vAlign w:val="center"/>
          </w:tcPr>
          <w:p w14:paraId="05E8FF83">
            <w:pPr>
              <w:pStyle w:val="28"/>
              <w:keepNext w:val="0"/>
              <w:keepLines w:val="0"/>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w:t>
            </w:r>
          </w:p>
        </w:tc>
        <w:tc>
          <w:tcPr>
            <w:tcW w:w="773" w:type="pct"/>
            <w:shd w:val="clear" w:color="auto" w:fill="auto"/>
            <w:vAlign w:val="center"/>
          </w:tcPr>
          <w:p w14:paraId="19E236D1">
            <w:pPr>
              <w:pStyle w:val="28"/>
              <w:keepNext w:val="0"/>
              <w:keepLines w:val="0"/>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0.534</w:t>
            </w:r>
          </w:p>
        </w:tc>
        <w:tc>
          <w:tcPr>
            <w:tcW w:w="400" w:type="pct"/>
            <w:shd w:val="clear" w:color="auto" w:fill="auto"/>
            <w:vAlign w:val="center"/>
          </w:tcPr>
          <w:p w14:paraId="03DACED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5514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A0416E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1A2EFA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六价铬</w:t>
            </w:r>
          </w:p>
        </w:tc>
        <w:tc>
          <w:tcPr>
            <w:tcW w:w="546" w:type="pct"/>
            <w:shd w:val="clear" w:color="auto" w:fill="auto"/>
            <w:vAlign w:val="center"/>
          </w:tcPr>
          <w:p w14:paraId="1AE52B6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38C57A2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0.5L</w:t>
            </w:r>
          </w:p>
        </w:tc>
        <w:tc>
          <w:tcPr>
            <w:tcW w:w="840" w:type="pct"/>
            <w:shd w:val="clear" w:color="auto" w:fill="auto"/>
            <w:vAlign w:val="center"/>
          </w:tcPr>
          <w:p w14:paraId="707E7B13">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w:t>
            </w:r>
          </w:p>
        </w:tc>
        <w:tc>
          <w:tcPr>
            <w:tcW w:w="773" w:type="pct"/>
            <w:shd w:val="clear" w:color="auto" w:fill="auto"/>
            <w:vAlign w:val="center"/>
          </w:tcPr>
          <w:p w14:paraId="563BEFC0">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400" w:type="pct"/>
            <w:shd w:val="clear" w:color="auto" w:fill="auto"/>
            <w:vAlign w:val="center"/>
          </w:tcPr>
          <w:p w14:paraId="061B917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7B08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2A9A5A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3D25D4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铜</w:t>
            </w:r>
          </w:p>
        </w:tc>
        <w:tc>
          <w:tcPr>
            <w:tcW w:w="546" w:type="pct"/>
            <w:shd w:val="clear" w:color="auto" w:fill="auto"/>
            <w:vAlign w:val="center"/>
          </w:tcPr>
          <w:p w14:paraId="72445C1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781DA77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w:t>
            </w:r>
          </w:p>
        </w:tc>
        <w:tc>
          <w:tcPr>
            <w:tcW w:w="840" w:type="pct"/>
            <w:shd w:val="clear" w:color="auto" w:fill="auto"/>
            <w:vAlign w:val="center"/>
          </w:tcPr>
          <w:p w14:paraId="36507F08">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c>
          <w:tcPr>
            <w:tcW w:w="773" w:type="pct"/>
            <w:shd w:val="clear" w:color="auto" w:fill="auto"/>
            <w:vAlign w:val="center"/>
          </w:tcPr>
          <w:p w14:paraId="5539C4F4">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0.36</w:t>
            </w:r>
          </w:p>
        </w:tc>
        <w:tc>
          <w:tcPr>
            <w:tcW w:w="400" w:type="pct"/>
            <w:shd w:val="clear" w:color="auto" w:fill="auto"/>
            <w:vAlign w:val="center"/>
          </w:tcPr>
          <w:p w14:paraId="53A3CF6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6C58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7E4DEED">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F156E1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铅</w:t>
            </w:r>
          </w:p>
        </w:tc>
        <w:tc>
          <w:tcPr>
            <w:tcW w:w="546" w:type="pct"/>
            <w:shd w:val="clear" w:color="auto" w:fill="auto"/>
            <w:vAlign w:val="center"/>
          </w:tcPr>
          <w:p w14:paraId="41D0064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4B426EC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w:t>
            </w:r>
          </w:p>
        </w:tc>
        <w:tc>
          <w:tcPr>
            <w:tcW w:w="840" w:type="pct"/>
            <w:shd w:val="clear" w:color="auto" w:fill="auto"/>
            <w:vAlign w:val="center"/>
          </w:tcPr>
          <w:p w14:paraId="3A15AD67">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170</w:t>
            </w:r>
          </w:p>
        </w:tc>
        <w:tc>
          <w:tcPr>
            <w:tcW w:w="773" w:type="pct"/>
            <w:shd w:val="clear" w:color="auto" w:fill="auto"/>
            <w:vAlign w:val="center"/>
          </w:tcPr>
          <w:p w14:paraId="7F324F2F">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0.229</w:t>
            </w:r>
          </w:p>
        </w:tc>
        <w:tc>
          <w:tcPr>
            <w:tcW w:w="400" w:type="pct"/>
            <w:shd w:val="clear" w:color="auto" w:fill="auto"/>
            <w:vAlign w:val="center"/>
          </w:tcPr>
          <w:p w14:paraId="1BA0849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4B51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64CBCE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53D484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总汞</w:t>
            </w:r>
          </w:p>
        </w:tc>
        <w:tc>
          <w:tcPr>
            <w:tcW w:w="546" w:type="pct"/>
            <w:shd w:val="clear" w:color="auto" w:fill="auto"/>
            <w:vAlign w:val="center"/>
          </w:tcPr>
          <w:p w14:paraId="51778ED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648EA23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0.625</w:t>
            </w:r>
          </w:p>
        </w:tc>
        <w:tc>
          <w:tcPr>
            <w:tcW w:w="840" w:type="pct"/>
            <w:shd w:val="clear" w:color="auto" w:fill="auto"/>
            <w:vAlign w:val="center"/>
          </w:tcPr>
          <w:p w14:paraId="224D5A64">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w:t>
            </w:r>
          </w:p>
        </w:tc>
        <w:tc>
          <w:tcPr>
            <w:tcW w:w="773" w:type="pct"/>
            <w:shd w:val="clear" w:color="auto" w:fill="auto"/>
            <w:vAlign w:val="center"/>
          </w:tcPr>
          <w:p w14:paraId="630C3D69">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0.184</w:t>
            </w:r>
          </w:p>
        </w:tc>
        <w:tc>
          <w:tcPr>
            <w:tcW w:w="400" w:type="pct"/>
            <w:shd w:val="clear" w:color="auto" w:fill="auto"/>
            <w:vAlign w:val="center"/>
          </w:tcPr>
          <w:p w14:paraId="0C9FE1A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2A7A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4E96DB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B4FBC9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镍</w:t>
            </w:r>
          </w:p>
        </w:tc>
        <w:tc>
          <w:tcPr>
            <w:tcW w:w="546" w:type="pct"/>
            <w:shd w:val="clear" w:color="auto" w:fill="auto"/>
            <w:vAlign w:val="center"/>
          </w:tcPr>
          <w:p w14:paraId="7BDC214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mg/kg</w:t>
            </w:r>
          </w:p>
        </w:tc>
        <w:tc>
          <w:tcPr>
            <w:tcW w:w="488" w:type="pct"/>
            <w:shd w:val="clear" w:color="auto" w:fill="auto"/>
            <w:vAlign w:val="center"/>
          </w:tcPr>
          <w:p w14:paraId="1935FEA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w:t>
            </w:r>
          </w:p>
        </w:tc>
        <w:tc>
          <w:tcPr>
            <w:tcW w:w="840" w:type="pct"/>
            <w:shd w:val="clear" w:color="auto" w:fill="auto"/>
            <w:vAlign w:val="center"/>
          </w:tcPr>
          <w:p w14:paraId="1E6D4189">
            <w:pPr>
              <w:pStyle w:val="28"/>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w:t>
            </w:r>
          </w:p>
        </w:tc>
        <w:tc>
          <w:tcPr>
            <w:tcW w:w="773" w:type="pct"/>
            <w:shd w:val="clear" w:color="auto" w:fill="auto"/>
            <w:vAlign w:val="center"/>
          </w:tcPr>
          <w:p w14:paraId="107218A5">
            <w:pPr>
              <w:pStyle w:val="28"/>
              <w:keepNext w:val="0"/>
              <w:keepLines w:val="0"/>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w:t>
            </w:r>
          </w:p>
        </w:tc>
        <w:tc>
          <w:tcPr>
            <w:tcW w:w="400" w:type="pct"/>
            <w:shd w:val="clear" w:color="auto" w:fill="auto"/>
            <w:vAlign w:val="center"/>
          </w:tcPr>
          <w:p w14:paraId="4E4BC73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达标</w:t>
            </w:r>
          </w:p>
        </w:tc>
      </w:tr>
      <w:tr w14:paraId="0BA8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3FD4145">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706580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氯甲烷</w:t>
            </w:r>
          </w:p>
        </w:tc>
        <w:tc>
          <w:tcPr>
            <w:tcW w:w="546" w:type="pct"/>
            <w:shd w:val="clear" w:color="auto" w:fill="auto"/>
            <w:vAlign w:val="center"/>
          </w:tcPr>
          <w:p w14:paraId="0CCF0C3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244174C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shd w:val="clear" w:color="auto" w:fill="auto"/>
            <w:vAlign w:val="center"/>
          </w:tcPr>
          <w:p w14:paraId="70FFE6B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30A4FF4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2F33DA9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35B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BB425FE">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06ED53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氯乙烯</w:t>
            </w:r>
          </w:p>
        </w:tc>
        <w:tc>
          <w:tcPr>
            <w:tcW w:w="546" w:type="pct"/>
            <w:shd w:val="clear" w:color="auto" w:fill="auto"/>
            <w:vAlign w:val="center"/>
          </w:tcPr>
          <w:p w14:paraId="6ECF405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933244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shd w:val="clear" w:color="auto" w:fill="auto"/>
            <w:vAlign w:val="center"/>
          </w:tcPr>
          <w:p w14:paraId="2810D163">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A36E09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D2B5600">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2B3C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86FD5C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1DE379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1，1-二氯乙烯</w:t>
            </w:r>
          </w:p>
        </w:tc>
        <w:tc>
          <w:tcPr>
            <w:tcW w:w="546" w:type="pct"/>
            <w:shd w:val="clear" w:color="auto" w:fill="auto"/>
            <w:vAlign w:val="center"/>
          </w:tcPr>
          <w:p w14:paraId="246A234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95C2D5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1.0L</w:t>
            </w:r>
          </w:p>
        </w:tc>
        <w:tc>
          <w:tcPr>
            <w:tcW w:w="840" w:type="pct"/>
            <w:shd w:val="clear" w:color="auto" w:fill="auto"/>
            <w:vAlign w:val="center"/>
          </w:tcPr>
          <w:p w14:paraId="2C602FDF">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2FCA9F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039364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05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4BC9D55">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EA0D3E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二氯甲烷</w:t>
            </w:r>
          </w:p>
        </w:tc>
        <w:tc>
          <w:tcPr>
            <w:tcW w:w="546" w:type="pct"/>
            <w:shd w:val="clear" w:color="auto" w:fill="auto"/>
            <w:vAlign w:val="center"/>
          </w:tcPr>
          <w:p w14:paraId="73AF266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537397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shd w:val="clear" w:color="auto" w:fill="auto"/>
            <w:vAlign w:val="center"/>
          </w:tcPr>
          <w:p w14:paraId="5BE974A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893EAEF">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4415BB7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DB0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F24722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AB4697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反式-1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2-二氯乙烯</w:t>
            </w:r>
          </w:p>
        </w:tc>
        <w:tc>
          <w:tcPr>
            <w:tcW w:w="546" w:type="pct"/>
            <w:shd w:val="clear" w:color="auto" w:fill="auto"/>
            <w:vAlign w:val="center"/>
          </w:tcPr>
          <w:p w14:paraId="57299EF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127283B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1.4L</w:t>
            </w:r>
          </w:p>
        </w:tc>
        <w:tc>
          <w:tcPr>
            <w:tcW w:w="840" w:type="pct"/>
            <w:shd w:val="clear" w:color="auto" w:fill="auto"/>
            <w:vAlign w:val="center"/>
          </w:tcPr>
          <w:p w14:paraId="3B95966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1E8CED93">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DF0DAE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75B6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106D50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9EBEF3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1-二氯乙烷</w:t>
            </w:r>
          </w:p>
        </w:tc>
        <w:tc>
          <w:tcPr>
            <w:tcW w:w="546" w:type="pct"/>
            <w:shd w:val="clear" w:color="auto" w:fill="auto"/>
            <w:vAlign w:val="center"/>
          </w:tcPr>
          <w:p w14:paraId="662E23C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D3A500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6294B88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34A585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014980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A45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5BFF5C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F038D2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顺式-1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2-二氯乙烯</w:t>
            </w:r>
          </w:p>
        </w:tc>
        <w:tc>
          <w:tcPr>
            <w:tcW w:w="546" w:type="pct"/>
            <w:shd w:val="clear" w:color="auto" w:fill="auto"/>
            <w:vAlign w:val="center"/>
          </w:tcPr>
          <w:p w14:paraId="2ADF146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304CB1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shd w:val="clear" w:color="auto" w:fill="auto"/>
            <w:vAlign w:val="center"/>
          </w:tcPr>
          <w:p w14:paraId="2AF40BD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D36D6A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06AB45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FCF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6AB5B8D">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4E3084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氯仿</w:t>
            </w:r>
          </w:p>
        </w:tc>
        <w:tc>
          <w:tcPr>
            <w:tcW w:w="546" w:type="pct"/>
            <w:shd w:val="clear" w:color="auto" w:fill="auto"/>
            <w:vAlign w:val="center"/>
          </w:tcPr>
          <w:p w14:paraId="0A76BE3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6D9FEB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shd w:val="clear" w:color="auto" w:fill="auto"/>
            <w:vAlign w:val="center"/>
          </w:tcPr>
          <w:p w14:paraId="78DE0EA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ACA2CB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260DC84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0BB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BF4EECB">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22BDB3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1-三氯乙烷</w:t>
            </w:r>
          </w:p>
        </w:tc>
        <w:tc>
          <w:tcPr>
            <w:tcW w:w="546" w:type="pct"/>
            <w:shd w:val="clear" w:color="auto" w:fill="auto"/>
            <w:vAlign w:val="center"/>
          </w:tcPr>
          <w:p w14:paraId="6A566A2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E6BCFC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shd w:val="clear" w:color="auto" w:fill="auto"/>
            <w:vAlign w:val="center"/>
          </w:tcPr>
          <w:p w14:paraId="0A9C41AB">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1C8B250">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C26896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80A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C839B91">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088DFB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四氯化碳</w:t>
            </w:r>
          </w:p>
        </w:tc>
        <w:tc>
          <w:tcPr>
            <w:tcW w:w="546" w:type="pct"/>
            <w:shd w:val="clear" w:color="auto" w:fill="auto"/>
            <w:vAlign w:val="center"/>
          </w:tcPr>
          <w:p w14:paraId="27DCE05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22430EB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shd w:val="clear" w:color="auto" w:fill="auto"/>
            <w:vAlign w:val="center"/>
          </w:tcPr>
          <w:p w14:paraId="6CF01AB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4B16176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70C36F1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2E7C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66E8F8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5F98FD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w:t>
            </w:r>
          </w:p>
        </w:tc>
        <w:tc>
          <w:tcPr>
            <w:tcW w:w="546" w:type="pct"/>
            <w:shd w:val="clear" w:color="auto" w:fill="auto"/>
            <w:vAlign w:val="center"/>
          </w:tcPr>
          <w:p w14:paraId="65AD572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3CCEF1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1.9L</w:t>
            </w:r>
          </w:p>
        </w:tc>
        <w:tc>
          <w:tcPr>
            <w:tcW w:w="840" w:type="pct"/>
            <w:shd w:val="clear" w:color="auto" w:fill="auto"/>
            <w:vAlign w:val="center"/>
          </w:tcPr>
          <w:p w14:paraId="0618B21B">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A09B10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04F03A7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30F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EFD062A">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368795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2-二氯乙烷</w:t>
            </w:r>
          </w:p>
        </w:tc>
        <w:tc>
          <w:tcPr>
            <w:tcW w:w="546" w:type="pct"/>
            <w:shd w:val="clear" w:color="auto" w:fill="auto"/>
            <w:vAlign w:val="center"/>
          </w:tcPr>
          <w:p w14:paraId="7D1DDE2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FFD354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shd w:val="clear" w:color="auto" w:fill="auto"/>
            <w:vAlign w:val="center"/>
          </w:tcPr>
          <w:p w14:paraId="4021235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178209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C75B65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CFA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9BF921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A22EA6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三氯乙烯</w:t>
            </w:r>
          </w:p>
        </w:tc>
        <w:tc>
          <w:tcPr>
            <w:tcW w:w="546" w:type="pct"/>
            <w:shd w:val="clear" w:color="auto" w:fill="auto"/>
            <w:vAlign w:val="center"/>
          </w:tcPr>
          <w:p w14:paraId="5031870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596E623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09A7BA1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B6FA4A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567006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DD9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887046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E43E6D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2-二氯丙烷</w:t>
            </w:r>
          </w:p>
        </w:tc>
        <w:tc>
          <w:tcPr>
            <w:tcW w:w="546" w:type="pct"/>
            <w:shd w:val="clear" w:color="auto" w:fill="auto"/>
            <w:vAlign w:val="center"/>
          </w:tcPr>
          <w:p w14:paraId="7DE10EF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B2A689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shd w:val="clear" w:color="auto" w:fill="auto"/>
            <w:vAlign w:val="center"/>
          </w:tcPr>
          <w:p w14:paraId="7C197DD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3C8842A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0D7EBE3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87B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319E9D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1DED7B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甲苯</w:t>
            </w:r>
          </w:p>
        </w:tc>
        <w:tc>
          <w:tcPr>
            <w:tcW w:w="546" w:type="pct"/>
            <w:shd w:val="clear" w:color="auto" w:fill="auto"/>
            <w:vAlign w:val="center"/>
          </w:tcPr>
          <w:p w14:paraId="1592F00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0C03F64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1.3L</w:t>
            </w:r>
          </w:p>
        </w:tc>
        <w:tc>
          <w:tcPr>
            <w:tcW w:w="840" w:type="pct"/>
            <w:shd w:val="clear" w:color="auto" w:fill="auto"/>
            <w:vAlign w:val="center"/>
          </w:tcPr>
          <w:p w14:paraId="25B1A67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36D442CC">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4865B05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29D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176646C">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5DCAC79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2-三氯乙烷</w:t>
            </w:r>
          </w:p>
        </w:tc>
        <w:tc>
          <w:tcPr>
            <w:tcW w:w="546" w:type="pct"/>
            <w:shd w:val="clear" w:color="auto" w:fill="auto"/>
            <w:vAlign w:val="center"/>
          </w:tcPr>
          <w:p w14:paraId="5C59B82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256A4F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6882CB7B">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D7E2F1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1EBB0AF">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7DCD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5BCA39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5E7D33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四氯乙烯</w:t>
            </w:r>
          </w:p>
        </w:tc>
        <w:tc>
          <w:tcPr>
            <w:tcW w:w="546" w:type="pct"/>
            <w:shd w:val="clear" w:color="auto" w:fill="auto"/>
            <w:vAlign w:val="center"/>
          </w:tcPr>
          <w:p w14:paraId="740A2D3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439049F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1.4L</w:t>
            </w:r>
          </w:p>
        </w:tc>
        <w:tc>
          <w:tcPr>
            <w:tcW w:w="840" w:type="pct"/>
            <w:shd w:val="clear" w:color="auto" w:fill="auto"/>
            <w:vAlign w:val="center"/>
          </w:tcPr>
          <w:p w14:paraId="0B57D95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1DA8D13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0E49937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4B7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CD0F8E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0C91637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氯苯</w:t>
            </w:r>
          </w:p>
        </w:tc>
        <w:tc>
          <w:tcPr>
            <w:tcW w:w="546" w:type="pct"/>
            <w:shd w:val="clear" w:color="auto" w:fill="auto"/>
            <w:vAlign w:val="center"/>
          </w:tcPr>
          <w:p w14:paraId="1BA04A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526FE7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611C801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7ED3DE1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A63615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2087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E96798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AB7820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2-四氯乙烷</w:t>
            </w:r>
          </w:p>
        </w:tc>
        <w:tc>
          <w:tcPr>
            <w:tcW w:w="546" w:type="pct"/>
            <w:shd w:val="clear" w:color="auto" w:fill="auto"/>
            <w:vAlign w:val="center"/>
          </w:tcPr>
          <w:p w14:paraId="532A287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7522001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6949477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2EF11C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E01FC0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CA3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991DD5E">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BA5E0E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乙苯</w:t>
            </w:r>
          </w:p>
        </w:tc>
        <w:tc>
          <w:tcPr>
            <w:tcW w:w="546" w:type="pct"/>
            <w:shd w:val="clear" w:color="auto" w:fill="auto"/>
            <w:vAlign w:val="center"/>
          </w:tcPr>
          <w:p w14:paraId="459C058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3EB2A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2DA6C24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118FEC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70F167A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DEF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4C7819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4E20A62">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间</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对-二甲苯</w:t>
            </w:r>
          </w:p>
        </w:tc>
        <w:tc>
          <w:tcPr>
            <w:tcW w:w="546" w:type="pct"/>
            <w:shd w:val="clear" w:color="auto" w:fill="auto"/>
            <w:vAlign w:val="center"/>
          </w:tcPr>
          <w:p w14:paraId="6FF5862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372B526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1D09B3A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27D7529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7FB1A1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DD9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0D2511B">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FCACCB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邻-二甲苯</w:t>
            </w:r>
          </w:p>
        </w:tc>
        <w:tc>
          <w:tcPr>
            <w:tcW w:w="546" w:type="pct"/>
            <w:shd w:val="clear" w:color="auto" w:fill="auto"/>
            <w:vAlign w:val="center"/>
          </w:tcPr>
          <w:p w14:paraId="0EC3294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2FD439B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2AF057AB">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173E0B30">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B95F0CC">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454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A9E771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C8B6C2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苯乙烯</w:t>
            </w:r>
          </w:p>
        </w:tc>
        <w:tc>
          <w:tcPr>
            <w:tcW w:w="546" w:type="pct"/>
            <w:shd w:val="clear" w:color="auto" w:fill="auto"/>
            <w:vAlign w:val="center"/>
          </w:tcPr>
          <w:p w14:paraId="1C7F7F9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09ADF2F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1.1L</w:t>
            </w:r>
          </w:p>
        </w:tc>
        <w:tc>
          <w:tcPr>
            <w:tcW w:w="840" w:type="pct"/>
            <w:shd w:val="clear" w:color="auto" w:fill="auto"/>
            <w:vAlign w:val="center"/>
          </w:tcPr>
          <w:p w14:paraId="47BE65C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3423AFD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26D7ADB0">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AD4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22D7C1B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2887F0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2-四氯乙烷</w:t>
            </w:r>
          </w:p>
        </w:tc>
        <w:tc>
          <w:tcPr>
            <w:tcW w:w="546" w:type="pct"/>
            <w:shd w:val="clear" w:color="auto" w:fill="auto"/>
            <w:vAlign w:val="center"/>
          </w:tcPr>
          <w:p w14:paraId="55B7435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8659C8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5652E70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1F09132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455A52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469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2A78C2B">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F1D648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3-三氯丙烷</w:t>
            </w:r>
          </w:p>
        </w:tc>
        <w:tc>
          <w:tcPr>
            <w:tcW w:w="546" w:type="pct"/>
            <w:shd w:val="clear" w:color="auto" w:fill="auto"/>
            <w:vAlign w:val="center"/>
          </w:tcPr>
          <w:p w14:paraId="0600381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83B28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1.2L</w:t>
            </w:r>
          </w:p>
        </w:tc>
        <w:tc>
          <w:tcPr>
            <w:tcW w:w="840" w:type="pct"/>
            <w:shd w:val="clear" w:color="auto" w:fill="auto"/>
            <w:vAlign w:val="center"/>
          </w:tcPr>
          <w:p w14:paraId="67AEB27E">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11F6EEB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7708FDC">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922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E319309">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BEC0C2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4-二氯苯</w:t>
            </w:r>
          </w:p>
        </w:tc>
        <w:tc>
          <w:tcPr>
            <w:tcW w:w="546" w:type="pct"/>
            <w:shd w:val="clear" w:color="auto" w:fill="auto"/>
            <w:vAlign w:val="center"/>
          </w:tcPr>
          <w:p w14:paraId="498DBA7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6478E29D">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shd w:val="clear" w:color="auto" w:fill="auto"/>
            <w:vAlign w:val="center"/>
          </w:tcPr>
          <w:p w14:paraId="3045508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8F1946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AE5046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975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F3E7590">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15D70A2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2-二氯苯</w:t>
            </w:r>
          </w:p>
        </w:tc>
        <w:tc>
          <w:tcPr>
            <w:tcW w:w="546" w:type="pct"/>
            <w:shd w:val="clear" w:color="auto" w:fill="auto"/>
            <w:vAlign w:val="center"/>
          </w:tcPr>
          <w:p w14:paraId="19A14FC3">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58577BE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1.5L</w:t>
            </w:r>
          </w:p>
        </w:tc>
        <w:tc>
          <w:tcPr>
            <w:tcW w:w="840" w:type="pct"/>
            <w:shd w:val="clear" w:color="auto" w:fill="auto"/>
            <w:vAlign w:val="center"/>
          </w:tcPr>
          <w:p w14:paraId="59C3ED63">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7AA94F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AC9AF6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63F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FE6705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56C18A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2-氯苯酚</w:t>
            </w:r>
          </w:p>
        </w:tc>
        <w:tc>
          <w:tcPr>
            <w:tcW w:w="546" w:type="pct"/>
            <w:shd w:val="clear" w:color="auto" w:fill="auto"/>
            <w:vAlign w:val="center"/>
          </w:tcPr>
          <w:p w14:paraId="4A37E34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10A786C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0.06L</w:t>
            </w:r>
          </w:p>
        </w:tc>
        <w:tc>
          <w:tcPr>
            <w:tcW w:w="840" w:type="pct"/>
            <w:shd w:val="clear" w:color="auto" w:fill="auto"/>
            <w:vAlign w:val="center"/>
          </w:tcPr>
          <w:p w14:paraId="1FDD338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69B93EE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D9BDB8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B7A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F9FC588">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6345681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硝基苯</w:t>
            </w:r>
          </w:p>
        </w:tc>
        <w:tc>
          <w:tcPr>
            <w:tcW w:w="546" w:type="pct"/>
            <w:shd w:val="clear" w:color="auto" w:fill="auto"/>
            <w:vAlign w:val="center"/>
          </w:tcPr>
          <w:p w14:paraId="6EF361D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6A773FC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0.09L</w:t>
            </w:r>
          </w:p>
        </w:tc>
        <w:tc>
          <w:tcPr>
            <w:tcW w:w="840" w:type="pct"/>
            <w:shd w:val="clear" w:color="auto" w:fill="auto"/>
            <w:vAlign w:val="center"/>
          </w:tcPr>
          <w:p w14:paraId="3488395F">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E7C8390">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6E13E63F">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7DB2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60B12CB1">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92279F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萘</w:t>
            </w:r>
          </w:p>
        </w:tc>
        <w:tc>
          <w:tcPr>
            <w:tcW w:w="546" w:type="pct"/>
            <w:shd w:val="clear" w:color="auto" w:fill="auto"/>
            <w:vAlign w:val="center"/>
          </w:tcPr>
          <w:p w14:paraId="4BC5461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60770DF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0.09L</w:t>
            </w:r>
          </w:p>
        </w:tc>
        <w:tc>
          <w:tcPr>
            <w:tcW w:w="840" w:type="pct"/>
            <w:shd w:val="clear" w:color="auto" w:fill="auto"/>
            <w:vAlign w:val="center"/>
          </w:tcPr>
          <w:p w14:paraId="0B8EB03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F1F4353">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74AC5523">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64D7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704F90AA">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AFDDB1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苯并[a]蒽</w:t>
            </w:r>
          </w:p>
        </w:tc>
        <w:tc>
          <w:tcPr>
            <w:tcW w:w="546" w:type="pct"/>
            <w:shd w:val="clear" w:color="auto" w:fill="auto"/>
            <w:vAlign w:val="center"/>
          </w:tcPr>
          <w:p w14:paraId="6661C5A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05F4BCA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2E1A33D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66A32987">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08F683A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8FF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4CCFCB1E">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292D2F00">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䓛</w:t>
            </w:r>
          </w:p>
        </w:tc>
        <w:tc>
          <w:tcPr>
            <w:tcW w:w="546" w:type="pct"/>
            <w:shd w:val="clear" w:color="auto" w:fill="auto"/>
            <w:vAlign w:val="center"/>
          </w:tcPr>
          <w:p w14:paraId="6A2439DE">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439C0C1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06E643A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FB8B16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15FB78DC">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017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0C30445">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9F060D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苯并[b]荧蒽</w:t>
            </w:r>
          </w:p>
        </w:tc>
        <w:tc>
          <w:tcPr>
            <w:tcW w:w="546" w:type="pct"/>
            <w:shd w:val="clear" w:color="auto" w:fill="auto"/>
            <w:vAlign w:val="center"/>
          </w:tcPr>
          <w:p w14:paraId="264EF62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0D3C0FF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0.2L</w:t>
            </w:r>
          </w:p>
        </w:tc>
        <w:tc>
          <w:tcPr>
            <w:tcW w:w="840" w:type="pct"/>
            <w:shd w:val="clear" w:color="auto" w:fill="auto"/>
            <w:vAlign w:val="center"/>
          </w:tcPr>
          <w:p w14:paraId="51105434">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39BA1ACC">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41B45E8D">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BAD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4C81C9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4C7F75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苯并[k]荧蒽</w:t>
            </w:r>
          </w:p>
        </w:tc>
        <w:tc>
          <w:tcPr>
            <w:tcW w:w="546" w:type="pct"/>
            <w:shd w:val="clear" w:color="auto" w:fill="auto"/>
            <w:vAlign w:val="center"/>
          </w:tcPr>
          <w:p w14:paraId="64799C6C">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746D0E96">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1D5686C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42578C8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4D14790A">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6CD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5458D7BF">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188B915">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苯并[a]芘</w:t>
            </w:r>
          </w:p>
        </w:tc>
        <w:tc>
          <w:tcPr>
            <w:tcW w:w="546" w:type="pct"/>
            <w:shd w:val="clear" w:color="auto" w:fill="auto"/>
            <w:vAlign w:val="center"/>
          </w:tcPr>
          <w:p w14:paraId="1E7015A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5FF00447">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7C7AA99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FE9CFE9">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55A6EEA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4F9A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077DCAD4">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7FE418A1">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茚并[1,2,3-cd]芘</w:t>
            </w:r>
          </w:p>
        </w:tc>
        <w:tc>
          <w:tcPr>
            <w:tcW w:w="546" w:type="pct"/>
            <w:shd w:val="clear" w:color="auto" w:fill="auto"/>
            <w:vAlign w:val="center"/>
          </w:tcPr>
          <w:p w14:paraId="3437091F">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3D05580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33C54216">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00FD9BF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2AFD97C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593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1233ACC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4F90C50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二苯并[a,h]蒽</w:t>
            </w:r>
          </w:p>
        </w:tc>
        <w:tc>
          <w:tcPr>
            <w:tcW w:w="546" w:type="pct"/>
            <w:shd w:val="clear" w:color="auto" w:fill="auto"/>
            <w:vAlign w:val="center"/>
          </w:tcPr>
          <w:p w14:paraId="4B0A65DB">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37EF2628">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0.1L</w:t>
            </w:r>
          </w:p>
        </w:tc>
        <w:tc>
          <w:tcPr>
            <w:tcW w:w="840" w:type="pct"/>
            <w:shd w:val="clear" w:color="auto" w:fill="auto"/>
            <w:vAlign w:val="center"/>
          </w:tcPr>
          <w:p w14:paraId="13F80EF5">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6EF881BB">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3945E378">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6E6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Merge w:val="continue"/>
            <w:vAlign w:val="center"/>
          </w:tcPr>
          <w:p w14:paraId="3AD61BA3">
            <w:pPr>
              <w:pStyle w:val="28"/>
              <w:keepNext w:val="0"/>
              <w:keepLines w:val="0"/>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1185" w:type="pct"/>
            <w:shd w:val="clear" w:color="auto" w:fill="auto"/>
            <w:vAlign w:val="center"/>
          </w:tcPr>
          <w:p w14:paraId="3033115A">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苯胺</w:t>
            </w:r>
          </w:p>
        </w:tc>
        <w:tc>
          <w:tcPr>
            <w:tcW w:w="546" w:type="pct"/>
            <w:shd w:val="clear" w:color="auto" w:fill="auto"/>
            <w:vAlign w:val="center"/>
          </w:tcPr>
          <w:p w14:paraId="256F4264">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µg/kg</w:t>
            </w:r>
          </w:p>
        </w:tc>
        <w:tc>
          <w:tcPr>
            <w:tcW w:w="488" w:type="pct"/>
            <w:shd w:val="clear" w:color="auto" w:fill="auto"/>
            <w:vAlign w:val="center"/>
          </w:tcPr>
          <w:p w14:paraId="02509D69">
            <w:pPr>
              <w:pStyle w:val="28"/>
              <w:keepNext w:val="0"/>
              <w:keepLines w:val="0"/>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2L</w:t>
            </w:r>
          </w:p>
        </w:tc>
        <w:tc>
          <w:tcPr>
            <w:tcW w:w="840" w:type="pct"/>
            <w:shd w:val="clear" w:color="auto" w:fill="auto"/>
            <w:vAlign w:val="center"/>
          </w:tcPr>
          <w:p w14:paraId="115BC46D">
            <w:pPr>
              <w:pStyle w:val="28"/>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3" w:type="pct"/>
            <w:shd w:val="clear" w:color="auto" w:fill="auto"/>
            <w:vAlign w:val="center"/>
          </w:tcPr>
          <w:p w14:paraId="5A129322">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00" w:type="pct"/>
            <w:shd w:val="clear" w:color="auto" w:fill="auto"/>
            <w:vAlign w:val="center"/>
          </w:tcPr>
          <w:p w14:paraId="295DC611">
            <w:pPr>
              <w:pStyle w:val="2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3C7E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4AB6494">
            <w:pPr>
              <w:pStyle w:val="28"/>
              <w:keepNext w:val="0"/>
              <w:keepLines w:val="0"/>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“检出限+L”表示检测结果低于分析方法检出限</w:t>
            </w:r>
          </w:p>
        </w:tc>
      </w:tr>
    </w:tbl>
    <w:p w14:paraId="564A09A7">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根据监测结果可知，厂区内</w:t>
      </w:r>
      <w:r>
        <w:rPr>
          <w:rFonts w:hint="eastAsia"/>
          <w:color w:val="000000" w:themeColor="text1"/>
          <w:lang w:val="en-US" w:eastAsia="zh-CN"/>
          <w14:textFill>
            <w14:solidFill>
              <w14:schemeClr w14:val="tx1"/>
            </w14:solidFill>
          </w14:textFill>
        </w:rPr>
        <w:t>土</w:t>
      </w:r>
      <w:r>
        <w:rPr>
          <w:rFonts w:hint="default"/>
          <w:color w:val="000000" w:themeColor="text1"/>
          <w:lang w:val="en-US" w:eastAsia="zh-CN"/>
          <w14:textFill>
            <w14:solidFill>
              <w14:schemeClr w14:val="tx1"/>
            </w14:solidFill>
          </w14:textFill>
        </w:rPr>
        <w:t>壤各监测因子均低于《土壤环境质量 建设用地土壤污染风险管控标准》（GB36600-2018）中第二类用地标准要求</w:t>
      </w:r>
      <w:r>
        <w:rPr>
          <w:rFonts w:hint="eastAsia"/>
          <w:color w:val="000000" w:themeColor="text1"/>
          <w:lang w:val="en-US" w:eastAsia="zh-CN"/>
          <w14:textFill>
            <w14:solidFill>
              <w14:schemeClr w14:val="tx1"/>
            </w14:solidFill>
          </w14:textFill>
        </w:rPr>
        <w:t>。厂区外对照点</w:t>
      </w:r>
      <w:r>
        <w:rPr>
          <w:rFonts w:hint="default"/>
          <w:color w:val="000000" w:themeColor="text1"/>
          <w:lang w:val="en-US" w:eastAsia="zh-CN"/>
          <w14:textFill>
            <w14:solidFill>
              <w14:schemeClr w14:val="tx1"/>
            </w14:solidFill>
          </w14:textFill>
        </w:rPr>
        <w:t>土壤监测因子</w:t>
      </w:r>
      <w:r>
        <w:rPr>
          <w:rFonts w:hint="eastAsia"/>
          <w:color w:val="000000" w:themeColor="text1"/>
          <w:lang w:val="en-US" w:eastAsia="zh-CN"/>
          <w14:textFill>
            <w14:solidFill>
              <w14:schemeClr w14:val="tx1"/>
            </w14:solidFill>
          </w14:textFill>
        </w:rPr>
        <w:t>低于</w:t>
      </w:r>
      <w:r>
        <w:rPr>
          <w:rFonts w:hint="default"/>
          <w:color w:val="000000" w:themeColor="text1"/>
          <w:lang w:val="en-US" w:eastAsia="zh-CN"/>
          <w14:textFill>
            <w14:solidFill>
              <w14:schemeClr w14:val="tx1"/>
            </w14:solidFill>
          </w14:textFill>
        </w:rPr>
        <w:t>《土壤环境质量 农用地土壤污染风险管控标准（试行）（GB15618-2018）中其他类用地标准</w:t>
      </w:r>
      <w:r>
        <w:rPr>
          <w:rFonts w:hint="eastAsia"/>
          <w:color w:val="000000" w:themeColor="text1"/>
          <w:lang w:val="en-US" w:eastAsia="zh-CN"/>
          <w14:textFill>
            <w14:solidFill>
              <w14:schemeClr w14:val="tx1"/>
            </w14:solidFill>
          </w14:textFill>
        </w:rPr>
        <w:t>。</w:t>
      </w:r>
    </w:p>
    <w:p w14:paraId="3B1CEB8A">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4.2.4.3补充监测</w:t>
      </w:r>
    </w:p>
    <w:p w14:paraId="4676012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（1）监测点位及监测因子</w:t>
      </w:r>
    </w:p>
    <w:p w14:paraId="79F5C54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项目土壤环境质量现状监测布点及监测因子见下表。监测点位详见图4.2-</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14:textFill>
            <w14:solidFill>
              <w14:schemeClr w14:val="tx1"/>
            </w14:solidFill>
          </w14:textFill>
        </w:rPr>
        <w:t>。</w:t>
      </w:r>
    </w:p>
    <w:p w14:paraId="674F57E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土壤现状补充监测方案一览表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2345"/>
        <w:gridCol w:w="1350"/>
        <w:gridCol w:w="4947"/>
      </w:tblGrid>
      <w:tr w14:paraId="0A05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gridSpan w:val="2"/>
            <w:vAlign w:val="center"/>
          </w:tcPr>
          <w:p w14:paraId="71844C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730" w:type="pct"/>
            <w:shd w:val="clear" w:color="auto" w:fill="auto"/>
            <w:vAlign w:val="center"/>
          </w:tcPr>
          <w:p w14:paraId="56824C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取样深度</w:t>
            </w:r>
          </w:p>
        </w:tc>
        <w:tc>
          <w:tcPr>
            <w:tcW w:w="2675" w:type="pct"/>
            <w:shd w:val="clear" w:color="auto" w:fill="auto"/>
            <w:vAlign w:val="center"/>
          </w:tcPr>
          <w:p w14:paraId="07BF7A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监测指标</w:t>
            </w:r>
          </w:p>
        </w:tc>
      </w:tr>
      <w:tr w14:paraId="7B3B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040BF6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Tb1</w:t>
            </w:r>
          </w:p>
        </w:tc>
        <w:tc>
          <w:tcPr>
            <w:tcW w:w="1268" w:type="pct"/>
            <w:vAlign w:val="center"/>
          </w:tcPr>
          <w:p w14:paraId="4D3FC7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厂区外西面农田</w:t>
            </w:r>
          </w:p>
        </w:tc>
        <w:tc>
          <w:tcPr>
            <w:tcW w:w="730" w:type="pct"/>
            <w:vAlign w:val="center"/>
          </w:tcPr>
          <w:p w14:paraId="2C65EA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表层样</w:t>
            </w:r>
          </w:p>
        </w:tc>
        <w:tc>
          <w:tcPr>
            <w:tcW w:w="2675" w:type="pct"/>
            <w:vAlign w:val="center"/>
          </w:tcPr>
          <w:p w14:paraId="372F6FB2">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石油烃</w:t>
            </w:r>
          </w:p>
        </w:tc>
      </w:tr>
      <w:tr w14:paraId="48D0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6462E1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Tb2</w:t>
            </w:r>
          </w:p>
        </w:tc>
        <w:tc>
          <w:tcPr>
            <w:tcW w:w="1268" w:type="pct"/>
            <w:vAlign w:val="center"/>
          </w:tcPr>
          <w:p w14:paraId="45F05B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厂区外东北面农田</w:t>
            </w:r>
          </w:p>
        </w:tc>
        <w:tc>
          <w:tcPr>
            <w:tcW w:w="730" w:type="pct"/>
            <w:vAlign w:val="center"/>
          </w:tcPr>
          <w:p w14:paraId="04A7E9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表层样</w:t>
            </w:r>
          </w:p>
        </w:tc>
        <w:tc>
          <w:tcPr>
            <w:tcW w:w="2675" w:type="pct"/>
            <w:shd w:val="clear" w:color="auto" w:fill="auto"/>
            <w:vAlign w:val="center"/>
          </w:tcPr>
          <w:p w14:paraId="68BD8B74">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石油烃</w:t>
            </w:r>
          </w:p>
        </w:tc>
      </w:tr>
      <w:tr w14:paraId="6B41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25E51B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Tb3</w:t>
            </w:r>
          </w:p>
        </w:tc>
        <w:tc>
          <w:tcPr>
            <w:tcW w:w="1268" w:type="pct"/>
            <w:vAlign w:val="center"/>
          </w:tcPr>
          <w:p w14:paraId="32DB0F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原料暂存间和废水处理间附近绿化带</w:t>
            </w:r>
          </w:p>
        </w:tc>
        <w:tc>
          <w:tcPr>
            <w:tcW w:w="730" w:type="pct"/>
            <w:shd w:val="clear" w:color="auto" w:fill="auto"/>
            <w:vAlign w:val="center"/>
          </w:tcPr>
          <w:p w14:paraId="5C93A1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表层样</w:t>
            </w:r>
          </w:p>
        </w:tc>
        <w:tc>
          <w:tcPr>
            <w:tcW w:w="2675" w:type="pct"/>
            <w:shd w:val="clear" w:color="auto" w:fill="auto"/>
            <w:vAlign w:val="center"/>
          </w:tcPr>
          <w:p w14:paraId="76BCCD7A">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石油烃</w:t>
            </w:r>
          </w:p>
        </w:tc>
      </w:tr>
      <w:tr w14:paraId="5D27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738D12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Tz1</w:t>
            </w:r>
          </w:p>
        </w:tc>
        <w:tc>
          <w:tcPr>
            <w:tcW w:w="1268" w:type="pct"/>
            <w:shd w:val="clear" w:color="auto" w:fill="auto"/>
            <w:vAlign w:val="center"/>
          </w:tcPr>
          <w:p w14:paraId="6299B9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原料暂存间和废水处理间附近绿化带</w:t>
            </w:r>
          </w:p>
        </w:tc>
        <w:tc>
          <w:tcPr>
            <w:tcW w:w="730" w:type="pct"/>
            <w:shd w:val="clear" w:color="auto" w:fill="auto"/>
            <w:vAlign w:val="center"/>
          </w:tcPr>
          <w:p w14:paraId="3945CD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柱状样</w:t>
            </w:r>
          </w:p>
        </w:tc>
        <w:tc>
          <w:tcPr>
            <w:tcW w:w="2675" w:type="pct"/>
            <w:shd w:val="clear" w:color="auto" w:fill="auto"/>
            <w:vAlign w:val="center"/>
          </w:tcPr>
          <w:p w14:paraId="40E81598">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石油烃</w:t>
            </w:r>
          </w:p>
        </w:tc>
      </w:tr>
      <w:tr w14:paraId="7FFA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296F37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Tz2</w:t>
            </w:r>
          </w:p>
        </w:tc>
        <w:tc>
          <w:tcPr>
            <w:tcW w:w="1268" w:type="pct"/>
            <w:shd w:val="clear" w:color="auto" w:fill="auto"/>
            <w:vAlign w:val="center"/>
          </w:tcPr>
          <w:p w14:paraId="0CA658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废水输送路径附近空地</w:t>
            </w:r>
          </w:p>
        </w:tc>
        <w:tc>
          <w:tcPr>
            <w:tcW w:w="730" w:type="pct"/>
            <w:shd w:val="clear" w:color="auto" w:fill="auto"/>
            <w:vAlign w:val="center"/>
          </w:tcPr>
          <w:p w14:paraId="353DB1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柱状样</w:t>
            </w:r>
          </w:p>
        </w:tc>
        <w:tc>
          <w:tcPr>
            <w:tcW w:w="2675" w:type="pct"/>
            <w:shd w:val="clear" w:color="auto" w:fill="auto"/>
            <w:vAlign w:val="center"/>
          </w:tcPr>
          <w:p w14:paraId="2C422E43">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石油烃</w:t>
            </w:r>
          </w:p>
        </w:tc>
      </w:tr>
      <w:tr w14:paraId="2644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7FDA78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Tz3</w:t>
            </w:r>
          </w:p>
        </w:tc>
        <w:tc>
          <w:tcPr>
            <w:tcW w:w="1268" w:type="pct"/>
            <w:vAlign w:val="center"/>
          </w:tcPr>
          <w:p w14:paraId="1E55FC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危废暂存间附近绿化带</w:t>
            </w:r>
          </w:p>
        </w:tc>
        <w:tc>
          <w:tcPr>
            <w:tcW w:w="730" w:type="pct"/>
            <w:vAlign w:val="center"/>
          </w:tcPr>
          <w:p w14:paraId="17D3CB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柱状样</w:t>
            </w:r>
          </w:p>
        </w:tc>
        <w:tc>
          <w:tcPr>
            <w:tcW w:w="2675" w:type="pct"/>
            <w:vAlign w:val="center"/>
          </w:tcPr>
          <w:p w14:paraId="2057E706">
            <w:pPr>
              <w:pStyle w:val="28"/>
              <w:rPr>
                <w:color w:val="000000" w:themeColor="text1"/>
                <w14:textFill>
                  <w14:solidFill>
                    <w14:schemeClr w14:val="tx1"/>
                  </w14:solidFill>
                </w14:textFill>
              </w:rPr>
            </w:pPr>
            <w:r>
              <w:rPr>
                <w:color w:val="000000" w:themeColor="text1"/>
                <w14:textFill>
                  <w14:solidFill>
                    <w14:schemeClr w14:val="tx1"/>
                  </w14:solidFill>
                </w14:textFill>
              </w:rPr>
              <w:t>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苯酚、苯并[a]蒽、苯并[a]芘、苯并[b]荧蒽、苯并[k]荧蒽、䓛、二苯并[a,h]蒽、茚并[1,2,3-cd]芘、萘</w:t>
            </w:r>
            <w:r>
              <w:rPr>
                <w:rFonts w:hint="eastAsia"/>
                <w:color w:val="000000" w:themeColor="text1"/>
                <w14:textFill>
                  <w14:solidFill>
                    <w14:schemeClr w14:val="tx1"/>
                  </w14:solidFill>
                </w14:textFill>
              </w:rPr>
              <w:t>、石油烃</w:t>
            </w:r>
          </w:p>
        </w:tc>
      </w:tr>
    </w:tbl>
    <w:p w14:paraId="76C73225">
      <w:pPr>
        <w:pStyle w:val="27"/>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4769485" cy="5199380"/>
            <wp:effectExtent l="0" t="0" r="12065" b="127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38"/>
                    <a:stretch>
                      <a:fillRect/>
                    </a:stretch>
                  </pic:blipFill>
                  <pic:spPr>
                    <a:xfrm>
                      <a:off x="0" y="0"/>
                      <a:ext cx="4769485" cy="5199380"/>
                    </a:xfrm>
                    <a:prstGeom prst="rect">
                      <a:avLst/>
                    </a:prstGeom>
                    <a:noFill/>
                    <a:ln>
                      <a:noFill/>
                    </a:ln>
                  </pic:spPr>
                </pic:pic>
              </a:graphicData>
            </a:graphic>
          </wp:inline>
        </w:drawing>
      </w:r>
    </w:p>
    <w:p w14:paraId="52DBB6C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图4.2-</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土壤环境现状监测点位示意图</w:t>
      </w:r>
    </w:p>
    <w:p w14:paraId="14EE3C5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（2）监测时间、</w:t>
      </w:r>
      <w:r>
        <w:rPr>
          <w:b/>
          <w:bCs/>
          <w:color w:val="000000" w:themeColor="text1"/>
          <w14:textFill>
            <w14:solidFill>
              <w14:schemeClr w14:val="tx1"/>
            </w14:solidFill>
          </w14:textFill>
        </w:rPr>
        <w:t>监测频次</w:t>
      </w:r>
    </w:p>
    <w:p w14:paraId="128DE519">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监测时间：</w:t>
      </w:r>
      <w:r>
        <w:rPr>
          <w:rFonts w:hint="eastAsia"/>
          <w:color w:val="000000" w:themeColor="text1"/>
          <w14:textFill>
            <w14:solidFill>
              <w14:schemeClr w14:val="tx1"/>
            </w14:solidFill>
          </w14:textFill>
        </w:rPr>
        <w:t>2026年1月5日</w:t>
      </w:r>
    </w:p>
    <w:p w14:paraId="689A9D7D">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监测</w:t>
      </w:r>
      <w:r>
        <w:rPr>
          <w:rFonts w:hint="eastAsia"/>
          <w:b/>
          <w:bCs/>
          <w:color w:val="000000" w:themeColor="text1"/>
          <w14:textFill>
            <w14:solidFill>
              <w14:schemeClr w14:val="tx1"/>
            </w14:solidFill>
          </w14:textFill>
        </w:rPr>
        <w:t>频次</w:t>
      </w:r>
      <w:r>
        <w:rPr>
          <w:rFonts w:hint="eastAsia"/>
          <w:color w:val="000000" w:themeColor="text1"/>
          <w14:textFill>
            <w14:solidFill>
              <w14:schemeClr w14:val="tx1"/>
            </w14:solidFill>
          </w14:textFill>
        </w:rPr>
        <w:t>：监测1</w:t>
      </w:r>
      <w:r>
        <w:rPr>
          <w:color w:val="000000" w:themeColor="text1"/>
          <w14:textFill>
            <w14:solidFill>
              <w14:schemeClr w14:val="tx1"/>
            </w14:solidFill>
          </w14:textFill>
        </w:rPr>
        <w:t>天</w:t>
      </w:r>
    </w:p>
    <w:p w14:paraId="0E98A11A">
      <w:pPr>
        <w:ind w:firstLine="482"/>
        <w:jc w:val="left"/>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）评价标准</w:t>
      </w:r>
    </w:p>
    <w:p w14:paraId="10690A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占地范围内执行《土壤环境质量  建设用地土壤污染风险管控标准（试行）》（GB36600-2018）中第二类用地标准，占地范围外执行《土壤环境质量 农用地土壤污染风险管控标准（试行）（GB15618-2018）中其他类用地标准。厂区外2个采样点为农用地，《土壤环境质量 农用地土壤污染风险管控标准（试行）》（GB15618-2018）标准中无石油烃的限值要求，本次评价采用《土壤环境质量 建设用地土壤污染风险管控标准》（GB36600-2018）中第二类用地标准要求进行评价。</w:t>
      </w:r>
    </w:p>
    <w:p w14:paraId="28B1C4F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（5）评价方法</w:t>
      </w:r>
    </w:p>
    <w:p w14:paraId="46DE3A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土壤质量评价采用标准指数法，标准指数＞1，表明该土壤因子已超标，标准指数越大，超标越严重。根据土壤现状监测中各因子对应的质量标准，分别计算每一种污染物的标准指数Pi，然后进行评价：</w:t>
      </w:r>
    </w:p>
    <w:p w14:paraId="567938F8">
      <w:pPr>
        <w:spacing w:line="240" w:lineRule="auto"/>
        <w:ind w:firstLine="480"/>
        <w:jc w:val="center"/>
        <w:rPr>
          <w:color w:val="000000" w:themeColor="text1"/>
          <w14:textFill>
            <w14:solidFill>
              <w14:schemeClr w14:val="tx1"/>
            </w14:solidFill>
          </w14:textFill>
        </w:rPr>
      </w:pPr>
      <w:r>
        <w:rPr>
          <w:color w:val="000000" w:themeColor="text1"/>
          <w:position w:val="-30"/>
          <w:szCs w:val="26"/>
          <w14:textFill>
            <w14:solidFill>
              <w14:schemeClr w14:val="tx1"/>
            </w14:solidFill>
          </w14:textFill>
        </w:rPr>
        <w:object>
          <v:shape id="_x0000_i1028" o:spt="75" type="#_x0000_t75" style="height:39.05pt;width:41.35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9">
            <o:LockedField>false</o:LockedField>
          </o:OLEObject>
        </w:object>
      </w:r>
    </w:p>
    <w:p w14:paraId="038B64B4">
      <w:pPr>
        <w:spacing w:line="440" w:lineRule="exact"/>
        <w:ind w:firstLine="480"/>
        <w:rPr>
          <w:color w:val="000000" w:themeColor="text1"/>
          <w14:textFill>
            <w14:solidFill>
              <w14:schemeClr w14:val="tx1"/>
            </w14:solidFill>
          </w14:textFill>
        </w:rPr>
      </w:pPr>
      <w:r>
        <w:rPr>
          <w:rFonts w:hAnsi="宋体"/>
          <w:color w:val="000000" w:themeColor="text1"/>
          <w14:textFill>
            <w14:solidFill>
              <w14:schemeClr w14:val="tx1"/>
            </w14:solidFill>
          </w14:textFill>
        </w:rPr>
        <w:t>式中：</w:t>
      </w:r>
      <w:r>
        <w:rPr>
          <w:rFonts w:hint="eastAsia"/>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rFonts w:hAnsi="宋体"/>
          <w:color w:val="000000" w:themeColor="text1"/>
          <w14:textFill>
            <w14:solidFill>
              <w14:schemeClr w14:val="tx1"/>
            </w14:solidFill>
          </w14:textFill>
        </w:rPr>
        <w:t>标准指数；</w:t>
      </w:r>
    </w:p>
    <w:p w14:paraId="15A3025E">
      <w:pPr>
        <w:spacing w:line="44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rFonts w:hAnsi="宋体"/>
          <w:color w:val="000000" w:themeColor="text1"/>
          <w14:textFill>
            <w14:solidFill>
              <w14:schemeClr w14:val="tx1"/>
            </w14:solidFill>
          </w14:textFill>
        </w:rPr>
        <w:t>评价因子</w:t>
      </w:r>
      <w:r>
        <w:rPr>
          <w:color w:val="000000" w:themeColor="text1"/>
          <w14:textFill>
            <w14:solidFill>
              <w14:schemeClr w14:val="tx1"/>
            </w14:solidFill>
          </w14:textFill>
        </w:rPr>
        <w:t>i</w:t>
      </w:r>
      <w:r>
        <w:rPr>
          <w:rFonts w:hAnsi="宋体"/>
          <w:color w:val="000000" w:themeColor="text1"/>
          <w14:textFill>
            <w14:solidFill>
              <w14:schemeClr w14:val="tx1"/>
            </w14:solidFill>
          </w14:textFill>
        </w:rPr>
        <w:t>在</w:t>
      </w:r>
      <w:r>
        <w:rPr>
          <w:color w:val="000000" w:themeColor="text1"/>
          <w14:textFill>
            <w14:solidFill>
              <w14:schemeClr w14:val="tx1"/>
            </w14:solidFill>
          </w14:textFill>
        </w:rPr>
        <w:t>j</w:t>
      </w:r>
      <w:r>
        <w:rPr>
          <w:rFonts w:hAnsi="宋体"/>
          <w:color w:val="000000" w:themeColor="text1"/>
          <w14:textFill>
            <w14:solidFill>
              <w14:schemeClr w14:val="tx1"/>
            </w14:solidFill>
          </w14:textFill>
        </w:rPr>
        <w:t>点的实测浓度值，</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g/kg</w:t>
      </w:r>
      <w:r>
        <w:rPr>
          <w:rFonts w:hAnsi="宋体"/>
          <w:color w:val="000000" w:themeColor="text1"/>
          <w14:textFill>
            <w14:solidFill>
              <w14:schemeClr w14:val="tx1"/>
            </w14:solidFill>
          </w14:textFill>
        </w:rPr>
        <w:t>；</w:t>
      </w:r>
    </w:p>
    <w:p w14:paraId="299E93BC">
      <w:pPr>
        <w:ind w:firstLine="480"/>
        <w:rPr>
          <w:rFonts w:hAnsi="宋体"/>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w:t>
      </w:r>
      <w:r>
        <w:rPr>
          <w:rFonts w:hAnsi="宋体"/>
          <w:color w:val="000000" w:themeColor="text1"/>
          <w14:textFill>
            <w14:solidFill>
              <w14:schemeClr w14:val="tx1"/>
            </w14:solidFill>
          </w14:textFill>
        </w:rPr>
        <w:t>评价因子</w:t>
      </w:r>
      <w:r>
        <w:rPr>
          <w:color w:val="000000" w:themeColor="text1"/>
          <w14:textFill>
            <w14:solidFill>
              <w14:schemeClr w14:val="tx1"/>
            </w14:solidFill>
          </w14:textFill>
        </w:rPr>
        <w:t>i</w:t>
      </w:r>
      <w:r>
        <w:rPr>
          <w:rFonts w:hAnsi="宋体"/>
          <w:color w:val="000000" w:themeColor="text1"/>
          <w14:textFill>
            <w14:solidFill>
              <w14:schemeClr w14:val="tx1"/>
            </w14:solidFill>
          </w14:textFill>
        </w:rPr>
        <w:t>的评价标准值，</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g/kg</w:t>
      </w:r>
      <w:r>
        <w:rPr>
          <w:rFonts w:hint="eastAsia" w:hAnsi="宋体"/>
          <w:color w:val="000000" w:themeColor="text1"/>
          <w14:textFill>
            <w14:solidFill>
              <w14:schemeClr w14:val="tx1"/>
            </w14:solidFill>
          </w14:textFill>
        </w:rPr>
        <w:t>。</w:t>
      </w:r>
    </w:p>
    <w:p w14:paraId="7BF9F3F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（6）理化性质</w:t>
      </w:r>
    </w:p>
    <w:p w14:paraId="3F1229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监测点位土壤理化性质见表4.2-</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w:t>
      </w:r>
    </w:p>
    <w:p w14:paraId="36C804B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土壤理化性质一览表（表层样）</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013"/>
        <w:gridCol w:w="2017"/>
        <w:gridCol w:w="2089"/>
        <w:gridCol w:w="2437"/>
      </w:tblGrid>
      <w:tr w14:paraId="0D82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pct"/>
            <w:gridSpan w:val="2"/>
            <w:vAlign w:val="center"/>
          </w:tcPr>
          <w:p w14:paraId="49DCDB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采样点位</w:t>
            </w:r>
          </w:p>
        </w:tc>
        <w:tc>
          <w:tcPr>
            <w:tcW w:w="1091" w:type="pct"/>
            <w:shd w:val="clear" w:color="auto" w:fill="auto"/>
            <w:vAlign w:val="center"/>
          </w:tcPr>
          <w:p w14:paraId="1A8DBE5F">
            <w:pPr>
              <w:pStyle w:val="28"/>
              <w:rPr>
                <w:color w:val="000000" w:themeColor="text1"/>
                <w14:textFill>
                  <w14:solidFill>
                    <w14:schemeClr w14:val="tx1"/>
                  </w14:solidFill>
                </w14:textFill>
              </w:rPr>
            </w:pPr>
            <w:r>
              <w:rPr>
                <w:color w:val="000000" w:themeColor="text1"/>
                <w14:textFill>
                  <w14:solidFill>
                    <w14:schemeClr w14:val="tx1"/>
                  </w14:solidFill>
                </w14:textFill>
              </w:rPr>
              <w:t>厂区外西面农田Tb1</w:t>
            </w:r>
          </w:p>
        </w:tc>
        <w:tc>
          <w:tcPr>
            <w:tcW w:w="1130" w:type="pct"/>
            <w:shd w:val="clear" w:color="auto" w:fill="auto"/>
            <w:vAlign w:val="center"/>
          </w:tcPr>
          <w:p w14:paraId="7ACEDDC8">
            <w:pPr>
              <w:pStyle w:val="28"/>
              <w:rPr>
                <w:color w:val="000000" w:themeColor="text1"/>
                <w14:textFill>
                  <w14:solidFill>
                    <w14:schemeClr w14:val="tx1"/>
                  </w14:solidFill>
                </w14:textFill>
              </w:rPr>
            </w:pPr>
            <w:r>
              <w:rPr>
                <w:color w:val="000000" w:themeColor="text1"/>
                <w14:textFill>
                  <w14:solidFill>
                    <w14:schemeClr w14:val="tx1"/>
                  </w14:solidFill>
                </w14:textFill>
              </w:rPr>
              <w:t>厂区外东北面农田Tb2</w:t>
            </w:r>
          </w:p>
        </w:tc>
        <w:tc>
          <w:tcPr>
            <w:tcW w:w="1317" w:type="pct"/>
            <w:shd w:val="clear" w:color="auto" w:fill="auto"/>
            <w:vAlign w:val="center"/>
          </w:tcPr>
          <w:p w14:paraId="1F94A0BB">
            <w:pPr>
              <w:pStyle w:val="28"/>
              <w:rPr>
                <w:color w:val="000000" w:themeColor="text1"/>
                <w14:textFill>
                  <w14:solidFill>
                    <w14:schemeClr w14:val="tx1"/>
                  </w14:solidFill>
                </w14:textFill>
              </w:rPr>
            </w:pPr>
            <w:r>
              <w:rPr>
                <w:color w:val="000000" w:themeColor="text1"/>
                <w14:textFill>
                  <w14:solidFill>
                    <w14:schemeClr w14:val="tx1"/>
                  </w14:solidFill>
                </w14:textFill>
              </w:rPr>
              <w:t>原料暂存间和废水处理间附近绿化带Tb3</w:t>
            </w:r>
          </w:p>
        </w:tc>
      </w:tr>
      <w:tr w14:paraId="4AB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pct"/>
            <w:gridSpan w:val="2"/>
            <w:vAlign w:val="center"/>
          </w:tcPr>
          <w:p w14:paraId="0CD2C2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采样时间</w:t>
            </w:r>
          </w:p>
        </w:tc>
        <w:tc>
          <w:tcPr>
            <w:tcW w:w="3539" w:type="pct"/>
            <w:gridSpan w:val="3"/>
            <w:vAlign w:val="center"/>
          </w:tcPr>
          <w:p w14:paraId="39AFD2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2026年1月5日</w:t>
            </w:r>
          </w:p>
        </w:tc>
      </w:tr>
      <w:tr w14:paraId="0684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pct"/>
            <w:gridSpan w:val="2"/>
            <w:vAlign w:val="center"/>
          </w:tcPr>
          <w:p w14:paraId="4A2934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点位坐标</w:t>
            </w:r>
          </w:p>
        </w:tc>
        <w:tc>
          <w:tcPr>
            <w:tcW w:w="1091" w:type="pct"/>
            <w:shd w:val="clear" w:color="auto" w:fill="auto"/>
            <w:vAlign w:val="center"/>
          </w:tcPr>
          <w:p w14:paraId="18F46175">
            <w:pPr>
              <w:pStyle w:val="28"/>
              <w:rPr>
                <w:color w:val="000000" w:themeColor="text1"/>
                <w14:textFill>
                  <w14:solidFill>
                    <w14:schemeClr w14:val="tx1"/>
                  </w14:solidFill>
                </w14:textFill>
              </w:rPr>
            </w:pPr>
            <w:r>
              <w:rPr>
                <w:color w:val="000000" w:themeColor="text1"/>
                <w14:textFill>
                  <w14:solidFill>
                    <w14:schemeClr w14:val="tx1"/>
                  </w14:solidFill>
                </w14:textFill>
              </w:rPr>
              <w:t>102°31′31.79"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24°26′13.14"</w:t>
            </w:r>
          </w:p>
        </w:tc>
        <w:tc>
          <w:tcPr>
            <w:tcW w:w="1130" w:type="pct"/>
            <w:shd w:val="clear" w:color="auto" w:fill="auto"/>
            <w:vAlign w:val="center"/>
          </w:tcPr>
          <w:p w14:paraId="6B11577A">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102°31′36.59"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24°26′15.24"</w:t>
            </w:r>
          </w:p>
        </w:tc>
        <w:tc>
          <w:tcPr>
            <w:tcW w:w="1317" w:type="pct"/>
            <w:shd w:val="clear" w:color="auto" w:fill="auto"/>
            <w:vAlign w:val="center"/>
          </w:tcPr>
          <w:p w14:paraId="6356641B">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102°31′35.48"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24°26′14.21"</w:t>
            </w:r>
          </w:p>
        </w:tc>
      </w:tr>
      <w:tr w14:paraId="1506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pct"/>
            <w:gridSpan w:val="2"/>
            <w:vAlign w:val="center"/>
          </w:tcPr>
          <w:p w14:paraId="06B38E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层次</w:t>
            </w:r>
          </w:p>
        </w:tc>
        <w:tc>
          <w:tcPr>
            <w:tcW w:w="1091" w:type="pct"/>
            <w:shd w:val="clear" w:color="auto" w:fill="auto"/>
            <w:vAlign w:val="center"/>
          </w:tcPr>
          <w:p w14:paraId="595C4C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0-0.2m</w:t>
            </w:r>
          </w:p>
        </w:tc>
        <w:tc>
          <w:tcPr>
            <w:tcW w:w="1130" w:type="pct"/>
            <w:shd w:val="clear" w:color="auto" w:fill="auto"/>
            <w:vAlign w:val="center"/>
          </w:tcPr>
          <w:p w14:paraId="303C0E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0-0.2m</w:t>
            </w:r>
          </w:p>
        </w:tc>
        <w:tc>
          <w:tcPr>
            <w:tcW w:w="1317" w:type="pct"/>
            <w:shd w:val="clear" w:color="auto" w:fill="auto"/>
            <w:vAlign w:val="center"/>
          </w:tcPr>
          <w:p w14:paraId="5F2E67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0-0.2m</w:t>
            </w:r>
          </w:p>
        </w:tc>
      </w:tr>
      <w:tr w14:paraId="7B07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restart"/>
            <w:vAlign w:val="center"/>
          </w:tcPr>
          <w:p w14:paraId="3E3E84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现场记录</w:t>
            </w:r>
          </w:p>
        </w:tc>
        <w:tc>
          <w:tcPr>
            <w:tcW w:w="1089" w:type="pct"/>
            <w:vAlign w:val="center"/>
          </w:tcPr>
          <w:p w14:paraId="7F5E5D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颜色</w:t>
            </w:r>
          </w:p>
        </w:tc>
        <w:tc>
          <w:tcPr>
            <w:tcW w:w="1091" w:type="pct"/>
            <w:vAlign w:val="center"/>
          </w:tcPr>
          <w:p w14:paraId="623B3D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1130" w:type="pct"/>
            <w:vAlign w:val="center"/>
          </w:tcPr>
          <w:p w14:paraId="15A06D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1317" w:type="pct"/>
            <w:vAlign w:val="center"/>
          </w:tcPr>
          <w:p w14:paraId="468B8C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r>
      <w:tr w14:paraId="1FEB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5BA5C133">
            <w:pPr>
              <w:pStyle w:val="28"/>
              <w:rPr>
                <w:color w:val="000000" w:themeColor="text1"/>
                <w14:textFill>
                  <w14:solidFill>
                    <w14:schemeClr w14:val="tx1"/>
                  </w14:solidFill>
                </w14:textFill>
              </w:rPr>
            </w:pPr>
          </w:p>
        </w:tc>
        <w:tc>
          <w:tcPr>
            <w:tcW w:w="1089" w:type="pct"/>
            <w:vAlign w:val="center"/>
          </w:tcPr>
          <w:p w14:paraId="00F199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c>
          <w:tcPr>
            <w:tcW w:w="1091" w:type="pct"/>
            <w:vAlign w:val="center"/>
          </w:tcPr>
          <w:p w14:paraId="4F91BA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1130" w:type="pct"/>
            <w:vAlign w:val="center"/>
          </w:tcPr>
          <w:p w14:paraId="24AA5A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1317" w:type="pct"/>
            <w:vAlign w:val="center"/>
          </w:tcPr>
          <w:p w14:paraId="3667FA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r>
      <w:tr w14:paraId="2E1F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33D47F20">
            <w:pPr>
              <w:pStyle w:val="28"/>
              <w:rPr>
                <w:color w:val="000000" w:themeColor="text1"/>
                <w14:textFill>
                  <w14:solidFill>
                    <w14:schemeClr w14:val="tx1"/>
                  </w14:solidFill>
                </w14:textFill>
              </w:rPr>
            </w:pPr>
          </w:p>
        </w:tc>
        <w:tc>
          <w:tcPr>
            <w:tcW w:w="1089" w:type="pct"/>
            <w:shd w:val="clear" w:color="auto" w:fill="auto"/>
            <w:vAlign w:val="center"/>
          </w:tcPr>
          <w:p w14:paraId="7A1DBB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质地</w:t>
            </w:r>
          </w:p>
        </w:tc>
        <w:tc>
          <w:tcPr>
            <w:tcW w:w="1091" w:type="pct"/>
            <w:shd w:val="clear" w:color="auto" w:fill="auto"/>
            <w:vAlign w:val="center"/>
          </w:tcPr>
          <w:p w14:paraId="61B7A4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1130" w:type="pct"/>
            <w:shd w:val="clear" w:color="auto" w:fill="auto"/>
            <w:vAlign w:val="center"/>
          </w:tcPr>
          <w:p w14:paraId="5D3D7B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1317" w:type="pct"/>
            <w:shd w:val="clear" w:color="auto" w:fill="auto"/>
            <w:vAlign w:val="center"/>
          </w:tcPr>
          <w:p w14:paraId="1AC6DB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r>
      <w:tr w14:paraId="1069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09A7B19D">
            <w:pPr>
              <w:pStyle w:val="28"/>
              <w:rPr>
                <w:color w:val="000000" w:themeColor="text1"/>
                <w14:textFill>
                  <w14:solidFill>
                    <w14:schemeClr w14:val="tx1"/>
                  </w14:solidFill>
                </w14:textFill>
              </w:rPr>
            </w:pPr>
          </w:p>
        </w:tc>
        <w:tc>
          <w:tcPr>
            <w:tcW w:w="1089" w:type="pct"/>
            <w:shd w:val="clear" w:color="auto" w:fill="auto"/>
            <w:vAlign w:val="center"/>
          </w:tcPr>
          <w:p w14:paraId="015583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砂砾含量</w:t>
            </w:r>
          </w:p>
        </w:tc>
        <w:tc>
          <w:tcPr>
            <w:tcW w:w="1091" w:type="pct"/>
            <w:vAlign w:val="center"/>
          </w:tcPr>
          <w:p w14:paraId="4898A5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1130" w:type="pct"/>
            <w:vAlign w:val="center"/>
          </w:tcPr>
          <w:p w14:paraId="231715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1317" w:type="pct"/>
            <w:vAlign w:val="center"/>
          </w:tcPr>
          <w:p w14:paraId="47B269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57C8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2753DA42">
            <w:pPr>
              <w:pStyle w:val="28"/>
              <w:rPr>
                <w:color w:val="000000" w:themeColor="text1"/>
                <w14:textFill>
                  <w14:solidFill>
                    <w14:schemeClr w14:val="tx1"/>
                  </w14:solidFill>
                </w14:textFill>
              </w:rPr>
            </w:pPr>
          </w:p>
        </w:tc>
        <w:tc>
          <w:tcPr>
            <w:tcW w:w="1089" w:type="pct"/>
            <w:shd w:val="clear" w:color="auto" w:fill="auto"/>
            <w:vAlign w:val="center"/>
          </w:tcPr>
          <w:p w14:paraId="56E8EE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其他异物</w:t>
            </w:r>
          </w:p>
        </w:tc>
        <w:tc>
          <w:tcPr>
            <w:tcW w:w="1091" w:type="pct"/>
            <w:vAlign w:val="center"/>
          </w:tcPr>
          <w:p w14:paraId="412558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1130" w:type="pct"/>
            <w:vAlign w:val="center"/>
          </w:tcPr>
          <w:p w14:paraId="50AE98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1317" w:type="pct"/>
            <w:vAlign w:val="center"/>
          </w:tcPr>
          <w:p w14:paraId="5510C0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09C7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restart"/>
            <w:vAlign w:val="center"/>
          </w:tcPr>
          <w:p w14:paraId="451D02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实验室测定</w:t>
            </w:r>
          </w:p>
        </w:tc>
        <w:tc>
          <w:tcPr>
            <w:tcW w:w="1089" w:type="pct"/>
            <w:vAlign w:val="center"/>
          </w:tcPr>
          <w:p w14:paraId="04E3CA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pH值（无量纲）</w:t>
            </w:r>
          </w:p>
        </w:tc>
        <w:tc>
          <w:tcPr>
            <w:tcW w:w="1091" w:type="pct"/>
            <w:vAlign w:val="center"/>
          </w:tcPr>
          <w:p w14:paraId="31D378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7.89</w:t>
            </w:r>
          </w:p>
        </w:tc>
        <w:tc>
          <w:tcPr>
            <w:tcW w:w="1130" w:type="pct"/>
            <w:vAlign w:val="center"/>
          </w:tcPr>
          <w:p w14:paraId="18D50C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5.80</w:t>
            </w:r>
          </w:p>
        </w:tc>
        <w:tc>
          <w:tcPr>
            <w:tcW w:w="1317" w:type="pct"/>
            <w:vAlign w:val="center"/>
          </w:tcPr>
          <w:p w14:paraId="40550E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5.48</w:t>
            </w:r>
          </w:p>
        </w:tc>
      </w:tr>
      <w:tr w14:paraId="3FA1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4596E828">
            <w:pPr>
              <w:pStyle w:val="28"/>
              <w:rPr>
                <w:color w:val="000000" w:themeColor="text1"/>
                <w14:textFill>
                  <w14:solidFill>
                    <w14:schemeClr w14:val="tx1"/>
                  </w14:solidFill>
                </w14:textFill>
              </w:rPr>
            </w:pPr>
          </w:p>
        </w:tc>
        <w:tc>
          <w:tcPr>
            <w:tcW w:w="1089" w:type="pct"/>
            <w:vAlign w:val="center"/>
          </w:tcPr>
          <w:p w14:paraId="49552B7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阳离子交换量（</w:t>
            </w:r>
            <w:r>
              <w:rPr>
                <w:rFonts w:cs="Times New Roman"/>
                <w:color w:val="000000" w:themeColor="text1"/>
                <w:spacing w:val="14"/>
                <w:sz w:val="24"/>
                <w14:textFill>
                  <w14:solidFill>
                    <w14:schemeClr w14:val="tx1"/>
                  </w14:solidFill>
                </w14:textFill>
              </w:rPr>
              <w:t>cmol</w:t>
            </w:r>
            <w:r>
              <w:rPr>
                <w:rFonts w:cs="Times New Roman"/>
                <w:color w:val="000000" w:themeColor="text1"/>
                <w:spacing w:val="14"/>
                <w:sz w:val="24"/>
                <w:vertAlign w:val="superscript"/>
                <w14:textFill>
                  <w14:solidFill>
                    <w14:schemeClr w14:val="tx1"/>
                  </w14:solidFill>
                </w14:textFill>
              </w:rPr>
              <w:t>+</w:t>
            </w:r>
            <w:r>
              <w:rPr>
                <w:rFonts w:cs="Times New Roman"/>
                <w:color w:val="000000" w:themeColor="text1"/>
                <w:spacing w:val="14"/>
                <w:sz w:val="24"/>
                <w14:textFill>
                  <w14:solidFill>
                    <w14:schemeClr w14:val="tx1"/>
                  </w14:solidFill>
                </w14:textFill>
              </w:rPr>
              <w:t>/kg</w:t>
            </w:r>
            <w:r>
              <w:rPr>
                <w:rFonts w:cs="Times New Roman"/>
                <w:color w:val="000000" w:themeColor="text1"/>
                <w14:textFill>
                  <w14:solidFill>
                    <w14:schemeClr w14:val="tx1"/>
                  </w14:solidFill>
                </w14:textFill>
              </w:rPr>
              <w:t>）</w:t>
            </w:r>
          </w:p>
        </w:tc>
        <w:tc>
          <w:tcPr>
            <w:tcW w:w="1091" w:type="pct"/>
            <w:shd w:val="clear" w:color="auto" w:fill="auto"/>
            <w:vAlign w:val="center"/>
          </w:tcPr>
          <w:p w14:paraId="63711B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10.6</w:t>
            </w:r>
          </w:p>
        </w:tc>
        <w:tc>
          <w:tcPr>
            <w:tcW w:w="1130" w:type="pct"/>
            <w:shd w:val="clear" w:color="auto" w:fill="auto"/>
            <w:vAlign w:val="center"/>
          </w:tcPr>
          <w:p w14:paraId="052752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317" w:type="pct"/>
            <w:shd w:val="clear" w:color="auto" w:fill="auto"/>
            <w:vAlign w:val="center"/>
          </w:tcPr>
          <w:p w14:paraId="508C73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r>
      <w:tr w14:paraId="212E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2CCA7862">
            <w:pPr>
              <w:pStyle w:val="28"/>
              <w:rPr>
                <w:color w:val="000000" w:themeColor="text1"/>
                <w14:textFill>
                  <w14:solidFill>
                    <w14:schemeClr w14:val="tx1"/>
                  </w14:solidFill>
                </w14:textFill>
              </w:rPr>
            </w:pPr>
          </w:p>
        </w:tc>
        <w:tc>
          <w:tcPr>
            <w:tcW w:w="1089" w:type="pct"/>
            <w:vAlign w:val="center"/>
          </w:tcPr>
          <w:p w14:paraId="6E791ED1">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氧化还原电位（</w:t>
            </w:r>
            <w:r>
              <w:rPr>
                <w:rFonts w:cs="Times New Roman"/>
                <w:color w:val="000000" w:themeColor="text1"/>
                <w:spacing w:val="14"/>
                <w:sz w:val="24"/>
                <w14:textFill>
                  <w14:solidFill>
                    <w14:schemeClr w14:val="tx1"/>
                  </w14:solidFill>
                </w14:textFill>
              </w:rPr>
              <w:t>mV</w:t>
            </w:r>
            <w:r>
              <w:rPr>
                <w:rFonts w:cs="Times New Roman"/>
                <w:color w:val="000000" w:themeColor="text1"/>
                <w14:textFill>
                  <w14:solidFill>
                    <w14:schemeClr w14:val="tx1"/>
                  </w14:solidFill>
                </w14:textFill>
              </w:rPr>
              <w:t>）</w:t>
            </w:r>
          </w:p>
        </w:tc>
        <w:tc>
          <w:tcPr>
            <w:tcW w:w="1091" w:type="pct"/>
            <w:shd w:val="clear" w:color="auto" w:fill="auto"/>
            <w:vAlign w:val="center"/>
          </w:tcPr>
          <w:p w14:paraId="37A022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475</w:t>
            </w:r>
          </w:p>
        </w:tc>
        <w:tc>
          <w:tcPr>
            <w:tcW w:w="1130" w:type="pct"/>
            <w:shd w:val="clear" w:color="auto" w:fill="auto"/>
            <w:vAlign w:val="center"/>
          </w:tcPr>
          <w:p w14:paraId="154EC1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492</w:t>
            </w:r>
          </w:p>
        </w:tc>
        <w:tc>
          <w:tcPr>
            <w:tcW w:w="1317" w:type="pct"/>
            <w:shd w:val="clear" w:color="auto" w:fill="auto"/>
            <w:vAlign w:val="center"/>
          </w:tcPr>
          <w:p w14:paraId="096213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r>
      <w:tr w14:paraId="5EF8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7F52AE3D">
            <w:pPr>
              <w:pStyle w:val="28"/>
              <w:rPr>
                <w:color w:val="000000" w:themeColor="text1"/>
                <w14:textFill>
                  <w14:solidFill>
                    <w14:schemeClr w14:val="tx1"/>
                  </w14:solidFill>
                </w14:textFill>
              </w:rPr>
            </w:pPr>
          </w:p>
        </w:tc>
        <w:tc>
          <w:tcPr>
            <w:tcW w:w="1089" w:type="pct"/>
            <w:vAlign w:val="center"/>
          </w:tcPr>
          <w:p w14:paraId="21F3694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饱和 含水率/（</w:t>
            </w:r>
            <w:r>
              <w:rPr>
                <w:rFonts w:cs="Times New Roman"/>
                <w:color w:val="000000" w:themeColor="text1"/>
                <w:spacing w:val="14"/>
                <w:sz w:val="24"/>
                <w14:textFill>
                  <w14:solidFill>
                    <w14:schemeClr w14:val="tx1"/>
                  </w14:solidFill>
                </w14:textFill>
              </w:rPr>
              <w:t>mm/min</w:t>
            </w:r>
            <w:r>
              <w:rPr>
                <w:rFonts w:cs="Times New Roman"/>
                <w:color w:val="000000" w:themeColor="text1"/>
                <w14:textFill>
                  <w14:solidFill>
                    <w14:schemeClr w14:val="tx1"/>
                  </w14:solidFill>
                </w14:textFill>
              </w:rPr>
              <w:t>）</w:t>
            </w:r>
          </w:p>
        </w:tc>
        <w:tc>
          <w:tcPr>
            <w:tcW w:w="1091" w:type="pct"/>
            <w:shd w:val="clear" w:color="auto" w:fill="auto"/>
            <w:vAlign w:val="center"/>
          </w:tcPr>
          <w:p w14:paraId="121A79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30" w:type="pct"/>
            <w:shd w:val="clear" w:color="auto" w:fill="auto"/>
            <w:vAlign w:val="center"/>
          </w:tcPr>
          <w:p w14:paraId="1CC238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c>
          <w:tcPr>
            <w:tcW w:w="1317" w:type="pct"/>
            <w:shd w:val="clear" w:color="auto" w:fill="auto"/>
            <w:vAlign w:val="center"/>
          </w:tcPr>
          <w:p w14:paraId="620CD3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0.26</w:t>
            </w:r>
          </w:p>
        </w:tc>
      </w:tr>
      <w:tr w14:paraId="2B8F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02414FE2">
            <w:pPr>
              <w:pStyle w:val="28"/>
              <w:rPr>
                <w:color w:val="000000" w:themeColor="text1"/>
                <w14:textFill>
                  <w14:solidFill>
                    <w14:schemeClr w14:val="tx1"/>
                  </w14:solidFill>
                </w14:textFill>
              </w:rPr>
            </w:pPr>
          </w:p>
        </w:tc>
        <w:tc>
          <w:tcPr>
            <w:tcW w:w="1089" w:type="pct"/>
            <w:vAlign w:val="center"/>
          </w:tcPr>
          <w:p w14:paraId="1EA2360B">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土壤容重/（</w:t>
            </w:r>
            <w:r>
              <w:rPr>
                <w:rFonts w:cs="Times New Roman"/>
                <w:color w:val="000000" w:themeColor="text1"/>
                <w:spacing w:val="14"/>
                <w:sz w:val="24"/>
                <w14:textFill>
                  <w14:solidFill>
                    <w14:schemeClr w14:val="tx1"/>
                  </w14:solidFill>
                </w14:textFill>
              </w:rPr>
              <w:t>g/cm</w:t>
            </w:r>
            <w:r>
              <w:rPr>
                <w:rFonts w:hint="eastAsia" w:cs="Times New Roman"/>
                <w:color w:val="000000" w:themeColor="text1"/>
                <w:spacing w:val="14"/>
                <w:sz w:val="24"/>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1091" w:type="pct"/>
            <w:shd w:val="clear" w:color="auto" w:fill="auto"/>
            <w:vAlign w:val="center"/>
          </w:tcPr>
          <w:p w14:paraId="50000C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1130" w:type="pct"/>
            <w:shd w:val="clear" w:color="auto" w:fill="auto"/>
            <w:vAlign w:val="center"/>
          </w:tcPr>
          <w:p w14:paraId="2CED81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1.24</w:t>
            </w:r>
          </w:p>
        </w:tc>
        <w:tc>
          <w:tcPr>
            <w:tcW w:w="1317" w:type="pct"/>
            <w:shd w:val="clear" w:color="auto" w:fill="auto"/>
            <w:vAlign w:val="center"/>
          </w:tcPr>
          <w:p w14:paraId="2E85E3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r>
      <w:tr w14:paraId="4CBC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3F70A304">
            <w:pPr>
              <w:pStyle w:val="28"/>
              <w:rPr>
                <w:color w:val="000000" w:themeColor="text1"/>
                <w14:textFill>
                  <w14:solidFill>
                    <w14:schemeClr w14:val="tx1"/>
                  </w14:solidFill>
                </w14:textFill>
              </w:rPr>
            </w:pPr>
          </w:p>
        </w:tc>
        <w:tc>
          <w:tcPr>
            <w:tcW w:w="1089" w:type="pct"/>
            <w:vAlign w:val="center"/>
          </w:tcPr>
          <w:p w14:paraId="5F2AAABD">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孔隙度（%）</w:t>
            </w:r>
          </w:p>
        </w:tc>
        <w:tc>
          <w:tcPr>
            <w:tcW w:w="1091" w:type="pct"/>
            <w:shd w:val="clear" w:color="auto" w:fill="auto"/>
            <w:vAlign w:val="center"/>
          </w:tcPr>
          <w:p w14:paraId="02E510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48.9</w:t>
            </w:r>
          </w:p>
        </w:tc>
        <w:tc>
          <w:tcPr>
            <w:tcW w:w="1130" w:type="pct"/>
            <w:shd w:val="clear" w:color="auto" w:fill="auto"/>
            <w:vAlign w:val="center"/>
          </w:tcPr>
          <w:p w14:paraId="28A91C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1317" w:type="pct"/>
            <w:shd w:val="clear" w:color="auto" w:fill="auto"/>
            <w:vAlign w:val="center"/>
          </w:tcPr>
          <w:p w14:paraId="7AA808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51.3</w:t>
            </w:r>
          </w:p>
        </w:tc>
      </w:tr>
    </w:tbl>
    <w:p w14:paraId="73C2229F">
      <w:pPr>
        <w:pStyle w:val="27"/>
        <w:rPr>
          <w:color w:val="000000" w:themeColor="text1"/>
          <w14:textFill>
            <w14:solidFill>
              <w14:schemeClr w14:val="tx1"/>
            </w14:solidFill>
          </w14:textFill>
        </w:rPr>
        <w:sectPr>
          <w:pgSz w:w="11906" w:h="16838"/>
          <w:pgMar w:top="1440" w:right="1440" w:bottom="1803" w:left="1440" w:header="907" w:footer="992" w:gutter="0"/>
          <w:cols w:space="425" w:num="1"/>
          <w:docGrid w:type="lines" w:linePitch="312" w:charSpace="0"/>
        </w:sectPr>
      </w:pPr>
    </w:p>
    <w:p w14:paraId="6010B03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土壤理化性质一览表（柱状样）</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03"/>
        <w:gridCol w:w="1142"/>
        <w:gridCol w:w="1142"/>
        <w:gridCol w:w="1142"/>
        <w:gridCol w:w="1147"/>
        <w:gridCol w:w="1142"/>
        <w:gridCol w:w="1142"/>
        <w:gridCol w:w="1145"/>
        <w:gridCol w:w="915"/>
        <w:gridCol w:w="915"/>
        <w:gridCol w:w="975"/>
        <w:gridCol w:w="975"/>
      </w:tblGrid>
      <w:tr w14:paraId="3FB1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gridSpan w:val="2"/>
            <w:vAlign w:val="center"/>
          </w:tcPr>
          <w:p w14:paraId="111A76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采样点位</w:t>
            </w:r>
          </w:p>
        </w:tc>
        <w:tc>
          <w:tcPr>
            <w:tcW w:w="1658" w:type="pct"/>
            <w:gridSpan w:val="4"/>
            <w:shd w:val="clear" w:color="auto" w:fill="auto"/>
            <w:vAlign w:val="center"/>
          </w:tcPr>
          <w:p w14:paraId="68AF58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原料暂存间和废水处理间附近绿化带Tz1</w:t>
            </w:r>
          </w:p>
        </w:tc>
        <w:tc>
          <w:tcPr>
            <w:tcW w:w="1243" w:type="pct"/>
            <w:gridSpan w:val="3"/>
            <w:shd w:val="clear" w:color="auto" w:fill="auto"/>
            <w:vAlign w:val="center"/>
          </w:tcPr>
          <w:p w14:paraId="5DDD5B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废水输送路径附近空地Tz2</w:t>
            </w:r>
          </w:p>
        </w:tc>
        <w:tc>
          <w:tcPr>
            <w:tcW w:w="1364" w:type="pct"/>
            <w:gridSpan w:val="4"/>
            <w:shd w:val="clear" w:color="auto" w:fill="auto"/>
            <w:vAlign w:val="center"/>
          </w:tcPr>
          <w:p w14:paraId="4AC0CF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危废暂存间附近绿化带Tz3</w:t>
            </w:r>
          </w:p>
        </w:tc>
      </w:tr>
      <w:tr w14:paraId="365E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gridSpan w:val="2"/>
            <w:vAlign w:val="center"/>
          </w:tcPr>
          <w:p w14:paraId="049E01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采样时间</w:t>
            </w:r>
          </w:p>
        </w:tc>
        <w:tc>
          <w:tcPr>
            <w:tcW w:w="3916" w:type="pct"/>
            <w:gridSpan w:val="10"/>
            <w:vAlign w:val="center"/>
          </w:tcPr>
          <w:p w14:paraId="0A0F46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2026年1月5日</w:t>
            </w:r>
          </w:p>
        </w:tc>
        <w:tc>
          <w:tcPr>
            <w:tcW w:w="349" w:type="pct"/>
            <w:vAlign w:val="center"/>
          </w:tcPr>
          <w:p w14:paraId="5781FA68">
            <w:pPr>
              <w:pStyle w:val="28"/>
              <w:rPr>
                <w:color w:val="000000" w:themeColor="text1"/>
                <w14:textFill>
                  <w14:solidFill>
                    <w14:schemeClr w14:val="tx1"/>
                  </w14:solidFill>
                </w14:textFill>
              </w:rPr>
            </w:pPr>
          </w:p>
        </w:tc>
      </w:tr>
      <w:tr w14:paraId="43C5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gridSpan w:val="2"/>
            <w:vAlign w:val="center"/>
          </w:tcPr>
          <w:p w14:paraId="7F8CB8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点位坐标</w:t>
            </w:r>
          </w:p>
        </w:tc>
        <w:tc>
          <w:tcPr>
            <w:tcW w:w="1658" w:type="pct"/>
            <w:gridSpan w:val="4"/>
            <w:shd w:val="clear" w:color="auto" w:fill="auto"/>
            <w:vAlign w:val="center"/>
          </w:tcPr>
          <w:p w14:paraId="5C7964A2">
            <w:pPr>
              <w:pStyle w:val="28"/>
              <w:rPr>
                <w:color w:val="000000" w:themeColor="text1"/>
                <w14:textFill>
                  <w14:solidFill>
                    <w14:schemeClr w14:val="tx1"/>
                  </w14:solidFill>
                </w14:textFill>
              </w:rPr>
            </w:pPr>
            <w:r>
              <w:rPr>
                <w:color w:val="000000" w:themeColor="text1"/>
                <w14:textFill>
                  <w14:solidFill>
                    <w14:schemeClr w14:val="tx1"/>
                  </w14:solidFill>
                </w14:textFill>
              </w:rPr>
              <w:t>102°31′31.79"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24°26′13.14"</w:t>
            </w:r>
          </w:p>
        </w:tc>
        <w:tc>
          <w:tcPr>
            <w:tcW w:w="1243" w:type="pct"/>
            <w:gridSpan w:val="3"/>
            <w:shd w:val="clear" w:color="auto" w:fill="auto"/>
            <w:vAlign w:val="center"/>
          </w:tcPr>
          <w:p w14:paraId="04F88318">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102°31′36.59"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24°26′15.24"</w:t>
            </w:r>
          </w:p>
        </w:tc>
        <w:tc>
          <w:tcPr>
            <w:tcW w:w="1364" w:type="pct"/>
            <w:gridSpan w:val="4"/>
            <w:shd w:val="clear" w:color="auto" w:fill="auto"/>
            <w:vAlign w:val="center"/>
          </w:tcPr>
          <w:p w14:paraId="69AB1C98">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102°31′35.48"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24°26′14.21"</w:t>
            </w:r>
          </w:p>
        </w:tc>
      </w:tr>
      <w:tr w14:paraId="5065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gridSpan w:val="2"/>
            <w:vAlign w:val="center"/>
          </w:tcPr>
          <w:p w14:paraId="12586E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层次</w:t>
            </w:r>
          </w:p>
        </w:tc>
        <w:tc>
          <w:tcPr>
            <w:tcW w:w="414" w:type="pct"/>
            <w:shd w:val="clear" w:color="auto" w:fill="auto"/>
            <w:vAlign w:val="center"/>
          </w:tcPr>
          <w:p w14:paraId="3DEBD3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w:t>
            </w:r>
          </w:p>
        </w:tc>
        <w:tc>
          <w:tcPr>
            <w:tcW w:w="414" w:type="pct"/>
            <w:shd w:val="clear" w:color="auto" w:fill="auto"/>
            <w:vAlign w:val="center"/>
          </w:tcPr>
          <w:p w14:paraId="20C002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0-0.5m（平行）</w:t>
            </w:r>
          </w:p>
        </w:tc>
        <w:tc>
          <w:tcPr>
            <w:tcW w:w="414" w:type="pct"/>
            <w:shd w:val="clear" w:color="auto" w:fill="auto"/>
            <w:vAlign w:val="center"/>
          </w:tcPr>
          <w:p w14:paraId="79E3C9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414" w:type="pct"/>
            <w:shd w:val="clear" w:color="auto" w:fill="auto"/>
            <w:vAlign w:val="center"/>
          </w:tcPr>
          <w:p w14:paraId="6FA061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c>
          <w:tcPr>
            <w:tcW w:w="414" w:type="pct"/>
            <w:shd w:val="clear" w:color="auto" w:fill="auto"/>
            <w:vAlign w:val="center"/>
          </w:tcPr>
          <w:p w14:paraId="413D7D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w:t>
            </w:r>
          </w:p>
        </w:tc>
        <w:tc>
          <w:tcPr>
            <w:tcW w:w="414" w:type="pct"/>
            <w:shd w:val="clear" w:color="auto" w:fill="auto"/>
            <w:vAlign w:val="center"/>
          </w:tcPr>
          <w:p w14:paraId="6CFAD1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414" w:type="pct"/>
            <w:shd w:val="clear" w:color="auto" w:fill="auto"/>
            <w:vAlign w:val="center"/>
          </w:tcPr>
          <w:p w14:paraId="7E3A65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c>
          <w:tcPr>
            <w:tcW w:w="332" w:type="pct"/>
            <w:shd w:val="clear" w:color="auto" w:fill="auto"/>
            <w:vAlign w:val="center"/>
          </w:tcPr>
          <w:p w14:paraId="300A72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w:t>
            </w:r>
          </w:p>
        </w:tc>
        <w:tc>
          <w:tcPr>
            <w:tcW w:w="332" w:type="pct"/>
            <w:shd w:val="clear" w:color="auto" w:fill="auto"/>
            <w:vAlign w:val="center"/>
          </w:tcPr>
          <w:p w14:paraId="2E1B5B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0-0.5m（平行）</w:t>
            </w:r>
          </w:p>
        </w:tc>
        <w:tc>
          <w:tcPr>
            <w:tcW w:w="349" w:type="pct"/>
            <w:shd w:val="clear" w:color="auto" w:fill="auto"/>
            <w:vAlign w:val="center"/>
          </w:tcPr>
          <w:p w14:paraId="400A78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349" w:type="pct"/>
            <w:shd w:val="clear" w:color="auto" w:fill="auto"/>
            <w:vAlign w:val="center"/>
          </w:tcPr>
          <w:p w14:paraId="18E44E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r>
      <w:tr w14:paraId="499B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restart"/>
            <w:vAlign w:val="center"/>
          </w:tcPr>
          <w:p w14:paraId="179A86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现场记录</w:t>
            </w:r>
          </w:p>
        </w:tc>
        <w:tc>
          <w:tcPr>
            <w:tcW w:w="580" w:type="pct"/>
            <w:vAlign w:val="center"/>
          </w:tcPr>
          <w:p w14:paraId="5855C5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颜色</w:t>
            </w:r>
          </w:p>
        </w:tc>
        <w:tc>
          <w:tcPr>
            <w:tcW w:w="414" w:type="pct"/>
            <w:shd w:val="clear" w:color="auto" w:fill="auto"/>
            <w:vAlign w:val="center"/>
          </w:tcPr>
          <w:p w14:paraId="7C1C6A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414" w:type="pct"/>
            <w:shd w:val="clear" w:color="auto" w:fill="auto"/>
            <w:vAlign w:val="center"/>
          </w:tcPr>
          <w:p w14:paraId="262199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414" w:type="pct"/>
            <w:shd w:val="clear" w:color="auto" w:fill="auto"/>
            <w:vAlign w:val="center"/>
          </w:tcPr>
          <w:p w14:paraId="36C649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414" w:type="pct"/>
            <w:shd w:val="clear" w:color="auto" w:fill="auto"/>
            <w:vAlign w:val="center"/>
          </w:tcPr>
          <w:p w14:paraId="379FEE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黑褐</w:t>
            </w:r>
          </w:p>
        </w:tc>
        <w:tc>
          <w:tcPr>
            <w:tcW w:w="414" w:type="pct"/>
            <w:shd w:val="clear" w:color="auto" w:fill="auto"/>
            <w:vAlign w:val="center"/>
          </w:tcPr>
          <w:p w14:paraId="395EB2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棕</w:t>
            </w:r>
          </w:p>
        </w:tc>
        <w:tc>
          <w:tcPr>
            <w:tcW w:w="414" w:type="pct"/>
            <w:shd w:val="clear" w:color="auto" w:fill="auto"/>
            <w:vAlign w:val="center"/>
          </w:tcPr>
          <w:p w14:paraId="6BD7A5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黄棕</w:t>
            </w:r>
          </w:p>
        </w:tc>
        <w:tc>
          <w:tcPr>
            <w:tcW w:w="414" w:type="pct"/>
            <w:shd w:val="clear" w:color="auto" w:fill="auto"/>
            <w:vAlign w:val="center"/>
          </w:tcPr>
          <w:p w14:paraId="6A1F79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黑褐</w:t>
            </w:r>
          </w:p>
        </w:tc>
        <w:tc>
          <w:tcPr>
            <w:tcW w:w="332" w:type="pct"/>
            <w:shd w:val="clear" w:color="auto" w:fill="auto"/>
            <w:vAlign w:val="center"/>
          </w:tcPr>
          <w:p w14:paraId="7CE131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棕褐</w:t>
            </w:r>
          </w:p>
        </w:tc>
        <w:tc>
          <w:tcPr>
            <w:tcW w:w="332" w:type="pct"/>
            <w:shd w:val="clear" w:color="auto" w:fill="auto"/>
            <w:vAlign w:val="center"/>
          </w:tcPr>
          <w:p w14:paraId="208505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棕褐</w:t>
            </w:r>
          </w:p>
        </w:tc>
        <w:tc>
          <w:tcPr>
            <w:tcW w:w="349" w:type="pct"/>
            <w:shd w:val="clear" w:color="auto" w:fill="auto"/>
            <w:vAlign w:val="center"/>
          </w:tcPr>
          <w:p w14:paraId="4BA292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黑褐</w:t>
            </w:r>
          </w:p>
        </w:tc>
        <w:tc>
          <w:tcPr>
            <w:tcW w:w="349" w:type="pct"/>
            <w:shd w:val="clear" w:color="auto" w:fill="auto"/>
            <w:vAlign w:val="center"/>
          </w:tcPr>
          <w:p w14:paraId="2300AE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棕褐</w:t>
            </w:r>
          </w:p>
        </w:tc>
      </w:tr>
      <w:tr w14:paraId="16DF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391F935B">
            <w:pPr>
              <w:pStyle w:val="28"/>
              <w:rPr>
                <w:color w:val="000000" w:themeColor="text1"/>
                <w14:textFill>
                  <w14:solidFill>
                    <w14:schemeClr w14:val="tx1"/>
                  </w14:solidFill>
                </w14:textFill>
              </w:rPr>
            </w:pPr>
          </w:p>
        </w:tc>
        <w:tc>
          <w:tcPr>
            <w:tcW w:w="580" w:type="pct"/>
            <w:vAlign w:val="center"/>
          </w:tcPr>
          <w:p w14:paraId="0E7BB1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c>
          <w:tcPr>
            <w:tcW w:w="414" w:type="pct"/>
            <w:vAlign w:val="center"/>
          </w:tcPr>
          <w:p w14:paraId="34E0A5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shd w:val="clear" w:color="auto" w:fill="auto"/>
            <w:vAlign w:val="center"/>
          </w:tcPr>
          <w:p w14:paraId="4CBB38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shd w:val="clear" w:color="auto" w:fill="auto"/>
            <w:vAlign w:val="center"/>
          </w:tcPr>
          <w:p w14:paraId="3B3E07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vAlign w:val="center"/>
          </w:tcPr>
          <w:p w14:paraId="24672B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shd w:val="clear" w:color="auto" w:fill="auto"/>
            <w:vAlign w:val="center"/>
          </w:tcPr>
          <w:p w14:paraId="4FA0ED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shd w:val="clear" w:color="auto" w:fill="auto"/>
            <w:vAlign w:val="center"/>
          </w:tcPr>
          <w:p w14:paraId="1FDD1F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414" w:type="pct"/>
            <w:shd w:val="clear" w:color="auto" w:fill="auto"/>
            <w:vAlign w:val="center"/>
          </w:tcPr>
          <w:p w14:paraId="522C2C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332" w:type="pct"/>
            <w:shd w:val="clear" w:color="auto" w:fill="auto"/>
            <w:vAlign w:val="center"/>
          </w:tcPr>
          <w:p w14:paraId="416AC8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332" w:type="pct"/>
            <w:vAlign w:val="center"/>
          </w:tcPr>
          <w:p w14:paraId="272B4F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349" w:type="pct"/>
            <w:vAlign w:val="center"/>
          </w:tcPr>
          <w:p w14:paraId="4A3375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349" w:type="pct"/>
            <w:vAlign w:val="center"/>
          </w:tcPr>
          <w:p w14:paraId="7F4ECC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r>
      <w:tr w14:paraId="2BF3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1FA29C47">
            <w:pPr>
              <w:pStyle w:val="28"/>
              <w:rPr>
                <w:color w:val="000000" w:themeColor="text1"/>
                <w14:textFill>
                  <w14:solidFill>
                    <w14:schemeClr w14:val="tx1"/>
                  </w14:solidFill>
                </w14:textFill>
              </w:rPr>
            </w:pPr>
          </w:p>
        </w:tc>
        <w:tc>
          <w:tcPr>
            <w:tcW w:w="580" w:type="pct"/>
            <w:shd w:val="clear" w:color="auto" w:fill="auto"/>
            <w:vAlign w:val="center"/>
          </w:tcPr>
          <w:p w14:paraId="0AD0A3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质地</w:t>
            </w:r>
          </w:p>
        </w:tc>
        <w:tc>
          <w:tcPr>
            <w:tcW w:w="414" w:type="pct"/>
            <w:shd w:val="clear" w:color="auto" w:fill="auto"/>
            <w:vAlign w:val="center"/>
          </w:tcPr>
          <w:p w14:paraId="6CF8F0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414" w:type="pct"/>
            <w:shd w:val="clear" w:color="auto" w:fill="auto"/>
            <w:vAlign w:val="center"/>
          </w:tcPr>
          <w:p w14:paraId="6CBC6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414" w:type="pct"/>
            <w:shd w:val="clear" w:color="auto" w:fill="auto"/>
            <w:vAlign w:val="center"/>
          </w:tcPr>
          <w:p w14:paraId="72F5C9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414" w:type="pct"/>
            <w:shd w:val="clear" w:color="auto" w:fill="auto"/>
            <w:vAlign w:val="center"/>
          </w:tcPr>
          <w:p w14:paraId="1C92B4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粘土</w:t>
            </w:r>
          </w:p>
        </w:tc>
        <w:tc>
          <w:tcPr>
            <w:tcW w:w="414" w:type="pct"/>
            <w:shd w:val="clear" w:color="auto" w:fill="auto"/>
            <w:vAlign w:val="center"/>
          </w:tcPr>
          <w:p w14:paraId="788453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414" w:type="pct"/>
            <w:shd w:val="clear" w:color="auto" w:fill="auto"/>
            <w:vAlign w:val="center"/>
          </w:tcPr>
          <w:p w14:paraId="3E1D47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414" w:type="pct"/>
            <w:shd w:val="clear" w:color="auto" w:fill="auto"/>
            <w:vAlign w:val="center"/>
          </w:tcPr>
          <w:p w14:paraId="52804A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粘土</w:t>
            </w:r>
          </w:p>
        </w:tc>
        <w:tc>
          <w:tcPr>
            <w:tcW w:w="332" w:type="pct"/>
            <w:shd w:val="clear" w:color="auto" w:fill="auto"/>
            <w:vAlign w:val="center"/>
          </w:tcPr>
          <w:p w14:paraId="586352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332" w:type="pct"/>
            <w:shd w:val="clear" w:color="auto" w:fill="auto"/>
            <w:vAlign w:val="center"/>
          </w:tcPr>
          <w:p w14:paraId="79578C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349" w:type="pct"/>
            <w:shd w:val="clear" w:color="auto" w:fill="auto"/>
            <w:vAlign w:val="center"/>
          </w:tcPr>
          <w:p w14:paraId="6B887D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c>
          <w:tcPr>
            <w:tcW w:w="349" w:type="pct"/>
            <w:shd w:val="clear" w:color="auto" w:fill="auto"/>
            <w:vAlign w:val="center"/>
          </w:tcPr>
          <w:p w14:paraId="57CFEA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壤土</w:t>
            </w:r>
          </w:p>
        </w:tc>
      </w:tr>
      <w:tr w14:paraId="3C21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1D506CDE">
            <w:pPr>
              <w:pStyle w:val="28"/>
              <w:rPr>
                <w:color w:val="000000" w:themeColor="text1"/>
                <w14:textFill>
                  <w14:solidFill>
                    <w14:schemeClr w14:val="tx1"/>
                  </w14:solidFill>
                </w14:textFill>
              </w:rPr>
            </w:pPr>
          </w:p>
        </w:tc>
        <w:tc>
          <w:tcPr>
            <w:tcW w:w="580" w:type="pct"/>
            <w:shd w:val="clear" w:color="auto" w:fill="auto"/>
            <w:vAlign w:val="center"/>
          </w:tcPr>
          <w:p w14:paraId="2B33C3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砂砾含量</w:t>
            </w:r>
          </w:p>
        </w:tc>
        <w:tc>
          <w:tcPr>
            <w:tcW w:w="414" w:type="pct"/>
            <w:vAlign w:val="center"/>
          </w:tcPr>
          <w:p w14:paraId="446D04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4FC50D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118093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43F885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10AB6B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08740B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414" w:type="pct"/>
            <w:shd w:val="clear" w:color="auto" w:fill="auto"/>
            <w:vAlign w:val="center"/>
          </w:tcPr>
          <w:p w14:paraId="59DD8A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332" w:type="pct"/>
            <w:shd w:val="clear" w:color="auto" w:fill="auto"/>
            <w:vAlign w:val="center"/>
          </w:tcPr>
          <w:p w14:paraId="452DE5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332" w:type="pct"/>
            <w:vAlign w:val="center"/>
          </w:tcPr>
          <w:p w14:paraId="07AA7B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349" w:type="pct"/>
            <w:vAlign w:val="center"/>
          </w:tcPr>
          <w:p w14:paraId="44E36F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349" w:type="pct"/>
            <w:vAlign w:val="center"/>
          </w:tcPr>
          <w:p w14:paraId="56EA25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752D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36407F2F">
            <w:pPr>
              <w:pStyle w:val="28"/>
              <w:rPr>
                <w:color w:val="000000" w:themeColor="text1"/>
                <w14:textFill>
                  <w14:solidFill>
                    <w14:schemeClr w14:val="tx1"/>
                  </w14:solidFill>
                </w14:textFill>
              </w:rPr>
            </w:pPr>
          </w:p>
        </w:tc>
        <w:tc>
          <w:tcPr>
            <w:tcW w:w="580" w:type="pct"/>
            <w:shd w:val="clear" w:color="auto" w:fill="auto"/>
            <w:vAlign w:val="center"/>
          </w:tcPr>
          <w:p w14:paraId="2ABF92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其他异物</w:t>
            </w:r>
          </w:p>
        </w:tc>
        <w:tc>
          <w:tcPr>
            <w:tcW w:w="414" w:type="pct"/>
            <w:vAlign w:val="center"/>
          </w:tcPr>
          <w:p w14:paraId="75B86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1B0301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5A15AC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11591A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679AB8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056F26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414" w:type="pct"/>
            <w:shd w:val="clear" w:color="auto" w:fill="auto"/>
            <w:vAlign w:val="center"/>
          </w:tcPr>
          <w:p w14:paraId="1A34D5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332" w:type="pct"/>
            <w:shd w:val="clear" w:color="auto" w:fill="auto"/>
            <w:vAlign w:val="center"/>
          </w:tcPr>
          <w:p w14:paraId="5704A8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332" w:type="pct"/>
            <w:shd w:val="clear" w:color="auto" w:fill="auto"/>
            <w:vAlign w:val="center"/>
          </w:tcPr>
          <w:p w14:paraId="13CEAB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349" w:type="pct"/>
            <w:shd w:val="clear" w:color="auto" w:fill="auto"/>
            <w:vAlign w:val="center"/>
          </w:tcPr>
          <w:p w14:paraId="30930A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c>
          <w:tcPr>
            <w:tcW w:w="349" w:type="pct"/>
            <w:shd w:val="clear" w:color="auto" w:fill="auto"/>
            <w:vAlign w:val="center"/>
          </w:tcPr>
          <w:p w14:paraId="4A0616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少许根系</w:t>
            </w:r>
          </w:p>
        </w:tc>
      </w:tr>
      <w:tr w14:paraId="769A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restart"/>
            <w:vAlign w:val="center"/>
          </w:tcPr>
          <w:p w14:paraId="5AF8FD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实验室测定</w:t>
            </w:r>
          </w:p>
        </w:tc>
        <w:tc>
          <w:tcPr>
            <w:tcW w:w="580" w:type="pct"/>
            <w:vAlign w:val="center"/>
          </w:tcPr>
          <w:p w14:paraId="0A6F03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pH值（无量纲）</w:t>
            </w:r>
          </w:p>
        </w:tc>
        <w:tc>
          <w:tcPr>
            <w:tcW w:w="414" w:type="pct"/>
            <w:shd w:val="clear" w:color="auto" w:fill="auto"/>
            <w:vAlign w:val="center"/>
          </w:tcPr>
          <w:p w14:paraId="42DF49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7.73</w:t>
            </w:r>
          </w:p>
        </w:tc>
        <w:tc>
          <w:tcPr>
            <w:tcW w:w="414" w:type="pct"/>
            <w:shd w:val="clear" w:color="auto" w:fill="auto"/>
            <w:vAlign w:val="center"/>
          </w:tcPr>
          <w:p w14:paraId="57F9EF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7.71</w:t>
            </w:r>
          </w:p>
        </w:tc>
        <w:tc>
          <w:tcPr>
            <w:tcW w:w="414" w:type="pct"/>
            <w:shd w:val="clear" w:color="auto" w:fill="auto"/>
            <w:vAlign w:val="center"/>
          </w:tcPr>
          <w:p w14:paraId="78C31A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7.53</w:t>
            </w:r>
          </w:p>
        </w:tc>
        <w:tc>
          <w:tcPr>
            <w:tcW w:w="414" w:type="pct"/>
            <w:shd w:val="clear" w:color="auto" w:fill="auto"/>
            <w:vAlign w:val="center"/>
          </w:tcPr>
          <w:p w14:paraId="2CA008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6.92</w:t>
            </w:r>
          </w:p>
        </w:tc>
        <w:tc>
          <w:tcPr>
            <w:tcW w:w="414" w:type="pct"/>
            <w:shd w:val="clear" w:color="auto" w:fill="auto"/>
            <w:vAlign w:val="center"/>
          </w:tcPr>
          <w:p w14:paraId="04B311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7.23</w:t>
            </w:r>
          </w:p>
        </w:tc>
        <w:tc>
          <w:tcPr>
            <w:tcW w:w="414" w:type="pct"/>
            <w:shd w:val="clear" w:color="auto" w:fill="auto"/>
            <w:vAlign w:val="center"/>
          </w:tcPr>
          <w:p w14:paraId="01D9AB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7.27</w:t>
            </w:r>
          </w:p>
        </w:tc>
        <w:tc>
          <w:tcPr>
            <w:tcW w:w="414" w:type="pct"/>
            <w:shd w:val="clear" w:color="auto" w:fill="auto"/>
            <w:vAlign w:val="center"/>
          </w:tcPr>
          <w:p w14:paraId="5290DA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6.03</w:t>
            </w:r>
          </w:p>
        </w:tc>
        <w:tc>
          <w:tcPr>
            <w:tcW w:w="332" w:type="pct"/>
            <w:shd w:val="clear" w:color="auto" w:fill="auto"/>
            <w:vAlign w:val="center"/>
          </w:tcPr>
          <w:p w14:paraId="380739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7.16</w:t>
            </w:r>
          </w:p>
        </w:tc>
        <w:tc>
          <w:tcPr>
            <w:tcW w:w="332" w:type="pct"/>
            <w:shd w:val="clear" w:color="auto" w:fill="auto"/>
            <w:vAlign w:val="center"/>
          </w:tcPr>
          <w:p w14:paraId="249540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7.18</w:t>
            </w:r>
          </w:p>
        </w:tc>
        <w:tc>
          <w:tcPr>
            <w:tcW w:w="349" w:type="pct"/>
            <w:shd w:val="clear" w:color="auto" w:fill="auto"/>
            <w:vAlign w:val="center"/>
          </w:tcPr>
          <w:p w14:paraId="3594E2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7.94</w:t>
            </w:r>
          </w:p>
        </w:tc>
        <w:tc>
          <w:tcPr>
            <w:tcW w:w="349" w:type="pct"/>
            <w:shd w:val="clear" w:color="auto" w:fill="auto"/>
            <w:vAlign w:val="center"/>
          </w:tcPr>
          <w:p w14:paraId="786CB3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7.95</w:t>
            </w:r>
          </w:p>
        </w:tc>
      </w:tr>
      <w:tr w14:paraId="4D6A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0C1D325B">
            <w:pPr>
              <w:pStyle w:val="28"/>
              <w:rPr>
                <w:color w:val="000000" w:themeColor="text1"/>
                <w14:textFill>
                  <w14:solidFill>
                    <w14:schemeClr w14:val="tx1"/>
                  </w14:solidFill>
                </w14:textFill>
              </w:rPr>
            </w:pPr>
          </w:p>
        </w:tc>
        <w:tc>
          <w:tcPr>
            <w:tcW w:w="580" w:type="pct"/>
            <w:vAlign w:val="center"/>
          </w:tcPr>
          <w:p w14:paraId="006561DB">
            <w:pPr>
              <w:pStyle w:val="28"/>
              <w:rPr>
                <w:color w:val="000000" w:themeColor="text1"/>
                <w14:textFill>
                  <w14:solidFill>
                    <w14:schemeClr w14:val="tx1"/>
                  </w14:solidFill>
                </w14:textFill>
              </w:rPr>
            </w:pPr>
            <w:r>
              <w:rPr>
                <w:color w:val="000000" w:themeColor="text1"/>
                <w14:textFill>
                  <w14:solidFill>
                    <w14:schemeClr w14:val="tx1"/>
                  </w14:solidFill>
                </w14:textFill>
              </w:rPr>
              <w:t>阳离子交换量（cmol+/kg）</w:t>
            </w:r>
          </w:p>
        </w:tc>
        <w:tc>
          <w:tcPr>
            <w:tcW w:w="414" w:type="pct"/>
            <w:shd w:val="clear" w:color="auto" w:fill="auto"/>
            <w:vAlign w:val="center"/>
          </w:tcPr>
          <w:p w14:paraId="102AF5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6.3</w:t>
            </w:r>
          </w:p>
        </w:tc>
        <w:tc>
          <w:tcPr>
            <w:tcW w:w="414" w:type="pct"/>
            <w:shd w:val="clear" w:color="auto" w:fill="auto"/>
            <w:vAlign w:val="center"/>
          </w:tcPr>
          <w:p w14:paraId="75C6C8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414" w:type="pct"/>
            <w:shd w:val="clear" w:color="auto" w:fill="auto"/>
            <w:vAlign w:val="center"/>
          </w:tcPr>
          <w:p w14:paraId="49F2C0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0.8L</w:t>
            </w:r>
          </w:p>
        </w:tc>
        <w:tc>
          <w:tcPr>
            <w:tcW w:w="414" w:type="pct"/>
            <w:shd w:val="clear" w:color="auto" w:fill="auto"/>
            <w:vAlign w:val="center"/>
          </w:tcPr>
          <w:p w14:paraId="6CE683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414" w:type="pct"/>
            <w:shd w:val="clear" w:color="auto" w:fill="auto"/>
            <w:vAlign w:val="center"/>
          </w:tcPr>
          <w:p w14:paraId="66AFFA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414" w:type="pct"/>
            <w:shd w:val="clear" w:color="auto" w:fill="auto"/>
            <w:vAlign w:val="center"/>
          </w:tcPr>
          <w:p w14:paraId="03939E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0.8L</w:t>
            </w:r>
          </w:p>
        </w:tc>
        <w:tc>
          <w:tcPr>
            <w:tcW w:w="414" w:type="pct"/>
            <w:shd w:val="clear" w:color="auto" w:fill="auto"/>
            <w:vAlign w:val="center"/>
          </w:tcPr>
          <w:p w14:paraId="2569F5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332" w:type="pct"/>
            <w:shd w:val="clear" w:color="auto" w:fill="auto"/>
            <w:vAlign w:val="center"/>
          </w:tcPr>
          <w:p w14:paraId="474C1C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c>
          <w:tcPr>
            <w:tcW w:w="332" w:type="pct"/>
            <w:shd w:val="clear" w:color="auto" w:fill="auto"/>
            <w:vAlign w:val="center"/>
          </w:tcPr>
          <w:p w14:paraId="04D006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349" w:type="pct"/>
            <w:shd w:val="clear" w:color="auto" w:fill="auto"/>
            <w:vAlign w:val="center"/>
          </w:tcPr>
          <w:p w14:paraId="08F259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349" w:type="pct"/>
            <w:shd w:val="clear" w:color="auto" w:fill="auto"/>
            <w:vAlign w:val="center"/>
          </w:tcPr>
          <w:p w14:paraId="35E567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14:paraId="1604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59EAB635">
            <w:pPr>
              <w:pStyle w:val="28"/>
              <w:rPr>
                <w:color w:val="000000" w:themeColor="text1"/>
                <w14:textFill>
                  <w14:solidFill>
                    <w14:schemeClr w14:val="tx1"/>
                  </w14:solidFill>
                </w14:textFill>
              </w:rPr>
            </w:pPr>
          </w:p>
        </w:tc>
        <w:tc>
          <w:tcPr>
            <w:tcW w:w="580" w:type="pct"/>
            <w:vAlign w:val="center"/>
          </w:tcPr>
          <w:p w14:paraId="2AAC5E8B">
            <w:pPr>
              <w:pStyle w:val="28"/>
              <w:rPr>
                <w:color w:val="000000" w:themeColor="text1"/>
                <w14:textFill>
                  <w14:solidFill>
                    <w14:schemeClr w14:val="tx1"/>
                  </w14:solidFill>
                </w14:textFill>
              </w:rPr>
            </w:pPr>
            <w:r>
              <w:rPr>
                <w:color w:val="000000" w:themeColor="text1"/>
                <w14:textFill>
                  <w14:solidFill>
                    <w14:schemeClr w14:val="tx1"/>
                  </w14:solidFill>
                </w14:textFill>
              </w:rPr>
              <w:t>氧化还原电位（mV）</w:t>
            </w:r>
          </w:p>
        </w:tc>
        <w:tc>
          <w:tcPr>
            <w:tcW w:w="414" w:type="pct"/>
            <w:shd w:val="clear" w:color="auto" w:fill="auto"/>
            <w:vAlign w:val="center"/>
          </w:tcPr>
          <w:p w14:paraId="517CF5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253</w:t>
            </w:r>
          </w:p>
        </w:tc>
        <w:tc>
          <w:tcPr>
            <w:tcW w:w="414" w:type="pct"/>
            <w:shd w:val="clear" w:color="auto" w:fill="auto"/>
            <w:vAlign w:val="center"/>
          </w:tcPr>
          <w:p w14:paraId="27BBFE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253</w:t>
            </w:r>
          </w:p>
        </w:tc>
        <w:tc>
          <w:tcPr>
            <w:tcW w:w="414" w:type="pct"/>
            <w:shd w:val="clear" w:color="auto" w:fill="auto"/>
            <w:vAlign w:val="center"/>
          </w:tcPr>
          <w:p w14:paraId="5183BA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325</w:t>
            </w:r>
          </w:p>
        </w:tc>
        <w:tc>
          <w:tcPr>
            <w:tcW w:w="414" w:type="pct"/>
            <w:shd w:val="clear" w:color="auto" w:fill="auto"/>
            <w:vAlign w:val="center"/>
          </w:tcPr>
          <w:p w14:paraId="527FAB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286</w:t>
            </w:r>
          </w:p>
        </w:tc>
        <w:tc>
          <w:tcPr>
            <w:tcW w:w="414" w:type="pct"/>
            <w:shd w:val="clear" w:color="auto" w:fill="auto"/>
            <w:vAlign w:val="center"/>
          </w:tcPr>
          <w:p w14:paraId="01E085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414" w:type="pct"/>
            <w:shd w:val="clear" w:color="auto" w:fill="auto"/>
            <w:vAlign w:val="center"/>
          </w:tcPr>
          <w:p w14:paraId="20E819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271</w:t>
            </w:r>
          </w:p>
        </w:tc>
        <w:tc>
          <w:tcPr>
            <w:tcW w:w="414" w:type="pct"/>
            <w:shd w:val="clear" w:color="auto" w:fill="auto"/>
            <w:vAlign w:val="center"/>
          </w:tcPr>
          <w:p w14:paraId="187ED6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275</w:t>
            </w:r>
          </w:p>
        </w:tc>
        <w:tc>
          <w:tcPr>
            <w:tcW w:w="332" w:type="pct"/>
            <w:shd w:val="clear" w:color="auto" w:fill="auto"/>
            <w:vAlign w:val="center"/>
          </w:tcPr>
          <w:p w14:paraId="1E4466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235</w:t>
            </w:r>
          </w:p>
        </w:tc>
        <w:tc>
          <w:tcPr>
            <w:tcW w:w="332" w:type="pct"/>
            <w:shd w:val="clear" w:color="auto" w:fill="auto"/>
            <w:vAlign w:val="center"/>
          </w:tcPr>
          <w:p w14:paraId="3EE4FC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235</w:t>
            </w:r>
          </w:p>
        </w:tc>
        <w:tc>
          <w:tcPr>
            <w:tcW w:w="349" w:type="pct"/>
            <w:shd w:val="clear" w:color="auto" w:fill="auto"/>
            <w:vAlign w:val="center"/>
          </w:tcPr>
          <w:p w14:paraId="00DCA9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w:t>
            </w:r>
          </w:p>
        </w:tc>
        <w:tc>
          <w:tcPr>
            <w:tcW w:w="349" w:type="pct"/>
            <w:shd w:val="clear" w:color="auto" w:fill="auto"/>
            <w:vAlign w:val="center"/>
          </w:tcPr>
          <w:p w14:paraId="5FEEB5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258</w:t>
            </w:r>
          </w:p>
        </w:tc>
      </w:tr>
      <w:tr w14:paraId="2B46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36FE1924">
            <w:pPr>
              <w:pStyle w:val="28"/>
              <w:rPr>
                <w:color w:val="000000" w:themeColor="text1"/>
                <w14:textFill>
                  <w14:solidFill>
                    <w14:schemeClr w14:val="tx1"/>
                  </w14:solidFill>
                </w14:textFill>
              </w:rPr>
            </w:pPr>
          </w:p>
        </w:tc>
        <w:tc>
          <w:tcPr>
            <w:tcW w:w="580" w:type="pct"/>
            <w:vAlign w:val="center"/>
          </w:tcPr>
          <w:p w14:paraId="3FE3FDBA">
            <w:pPr>
              <w:pStyle w:val="28"/>
              <w:rPr>
                <w:color w:val="000000" w:themeColor="text1"/>
                <w14:textFill>
                  <w14:solidFill>
                    <w14:schemeClr w14:val="tx1"/>
                  </w14:solidFill>
                </w14:textFill>
              </w:rPr>
            </w:pPr>
            <w:r>
              <w:rPr>
                <w:color w:val="000000" w:themeColor="text1"/>
                <w14:textFill>
                  <w14:solidFill>
                    <w14:schemeClr w14:val="tx1"/>
                  </w14:solidFill>
                </w14:textFill>
              </w:rPr>
              <w:t>饱和 含水率/（mm/min）</w:t>
            </w:r>
          </w:p>
        </w:tc>
        <w:tc>
          <w:tcPr>
            <w:tcW w:w="414" w:type="pct"/>
            <w:shd w:val="clear" w:color="auto" w:fill="auto"/>
            <w:vAlign w:val="center"/>
          </w:tcPr>
          <w:p w14:paraId="59D1ED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c>
          <w:tcPr>
            <w:tcW w:w="414" w:type="pct"/>
            <w:shd w:val="clear" w:color="auto" w:fill="auto"/>
            <w:vAlign w:val="center"/>
          </w:tcPr>
          <w:p w14:paraId="164E93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c>
          <w:tcPr>
            <w:tcW w:w="414" w:type="pct"/>
            <w:shd w:val="clear" w:color="auto" w:fill="auto"/>
            <w:vAlign w:val="center"/>
          </w:tcPr>
          <w:p w14:paraId="113A9F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414" w:type="pct"/>
            <w:shd w:val="clear" w:color="auto" w:fill="auto"/>
            <w:vAlign w:val="center"/>
          </w:tcPr>
          <w:p w14:paraId="5CA4A7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14" w:type="pct"/>
            <w:shd w:val="clear" w:color="auto" w:fill="auto"/>
            <w:vAlign w:val="center"/>
          </w:tcPr>
          <w:p w14:paraId="44214C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414" w:type="pct"/>
            <w:shd w:val="clear" w:color="auto" w:fill="auto"/>
            <w:vAlign w:val="center"/>
          </w:tcPr>
          <w:p w14:paraId="5A66A2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14" w:type="pct"/>
            <w:shd w:val="clear" w:color="auto" w:fill="auto"/>
            <w:vAlign w:val="center"/>
          </w:tcPr>
          <w:p w14:paraId="7A670D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332" w:type="pct"/>
            <w:shd w:val="clear" w:color="auto" w:fill="auto"/>
            <w:vAlign w:val="center"/>
          </w:tcPr>
          <w:p w14:paraId="78694D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332" w:type="pct"/>
            <w:shd w:val="clear" w:color="auto" w:fill="auto"/>
            <w:vAlign w:val="center"/>
          </w:tcPr>
          <w:p w14:paraId="79D30E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349" w:type="pct"/>
            <w:shd w:val="clear" w:color="auto" w:fill="auto"/>
            <w:vAlign w:val="center"/>
          </w:tcPr>
          <w:p w14:paraId="498761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349" w:type="pct"/>
            <w:shd w:val="clear" w:color="auto" w:fill="auto"/>
            <w:vAlign w:val="center"/>
          </w:tcPr>
          <w:p w14:paraId="3524EB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14:paraId="072D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07B496B3">
            <w:pPr>
              <w:pStyle w:val="28"/>
              <w:rPr>
                <w:color w:val="000000" w:themeColor="text1"/>
                <w14:textFill>
                  <w14:solidFill>
                    <w14:schemeClr w14:val="tx1"/>
                  </w14:solidFill>
                </w14:textFill>
              </w:rPr>
            </w:pPr>
          </w:p>
        </w:tc>
        <w:tc>
          <w:tcPr>
            <w:tcW w:w="580" w:type="pct"/>
            <w:vAlign w:val="center"/>
          </w:tcPr>
          <w:p w14:paraId="0737158C">
            <w:pPr>
              <w:pStyle w:val="28"/>
              <w:rPr>
                <w:color w:val="000000" w:themeColor="text1"/>
                <w14:textFill>
                  <w14:solidFill>
                    <w14:schemeClr w14:val="tx1"/>
                  </w14:solidFill>
                </w14:textFill>
              </w:rPr>
            </w:pPr>
            <w:r>
              <w:rPr>
                <w:color w:val="000000" w:themeColor="text1"/>
                <w14:textFill>
                  <w14:solidFill>
                    <w14:schemeClr w14:val="tx1"/>
                  </w14:solidFill>
                </w14:textFill>
              </w:rPr>
              <w:t>土壤容重/（g/cm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414" w:type="pct"/>
            <w:shd w:val="clear" w:color="auto" w:fill="auto"/>
            <w:vAlign w:val="center"/>
          </w:tcPr>
          <w:p w14:paraId="78F2CE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1.17</w:t>
            </w:r>
          </w:p>
        </w:tc>
        <w:tc>
          <w:tcPr>
            <w:tcW w:w="414" w:type="pct"/>
            <w:shd w:val="clear" w:color="auto" w:fill="auto"/>
            <w:vAlign w:val="center"/>
          </w:tcPr>
          <w:p w14:paraId="2F6E7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414" w:type="pct"/>
            <w:shd w:val="clear" w:color="auto" w:fill="auto"/>
            <w:vAlign w:val="center"/>
          </w:tcPr>
          <w:p w14:paraId="26AA85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1.23</w:t>
            </w:r>
          </w:p>
        </w:tc>
        <w:tc>
          <w:tcPr>
            <w:tcW w:w="414" w:type="pct"/>
            <w:shd w:val="clear" w:color="auto" w:fill="auto"/>
            <w:vAlign w:val="center"/>
          </w:tcPr>
          <w:p w14:paraId="3E9A28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1.33</w:t>
            </w:r>
          </w:p>
        </w:tc>
        <w:tc>
          <w:tcPr>
            <w:tcW w:w="414" w:type="pct"/>
            <w:shd w:val="clear" w:color="auto" w:fill="auto"/>
            <w:vAlign w:val="center"/>
          </w:tcPr>
          <w:p w14:paraId="64F7F6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414" w:type="pct"/>
            <w:shd w:val="clear" w:color="auto" w:fill="auto"/>
            <w:vAlign w:val="center"/>
          </w:tcPr>
          <w:p w14:paraId="57CA96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1.28</w:t>
            </w:r>
          </w:p>
        </w:tc>
        <w:tc>
          <w:tcPr>
            <w:tcW w:w="414" w:type="pct"/>
            <w:shd w:val="clear" w:color="auto" w:fill="auto"/>
            <w:vAlign w:val="center"/>
          </w:tcPr>
          <w:p w14:paraId="3388E7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1.37</w:t>
            </w:r>
          </w:p>
        </w:tc>
        <w:tc>
          <w:tcPr>
            <w:tcW w:w="332" w:type="pct"/>
            <w:shd w:val="clear" w:color="auto" w:fill="auto"/>
            <w:vAlign w:val="center"/>
          </w:tcPr>
          <w:p w14:paraId="7768B8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1.27</w:t>
            </w:r>
          </w:p>
        </w:tc>
        <w:tc>
          <w:tcPr>
            <w:tcW w:w="332" w:type="pct"/>
            <w:shd w:val="clear" w:color="auto" w:fill="auto"/>
            <w:vAlign w:val="center"/>
          </w:tcPr>
          <w:p w14:paraId="200CD1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1.26</w:t>
            </w:r>
          </w:p>
        </w:tc>
        <w:tc>
          <w:tcPr>
            <w:tcW w:w="349" w:type="pct"/>
            <w:shd w:val="clear" w:color="auto" w:fill="auto"/>
            <w:vAlign w:val="center"/>
          </w:tcPr>
          <w:p w14:paraId="684DF4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349" w:type="pct"/>
            <w:shd w:val="clear" w:color="auto" w:fill="auto"/>
            <w:vAlign w:val="center"/>
          </w:tcPr>
          <w:p w14:paraId="6D854A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1.23</w:t>
            </w:r>
          </w:p>
        </w:tc>
      </w:tr>
      <w:tr w14:paraId="4F3F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vAlign w:val="center"/>
          </w:tcPr>
          <w:p w14:paraId="07C8E2A1">
            <w:pPr>
              <w:pStyle w:val="28"/>
              <w:rPr>
                <w:color w:val="000000" w:themeColor="text1"/>
                <w14:textFill>
                  <w14:solidFill>
                    <w14:schemeClr w14:val="tx1"/>
                  </w14:solidFill>
                </w14:textFill>
              </w:rPr>
            </w:pPr>
          </w:p>
        </w:tc>
        <w:tc>
          <w:tcPr>
            <w:tcW w:w="580" w:type="pct"/>
            <w:vAlign w:val="center"/>
          </w:tcPr>
          <w:p w14:paraId="113190FC">
            <w:pPr>
              <w:pStyle w:val="28"/>
              <w:rPr>
                <w:color w:val="000000" w:themeColor="text1"/>
                <w14:textFill>
                  <w14:solidFill>
                    <w14:schemeClr w14:val="tx1"/>
                  </w14:solidFill>
                </w14:textFill>
              </w:rPr>
            </w:pPr>
            <w:r>
              <w:rPr>
                <w:color w:val="000000" w:themeColor="text1"/>
                <w14:textFill>
                  <w14:solidFill>
                    <w14:schemeClr w14:val="tx1"/>
                  </w14:solidFill>
                </w14:textFill>
              </w:rPr>
              <w:t>孔隙度（%）</w:t>
            </w:r>
          </w:p>
        </w:tc>
        <w:tc>
          <w:tcPr>
            <w:tcW w:w="414" w:type="pct"/>
            <w:shd w:val="clear" w:color="auto" w:fill="auto"/>
            <w:vAlign w:val="center"/>
          </w:tcPr>
          <w:p w14:paraId="7D4DF0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60.5</w:t>
            </w:r>
          </w:p>
        </w:tc>
        <w:tc>
          <w:tcPr>
            <w:tcW w:w="414" w:type="pct"/>
            <w:shd w:val="clear" w:color="auto" w:fill="auto"/>
            <w:vAlign w:val="center"/>
          </w:tcPr>
          <w:p w14:paraId="7E71DD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60.6</w:t>
            </w:r>
          </w:p>
        </w:tc>
        <w:tc>
          <w:tcPr>
            <w:tcW w:w="414" w:type="pct"/>
            <w:shd w:val="clear" w:color="auto" w:fill="auto"/>
            <w:vAlign w:val="center"/>
          </w:tcPr>
          <w:p w14:paraId="3005B8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60.8</w:t>
            </w:r>
          </w:p>
        </w:tc>
        <w:tc>
          <w:tcPr>
            <w:tcW w:w="414" w:type="pct"/>
            <w:shd w:val="clear" w:color="auto" w:fill="auto"/>
            <w:vAlign w:val="center"/>
          </w:tcPr>
          <w:p w14:paraId="77AA13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52.8</w:t>
            </w:r>
          </w:p>
        </w:tc>
        <w:tc>
          <w:tcPr>
            <w:tcW w:w="414" w:type="pct"/>
            <w:shd w:val="clear" w:color="auto" w:fill="auto"/>
            <w:vAlign w:val="center"/>
          </w:tcPr>
          <w:p w14:paraId="1D0ED1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57.8</w:t>
            </w:r>
          </w:p>
        </w:tc>
        <w:tc>
          <w:tcPr>
            <w:tcW w:w="414" w:type="pct"/>
            <w:shd w:val="clear" w:color="auto" w:fill="auto"/>
            <w:vAlign w:val="center"/>
          </w:tcPr>
          <w:p w14:paraId="34783C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53.4</w:t>
            </w:r>
          </w:p>
        </w:tc>
        <w:tc>
          <w:tcPr>
            <w:tcW w:w="414" w:type="pct"/>
            <w:shd w:val="clear" w:color="auto" w:fill="auto"/>
            <w:vAlign w:val="center"/>
          </w:tcPr>
          <w:p w14:paraId="6C693B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53.2</w:t>
            </w:r>
          </w:p>
        </w:tc>
        <w:tc>
          <w:tcPr>
            <w:tcW w:w="332" w:type="pct"/>
            <w:shd w:val="clear" w:color="auto" w:fill="auto"/>
            <w:vAlign w:val="center"/>
          </w:tcPr>
          <w:p w14:paraId="12B7E5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61.1</w:t>
            </w:r>
          </w:p>
        </w:tc>
        <w:tc>
          <w:tcPr>
            <w:tcW w:w="332" w:type="pct"/>
            <w:shd w:val="clear" w:color="auto" w:fill="auto"/>
            <w:vAlign w:val="center"/>
          </w:tcPr>
          <w:p w14:paraId="4476EF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60.8</w:t>
            </w:r>
          </w:p>
        </w:tc>
        <w:tc>
          <w:tcPr>
            <w:tcW w:w="349" w:type="pct"/>
            <w:shd w:val="clear" w:color="auto" w:fill="auto"/>
            <w:vAlign w:val="center"/>
          </w:tcPr>
          <w:p w14:paraId="3E5762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52.9</w:t>
            </w:r>
          </w:p>
        </w:tc>
        <w:tc>
          <w:tcPr>
            <w:tcW w:w="349" w:type="pct"/>
            <w:shd w:val="clear" w:color="auto" w:fill="auto"/>
            <w:vAlign w:val="center"/>
          </w:tcPr>
          <w:p w14:paraId="4CEB76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57.1</w:t>
            </w:r>
          </w:p>
        </w:tc>
      </w:tr>
    </w:tbl>
    <w:p w14:paraId="63D3DAE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（7）监测结果统计分析</w:t>
      </w:r>
    </w:p>
    <w:p w14:paraId="21BCDE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土壤环境质量现状监测结果及评价结果见表4.2-</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、表4.2-1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p>
    <w:p w14:paraId="7DDC4928">
      <w:pPr>
        <w:pStyle w:val="27"/>
        <w:rPr>
          <w:color w:val="000000" w:themeColor="text1"/>
          <w14:textFill>
            <w14:solidFill>
              <w14:schemeClr w14:val="tx1"/>
            </w14:solidFill>
          </w14:textFill>
        </w:rPr>
      </w:pPr>
    </w:p>
    <w:p w14:paraId="2F24F59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 xml:space="preserve"> 土壤环境质量现状监测结果及评价结果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014"/>
        <w:gridCol w:w="733"/>
        <w:gridCol w:w="794"/>
        <w:gridCol w:w="794"/>
        <w:gridCol w:w="946"/>
        <w:gridCol w:w="946"/>
        <w:gridCol w:w="721"/>
        <w:gridCol w:w="963"/>
        <w:gridCol w:w="963"/>
        <w:gridCol w:w="963"/>
        <w:gridCol w:w="963"/>
        <w:gridCol w:w="794"/>
        <w:gridCol w:w="794"/>
        <w:gridCol w:w="946"/>
        <w:gridCol w:w="946"/>
      </w:tblGrid>
      <w:tr w14:paraId="609E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92" w:type="pct"/>
            <w:vMerge w:val="restart"/>
            <w:vAlign w:val="center"/>
          </w:tcPr>
          <w:p w14:paraId="31BB92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367" w:type="pct"/>
            <w:vMerge w:val="restart"/>
            <w:vAlign w:val="center"/>
          </w:tcPr>
          <w:p w14:paraId="69DDD7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65" w:type="pct"/>
            <w:vMerge w:val="restart"/>
            <w:shd w:val="clear" w:color="auto" w:fill="auto"/>
            <w:vAlign w:val="center"/>
          </w:tcPr>
          <w:p w14:paraId="6DD042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1259" w:type="pct"/>
            <w:gridSpan w:val="4"/>
            <w:shd w:val="clear" w:color="auto" w:fill="auto"/>
            <w:vAlign w:val="center"/>
          </w:tcPr>
          <w:p w14:paraId="6994AB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261" w:type="pct"/>
            <w:vMerge w:val="restart"/>
            <w:shd w:val="clear" w:color="auto" w:fill="auto"/>
            <w:vAlign w:val="center"/>
          </w:tcPr>
          <w:p w14:paraId="6E382F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筛选值（第二类用地）</w:t>
            </w:r>
          </w:p>
        </w:tc>
        <w:tc>
          <w:tcPr>
            <w:tcW w:w="1394" w:type="pct"/>
            <w:gridSpan w:val="4"/>
            <w:shd w:val="clear" w:color="auto" w:fill="auto"/>
            <w:vAlign w:val="center"/>
          </w:tcPr>
          <w:p w14:paraId="2CCBFA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标准指数</w:t>
            </w:r>
          </w:p>
        </w:tc>
        <w:tc>
          <w:tcPr>
            <w:tcW w:w="1259" w:type="pct"/>
            <w:gridSpan w:val="4"/>
            <w:shd w:val="clear" w:color="auto" w:fill="auto"/>
            <w:vAlign w:val="center"/>
          </w:tcPr>
          <w:p w14:paraId="34D2E0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3857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92" w:type="pct"/>
            <w:vMerge w:val="continue"/>
            <w:vAlign w:val="center"/>
          </w:tcPr>
          <w:p w14:paraId="37AD64FF">
            <w:pPr>
              <w:pStyle w:val="28"/>
              <w:rPr>
                <w:color w:val="000000" w:themeColor="text1"/>
                <w14:textFill>
                  <w14:solidFill>
                    <w14:schemeClr w14:val="tx1"/>
                  </w14:solidFill>
                </w14:textFill>
              </w:rPr>
            </w:pPr>
          </w:p>
        </w:tc>
        <w:tc>
          <w:tcPr>
            <w:tcW w:w="367" w:type="pct"/>
            <w:vMerge w:val="continue"/>
            <w:vAlign w:val="center"/>
          </w:tcPr>
          <w:p w14:paraId="5736B637">
            <w:pPr>
              <w:pStyle w:val="28"/>
              <w:rPr>
                <w:color w:val="000000" w:themeColor="text1"/>
                <w14:textFill>
                  <w14:solidFill>
                    <w14:schemeClr w14:val="tx1"/>
                  </w14:solidFill>
                </w14:textFill>
              </w:rPr>
            </w:pPr>
          </w:p>
        </w:tc>
        <w:tc>
          <w:tcPr>
            <w:tcW w:w="265" w:type="pct"/>
            <w:vMerge w:val="continue"/>
            <w:shd w:val="clear" w:color="auto" w:fill="auto"/>
            <w:vAlign w:val="center"/>
          </w:tcPr>
          <w:p w14:paraId="093AE4ED">
            <w:pPr>
              <w:pStyle w:val="28"/>
              <w:rPr>
                <w:color w:val="000000" w:themeColor="text1"/>
                <w14:textFill>
                  <w14:solidFill>
                    <w14:schemeClr w14:val="tx1"/>
                  </w14:solidFill>
                </w14:textFill>
              </w:rPr>
            </w:pPr>
          </w:p>
        </w:tc>
        <w:tc>
          <w:tcPr>
            <w:tcW w:w="287" w:type="pct"/>
            <w:shd w:val="clear" w:color="auto" w:fill="auto"/>
            <w:vAlign w:val="center"/>
          </w:tcPr>
          <w:p w14:paraId="2F034AB7">
            <w:pPr>
              <w:pStyle w:val="2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287" w:type="pct"/>
            <w:shd w:val="clear" w:color="auto" w:fill="auto"/>
            <w:vAlign w:val="center"/>
          </w:tcPr>
          <w:p w14:paraId="4BE9DE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0-0.5m（平行）</w:t>
            </w:r>
          </w:p>
        </w:tc>
        <w:tc>
          <w:tcPr>
            <w:tcW w:w="342" w:type="pct"/>
            <w:shd w:val="clear" w:color="auto" w:fill="auto"/>
            <w:vAlign w:val="center"/>
          </w:tcPr>
          <w:p w14:paraId="0FEB8B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342" w:type="pct"/>
            <w:shd w:val="clear" w:color="auto" w:fill="auto"/>
            <w:vAlign w:val="center"/>
          </w:tcPr>
          <w:p w14:paraId="25B5ED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c>
          <w:tcPr>
            <w:tcW w:w="261" w:type="pct"/>
            <w:vMerge w:val="continue"/>
            <w:shd w:val="clear" w:color="auto" w:fill="auto"/>
            <w:vAlign w:val="center"/>
          </w:tcPr>
          <w:p w14:paraId="04509B73">
            <w:pPr>
              <w:pStyle w:val="28"/>
              <w:rPr>
                <w:color w:val="000000" w:themeColor="text1"/>
                <w14:textFill>
                  <w14:solidFill>
                    <w14:schemeClr w14:val="tx1"/>
                  </w14:solidFill>
                </w14:textFill>
              </w:rPr>
            </w:pPr>
          </w:p>
        </w:tc>
        <w:tc>
          <w:tcPr>
            <w:tcW w:w="348" w:type="pct"/>
            <w:shd w:val="clear" w:color="auto" w:fill="auto"/>
            <w:vAlign w:val="center"/>
          </w:tcPr>
          <w:p w14:paraId="5C13B424">
            <w:pPr>
              <w:pStyle w:val="2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348" w:type="pct"/>
            <w:shd w:val="clear" w:color="auto" w:fill="auto"/>
            <w:vAlign w:val="center"/>
          </w:tcPr>
          <w:p w14:paraId="37EC59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0-0.5m（平行）</w:t>
            </w:r>
          </w:p>
        </w:tc>
        <w:tc>
          <w:tcPr>
            <w:tcW w:w="348" w:type="pct"/>
            <w:shd w:val="clear" w:color="auto" w:fill="auto"/>
            <w:vAlign w:val="center"/>
          </w:tcPr>
          <w:p w14:paraId="255578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348" w:type="pct"/>
            <w:shd w:val="clear" w:color="auto" w:fill="auto"/>
            <w:vAlign w:val="center"/>
          </w:tcPr>
          <w:p w14:paraId="34E43A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c>
          <w:tcPr>
            <w:tcW w:w="287" w:type="pct"/>
            <w:shd w:val="clear" w:color="auto" w:fill="auto"/>
            <w:vAlign w:val="center"/>
          </w:tcPr>
          <w:p w14:paraId="29EFFB9D">
            <w:pPr>
              <w:pStyle w:val="2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287" w:type="pct"/>
            <w:shd w:val="clear" w:color="auto" w:fill="auto"/>
            <w:vAlign w:val="center"/>
          </w:tcPr>
          <w:p w14:paraId="29DCF7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0-0.5m（平行）</w:t>
            </w:r>
          </w:p>
        </w:tc>
        <w:tc>
          <w:tcPr>
            <w:tcW w:w="342" w:type="pct"/>
            <w:shd w:val="clear" w:color="auto" w:fill="auto"/>
            <w:vAlign w:val="center"/>
          </w:tcPr>
          <w:p w14:paraId="0EC335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342" w:type="pct"/>
            <w:shd w:val="clear" w:color="auto" w:fill="auto"/>
            <w:vAlign w:val="center"/>
          </w:tcPr>
          <w:p w14:paraId="7F5F7A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1.5-3.0m</w:t>
            </w:r>
          </w:p>
        </w:tc>
      </w:tr>
      <w:tr w14:paraId="3EEC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restart"/>
            <w:vAlign w:val="center"/>
          </w:tcPr>
          <w:p w14:paraId="77045F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危废暂存间附近绿化带Tz3</w:t>
            </w:r>
          </w:p>
        </w:tc>
        <w:tc>
          <w:tcPr>
            <w:tcW w:w="367" w:type="pct"/>
            <w:shd w:val="clear" w:color="auto" w:fill="auto"/>
            <w:vAlign w:val="center"/>
          </w:tcPr>
          <w:p w14:paraId="678C6C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总砷</w:t>
            </w:r>
          </w:p>
        </w:tc>
        <w:tc>
          <w:tcPr>
            <w:tcW w:w="265" w:type="pct"/>
            <w:shd w:val="clear" w:color="auto" w:fill="auto"/>
            <w:vAlign w:val="center"/>
          </w:tcPr>
          <w:p w14:paraId="6B6BB2C7">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6ADAFF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c>
          <w:tcPr>
            <w:tcW w:w="287" w:type="pct"/>
            <w:shd w:val="clear" w:color="auto" w:fill="auto"/>
            <w:vAlign w:val="center"/>
          </w:tcPr>
          <w:p w14:paraId="7DDEE7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11.9</w:t>
            </w:r>
          </w:p>
        </w:tc>
        <w:tc>
          <w:tcPr>
            <w:tcW w:w="342" w:type="pct"/>
            <w:shd w:val="clear" w:color="auto" w:fill="auto"/>
            <w:vAlign w:val="center"/>
          </w:tcPr>
          <w:p w14:paraId="7ABA32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14.9</w:t>
            </w:r>
          </w:p>
        </w:tc>
        <w:tc>
          <w:tcPr>
            <w:tcW w:w="342" w:type="pct"/>
            <w:shd w:val="clear" w:color="auto" w:fill="auto"/>
            <w:vAlign w:val="center"/>
          </w:tcPr>
          <w:p w14:paraId="7EDDE6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24.3</w:t>
            </w:r>
          </w:p>
        </w:tc>
        <w:tc>
          <w:tcPr>
            <w:tcW w:w="261" w:type="pct"/>
            <w:shd w:val="clear" w:color="auto" w:fill="auto"/>
            <w:vAlign w:val="center"/>
          </w:tcPr>
          <w:p w14:paraId="1F19C23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348" w:type="pct"/>
            <w:shd w:val="clear" w:color="auto" w:fill="auto"/>
            <w:vAlign w:val="center"/>
          </w:tcPr>
          <w:p w14:paraId="754F29A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0.018</w:t>
            </w:r>
          </w:p>
        </w:tc>
        <w:tc>
          <w:tcPr>
            <w:tcW w:w="348" w:type="pct"/>
            <w:shd w:val="clear" w:color="auto" w:fill="auto"/>
            <w:vAlign w:val="center"/>
          </w:tcPr>
          <w:p w14:paraId="49093B9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0.024</w:t>
            </w:r>
          </w:p>
        </w:tc>
        <w:tc>
          <w:tcPr>
            <w:tcW w:w="348" w:type="pct"/>
            <w:shd w:val="clear" w:color="auto" w:fill="auto"/>
            <w:vAlign w:val="center"/>
          </w:tcPr>
          <w:p w14:paraId="4487E95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0.019</w:t>
            </w:r>
          </w:p>
        </w:tc>
        <w:tc>
          <w:tcPr>
            <w:tcW w:w="348" w:type="pct"/>
            <w:shd w:val="clear" w:color="auto" w:fill="auto"/>
            <w:vAlign w:val="center"/>
          </w:tcPr>
          <w:p w14:paraId="3D8B0D0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0.017</w:t>
            </w:r>
          </w:p>
        </w:tc>
        <w:tc>
          <w:tcPr>
            <w:tcW w:w="287" w:type="pct"/>
            <w:shd w:val="clear" w:color="auto" w:fill="auto"/>
            <w:vAlign w:val="center"/>
          </w:tcPr>
          <w:p w14:paraId="11D9743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1B4EB7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21DF62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200E75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DFD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1ED61A02">
            <w:pPr>
              <w:pStyle w:val="28"/>
              <w:rPr>
                <w:color w:val="000000" w:themeColor="text1"/>
                <w14:textFill>
                  <w14:solidFill>
                    <w14:schemeClr w14:val="tx1"/>
                  </w14:solidFill>
                </w14:textFill>
              </w:rPr>
            </w:pPr>
          </w:p>
        </w:tc>
        <w:tc>
          <w:tcPr>
            <w:tcW w:w="367" w:type="pct"/>
            <w:shd w:val="clear" w:color="auto" w:fill="auto"/>
            <w:vAlign w:val="center"/>
          </w:tcPr>
          <w:p w14:paraId="6858F4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265" w:type="pct"/>
            <w:shd w:val="clear" w:color="auto" w:fill="auto"/>
            <w:vAlign w:val="center"/>
          </w:tcPr>
          <w:p w14:paraId="0BD0C347">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350053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c>
          <w:tcPr>
            <w:tcW w:w="287" w:type="pct"/>
            <w:shd w:val="clear" w:color="auto" w:fill="auto"/>
            <w:vAlign w:val="center"/>
          </w:tcPr>
          <w:p w14:paraId="057601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0.26</w:t>
            </w:r>
          </w:p>
        </w:tc>
        <w:tc>
          <w:tcPr>
            <w:tcW w:w="342" w:type="pct"/>
            <w:shd w:val="clear" w:color="auto" w:fill="auto"/>
            <w:vAlign w:val="center"/>
          </w:tcPr>
          <w:p w14:paraId="1B4FF8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c>
          <w:tcPr>
            <w:tcW w:w="342" w:type="pct"/>
            <w:shd w:val="clear" w:color="auto" w:fill="auto"/>
            <w:vAlign w:val="center"/>
          </w:tcPr>
          <w:p w14:paraId="1F69CB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c>
          <w:tcPr>
            <w:tcW w:w="261" w:type="pct"/>
            <w:shd w:val="clear" w:color="auto" w:fill="auto"/>
            <w:vAlign w:val="center"/>
          </w:tcPr>
          <w:p w14:paraId="2AD6C98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348" w:type="pct"/>
            <w:shd w:val="clear" w:color="auto" w:fill="auto"/>
            <w:vAlign w:val="center"/>
          </w:tcPr>
          <w:p w14:paraId="5E37805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0.008</w:t>
            </w:r>
          </w:p>
        </w:tc>
        <w:tc>
          <w:tcPr>
            <w:tcW w:w="348" w:type="pct"/>
            <w:shd w:val="clear" w:color="auto" w:fill="auto"/>
            <w:vAlign w:val="center"/>
          </w:tcPr>
          <w:p w14:paraId="41C0D58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w:t>
            </w:r>
          </w:p>
        </w:tc>
        <w:tc>
          <w:tcPr>
            <w:tcW w:w="348" w:type="pct"/>
            <w:shd w:val="clear" w:color="auto" w:fill="auto"/>
            <w:vAlign w:val="center"/>
          </w:tcPr>
          <w:p w14:paraId="0F04E88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w:t>
            </w:r>
          </w:p>
        </w:tc>
        <w:tc>
          <w:tcPr>
            <w:tcW w:w="348" w:type="pct"/>
            <w:shd w:val="clear" w:color="auto" w:fill="auto"/>
            <w:vAlign w:val="center"/>
          </w:tcPr>
          <w:p w14:paraId="049571A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w:t>
            </w:r>
          </w:p>
        </w:tc>
        <w:tc>
          <w:tcPr>
            <w:tcW w:w="287" w:type="pct"/>
            <w:shd w:val="clear" w:color="auto" w:fill="auto"/>
            <w:vAlign w:val="center"/>
          </w:tcPr>
          <w:p w14:paraId="1CCA299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79D019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32B7CF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FF1AA7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6BB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5E7BB73">
            <w:pPr>
              <w:pStyle w:val="28"/>
              <w:rPr>
                <w:color w:val="000000" w:themeColor="text1"/>
                <w14:textFill>
                  <w14:solidFill>
                    <w14:schemeClr w14:val="tx1"/>
                  </w14:solidFill>
                </w14:textFill>
              </w:rPr>
            </w:pPr>
          </w:p>
        </w:tc>
        <w:tc>
          <w:tcPr>
            <w:tcW w:w="367" w:type="pct"/>
            <w:shd w:val="clear" w:color="auto" w:fill="auto"/>
            <w:vAlign w:val="center"/>
          </w:tcPr>
          <w:p w14:paraId="3F8442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265" w:type="pct"/>
            <w:shd w:val="clear" w:color="auto" w:fill="auto"/>
            <w:vAlign w:val="center"/>
          </w:tcPr>
          <w:p w14:paraId="46A82F46">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2849EB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0.5L</w:t>
            </w:r>
          </w:p>
        </w:tc>
        <w:tc>
          <w:tcPr>
            <w:tcW w:w="287" w:type="pct"/>
            <w:shd w:val="clear" w:color="auto" w:fill="auto"/>
            <w:vAlign w:val="center"/>
          </w:tcPr>
          <w:p w14:paraId="7DF84D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0.5L</w:t>
            </w:r>
          </w:p>
        </w:tc>
        <w:tc>
          <w:tcPr>
            <w:tcW w:w="342" w:type="pct"/>
            <w:shd w:val="clear" w:color="auto" w:fill="auto"/>
            <w:vAlign w:val="center"/>
          </w:tcPr>
          <w:p w14:paraId="5BAED8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0.5L</w:t>
            </w:r>
          </w:p>
        </w:tc>
        <w:tc>
          <w:tcPr>
            <w:tcW w:w="342" w:type="pct"/>
            <w:shd w:val="clear" w:color="auto" w:fill="auto"/>
            <w:vAlign w:val="center"/>
          </w:tcPr>
          <w:p w14:paraId="1BA1F9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0.5L</w:t>
            </w:r>
          </w:p>
        </w:tc>
        <w:tc>
          <w:tcPr>
            <w:tcW w:w="261" w:type="pct"/>
            <w:shd w:val="clear" w:color="auto" w:fill="auto"/>
            <w:vAlign w:val="center"/>
          </w:tcPr>
          <w:p w14:paraId="6027183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w:t>
            </w:r>
          </w:p>
        </w:tc>
        <w:tc>
          <w:tcPr>
            <w:tcW w:w="348" w:type="pct"/>
            <w:shd w:val="clear" w:color="auto" w:fill="auto"/>
            <w:vAlign w:val="center"/>
          </w:tcPr>
          <w:p w14:paraId="32459A70">
            <w:pPr>
              <w:pStyle w:val="28"/>
              <w:rPr>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.088</w:t>
            </w:r>
          </w:p>
        </w:tc>
        <w:tc>
          <w:tcPr>
            <w:tcW w:w="348" w:type="pct"/>
            <w:shd w:val="clear" w:color="auto" w:fill="auto"/>
            <w:vAlign w:val="center"/>
          </w:tcPr>
          <w:p w14:paraId="5E74C939">
            <w:pPr>
              <w:pStyle w:val="28"/>
              <w:rPr>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olor w:val="000000" w:themeColor="text1"/>
                <w:szCs w:val="21"/>
                <w14:textFill>
                  <w14:solidFill>
                    <w14:schemeClr w14:val="tx1"/>
                  </w14:solidFill>
                </w14:textFill>
              </w:rPr>
              <w:t>0.088</w:t>
            </w:r>
          </w:p>
        </w:tc>
        <w:tc>
          <w:tcPr>
            <w:tcW w:w="348" w:type="pct"/>
            <w:shd w:val="clear" w:color="auto" w:fill="auto"/>
            <w:vAlign w:val="center"/>
          </w:tcPr>
          <w:p w14:paraId="19D36AB7">
            <w:pPr>
              <w:pStyle w:val="28"/>
              <w:rPr>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olor w:val="000000" w:themeColor="text1"/>
                <w:szCs w:val="21"/>
                <w14:textFill>
                  <w14:solidFill>
                    <w14:schemeClr w14:val="tx1"/>
                  </w14:solidFill>
                </w14:textFill>
              </w:rPr>
              <w:t>0.088</w:t>
            </w:r>
          </w:p>
        </w:tc>
        <w:tc>
          <w:tcPr>
            <w:tcW w:w="348" w:type="pct"/>
            <w:shd w:val="clear" w:color="auto" w:fill="auto"/>
            <w:vAlign w:val="center"/>
          </w:tcPr>
          <w:p w14:paraId="15C951C0">
            <w:pPr>
              <w:pStyle w:val="28"/>
              <w:rPr>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olor w:val="000000" w:themeColor="text1"/>
                <w:szCs w:val="21"/>
                <w14:textFill>
                  <w14:solidFill>
                    <w14:schemeClr w14:val="tx1"/>
                  </w14:solidFill>
                </w14:textFill>
              </w:rPr>
              <w:t>0.088</w:t>
            </w:r>
          </w:p>
        </w:tc>
        <w:tc>
          <w:tcPr>
            <w:tcW w:w="287" w:type="pct"/>
            <w:shd w:val="clear" w:color="auto" w:fill="auto"/>
            <w:vAlign w:val="center"/>
          </w:tcPr>
          <w:p w14:paraId="36F0427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15674F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C61BC7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6391E2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AA0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192A7833">
            <w:pPr>
              <w:pStyle w:val="28"/>
              <w:rPr>
                <w:color w:val="000000" w:themeColor="text1"/>
                <w14:textFill>
                  <w14:solidFill>
                    <w14:schemeClr w14:val="tx1"/>
                  </w14:solidFill>
                </w14:textFill>
              </w:rPr>
            </w:pPr>
          </w:p>
        </w:tc>
        <w:tc>
          <w:tcPr>
            <w:tcW w:w="367" w:type="pct"/>
            <w:shd w:val="clear" w:color="auto" w:fill="auto"/>
            <w:vAlign w:val="center"/>
          </w:tcPr>
          <w:p w14:paraId="5857F4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265" w:type="pct"/>
            <w:shd w:val="clear" w:color="auto" w:fill="auto"/>
            <w:vAlign w:val="center"/>
          </w:tcPr>
          <w:p w14:paraId="2677961D">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6FF447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287" w:type="pct"/>
            <w:shd w:val="clear" w:color="auto" w:fill="auto"/>
            <w:vAlign w:val="center"/>
          </w:tcPr>
          <w:p w14:paraId="730EEA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342" w:type="pct"/>
            <w:shd w:val="clear" w:color="auto" w:fill="auto"/>
            <w:vAlign w:val="center"/>
          </w:tcPr>
          <w:p w14:paraId="38F0B1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c>
          <w:tcPr>
            <w:tcW w:w="342" w:type="pct"/>
            <w:shd w:val="clear" w:color="auto" w:fill="auto"/>
            <w:vAlign w:val="center"/>
          </w:tcPr>
          <w:p w14:paraId="1C246A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261" w:type="pct"/>
            <w:shd w:val="clear" w:color="auto" w:fill="auto"/>
            <w:vAlign w:val="center"/>
          </w:tcPr>
          <w:p w14:paraId="32DE581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18000</w:t>
            </w:r>
          </w:p>
        </w:tc>
        <w:tc>
          <w:tcPr>
            <w:tcW w:w="348" w:type="pct"/>
            <w:shd w:val="clear" w:color="auto" w:fill="auto"/>
            <w:vAlign w:val="center"/>
          </w:tcPr>
          <w:p w14:paraId="442281D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w:t>
            </w:r>
          </w:p>
        </w:tc>
        <w:tc>
          <w:tcPr>
            <w:tcW w:w="348" w:type="pct"/>
            <w:shd w:val="clear" w:color="auto" w:fill="auto"/>
            <w:vAlign w:val="center"/>
          </w:tcPr>
          <w:p w14:paraId="407DD71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w:t>
            </w:r>
          </w:p>
        </w:tc>
        <w:tc>
          <w:tcPr>
            <w:tcW w:w="348" w:type="pct"/>
            <w:shd w:val="clear" w:color="auto" w:fill="auto"/>
            <w:vAlign w:val="center"/>
          </w:tcPr>
          <w:p w14:paraId="7102AC4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0.008</w:t>
            </w:r>
          </w:p>
        </w:tc>
        <w:tc>
          <w:tcPr>
            <w:tcW w:w="348" w:type="pct"/>
            <w:shd w:val="clear" w:color="auto" w:fill="auto"/>
            <w:vAlign w:val="center"/>
          </w:tcPr>
          <w:p w14:paraId="43A895E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w:t>
            </w:r>
          </w:p>
        </w:tc>
        <w:tc>
          <w:tcPr>
            <w:tcW w:w="287" w:type="pct"/>
            <w:shd w:val="clear" w:color="auto" w:fill="auto"/>
            <w:vAlign w:val="center"/>
          </w:tcPr>
          <w:p w14:paraId="4026007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E19E4C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5F4BEA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0D2C9D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3FA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1E95BBC">
            <w:pPr>
              <w:pStyle w:val="28"/>
              <w:rPr>
                <w:color w:val="000000" w:themeColor="text1"/>
                <w14:textFill>
                  <w14:solidFill>
                    <w14:schemeClr w14:val="tx1"/>
                  </w14:solidFill>
                </w14:textFill>
              </w:rPr>
            </w:pPr>
          </w:p>
        </w:tc>
        <w:tc>
          <w:tcPr>
            <w:tcW w:w="367" w:type="pct"/>
            <w:shd w:val="clear" w:color="auto" w:fill="auto"/>
            <w:vAlign w:val="center"/>
          </w:tcPr>
          <w:p w14:paraId="6CE094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265" w:type="pct"/>
            <w:shd w:val="clear" w:color="auto" w:fill="auto"/>
            <w:vAlign w:val="center"/>
          </w:tcPr>
          <w:p w14:paraId="6543DE72">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719249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87" w:type="pct"/>
            <w:shd w:val="clear" w:color="auto" w:fill="auto"/>
            <w:vAlign w:val="center"/>
          </w:tcPr>
          <w:p w14:paraId="194561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342" w:type="pct"/>
            <w:shd w:val="clear" w:color="auto" w:fill="auto"/>
            <w:vAlign w:val="center"/>
          </w:tcPr>
          <w:p w14:paraId="3EC429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342" w:type="pct"/>
            <w:shd w:val="clear" w:color="auto" w:fill="auto"/>
            <w:vAlign w:val="center"/>
          </w:tcPr>
          <w:p w14:paraId="295CAD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261" w:type="pct"/>
            <w:shd w:val="clear" w:color="auto" w:fill="auto"/>
            <w:vAlign w:val="center"/>
          </w:tcPr>
          <w:p w14:paraId="2CD1C8D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w:t>
            </w:r>
          </w:p>
        </w:tc>
        <w:tc>
          <w:tcPr>
            <w:tcW w:w="348" w:type="pct"/>
            <w:shd w:val="clear" w:color="auto" w:fill="auto"/>
            <w:vAlign w:val="center"/>
          </w:tcPr>
          <w:p w14:paraId="2811E2D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0.176</w:t>
            </w:r>
          </w:p>
        </w:tc>
        <w:tc>
          <w:tcPr>
            <w:tcW w:w="348" w:type="pct"/>
            <w:shd w:val="clear" w:color="auto" w:fill="auto"/>
            <w:vAlign w:val="center"/>
          </w:tcPr>
          <w:p w14:paraId="08ACE16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0.231</w:t>
            </w:r>
          </w:p>
        </w:tc>
        <w:tc>
          <w:tcPr>
            <w:tcW w:w="348" w:type="pct"/>
            <w:shd w:val="clear" w:color="auto" w:fill="auto"/>
            <w:vAlign w:val="center"/>
          </w:tcPr>
          <w:p w14:paraId="7B84394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0.198</w:t>
            </w:r>
          </w:p>
        </w:tc>
        <w:tc>
          <w:tcPr>
            <w:tcW w:w="348" w:type="pct"/>
            <w:shd w:val="clear" w:color="auto" w:fill="auto"/>
            <w:vAlign w:val="center"/>
          </w:tcPr>
          <w:p w14:paraId="2EAAABA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0.284</w:t>
            </w:r>
          </w:p>
        </w:tc>
        <w:tc>
          <w:tcPr>
            <w:tcW w:w="287" w:type="pct"/>
            <w:shd w:val="clear" w:color="auto" w:fill="auto"/>
            <w:vAlign w:val="center"/>
          </w:tcPr>
          <w:p w14:paraId="026D739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46DAB1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6755F0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66C545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0C8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C00883F">
            <w:pPr>
              <w:pStyle w:val="28"/>
              <w:rPr>
                <w:color w:val="000000" w:themeColor="text1"/>
                <w14:textFill>
                  <w14:solidFill>
                    <w14:schemeClr w14:val="tx1"/>
                  </w14:solidFill>
                </w14:textFill>
              </w:rPr>
            </w:pPr>
          </w:p>
        </w:tc>
        <w:tc>
          <w:tcPr>
            <w:tcW w:w="367" w:type="pct"/>
            <w:shd w:val="clear" w:color="auto" w:fill="auto"/>
            <w:vAlign w:val="center"/>
          </w:tcPr>
          <w:p w14:paraId="1415AF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总汞</w:t>
            </w:r>
          </w:p>
        </w:tc>
        <w:tc>
          <w:tcPr>
            <w:tcW w:w="265" w:type="pct"/>
            <w:shd w:val="clear" w:color="auto" w:fill="auto"/>
            <w:vAlign w:val="center"/>
          </w:tcPr>
          <w:p w14:paraId="2D709DF7">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63A93B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0.124</w:t>
            </w:r>
          </w:p>
        </w:tc>
        <w:tc>
          <w:tcPr>
            <w:tcW w:w="287" w:type="pct"/>
            <w:shd w:val="clear" w:color="auto" w:fill="auto"/>
            <w:vAlign w:val="center"/>
          </w:tcPr>
          <w:p w14:paraId="4E6D5E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0.116</w:t>
            </w:r>
          </w:p>
        </w:tc>
        <w:tc>
          <w:tcPr>
            <w:tcW w:w="342" w:type="pct"/>
            <w:shd w:val="clear" w:color="auto" w:fill="auto"/>
            <w:vAlign w:val="center"/>
          </w:tcPr>
          <w:p w14:paraId="63C2C4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0.087</w:t>
            </w:r>
          </w:p>
        </w:tc>
        <w:tc>
          <w:tcPr>
            <w:tcW w:w="342" w:type="pct"/>
            <w:shd w:val="clear" w:color="auto" w:fill="auto"/>
            <w:vAlign w:val="center"/>
          </w:tcPr>
          <w:p w14:paraId="4E10A0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0.140</w:t>
            </w:r>
          </w:p>
        </w:tc>
        <w:tc>
          <w:tcPr>
            <w:tcW w:w="261" w:type="pct"/>
            <w:shd w:val="clear" w:color="auto" w:fill="auto"/>
            <w:vAlign w:val="center"/>
          </w:tcPr>
          <w:p w14:paraId="209CB8A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348" w:type="pct"/>
            <w:shd w:val="clear" w:color="auto" w:fill="auto"/>
            <w:vAlign w:val="center"/>
          </w:tcPr>
          <w:p w14:paraId="196B91B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0.047</w:t>
            </w:r>
          </w:p>
        </w:tc>
        <w:tc>
          <w:tcPr>
            <w:tcW w:w="348" w:type="pct"/>
            <w:shd w:val="clear" w:color="auto" w:fill="auto"/>
            <w:vAlign w:val="center"/>
          </w:tcPr>
          <w:p w14:paraId="6EEE7F5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0.033</w:t>
            </w:r>
          </w:p>
        </w:tc>
        <w:tc>
          <w:tcPr>
            <w:tcW w:w="348" w:type="pct"/>
            <w:shd w:val="clear" w:color="auto" w:fill="auto"/>
            <w:vAlign w:val="center"/>
          </w:tcPr>
          <w:p w14:paraId="071E7F0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c>
          <w:tcPr>
            <w:tcW w:w="348" w:type="pct"/>
            <w:shd w:val="clear" w:color="auto" w:fill="auto"/>
            <w:vAlign w:val="center"/>
          </w:tcPr>
          <w:p w14:paraId="030C1D1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0.041</w:t>
            </w:r>
          </w:p>
        </w:tc>
        <w:tc>
          <w:tcPr>
            <w:tcW w:w="287" w:type="pct"/>
            <w:shd w:val="clear" w:color="auto" w:fill="auto"/>
            <w:vAlign w:val="center"/>
          </w:tcPr>
          <w:p w14:paraId="31EE7F7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F1F36D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084E8B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1EA18D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57A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C2B27C4">
            <w:pPr>
              <w:pStyle w:val="28"/>
              <w:rPr>
                <w:color w:val="000000" w:themeColor="text1"/>
                <w14:textFill>
                  <w14:solidFill>
                    <w14:schemeClr w14:val="tx1"/>
                  </w14:solidFill>
                </w14:textFill>
              </w:rPr>
            </w:pPr>
          </w:p>
        </w:tc>
        <w:tc>
          <w:tcPr>
            <w:tcW w:w="367" w:type="pct"/>
            <w:shd w:val="clear" w:color="auto" w:fill="auto"/>
            <w:vAlign w:val="center"/>
          </w:tcPr>
          <w:p w14:paraId="60B03D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265" w:type="pct"/>
            <w:shd w:val="clear" w:color="auto" w:fill="auto"/>
            <w:vAlign w:val="center"/>
          </w:tcPr>
          <w:p w14:paraId="16ABF400">
            <w:pPr>
              <w:pStyle w:val="28"/>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287" w:type="pct"/>
            <w:shd w:val="clear" w:color="auto" w:fill="auto"/>
            <w:vAlign w:val="center"/>
          </w:tcPr>
          <w:p w14:paraId="17F076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287" w:type="pct"/>
            <w:shd w:val="clear" w:color="auto" w:fill="auto"/>
            <w:vAlign w:val="center"/>
          </w:tcPr>
          <w:p w14:paraId="6F0A47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342" w:type="pct"/>
            <w:shd w:val="clear" w:color="auto" w:fill="auto"/>
            <w:vAlign w:val="center"/>
          </w:tcPr>
          <w:p w14:paraId="2BCCD3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342" w:type="pct"/>
            <w:shd w:val="clear" w:color="auto" w:fill="auto"/>
            <w:vAlign w:val="center"/>
          </w:tcPr>
          <w:p w14:paraId="4A5273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261" w:type="pct"/>
            <w:shd w:val="clear" w:color="auto" w:fill="auto"/>
            <w:vAlign w:val="center"/>
          </w:tcPr>
          <w:p w14:paraId="1D3999E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w:t>
            </w:r>
          </w:p>
        </w:tc>
        <w:tc>
          <w:tcPr>
            <w:tcW w:w="348" w:type="pct"/>
            <w:shd w:val="clear" w:color="auto" w:fill="auto"/>
            <w:vAlign w:val="center"/>
          </w:tcPr>
          <w:p w14:paraId="06FF01E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0.096</w:t>
            </w:r>
          </w:p>
        </w:tc>
        <w:tc>
          <w:tcPr>
            <w:tcW w:w="348" w:type="pct"/>
            <w:shd w:val="clear" w:color="auto" w:fill="auto"/>
            <w:vAlign w:val="center"/>
          </w:tcPr>
          <w:p w14:paraId="77B88A5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0.116</w:t>
            </w:r>
          </w:p>
        </w:tc>
        <w:tc>
          <w:tcPr>
            <w:tcW w:w="348" w:type="pct"/>
            <w:shd w:val="clear" w:color="auto" w:fill="auto"/>
            <w:vAlign w:val="center"/>
          </w:tcPr>
          <w:p w14:paraId="19DFA0E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0.110</w:t>
            </w:r>
          </w:p>
        </w:tc>
        <w:tc>
          <w:tcPr>
            <w:tcW w:w="348" w:type="pct"/>
            <w:shd w:val="clear" w:color="auto" w:fill="auto"/>
            <w:vAlign w:val="center"/>
          </w:tcPr>
          <w:p w14:paraId="738359D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0.089</w:t>
            </w:r>
          </w:p>
        </w:tc>
        <w:tc>
          <w:tcPr>
            <w:tcW w:w="287" w:type="pct"/>
            <w:shd w:val="clear" w:color="auto" w:fill="auto"/>
            <w:vAlign w:val="center"/>
          </w:tcPr>
          <w:p w14:paraId="7EDC60A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1478F4B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B0DD14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9DF0BC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8D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EE47F6B">
            <w:pPr>
              <w:pStyle w:val="28"/>
              <w:rPr>
                <w:color w:val="000000" w:themeColor="text1"/>
                <w14:textFill>
                  <w14:solidFill>
                    <w14:schemeClr w14:val="tx1"/>
                  </w14:solidFill>
                </w14:textFill>
              </w:rPr>
            </w:pPr>
          </w:p>
        </w:tc>
        <w:tc>
          <w:tcPr>
            <w:tcW w:w="367" w:type="pct"/>
            <w:shd w:val="clear" w:color="auto" w:fill="auto"/>
            <w:vAlign w:val="center"/>
          </w:tcPr>
          <w:p w14:paraId="47A7BE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氯甲烷</w:t>
            </w:r>
          </w:p>
        </w:tc>
        <w:tc>
          <w:tcPr>
            <w:tcW w:w="265" w:type="pct"/>
            <w:shd w:val="clear" w:color="auto" w:fill="auto"/>
            <w:vAlign w:val="center"/>
          </w:tcPr>
          <w:p w14:paraId="06F6CC91">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75BB3A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87" w:type="pct"/>
            <w:shd w:val="clear" w:color="auto" w:fill="auto"/>
            <w:vAlign w:val="center"/>
          </w:tcPr>
          <w:p w14:paraId="35DCCA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0D869E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7531F7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61" w:type="pct"/>
            <w:shd w:val="clear" w:color="auto" w:fill="auto"/>
            <w:vAlign w:val="center"/>
          </w:tcPr>
          <w:p w14:paraId="7C43D64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348" w:type="pct"/>
            <w:shd w:val="clear" w:color="auto" w:fill="auto"/>
            <w:vAlign w:val="center"/>
          </w:tcPr>
          <w:p w14:paraId="7B4B774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4.64E-04</w:t>
            </w:r>
          </w:p>
        </w:tc>
        <w:tc>
          <w:tcPr>
            <w:tcW w:w="348" w:type="pct"/>
            <w:shd w:val="clear" w:color="auto" w:fill="auto"/>
            <w:vAlign w:val="center"/>
          </w:tcPr>
          <w:p w14:paraId="5B3425E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4.64E-04</w:t>
            </w:r>
          </w:p>
        </w:tc>
        <w:tc>
          <w:tcPr>
            <w:tcW w:w="348" w:type="pct"/>
            <w:shd w:val="clear" w:color="auto" w:fill="auto"/>
            <w:vAlign w:val="center"/>
          </w:tcPr>
          <w:p w14:paraId="77B1D94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4.64E-04</w:t>
            </w:r>
          </w:p>
        </w:tc>
        <w:tc>
          <w:tcPr>
            <w:tcW w:w="348" w:type="pct"/>
            <w:shd w:val="clear" w:color="auto" w:fill="auto"/>
            <w:vAlign w:val="center"/>
          </w:tcPr>
          <w:p w14:paraId="0BE2CDC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4.64E-04</w:t>
            </w:r>
          </w:p>
        </w:tc>
        <w:tc>
          <w:tcPr>
            <w:tcW w:w="287" w:type="pct"/>
            <w:shd w:val="clear" w:color="auto" w:fill="auto"/>
            <w:vAlign w:val="center"/>
          </w:tcPr>
          <w:p w14:paraId="148E021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370AAC0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CE7D92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805246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384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2880E29">
            <w:pPr>
              <w:pStyle w:val="28"/>
              <w:rPr>
                <w:color w:val="000000" w:themeColor="text1"/>
                <w14:textFill>
                  <w14:solidFill>
                    <w14:schemeClr w14:val="tx1"/>
                  </w14:solidFill>
                </w14:textFill>
              </w:rPr>
            </w:pPr>
          </w:p>
        </w:tc>
        <w:tc>
          <w:tcPr>
            <w:tcW w:w="367" w:type="pct"/>
            <w:shd w:val="clear" w:color="auto" w:fill="auto"/>
            <w:vAlign w:val="center"/>
          </w:tcPr>
          <w:p w14:paraId="3FF8D6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氯乙烯</w:t>
            </w:r>
          </w:p>
        </w:tc>
        <w:tc>
          <w:tcPr>
            <w:tcW w:w="265" w:type="pct"/>
            <w:shd w:val="clear" w:color="auto" w:fill="auto"/>
            <w:vAlign w:val="center"/>
          </w:tcPr>
          <w:p w14:paraId="38FA709D">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A2CEC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87" w:type="pct"/>
            <w:shd w:val="clear" w:color="auto" w:fill="auto"/>
            <w:vAlign w:val="center"/>
          </w:tcPr>
          <w:p w14:paraId="6351AC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12636D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4A8469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61" w:type="pct"/>
            <w:shd w:val="clear" w:color="auto" w:fill="auto"/>
            <w:vAlign w:val="center"/>
          </w:tcPr>
          <w:p w14:paraId="0B3F180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w:t>
            </w:r>
          </w:p>
        </w:tc>
        <w:tc>
          <w:tcPr>
            <w:tcW w:w="348" w:type="pct"/>
            <w:shd w:val="clear" w:color="auto" w:fill="auto"/>
            <w:vAlign w:val="center"/>
          </w:tcPr>
          <w:p w14:paraId="4718739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1.22E-03</w:t>
            </w:r>
          </w:p>
        </w:tc>
        <w:tc>
          <w:tcPr>
            <w:tcW w:w="348" w:type="pct"/>
            <w:shd w:val="clear" w:color="auto" w:fill="auto"/>
            <w:vAlign w:val="center"/>
          </w:tcPr>
          <w:p w14:paraId="269D4A7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1.22E-03</w:t>
            </w:r>
          </w:p>
        </w:tc>
        <w:tc>
          <w:tcPr>
            <w:tcW w:w="348" w:type="pct"/>
            <w:shd w:val="clear" w:color="auto" w:fill="auto"/>
            <w:vAlign w:val="center"/>
          </w:tcPr>
          <w:p w14:paraId="40F9553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1.22E-03</w:t>
            </w:r>
          </w:p>
        </w:tc>
        <w:tc>
          <w:tcPr>
            <w:tcW w:w="348" w:type="pct"/>
            <w:shd w:val="clear" w:color="auto" w:fill="auto"/>
            <w:vAlign w:val="center"/>
          </w:tcPr>
          <w:p w14:paraId="4926839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1.22E-03</w:t>
            </w:r>
          </w:p>
        </w:tc>
        <w:tc>
          <w:tcPr>
            <w:tcW w:w="287" w:type="pct"/>
            <w:shd w:val="clear" w:color="auto" w:fill="auto"/>
            <w:vAlign w:val="center"/>
          </w:tcPr>
          <w:p w14:paraId="491F4DC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5DE00A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75D620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7BD9B4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296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5324399">
            <w:pPr>
              <w:pStyle w:val="28"/>
              <w:rPr>
                <w:color w:val="000000" w:themeColor="text1"/>
                <w14:textFill>
                  <w14:solidFill>
                    <w14:schemeClr w14:val="tx1"/>
                  </w14:solidFill>
                </w14:textFill>
              </w:rPr>
            </w:pPr>
          </w:p>
        </w:tc>
        <w:tc>
          <w:tcPr>
            <w:tcW w:w="367" w:type="pct"/>
            <w:shd w:val="clear" w:color="auto" w:fill="auto"/>
            <w:vAlign w:val="center"/>
          </w:tcPr>
          <w:p w14:paraId="335C4B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1,1-二氯乙烯</w:t>
            </w:r>
          </w:p>
        </w:tc>
        <w:tc>
          <w:tcPr>
            <w:tcW w:w="265" w:type="pct"/>
            <w:shd w:val="clear" w:color="auto" w:fill="auto"/>
            <w:vAlign w:val="center"/>
          </w:tcPr>
          <w:p w14:paraId="1E01D1B8">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D67D6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87" w:type="pct"/>
            <w:shd w:val="clear" w:color="auto" w:fill="auto"/>
            <w:vAlign w:val="center"/>
          </w:tcPr>
          <w:p w14:paraId="49B327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5DF501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342" w:type="pct"/>
            <w:shd w:val="clear" w:color="auto" w:fill="auto"/>
            <w:vAlign w:val="center"/>
          </w:tcPr>
          <w:p w14:paraId="0919F6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1.0L</w:t>
            </w:r>
          </w:p>
        </w:tc>
        <w:tc>
          <w:tcPr>
            <w:tcW w:w="261" w:type="pct"/>
            <w:shd w:val="clear" w:color="auto" w:fill="auto"/>
            <w:vAlign w:val="center"/>
          </w:tcPr>
          <w:p w14:paraId="6F59D5E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348" w:type="pct"/>
            <w:shd w:val="clear" w:color="auto" w:fill="auto"/>
            <w:vAlign w:val="center"/>
          </w:tcPr>
          <w:p w14:paraId="0189833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2.70E-05</w:t>
            </w:r>
          </w:p>
        </w:tc>
        <w:tc>
          <w:tcPr>
            <w:tcW w:w="348" w:type="pct"/>
            <w:shd w:val="clear" w:color="auto" w:fill="auto"/>
            <w:vAlign w:val="center"/>
          </w:tcPr>
          <w:p w14:paraId="6CD3BE2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2.70E-05</w:t>
            </w:r>
          </w:p>
        </w:tc>
        <w:tc>
          <w:tcPr>
            <w:tcW w:w="348" w:type="pct"/>
            <w:shd w:val="clear" w:color="auto" w:fill="auto"/>
            <w:vAlign w:val="center"/>
          </w:tcPr>
          <w:p w14:paraId="04A664B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2.70E-05</w:t>
            </w:r>
          </w:p>
        </w:tc>
        <w:tc>
          <w:tcPr>
            <w:tcW w:w="348" w:type="pct"/>
            <w:shd w:val="clear" w:color="auto" w:fill="auto"/>
            <w:vAlign w:val="center"/>
          </w:tcPr>
          <w:p w14:paraId="7AF20BB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2.70E-05</w:t>
            </w:r>
          </w:p>
        </w:tc>
        <w:tc>
          <w:tcPr>
            <w:tcW w:w="287" w:type="pct"/>
            <w:shd w:val="clear" w:color="auto" w:fill="auto"/>
            <w:vAlign w:val="center"/>
          </w:tcPr>
          <w:p w14:paraId="0AC300E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148148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543B0E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75D1B7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B18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29C7A565">
            <w:pPr>
              <w:pStyle w:val="28"/>
              <w:rPr>
                <w:color w:val="000000" w:themeColor="text1"/>
                <w14:textFill>
                  <w14:solidFill>
                    <w14:schemeClr w14:val="tx1"/>
                  </w14:solidFill>
                </w14:textFill>
              </w:rPr>
            </w:pPr>
          </w:p>
        </w:tc>
        <w:tc>
          <w:tcPr>
            <w:tcW w:w="367" w:type="pct"/>
            <w:shd w:val="clear" w:color="auto" w:fill="auto"/>
            <w:vAlign w:val="center"/>
          </w:tcPr>
          <w:p w14:paraId="4ACC5B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二氯甲烷</w:t>
            </w:r>
          </w:p>
        </w:tc>
        <w:tc>
          <w:tcPr>
            <w:tcW w:w="265" w:type="pct"/>
            <w:shd w:val="clear" w:color="auto" w:fill="auto"/>
            <w:vAlign w:val="center"/>
          </w:tcPr>
          <w:p w14:paraId="03918B42">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66A4E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87" w:type="pct"/>
            <w:shd w:val="clear" w:color="auto" w:fill="auto"/>
            <w:vAlign w:val="center"/>
          </w:tcPr>
          <w:p w14:paraId="2278E9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1980D5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71B2C2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61" w:type="pct"/>
            <w:shd w:val="clear" w:color="auto" w:fill="auto"/>
            <w:vAlign w:val="center"/>
          </w:tcPr>
          <w:p w14:paraId="705E512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348" w:type="pct"/>
            <w:shd w:val="clear" w:color="auto" w:fill="auto"/>
            <w:vAlign w:val="center"/>
          </w:tcPr>
          <w:p w14:paraId="0B002EF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1.33E-04</w:t>
            </w:r>
          </w:p>
        </w:tc>
        <w:tc>
          <w:tcPr>
            <w:tcW w:w="348" w:type="pct"/>
            <w:shd w:val="clear" w:color="auto" w:fill="auto"/>
            <w:vAlign w:val="center"/>
          </w:tcPr>
          <w:p w14:paraId="185879F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1.33E-04</w:t>
            </w:r>
          </w:p>
        </w:tc>
        <w:tc>
          <w:tcPr>
            <w:tcW w:w="348" w:type="pct"/>
            <w:shd w:val="clear" w:color="auto" w:fill="auto"/>
            <w:vAlign w:val="center"/>
          </w:tcPr>
          <w:p w14:paraId="4445B60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1.33E-04</w:t>
            </w:r>
          </w:p>
        </w:tc>
        <w:tc>
          <w:tcPr>
            <w:tcW w:w="348" w:type="pct"/>
            <w:shd w:val="clear" w:color="auto" w:fill="auto"/>
            <w:vAlign w:val="center"/>
          </w:tcPr>
          <w:p w14:paraId="574F50B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1.33E-04</w:t>
            </w:r>
          </w:p>
        </w:tc>
        <w:tc>
          <w:tcPr>
            <w:tcW w:w="287" w:type="pct"/>
            <w:shd w:val="clear" w:color="auto" w:fill="auto"/>
            <w:vAlign w:val="center"/>
          </w:tcPr>
          <w:p w14:paraId="491D15C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A738F0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6EAA81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3F5E1C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33C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582251E">
            <w:pPr>
              <w:pStyle w:val="28"/>
              <w:rPr>
                <w:color w:val="000000" w:themeColor="text1"/>
                <w14:textFill>
                  <w14:solidFill>
                    <w14:schemeClr w14:val="tx1"/>
                  </w14:solidFill>
                </w14:textFill>
              </w:rPr>
            </w:pPr>
          </w:p>
        </w:tc>
        <w:tc>
          <w:tcPr>
            <w:tcW w:w="367" w:type="pct"/>
            <w:shd w:val="clear" w:color="auto" w:fill="auto"/>
            <w:vAlign w:val="center"/>
          </w:tcPr>
          <w:p w14:paraId="714AC9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反式-1,2-二氯乙烯</w:t>
            </w:r>
          </w:p>
        </w:tc>
        <w:tc>
          <w:tcPr>
            <w:tcW w:w="265" w:type="pct"/>
            <w:shd w:val="clear" w:color="auto" w:fill="auto"/>
            <w:vAlign w:val="center"/>
          </w:tcPr>
          <w:p w14:paraId="2A2FF3D6">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3BD50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287" w:type="pct"/>
            <w:shd w:val="clear" w:color="auto" w:fill="auto"/>
            <w:vAlign w:val="center"/>
          </w:tcPr>
          <w:p w14:paraId="179EDC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342" w:type="pct"/>
            <w:shd w:val="clear" w:color="auto" w:fill="auto"/>
            <w:vAlign w:val="center"/>
          </w:tcPr>
          <w:p w14:paraId="225DE2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342" w:type="pct"/>
            <w:shd w:val="clear" w:color="auto" w:fill="auto"/>
            <w:vAlign w:val="center"/>
          </w:tcPr>
          <w:p w14:paraId="173A49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261" w:type="pct"/>
            <w:shd w:val="clear" w:color="auto" w:fill="auto"/>
            <w:vAlign w:val="center"/>
          </w:tcPr>
          <w:p w14:paraId="6A24811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48" w:type="pct"/>
            <w:shd w:val="clear" w:color="auto" w:fill="auto"/>
            <w:vAlign w:val="center"/>
          </w:tcPr>
          <w:p w14:paraId="1085C8D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2.60E-04</w:t>
            </w:r>
          </w:p>
        </w:tc>
        <w:tc>
          <w:tcPr>
            <w:tcW w:w="348" w:type="pct"/>
            <w:shd w:val="clear" w:color="auto" w:fill="auto"/>
            <w:vAlign w:val="center"/>
          </w:tcPr>
          <w:p w14:paraId="5CAC0DC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2.60E-04</w:t>
            </w:r>
          </w:p>
        </w:tc>
        <w:tc>
          <w:tcPr>
            <w:tcW w:w="348" w:type="pct"/>
            <w:shd w:val="clear" w:color="auto" w:fill="auto"/>
            <w:vAlign w:val="center"/>
          </w:tcPr>
          <w:p w14:paraId="5473751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2.60E-04</w:t>
            </w:r>
          </w:p>
        </w:tc>
        <w:tc>
          <w:tcPr>
            <w:tcW w:w="348" w:type="pct"/>
            <w:shd w:val="clear" w:color="auto" w:fill="auto"/>
            <w:vAlign w:val="center"/>
          </w:tcPr>
          <w:p w14:paraId="38865C0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2.60E-04</w:t>
            </w:r>
          </w:p>
        </w:tc>
        <w:tc>
          <w:tcPr>
            <w:tcW w:w="287" w:type="pct"/>
            <w:shd w:val="clear" w:color="auto" w:fill="auto"/>
            <w:vAlign w:val="center"/>
          </w:tcPr>
          <w:p w14:paraId="5D9D7AF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1D72AA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152894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631824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144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AACF84D">
            <w:pPr>
              <w:pStyle w:val="28"/>
              <w:rPr>
                <w:color w:val="000000" w:themeColor="text1"/>
                <w14:textFill>
                  <w14:solidFill>
                    <w14:schemeClr w14:val="tx1"/>
                  </w14:solidFill>
                </w14:textFill>
              </w:rPr>
            </w:pPr>
          </w:p>
        </w:tc>
        <w:tc>
          <w:tcPr>
            <w:tcW w:w="367" w:type="pct"/>
            <w:shd w:val="clear" w:color="auto" w:fill="auto"/>
            <w:vAlign w:val="center"/>
          </w:tcPr>
          <w:p w14:paraId="274262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1,1-二氯乙烷</w:t>
            </w:r>
          </w:p>
        </w:tc>
        <w:tc>
          <w:tcPr>
            <w:tcW w:w="265" w:type="pct"/>
            <w:shd w:val="clear" w:color="auto" w:fill="auto"/>
            <w:vAlign w:val="center"/>
          </w:tcPr>
          <w:p w14:paraId="178662E0">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1DB985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0D0AE1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7C6EB7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2E9EC7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44069C8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348" w:type="pct"/>
            <w:shd w:val="clear" w:color="auto" w:fill="auto"/>
            <w:vAlign w:val="center"/>
          </w:tcPr>
          <w:p w14:paraId="67ECD56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1.52E-05</w:t>
            </w:r>
          </w:p>
        </w:tc>
        <w:tc>
          <w:tcPr>
            <w:tcW w:w="348" w:type="pct"/>
            <w:shd w:val="clear" w:color="auto" w:fill="auto"/>
            <w:vAlign w:val="center"/>
          </w:tcPr>
          <w:p w14:paraId="11E528A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1.52E-05</w:t>
            </w:r>
          </w:p>
        </w:tc>
        <w:tc>
          <w:tcPr>
            <w:tcW w:w="348" w:type="pct"/>
            <w:shd w:val="clear" w:color="auto" w:fill="auto"/>
            <w:vAlign w:val="center"/>
          </w:tcPr>
          <w:p w14:paraId="38A886A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1.52E-05</w:t>
            </w:r>
          </w:p>
        </w:tc>
        <w:tc>
          <w:tcPr>
            <w:tcW w:w="348" w:type="pct"/>
            <w:shd w:val="clear" w:color="auto" w:fill="auto"/>
            <w:vAlign w:val="center"/>
          </w:tcPr>
          <w:p w14:paraId="08946CC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1.52E-05</w:t>
            </w:r>
          </w:p>
        </w:tc>
        <w:tc>
          <w:tcPr>
            <w:tcW w:w="287" w:type="pct"/>
            <w:shd w:val="clear" w:color="auto" w:fill="auto"/>
            <w:vAlign w:val="center"/>
          </w:tcPr>
          <w:p w14:paraId="176E455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1F151BC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2DE199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F0D0E3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AF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10E7C277">
            <w:pPr>
              <w:pStyle w:val="28"/>
              <w:rPr>
                <w:color w:val="000000" w:themeColor="text1"/>
                <w14:textFill>
                  <w14:solidFill>
                    <w14:schemeClr w14:val="tx1"/>
                  </w14:solidFill>
                </w14:textFill>
              </w:rPr>
            </w:pPr>
          </w:p>
        </w:tc>
        <w:tc>
          <w:tcPr>
            <w:tcW w:w="367" w:type="pct"/>
            <w:shd w:val="clear" w:color="auto" w:fill="auto"/>
            <w:vAlign w:val="center"/>
          </w:tcPr>
          <w:p w14:paraId="60616E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顺式-1,2-二氯乙烯</w:t>
            </w:r>
          </w:p>
        </w:tc>
        <w:tc>
          <w:tcPr>
            <w:tcW w:w="265" w:type="pct"/>
            <w:shd w:val="clear" w:color="auto" w:fill="auto"/>
            <w:vAlign w:val="center"/>
          </w:tcPr>
          <w:p w14:paraId="23982135">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D098A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87" w:type="pct"/>
            <w:shd w:val="clear" w:color="auto" w:fill="auto"/>
            <w:vAlign w:val="center"/>
          </w:tcPr>
          <w:p w14:paraId="65C06A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69A1F2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1D9512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61" w:type="pct"/>
            <w:shd w:val="clear" w:color="auto" w:fill="auto"/>
            <w:vAlign w:val="center"/>
          </w:tcPr>
          <w:p w14:paraId="7583DDA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596</w:t>
            </w:r>
          </w:p>
        </w:tc>
        <w:tc>
          <w:tcPr>
            <w:tcW w:w="348" w:type="pct"/>
            <w:shd w:val="clear" w:color="auto" w:fill="auto"/>
            <w:vAlign w:val="center"/>
          </w:tcPr>
          <w:p w14:paraId="360A6C0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2.18E-06</w:t>
            </w:r>
          </w:p>
        </w:tc>
        <w:tc>
          <w:tcPr>
            <w:tcW w:w="348" w:type="pct"/>
            <w:shd w:val="clear" w:color="auto" w:fill="auto"/>
            <w:vAlign w:val="center"/>
          </w:tcPr>
          <w:p w14:paraId="52FE1E3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2.18E-06</w:t>
            </w:r>
          </w:p>
        </w:tc>
        <w:tc>
          <w:tcPr>
            <w:tcW w:w="348" w:type="pct"/>
            <w:shd w:val="clear" w:color="auto" w:fill="auto"/>
            <w:vAlign w:val="center"/>
          </w:tcPr>
          <w:p w14:paraId="2D89F7C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2.18E-06</w:t>
            </w:r>
          </w:p>
        </w:tc>
        <w:tc>
          <w:tcPr>
            <w:tcW w:w="348" w:type="pct"/>
            <w:shd w:val="clear" w:color="auto" w:fill="auto"/>
            <w:vAlign w:val="center"/>
          </w:tcPr>
          <w:p w14:paraId="2075EF7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2.18E-06</w:t>
            </w:r>
          </w:p>
        </w:tc>
        <w:tc>
          <w:tcPr>
            <w:tcW w:w="287" w:type="pct"/>
            <w:shd w:val="clear" w:color="auto" w:fill="auto"/>
            <w:vAlign w:val="center"/>
          </w:tcPr>
          <w:p w14:paraId="5F0BE5F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1B0DC8B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A8DB2B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04AFD3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BC8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F2DCDC1">
            <w:pPr>
              <w:pStyle w:val="28"/>
              <w:rPr>
                <w:color w:val="000000" w:themeColor="text1"/>
                <w14:textFill>
                  <w14:solidFill>
                    <w14:schemeClr w14:val="tx1"/>
                  </w14:solidFill>
                </w14:textFill>
              </w:rPr>
            </w:pPr>
          </w:p>
        </w:tc>
        <w:tc>
          <w:tcPr>
            <w:tcW w:w="367" w:type="pct"/>
            <w:shd w:val="clear" w:color="auto" w:fill="auto"/>
            <w:vAlign w:val="center"/>
          </w:tcPr>
          <w:p w14:paraId="5F2028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氯仿</w:t>
            </w:r>
          </w:p>
        </w:tc>
        <w:tc>
          <w:tcPr>
            <w:tcW w:w="265" w:type="pct"/>
            <w:shd w:val="clear" w:color="auto" w:fill="auto"/>
            <w:vAlign w:val="center"/>
          </w:tcPr>
          <w:p w14:paraId="789F2178">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3534AD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87" w:type="pct"/>
            <w:shd w:val="clear" w:color="auto" w:fill="auto"/>
            <w:vAlign w:val="center"/>
          </w:tcPr>
          <w:p w14:paraId="680A5B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4B0430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47B5B4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61" w:type="pct"/>
            <w:shd w:val="clear" w:color="auto" w:fill="auto"/>
            <w:vAlign w:val="center"/>
          </w:tcPr>
          <w:p w14:paraId="2E4537B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w:t>
            </w:r>
          </w:p>
        </w:tc>
        <w:tc>
          <w:tcPr>
            <w:tcW w:w="348" w:type="pct"/>
            <w:shd w:val="clear" w:color="auto" w:fill="auto"/>
            <w:vAlign w:val="center"/>
          </w:tcPr>
          <w:p w14:paraId="622183E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2.59E-05</w:t>
            </w:r>
          </w:p>
        </w:tc>
        <w:tc>
          <w:tcPr>
            <w:tcW w:w="348" w:type="pct"/>
            <w:shd w:val="clear" w:color="auto" w:fill="auto"/>
            <w:vAlign w:val="center"/>
          </w:tcPr>
          <w:p w14:paraId="31CB3BC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2.59E-05</w:t>
            </w:r>
          </w:p>
        </w:tc>
        <w:tc>
          <w:tcPr>
            <w:tcW w:w="348" w:type="pct"/>
            <w:shd w:val="clear" w:color="auto" w:fill="auto"/>
            <w:vAlign w:val="center"/>
          </w:tcPr>
          <w:p w14:paraId="2D2C3E5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2.59E-05</w:t>
            </w:r>
          </w:p>
        </w:tc>
        <w:tc>
          <w:tcPr>
            <w:tcW w:w="348" w:type="pct"/>
            <w:shd w:val="clear" w:color="auto" w:fill="auto"/>
            <w:vAlign w:val="center"/>
          </w:tcPr>
          <w:p w14:paraId="4A9D31E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2.59E-05</w:t>
            </w:r>
          </w:p>
        </w:tc>
        <w:tc>
          <w:tcPr>
            <w:tcW w:w="287" w:type="pct"/>
            <w:shd w:val="clear" w:color="auto" w:fill="auto"/>
            <w:vAlign w:val="center"/>
          </w:tcPr>
          <w:p w14:paraId="6C644A5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059C95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E5A436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81B1C5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7466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1973269C">
            <w:pPr>
              <w:pStyle w:val="28"/>
              <w:rPr>
                <w:color w:val="000000" w:themeColor="text1"/>
                <w14:textFill>
                  <w14:solidFill>
                    <w14:schemeClr w14:val="tx1"/>
                  </w14:solidFill>
                </w14:textFill>
              </w:rPr>
            </w:pPr>
          </w:p>
        </w:tc>
        <w:tc>
          <w:tcPr>
            <w:tcW w:w="367" w:type="pct"/>
            <w:shd w:val="clear" w:color="auto" w:fill="auto"/>
            <w:vAlign w:val="center"/>
          </w:tcPr>
          <w:p w14:paraId="2B2FB4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1,1,1-三氯乙烷</w:t>
            </w:r>
          </w:p>
        </w:tc>
        <w:tc>
          <w:tcPr>
            <w:tcW w:w="265" w:type="pct"/>
            <w:shd w:val="clear" w:color="auto" w:fill="auto"/>
            <w:vAlign w:val="center"/>
          </w:tcPr>
          <w:p w14:paraId="3937B5AB">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6F9385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87" w:type="pct"/>
            <w:shd w:val="clear" w:color="auto" w:fill="auto"/>
            <w:vAlign w:val="center"/>
          </w:tcPr>
          <w:p w14:paraId="15545A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5EFA08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5E1756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61" w:type="pct"/>
            <w:shd w:val="clear" w:color="auto" w:fill="auto"/>
            <w:vAlign w:val="center"/>
          </w:tcPr>
          <w:p w14:paraId="3834000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616</w:t>
            </w:r>
          </w:p>
        </w:tc>
        <w:tc>
          <w:tcPr>
            <w:tcW w:w="348" w:type="pct"/>
            <w:shd w:val="clear" w:color="auto" w:fill="auto"/>
            <w:vAlign w:val="center"/>
          </w:tcPr>
          <w:p w14:paraId="14B625A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2.44E-06</w:t>
            </w:r>
          </w:p>
        </w:tc>
        <w:tc>
          <w:tcPr>
            <w:tcW w:w="348" w:type="pct"/>
            <w:shd w:val="clear" w:color="auto" w:fill="auto"/>
            <w:vAlign w:val="center"/>
          </w:tcPr>
          <w:p w14:paraId="14BFE56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2.44E-06</w:t>
            </w:r>
          </w:p>
        </w:tc>
        <w:tc>
          <w:tcPr>
            <w:tcW w:w="348" w:type="pct"/>
            <w:shd w:val="clear" w:color="auto" w:fill="auto"/>
            <w:vAlign w:val="center"/>
          </w:tcPr>
          <w:p w14:paraId="53498FA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2.44E-06</w:t>
            </w:r>
          </w:p>
        </w:tc>
        <w:tc>
          <w:tcPr>
            <w:tcW w:w="348" w:type="pct"/>
            <w:shd w:val="clear" w:color="auto" w:fill="auto"/>
            <w:vAlign w:val="center"/>
          </w:tcPr>
          <w:p w14:paraId="2E5A22B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2.44E-06</w:t>
            </w:r>
          </w:p>
        </w:tc>
        <w:tc>
          <w:tcPr>
            <w:tcW w:w="287" w:type="pct"/>
            <w:shd w:val="clear" w:color="auto" w:fill="auto"/>
            <w:vAlign w:val="center"/>
          </w:tcPr>
          <w:p w14:paraId="5A3D9CC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74B1B80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1C7CF0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51D392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DE0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482C22A7">
            <w:pPr>
              <w:pStyle w:val="28"/>
              <w:rPr>
                <w:color w:val="000000" w:themeColor="text1"/>
                <w14:textFill>
                  <w14:solidFill>
                    <w14:schemeClr w14:val="tx1"/>
                  </w14:solidFill>
                </w14:textFill>
              </w:rPr>
            </w:pPr>
          </w:p>
        </w:tc>
        <w:tc>
          <w:tcPr>
            <w:tcW w:w="367" w:type="pct"/>
            <w:shd w:val="clear" w:color="auto" w:fill="auto"/>
            <w:vAlign w:val="center"/>
          </w:tcPr>
          <w:p w14:paraId="7EFFB3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四氯化碳</w:t>
            </w:r>
          </w:p>
        </w:tc>
        <w:tc>
          <w:tcPr>
            <w:tcW w:w="265" w:type="pct"/>
            <w:shd w:val="clear" w:color="auto" w:fill="auto"/>
            <w:vAlign w:val="center"/>
          </w:tcPr>
          <w:p w14:paraId="468FF20D">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946CB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87" w:type="pct"/>
            <w:shd w:val="clear" w:color="auto" w:fill="auto"/>
            <w:vAlign w:val="center"/>
          </w:tcPr>
          <w:p w14:paraId="7B943F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213CEE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73DBD6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61" w:type="pct"/>
            <w:shd w:val="clear" w:color="auto" w:fill="auto"/>
            <w:vAlign w:val="center"/>
          </w:tcPr>
          <w:p w14:paraId="613014F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48" w:type="pct"/>
            <w:shd w:val="clear" w:color="auto" w:fill="auto"/>
            <w:vAlign w:val="center"/>
          </w:tcPr>
          <w:p w14:paraId="7E13D99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2.20E-04</w:t>
            </w:r>
          </w:p>
        </w:tc>
        <w:tc>
          <w:tcPr>
            <w:tcW w:w="348" w:type="pct"/>
            <w:shd w:val="clear" w:color="auto" w:fill="auto"/>
            <w:vAlign w:val="center"/>
          </w:tcPr>
          <w:p w14:paraId="143C401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2.20E-04</w:t>
            </w:r>
          </w:p>
        </w:tc>
        <w:tc>
          <w:tcPr>
            <w:tcW w:w="348" w:type="pct"/>
            <w:shd w:val="clear" w:color="auto" w:fill="auto"/>
            <w:vAlign w:val="center"/>
          </w:tcPr>
          <w:p w14:paraId="1B5525A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2.20E-04</w:t>
            </w:r>
          </w:p>
        </w:tc>
        <w:tc>
          <w:tcPr>
            <w:tcW w:w="348" w:type="pct"/>
            <w:shd w:val="clear" w:color="auto" w:fill="auto"/>
            <w:vAlign w:val="center"/>
          </w:tcPr>
          <w:p w14:paraId="15715E2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2.20E-04</w:t>
            </w:r>
          </w:p>
        </w:tc>
        <w:tc>
          <w:tcPr>
            <w:tcW w:w="287" w:type="pct"/>
            <w:shd w:val="clear" w:color="auto" w:fill="auto"/>
            <w:vAlign w:val="center"/>
          </w:tcPr>
          <w:p w14:paraId="413A371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A39603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80117C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10DA33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102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62CFCC7">
            <w:pPr>
              <w:pStyle w:val="28"/>
              <w:rPr>
                <w:color w:val="000000" w:themeColor="text1"/>
                <w14:textFill>
                  <w14:solidFill>
                    <w14:schemeClr w14:val="tx1"/>
                  </w14:solidFill>
                </w14:textFill>
              </w:rPr>
            </w:pPr>
          </w:p>
        </w:tc>
        <w:tc>
          <w:tcPr>
            <w:tcW w:w="367" w:type="pct"/>
            <w:shd w:val="clear" w:color="auto" w:fill="auto"/>
            <w:vAlign w:val="center"/>
          </w:tcPr>
          <w:p w14:paraId="603064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w:t>
            </w:r>
          </w:p>
        </w:tc>
        <w:tc>
          <w:tcPr>
            <w:tcW w:w="265" w:type="pct"/>
            <w:shd w:val="clear" w:color="auto" w:fill="auto"/>
            <w:vAlign w:val="center"/>
          </w:tcPr>
          <w:p w14:paraId="2425489E">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67C531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1.9L</w:t>
            </w:r>
          </w:p>
        </w:tc>
        <w:tc>
          <w:tcPr>
            <w:tcW w:w="287" w:type="pct"/>
            <w:shd w:val="clear" w:color="auto" w:fill="auto"/>
            <w:vAlign w:val="center"/>
          </w:tcPr>
          <w:p w14:paraId="4CF60A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1.9L</w:t>
            </w:r>
          </w:p>
        </w:tc>
        <w:tc>
          <w:tcPr>
            <w:tcW w:w="342" w:type="pct"/>
            <w:shd w:val="clear" w:color="auto" w:fill="auto"/>
            <w:vAlign w:val="center"/>
          </w:tcPr>
          <w:p w14:paraId="6EE258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1.9L</w:t>
            </w:r>
          </w:p>
        </w:tc>
        <w:tc>
          <w:tcPr>
            <w:tcW w:w="342" w:type="pct"/>
            <w:shd w:val="clear" w:color="auto" w:fill="auto"/>
            <w:vAlign w:val="center"/>
          </w:tcPr>
          <w:p w14:paraId="76B211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1.9L</w:t>
            </w:r>
          </w:p>
        </w:tc>
        <w:tc>
          <w:tcPr>
            <w:tcW w:w="261" w:type="pct"/>
            <w:shd w:val="clear" w:color="auto" w:fill="auto"/>
            <w:vAlign w:val="center"/>
          </w:tcPr>
          <w:p w14:paraId="5F77EF4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48" w:type="pct"/>
            <w:shd w:val="clear" w:color="auto" w:fill="auto"/>
            <w:vAlign w:val="center"/>
          </w:tcPr>
          <w:p w14:paraId="7452004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1.20E-04</w:t>
            </w:r>
          </w:p>
        </w:tc>
        <w:tc>
          <w:tcPr>
            <w:tcW w:w="348" w:type="pct"/>
            <w:shd w:val="clear" w:color="auto" w:fill="auto"/>
            <w:vAlign w:val="center"/>
          </w:tcPr>
          <w:p w14:paraId="2412B16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1.20E-04</w:t>
            </w:r>
          </w:p>
        </w:tc>
        <w:tc>
          <w:tcPr>
            <w:tcW w:w="348" w:type="pct"/>
            <w:shd w:val="clear" w:color="auto" w:fill="auto"/>
            <w:vAlign w:val="center"/>
          </w:tcPr>
          <w:p w14:paraId="28F8049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1.20E-04</w:t>
            </w:r>
          </w:p>
        </w:tc>
        <w:tc>
          <w:tcPr>
            <w:tcW w:w="348" w:type="pct"/>
            <w:shd w:val="clear" w:color="auto" w:fill="auto"/>
            <w:vAlign w:val="center"/>
          </w:tcPr>
          <w:p w14:paraId="4D93E1B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1.20E-04</w:t>
            </w:r>
          </w:p>
        </w:tc>
        <w:tc>
          <w:tcPr>
            <w:tcW w:w="287" w:type="pct"/>
            <w:shd w:val="clear" w:color="auto" w:fill="auto"/>
            <w:vAlign w:val="center"/>
          </w:tcPr>
          <w:p w14:paraId="7FCE4ED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EA9FBE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C5443D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1C3D1D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8B9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6263CC4">
            <w:pPr>
              <w:pStyle w:val="28"/>
              <w:rPr>
                <w:color w:val="000000" w:themeColor="text1"/>
                <w14:textFill>
                  <w14:solidFill>
                    <w14:schemeClr w14:val="tx1"/>
                  </w14:solidFill>
                </w14:textFill>
              </w:rPr>
            </w:pPr>
          </w:p>
        </w:tc>
        <w:tc>
          <w:tcPr>
            <w:tcW w:w="367" w:type="pct"/>
            <w:shd w:val="clear" w:color="auto" w:fill="auto"/>
            <w:vAlign w:val="center"/>
          </w:tcPr>
          <w:p w14:paraId="64CFAB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1,2-二氯乙烷</w:t>
            </w:r>
          </w:p>
        </w:tc>
        <w:tc>
          <w:tcPr>
            <w:tcW w:w="265" w:type="pct"/>
            <w:shd w:val="clear" w:color="auto" w:fill="auto"/>
            <w:vAlign w:val="center"/>
          </w:tcPr>
          <w:p w14:paraId="10E01C4D">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90E0A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87" w:type="pct"/>
            <w:shd w:val="clear" w:color="auto" w:fill="auto"/>
            <w:vAlign w:val="center"/>
          </w:tcPr>
          <w:p w14:paraId="0B60FA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5DE232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10DB5E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61" w:type="pct"/>
            <w:shd w:val="clear" w:color="auto" w:fill="auto"/>
            <w:vAlign w:val="center"/>
          </w:tcPr>
          <w:p w14:paraId="0206001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w:t>
            </w:r>
          </w:p>
        </w:tc>
        <w:tc>
          <w:tcPr>
            <w:tcW w:w="348" w:type="pct"/>
            <w:shd w:val="clear" w:color="auto" w:fill="auto"/>
            <w:vAlign w:val="center"/>
          </w:tcPr>
          <w:p w14:paraId="02BCE26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1.76E-04</w:t>
            </w:r>
          </w:p>
        </w:tc>
        <w:tc>
          <w:tcPr>
            <w:tcW w:w="348" w:type="pct"/>
            <w:shd w:val="clear" w:color="auto" w:fill="auto"/>
            <w:vAlign w:val="center"/>
          </w:tcPr>
          <w:p w14:paraId="5EB2D88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1.76E-04</w:t>
            </w:r>
          </w:p>
        </w:tc>
        <w:tc>
          <w:tcPr>
            <w:tcW w:w="348" w:type="pct"/>
            <w:shd w:val="clear" w:color="auto" w:fill="auto"/>
            <w:vAlign w:val="center"/>
          </w:tcPr>
          <w:p w14:paraId="0D0D5FA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1.76E-04</w:t>
            </w:r>
          </w:p>
        </w:tc>
        <w:tc>
          <w:tcPr>
            <w:tcW w:w="348" w:type="pct"/>
            <w:shd w:val="clear" w:color="auto" w:fill="auto"/>
            <w:vAlign w:val="center"/>
          </w:tcPr>
          <w:p w14:paraId="2C9B3FF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1.76E-04</w:t>
            </w:r>
          </w:p>
        </w:tc>
        <w:tc>
          <w:tcPr>
            <w:tcW w:w="287" w:type="pct"/>
            <w:shd w:val="clear" w:color="auto" w:fill="auto"/>
            <w:vAlign w:val="center"/>
          </w:tcPr>
          <w:p w14:paraId="7C6E8EE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169E5AF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8282A3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60259B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0F3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F071EC6">
            <w:pPr>
              <w:pStyle w:val="28"/>
              <w:rPr>
                <w:color w:val="000000" w:themeColor="text1"/>
                <w14:textFill>
                  <w14:solidFill>
                    <w14:schemeClr w14:val="tx1"/>
                  </w14:solidFill>
                </w14:textFill>
              </w:rPr>
            </w:pPr>
          </w:p>
        </w:tc>
        <w:tc>
          <w:tcPr>
            <w:tcW w:w="367" w:type="pct"/>
            <w:shd w:val="clear" w:color="auto" w:fill="auto"/>
            <w:vAlign w:val="center"/>
          </w:tcPr>
          <w:p w14:paraId="0145E6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三氯乙烯</w:t>
            </w:r>
          </w:p>
        </w:tc>
        <w:tc>
          <w:tcPr>
            <w:tcW w:w="265" w:type="pct"/>
            <w:shd w:val="clear" w:color="auto" w:fill="auto"/>
            <w:vAlign w:val="center"/>
          </w:tcPr>
          <w:p w14:paraId="5415AF78">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5C2F5C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4180A4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5F6A3E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7784F3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23074AA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w:t>
            </w:r>
          </w:p>
        </w:tc>
        <w:tc>
          <w:tcPr>
            <w:tcW w:w="348" w:type="pct"/>
            <w:shd w:val="clear" w:color="auto" w:fill="auto"/>
            <w:vAlign w:val="center"/>
          </w:tcPr>
          <w:p w14:paraId="0BBB872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2.64E-05</w:t>
            </w:r>
          </w:p>
        </w:tc>
        <w:tc>
          <w:tcPr>
            <w:tcW w:w="348" w:type="pct"/>
            <w:shd w:val="clear" w:color="auto" w:fill="auto"/>
            <w:vAlign w:val="center"/>
          </w:tcPr>
          <w:p w14:paraId="7AFE788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2.64E-05</w:t>
            </w:r>
          </w:p>
        </w:tc>
        <w:tc>
          <w:tcPr>
            <w:tcW w:w="348" w:type="pct"/>
            <w:shd w:val="clear" w:color="auto" w:fill="auto"/>
            <w:vAlign w:val="center"/>
          </w:tcPr>
          <w:p w14:paraId="1655083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2.64E-05</w:t>
            </w:r>
          </w:p>
        </w:tc>
        <w:tc>
          <w:tcPr>
            <w:tcW w:w="348" w:type="pct"/>
            <w:shd w:val="clear" w:color="auto" w:fill="auto"/>
            <w:vAlign w:val="center"/>
          </w:tcPr>
          <w:p w14:paraId="7EAD28E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2.64E-05</w:t>
            </w:r>
          </w:p>
        </w:tc>
        <w:tc>
          <w:tcPr>
            <w:tcW w:w="287" w:type="pct"/>
            <w:shd w:val="clear" w:color="auto" w:fill="auto"/>
            <w:vAlign w:val="center"/>
          </w:tcPr>
          <w:p w14:paraId="59FEBE0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68C191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1A02E7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EDEB95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946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2EFD75C">
            <w:pPr>
              <w:pStyle w:val="28"/>
              <w:rPr>
                <w:color w:val="000000" w:themeColor="text1"/>
                <w14:textFill>
                  <w14:solidFill>
                    <w14:schemeClr w14:val="tx1"/>
                  </w14:solidFill>
                </w14:textFill>
              </w:rPr>
            </w:pPr>
          </w:p>
        </w:tc>
        <w:tc>
          <w:tcPr>
            <w:tcW w:w="367" w:type="pct"/>
            <w:shd w:val="clear" w:color="auto" w:fill="auto"/>
            <w:vAlign w:val="center"/>
          </w:tcPr>
          <w:p w14:paraId="42C660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1,2-二氯丙烷</w:t>
            </w:r>
          </w:p>
        </w:tc>
        <w:tc>
          <w:tcPr>
            <w:tcW w:w="265" w:type="pct"/>
            <w:shd w:val="clear" w:color="auto" w:fill="auto"/>
            <w:vAlign w:val="center"/>
          </w:tcPr>
          <w:p w14:paraId="5AA3B71B">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702C30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87" w:type="pct"/>
            <w:shd w:val="clear" w:color="auto" w:fill="auto"/>
            <w:vAlign w:val="center"/>
          </w:tcPr>
          <w:p w14:paraId="6DCC71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58864A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3845CE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61" w:type="pct"/>
            <w:shd w:val="clear" w:color="auto" w:fill="auto"/>
            <w:vAlign w:val="center"/>
          </w:tcPr>
          <w:p w14:paraId="76F609E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840</w:t>
            </w:r>
          </w:p>
        </w:tc>
        <w:tc>
          <w:tcPr>
            <w:tcW w:w="348" w:type="pct"/>
            <w:shd w:val="clear" w:color="auto" w:fill="auto"/>
            <w:vAlign w:val="center"/>
          </w:tcPr>
          <w:p w14:paraId="3B6FB64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1.55E-06</w:t>
            </w:r>
          </w:p>
        </w:tc>
        <w:tc>
          <w:tcPr>
            <w:tcW w:w="348" w:type="pct"/>
            <w:shd w:val="clear" w:color="auto" w:fill="auto"/>
            <w:vAlign w:val="center"/>
          </w:tcPr>
          <w:p w14:paraId="3F8C51D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1.55E-06</w:t>
            </w:r>
          </w:p>
        </w:tc>
        <w:tc>
          <w:tcPr>
            <w:tcW w:w="348" w:type="pct"/>
            <w:shd w:val="clear" w:color="auto" w:fill="auto"/>
            <w:vAlign w:val="center"/>
          </w:tcPr>
          <w:p w14:paraId="44ACCE4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1.55E-06</w:t>
            </w:r>
          </w:p>
        </w:tc>
        <w:tc>
          <w:tcPr>
            <w:tcW w:w="348" w:type="pct"/>
            <w:shd w:val="clear" w:color="auto" w:fill="auto"/>
            <w:vAlign w:val="center"/>
          </w:tcPr>
          <w:p w14:paraId="4AA0861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1.55E-06</w:t>
            </w:r>
          </w:p>
        </w:tc>
        <w:tc>
          <w:tcPr>
            <w:tcW w:w="287" w:type="pct"/>
            <w:shd w:val="clear" w:color="auto" w:fill="auto"/>
            <w:vAlign w:val="center"/>
          </w:tcPr>
          <w:p w14:paraId="65ECE01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07EB829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7A60DE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B1CD50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24B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9D2CE4B">
            <w:pPr>
              <w:pStyle w:val="28"/>
              <w:rPr>
                <w:color w:val="000000" w:themeColor="text1"/>
                <w14:textFill>
                  <w14:solidFill>
                    <w14:schemeClr w14:val="tx1"/>
                  </w14:solidFill>
                </w14:textFill>
              </w:rPr>
            </w:pPr>
          </w:p>
        </w:tc>
        <w:tc>
          <w:tcPr>
            <w:tcW w:w="367" w:type="pct"/>
            <w:shd w:val="clear" w:color="auto" w:fill="auto"/>
            <w:vAlign w:val="center"/>
          </w:tcPr>
          <w:p w14:paraId="7262D4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p>
        </w:tc>
        <w:tc>
          <w:tcPr>
            <w:tcW w:w="265" w:type="pct"/>
            <w:shd w:val="clear" w:color="auto" w:fill="auto"/>
            <w:vAlign w:val="center"/>
          </w:tcPr>
          <w:p w14:paraId="27CB9C9E">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6D5636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87" w:type="pct"/>
            <w:shd w:val="clear" w:color="auto" w:fill="auto"/>
            <w:vAlign w:val="center"/>
          </w:tcPr>
          <w:p w14:paraId="1CFD03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09FB6D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342" w:type="pct"/>
            <w:shd w:val="clear" w:color="auto" w:fill="auto"/>
            <w:vAlign w:val="center"/>
          </w:tcPr>
          <w:p w14:paraId="12683D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1.3L</w:t>
            </w:r>
          </w:p>
        </w:tc>
        <w:tc>
          <w:tcPr>
            <w:tcW w:w="261" w:type="pct"/>
            <w:shd w:val="clear" w:color="auto" w:fill="auto"/>
            <w:vAlign w:val="center"/>
          </w:tcPr>
          <w:p w14:paraId="45DA14C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348" w:type="pct"/>
            <w:shd w:val="clear" w:color="auto" w:fill="auto"/>
            <w:vAlign w:val="center"/>
          </w:tcPr>
          <w:p w14:paraId="37BECA4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73B566E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6945C08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12429EB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287" w:type="pct"/>
            <w:shd w:val="clear" w:color="auto" w:fill="auto"/>
            <w:vAlign w:val="center"/>
          </w:tcPr>
          <w:p w14:paraId="11BFF73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0D43D78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E48105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99620A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6D1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8CA8C07">
            <w:pPr>
              <w:pStyle w:val="28"/>
              <w:rPr>
                <w:color w:val="000000" w:themeColor="text1"/>
                <w14:textFill>
                  <w14:solidFill>
                    <w14:schemeClr w14:val="tx1"/>
                  </w14:solidFill>
                </w14:textFill>
              </w:rPr>
            </w:pPr>
          </w:p>
        </w:tc>
        <w:tc>
          <w:tcPr>
            <w:tcW w:w="367" w:type="pct"/>
            <w:shd w:val="clear" w:color="auto" w:fill="auto"/>
            <w:vAlign w:val="center"/>
          </w:tcPr>
          <w:p w14:paraId="75F0C4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1,1,2-三氯乙烷</w:t>
            </w:r>
          </w:p>
        </w:tc>
        <w:tc>
          <w:tcPr>
            <w:tcW w:w="265" w:type="pct"/>
            <w:shd w:val="clear" w:color="auto" w:fill="auto"/>
            <w:vAlign w:val="center"/>
          </w:tcPr>
          <w:p w14:paraId="6BFDFAA9">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38BDA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2D7E49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3D63DA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74E648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3059E90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348" w:type="pct"/>
            <w:shd w:val="clear" w:color="auto" w:fill="auto"/>
            <w:vAlign w:val="center"/>
          </w:tcPr>
          <w:p w14:paraId="43E398F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403D453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79D45E5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348" w:type="pct"/>
            <w:shd w:val="clear" w:color="auto" w:fill="auto"/>
            <w:vAlign w:val="center"/>
          </w:tcPr>
          <w:p w14:paraId="5E34B15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4.29E-04</w:t>
            </w:r>
          </w:p>
        </w:tc>
        <w:tc>
          <w:tcPr>
            <w:tcW w:w="287" w:type="pct"/>
            <w:shd w:val="clear" w:color="auto" w:fill="auto"/>
            <w:vAlign w:val="center"/>
          </w:tcPr>
          <w:p w14:paraId="7D742AC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71AEB2D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618B84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9DF301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52F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98F0C68">
            <w:pPr>
              <w:pStyle w:val="28"/>
              <w:rPr>
                <w:color w:val="000000" w:themeColor="text1"/>
                <w14:textFill>
                  <w14:solidFill>
                    <w14:schemeClr w14:val="tx1"/>
                  </w14:solidFill>
                </w14:textFill>
              </w:rPr>
            </w:pPr>
          </w:p>
        </w:tc>
        <w:tc>
          <w:tcPr>
            <w:tcW w:w="367" w:type="pct"/>
            <w:shd w:val="clear" w:color="auto" w:fill="auto"/>
            <w:vAlign w:val="center"/>
          </w:tcPr>
          <w:p w14:paraId="0F9545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四氯乙烯</w:t>
            </w:r>
          </w:p>
        </w:tc>
        <w:tc>
          <w:tcPr>
            <w:tcW w:w="265" w:type="pct"/>
            <w:shd w:val="clear" w:color="auto" w:fill="auto"/>
            <w:vAlign w:val="center"/>
          </w:tcPr>
          <w:p w14:paraId="65BC622D">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502111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287" w:type="pct"/>
            <w:shd w:val="clear" w:color="auto" w:fill="auto"/>
            <w:vAlign w:val="center"/>
          </w:tcPr>
          <w:p w14:paraId="37D2EC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342" w:type="pct"/>
            <w:shd w:val="clear" w:color="auto" w:fill="auto"/>
            <w:vAlign w:val="center"/>
          </w:tcPr>
          <w:p w14:paraId="2BB79B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342" w:type="pct"/>
            <w:shd w:val="clear" w:color="auto" w:fill="auto"/>
            <w:vAlign w:val="center"/>
          </w:tcPr>
          <w:p w14:paraId="5B2F2E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1.4L</w:t>
            </w:r>
          </w:p>
        </w:tc>
        <w:tc>
          <w:tcPr>
            <w:tcW w:w="261" w:type="pct"/>
            <w:shd w:val="clear" w:color="auto" w:fill="auto"/>
            <w:vAlign w:val="center"/>
          </w:tcPr>
          <w:p w14:paraId="1D64F20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348" w:type="pct"/>
            <w:shd w:val="clear" w:color="auto" w:fill="auto"/>
            <w:vAlign w:val="center"/>
          </w:tcPr>
          <w:p w14:paraId="7CFDBDB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2.40E-03</w:t>
            </w:r>
          </w:p>
        </w:tc>
        <w:tc>
          <w:tcPr>
            <w:tcW w:w="348" w:type="pct"/>
            <w:shd w:val="clear" w:color="auto" w:fill="auto"/>
            <w:vAlign w:val="center"/>
          </w:tcPr>
          <w:p w14:paraId="4D523AF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2.40E-03</w:t>
            </w:r>
          </w:p>
        </w:tc>
        <w:tc>
          <w:tcPr>
            <w:tcW w:w="348" w:type="pct"/>
            <w:shd w:val="clear" w:color="auto" w:fill="auto"/>
            <w:vAlign w:val="center"/>
          </w:tcPr>
          <w:p w14:paraId="71D4425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2.40E-03</w:t>
            </w:r>
          </w:p>
        </w:tc>
        <w:tc>
          <w:tcPr>
            <w:tcW w:w="348" w:type="pct"/>
            <w:shd w:val="clear" w:color="auto" w:fill="auto"/>
            <w:vAlign w:val="center"/>
          </w:tcPr>
          <w:p w14:paraId="26141F2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2.40E-03</w:t>
            </w:r>
          </w:p>
        </w:tc>
        <w:tc>
          <w:tcPr>
            <w:tcW w:w="287" w:type="pct"/>
            <w:shd w:val="clear" w:color="auto" w:fill="auto"/>
            <w:vAlign w:val="center"/>
          </w:tcPr>
          <w:p w14:paraId="4DE1709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8B1140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BCBC7F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800311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21B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E019393">
            <w:pPr>
              <w:pStyle w:val="28"/>
              <w:rPr>
                <w:color w:val="000000" w:themeColor="text1"/>
                <w14:textFill>
                  <w14:solidFill>
                    <w14:schemeClr w14:val="tx1"/>
                  </w14:solidFill>
                </w14:textFill>
              </w:rPr>
            </w:pPr>
          </w:p>
        </w:tc>
        <w:tc>
          <w:tcPr>
            <w:tcW w:w="367" w:type="pct"/>
            <w:shd w:val="clear" w:color="auto" w:fill="auto"/>
            <w:vAlign w:val="center"/>
          </w:tcPr>
          <w:p w14:paraId="1BD295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氯苯</w:t>
            </w:r>
          </w:p>
        </w:tc>
        <w:tc>
          <w:tcPr>
            <w:tcW w:w="265" w:type="pct"/>
            <w:shd w:val="clear" w:color="auto" w:fill="auto"/>
            <w:vAlign w:val="center"/>
          </w:tcPr>
          <w:p w14:paraId="0A317846">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1DC934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0FE95A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3BC4E8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03DF11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732D1C7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0.43</w:t>
            </w:r>
          </w:p>
        </w:tc>
        <w:tc>
          <w:tcPr>
            <w:tcW w:w="348" w:type="pct"/>
            <w:shd w:val="clear" w:color="auto" w:fill="auto"/>
            <w:vAlign w:val="center"/>
          </w:tcPr>
          <w:p w14:paraId="24E1E5E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2.33E-03</w:t>
            </w:r>
          </w:p>
        </w:tc>
        <w:tc>
          <w:tcPr>
            <w:tcW w:w="348" w:type="pct"/>
            <w:shd w:val="clear" w:color="auto" w:fill="auto"/>
            <w:vAlign w:val="center"/>
          </w:tcPr>
          <w:p w14:paraId="6517D38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2.33E-03</w:t>
            </w:r>
          </w:p>
        </w:tc>
        <w:tc>
          <w:tcPr>
            <w:tcW w:w="348" w:type="pct"/>
            <w:shd w:val="clear" w:color="auto" w:fill="auto"/>
            <w:vAlign w:val="center"/>
          </w:tcPr>
          <w:p w14:paraId="09507FD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2.33E-03</w:t>
            </w:r>
          </w:p>
        </w:tc>
        <w:tc>
          <w:tcPr>
            <w:tcW w:w="348" w:type="pct"/>
            <w:shd w:val="clear" w:color="auto" w:fill="auto"/>
            <w:vAlign w:val="center"/>
          </w:tcPr>
          <w:p w14:paraId="3B9FDB9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2.33E-03</w:t>
            </w:r>
          </w:p>
        </w:tc>
        <w:tc>
          <w:tcPr>
            <w:tcW w:w="287" w:type="pct"/>
            <w:shd w:val="clear" w:color="auto" w:fill="auto"/>
            <w:vAlign w:val="center"/>
          </w:tcPr>
          <w:p w14:paraId="209FA52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7F9BCA8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BCAE4C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1F1CF2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7F0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8CC898D">
            <w:pPr>
              <w:pStyle w:val="28"/>
              <w:rPr>
                <w:color w:val="000000" w:themeColor="text1"/>
                <w14:textFill>
                  <w14:solidFill>
                    <w14:schemeClr w14:val="tx1"/>
                  </w14:solidFill>
                </w14:textFill>
              </w:rPr>
            </w:pPr>
          </w:p>
        </w:tc>
        <w:tc>
          <w:tcPr>
            <w:tcW w:w="367" w:type="pct"/>
            <w:shd w:val="clear" w:color="auto" w:fill="auto"/>
            <w:vAlign w:val="center"/>
          </w:tcPr>
          <w:p w14:paraId="02A669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1,1,1,2-四氯乙烷</w:t>
            </w:r>
          </w:p>
        </w:tc>
        <w:tc>
          <w:tcPr>
            <w:tcW w:w="265" w:type="pct"/>
            <w:shd w:val="clear" w:color="auto" w:fill="auto"/>
            <w:vAlign w:val="center"/>
          </w:tcPr>
          <w:p w14:paraId="0E0DFC06">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2C62C9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5A3101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10016E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63AE92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233AAE7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48" w:type="pct"/>
            <w:shd w:val="clear" w:color="auto" w:fill="auto"/>
            <w:vAlign w:val="center"/>
          </w:tcPr>
          <w:p w14:paraId="256DF33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4.75E-04</w:t>
            </w:r>
          </w:p>
        </w:tc>
        <w:tc>
          <w:tcPr>
            <w:tcW w:w="348" w:type="pct"/>
            <w:shd w:val="clear" w:color="auto" w:fill="auto"/>
            <w:vAlign w:val="center"/>
          </w:tcPr>
          <w:p w14:paraId="64D0055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4.75E-04</w:t>
            </w:r>
          </w:p>
        </w:tc>
        <w:tc>
          <w:tcPr>
            <w:tcW w:w="348" w:type="pct"/>
            <w:shd w:val="clear" w:color="auto" w:fill="auto"/>
            <w:vAlign w:val="center"/>
          </w:tcPr>
          <w:p w14:paraId="5F6619D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4.75E-04</w:t>
            </w:r>
          </w:p>
        </w:tc>
        <w:tc>
          <w:tcPr>
            <w:tcW w:w="348" w:type="pct"/>
            <w:shd w:val="clear" w:color="auto" w:fill="auto"/>
            <w:vAlign w:val="center"/>
          </w:tcPr>
          <w:p w14:paraId="164B8CB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4.75E-04</w:t>
            </w:r>
          </w:p>
        </w:tc>
        <w:tc>
          <w:tcPr>
            <w:tcW w:w="287" w:type="pct"/>
            <w:shd w:val="clear" w:color="auto" w:fill="auto"/>
            <w:vAlign w:val="center"/>
          </w:tcPr>
          <w:p w14:paraId="0B5F94C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604052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85D344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D776E4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D72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EF2641F">
            <w:pPr>
              <w:pStyle w:val="28"/>
              <w:rPr>
                <w:color w:val="000000" w:themeColor="text1"/>
                <w14:textFill>
                  <w14:solidFill>
                    <w14:schemeClr w14:val="tx1"/>
                  </w14:solidFill>
                </w14:textFill>
              </w:rPr>
            </w:pPr>
          </w:p>
        </w:tc>
        <w:tc>
          <w:tcPr>
            <w:tcW w:w="367" w:type="pct"/>
            <w:shd w:val="clear" w:color="auto" w:fill="auto"/>
            <w:vAlign w:val="center"/>
          </w:tcPr>
          <w:p w14:paraId="0B30B9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乙苯</w:t>
            </w:r>
          </w:p>
        </w:tc>
        <w:tc>
          <w:tcPr>
            <w:tcW w:w="265" w:type="pct"/>
            <w:shd w:val="clear" w:color="auto" w:fill="auto"/>
            <w:vAlign w:val="center"/>
          </w:tcPr>
          <w:p w14:paraId="042E053B">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7718E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72FC5B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1996DE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187960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70BD29B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w:t>
            </w:r>
          </w:p>
        </w:tc>
        <w:tc>
          <w:tcPr>
            <w:tcW w:w="348" w:type="pct"/>
            <w:shd w:val="clear" w:color="auto" w:fill="auto"/>
            <w:vAlign w:val="center"/>
          </w:tcPr>
          <w:p w14:paraId="7E63C6D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4.44E-06</w:t>
            </w:r>
          </w:p>
        </w:tc>
        <w:tc>
          <w:tcPr>
            <w:tcW w:w="348" w:type="pct"/>
            <w:shd w:val="clear" w:color="auto" w:fill="auto"/>
            <w:vAlign w:val="center"/>
          </w:tcPr>
          <w:p w14:paraId="24BBA29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4.44E-06</w:t>
            </w:r>
          </w:p>
        </w:tc>
        <w:tc>
          <w:tcPr>
            <w:tcW w:w="348" w:type="pct"/>
            <w:shd w:val="clear" w:color="auto" w:fill="auto"/>
            <w:vAlign w:val="center"/>
          </w:tcPr>
          <w:p w14:paraId="04F8290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4.44E-06</w:t>
            </w:r>
          </w:p>
        </w:tc>
        <w:tc>
          <w:tcPr>
            <w:tcW w:w="348" w:type="pct"/>
            <w:shd w:val="clear" w:color="auto" w:fill="auto"/>
            <w:vAlign w:val="center"/>
          </w:tcPr>
          <w:p w14:paraId="188208C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4.44E-06</w:t>
            </w:r>
          </w:p>
        </w:tc>
        <w:tc>
          <w:tcPr>
            <w:tcW w:w="287" w:type="pct"/>
            <w:shd w:val="clear" w:color="auto" w:fill="auto"/>
            <w:vAlign w:val="center"/>
          </w:tcPr>
          <w:p w14:paraId="5AA24A5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19B434F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99ED46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FCF8EA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CB4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29F8546E">
            <w:pPr>
              <w:pStyle w:val="28"/>
              <w:rPr>
                <w:color w:val="000000" w:themeColor="text1"/>
                <w14:textFill>
                  <w14:solidFill>
                    <w14:schemeClr w14:val="tx1"/>
                  </w14:solidFill>
                </w14:textFill>
              </w:rPr>
            </w:pPr>
          </w:p>
        </w:tc>
        <w:tc>
          <w:tcPr>
            <w:tcW w:w="367" w:type="pct"/>
            <w:shd w:val="clear" w:color="auto" w:fill="auto"/>
            <w:vAlign w:val="center"/>
          </w:tcPr>
          <w:p w14:paraId="5457B9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间,对-二甲苯</w:t>
            </w:r>
          </w:p>
        </w:tc>
        <w:tc>
          <w:tcPr>
            <w:tcW w:w="265" w:type="pct"/>
            <w:shd w:val="clear" w:color="auto" w:fill="auto"/>
            <w:vAlign w:val="center"/>
          </w:tcPr>
          <w:p w14:paraId="263E5849">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178973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1E43B3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361D54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6E5117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412AC13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560</w:t>
            </w:r>
          </w:p>
        </w:tc>
        <w:tc>
          <w:tcPr>
            <w:tcW w:w="348" w:type="pct"/>
            <w:shd w:val="clear" w:color="auto" w:fill="auto"/>
            <w:vAlign w:val="center"/>
          </w:tcPr>
          <w:p w14:paraId="7A5AC39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2.68E-06</w:t>
            </w:r>
          </w:p>
        </w:tc>
        <w:tc>
          <w:tcPr>
            <w:tcW w:w="348" w:type="pct"/>
            <w:shd w:val="clear" w:color="auto" w:fill="auto"/>
            <w:vAlign w:val="center"/>
          </w:tcPr>
          <w:p w14:paraId="50A1B03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2.68E-06</w:t>
            </w:r>
          </w:p>
        </w:tc>
        <w:tc>
          <w:tcPr>
            <w:tcW w:w="348" w:type="pct"/>
            <w:shd w:val="clear" w:color="auto" w:fill="auto"/>
            <w:vAlign w:val="center"/>
          </w:tcPr>
          <w:p w14:paraId="1E2EB18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2.68E-06</w:t>
            </w:r>
          </w:p>
        </w:tc>
        <w:tc>
          <w:tcPr>
            <w:tcW w:w="348" w:type="pct"/>
            <w:shd w:val="clear" w:color="auto" w:fill="auto"/>
            <w:vAlign w:val="center"/>
          </w:tcPr>
          <w:p w14:paraId="21DB163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2.68E-06</w:t>
            </w:r>
          </w:p>
        </w:tc>
        <w:tc>
          <w:tcPr>
            <w:tcW w:w="287" w:type="pct"/>
            <w:shd w:val="clear" w:color="auto" w:fill="auto"/>
            <w:vAlign w:val="center"/>
          </w:tcPr>
          <w:p w14:paraId="057E95C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37BB963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37ED7F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66E246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7FF5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67A47F6">
            <w:pPr>
              <w:pStyle w:val="28"/>
              <w:rPr>
                <w:color w:val="000000" w:themeColor="text1"/>
                <w14:textFill>
                  <w14:solidFill>
                    <w14:schemeClr w14:val="tx1"/>
                  </w14:solidFill>
                </w14:textFill>
              </w:rPr>
            </w:pPr>
          </w:p>
        </w:tc>
        <w:tc>
          <w:tcPr>
            <w:tcW w:w="367" w:type="pct"/>
            <w:shd w:val="clear" w:color="auto" w:fill="auto"/>
            <w:vAlign w:val="center"/>
          </w:tcPr>
          <w:p w14:paraId="756F76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邻-二甲苯</w:t>
            </w:r>
          </w:p>
        </w:tc>
        <w:tc>
          <w:tcPr>
            <w:tcW w:w="265" w:type="pct"/>
            <w:shd w:val="clear" w:color="auto" w:fill="auto"/>
            <w:vAlign w:val="center"/>
          </w:tcPr>
          <w:p w14:paraId="1092DE12">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93169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1081F6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545F60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69571B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180A11A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348" w:type="pct"/>
            <w:shd w:val="clear" w:color="auto" w:fill="auto"/>
            <w:vAlign w:val="center"/>
          </w:tcPr>
          <w:p w14:paraId="3930301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7.50E-05</w:t>
            </w:r>
          </w:p>
        </w:tc>
        <w:tc>
          <w:tcPr>
            <w:tcW w:w="348" w:type="pct"/>
            <w:shd w:val="clear" w:color="auto" w:fill="auto"/>
            <w:vAlign w:val="center"/>
          </w:tcPr>
          <w:p w14:paraId="1EA53CA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7.50E-05</w:t>
            </w:r>
          </w:p>
        </w:tc>
        <w:tc>
          <w:tcPr>
            <w:tcW w:w="348" w:type="pct"/>
            <w:shd w:val="clear" w:color="auto" w:fill="auto"/>
            <w:vAlign w:val="center"/>
          </w:tcPr>
          <w:p w14:paraId="39460E4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7.50E-05</w:t>
            </w:r>
          </w:p>
        </w:tc>
        <w:tc>
          <w:tcPr>
            <w:tcW w:w="348" w:type="pct"/>
            <w:shd w:val="clear" w:color="auto" w:fill="auto"/>
            <w:vAlign w:val="center"/>
          </w:tcPr>
          <w:p w14:paraId="661BF80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7.50E-05</w:t>
            </w:r>
          </w:p>
        </w:tc>
        <w:tc>
          <w:tcPr>
            <w:tcW w:w="287" w:type="pct"/>
            <w:shd w:val="clear" w:color="auto" w:fill="auto"/>
            <w:vAlign w:val="center"/>
          </w:tcPr>
          <w:p w14:paraId="1FEF6C2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3343161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491ED1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F6B129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343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B9BD157">
            <w:pPr>
              <w:pStyle w:val="28"/>
              <w:rPr>
                <w:color w:val="000000" w:themeColor="text1"/>
                <w14:textFill>
                  <w14:solidFill>
                    <w14:schemeClr w14:val="tx1"/>
                  </w14:solidFill>
                </w14:textFill>
              </w:rPr>
            </w:pPr>
          </w:p>
        </w:tc>
        <w:tc>
          <w:tcPr>
            <w:tcW w:w="367" w:type="pct"/>
            <w:shd w:val="clear" w:color="auto" w:fill="auto"/>
            <w:vAlign w:val="center"/>
          </w:tcPr>
          <w:p w14:paraId="400135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p>
        </w:tc>
        <w:tc>
          <w:tcPr>
            <w:tcW w:w="265" w:type="pct"/>
            <w:shd w:val="clear" w:color="auto" w:fill="auto"/>
            <w:vAlign w:val="center"/>
          </w:tcPr>
          <w:p w14:paraId="433EB36A">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451460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87" w:type="pct"/>
            <w:shd w:val="clear" w:color="auto" w:fill="auto"/>
            <w:vAlign w:val="center"/>
          </w:tcPr>
          <w:p w14:paraId="6D02A2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671245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342" w:type="pct"/>
            <w:shd w:val="clear" w:color="auto" w:fill="auto"/>
            <w:vAlign w:val="center"/>
          </w:tcPr>
          <w:p w14:paraId="573C18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1.1L</w:t>
            </w:r>
          </w:p>
        </w:tc>
        <w:tc>
          <w:tcPr>
            <w:tcW w:w="261" w:type="pct"/>
            <w:shd w:val="clear" w:color="auto" w:fill="auto"/>
            <w:vAlign w:val="center"/>
          </w:tcPr>
          <w:p w14:paraId="52107DD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348" w:type="pct"/>
            <w:shd w:val="clear" w:color="auto" w:fill="auto"/>
            <w:vAlign w:val="center"/>
          </w:tcPr>
          <w:p w14:paraId="0C0E6F2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4.29E-05</w:t>
            </w:r>
          </w:p>
        </w:tc>
        <w:tc>
          <w:tcPr>
            <w:tcW w:w="348" w:type="pct"/>
            <w:shd w:val="clear" w:color="auto" w:fill="auto"/>
            <w:vAlign w:val="center"/>
          </w:tcPr>
          <w:p w14:paraId="6B9D16F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4.29E-05</w:t>
            </w:r>
          </w:p>
        </w:tc>
        <w:tc>
          <w:tcPr>
            <w:tcW w:w="348" w:type="pct"/>
            <w:shd w:val="clear" w:color="auto" w:fill="auto"/>
            <w:vAlign w:val="center"/>
          </w:tcPr>
          <w:p w14:paraId="1565F6C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4.29E-05</w:t>
            </w:r>
          </w:p>
        </w:tc>
        <w:tc>
          <w:tcPr>
            <w:tcW w:w="348" w:type="pct"/>
            <w:shd w:val="clear" w:color="auto" w:fill="auto"/>
            <w:vAlign w:val="center"/>
          </w:tcPr>
          <w:p w14:paraId="7BAA4A5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4.29E-05</w:t>
            </w:r>
          </w:p>
        </w:tc>
        <w:tc>
          <w:tcPr>
            <w:tcW w:w="287" w:type="pct"/>
            <w:shd w:val="clear" w:color="auto" w:fill="auto"/>
            <w:vAlign w:val="center"/>
          </w:tcPr>
          <w:p w14:paraId="7CBA158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808984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17533F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50BB87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9BF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AD8FEDB">
            <w:pPr>
              <w:pStyle w:val="28"/>
              <w:rPr>
                <w:color w:val="000000" w:themeColor="text1"/>
                <w14:textFill>
                  <w14:solidFill>
                    <w14:schemeClr w14:val="tx1"/>
                  </w14:solidFill>
                </w14:textFill>
              </w:rPr>
            </w:pPr>
          </w:p>
        </w:tc>
        <w:tc>
          <w:tcPr>
            <w:tcW w:w="367" w:type="pct"/>
            <w:shd w:val="clear" w:color="auto" w:fill="auto"/>
            <w:vAlign w:val="center"/>
          </w:tcPr>
          <w:p w14:paraId="17C716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1,1,2,2-四氯乙烷</w:t>
            </w:r>
          </w:p>
        </w:tc>
        <w:tc>
          <w:tcPr>
            <w:tcW w:w="265" w:type="pct"/>
            <w:shd w:val="clear" w:color="auto" w:fill="auto"/>
            <w:vAlign w:val="center"/>
          </w:tcPr>
          <w:p w14:paraId="2F4AE594">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3F2E77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6548BF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6001E9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27F34A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3E9522C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1290</w:t>
            </w:r>
          </w:p>
        </w:tc>
        <w:tc>
          <w:tcPr>
            <w:tcW w:w="348" w:type="pct"/>
            <w:shd w:val="clear" w:color="auto" w:fill="auto"/>
            <w:vAlign w:val="center"/>
          </w:tcPr>
          <w:p w14:paraId="79B567B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8.53E-07</w:t>
            </w:r>
          </w:p>
        </w:tc>
        <w:tc>
          <w:tcPr>
            <w:tcW w:w="348" w:type="pct"/>
            <w:shd w:val="clear" w:color="auto" w:fill="auto"/>
            <w:vAlign w:val="center"/>
          </w:tcPr>
          <w:p w14:paraId="5F7AA61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8.53E-07</w:t>
            </w:r>
          </w:p>
        </w:tc>
        <w:tc>
          <w:tcPr>
            <w:tcW w:w="348" w:type="pct"/>
            <w:shd w:val="clear" w:color="auto" w:fill="auto"/>
            <w:vAlign w:val="center"/>
          </w:tcPr>
          <w:p w14:paraId="66D2D0B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8.53E-07</w:t>
            </w:r>
          </w:p>
        </w:tc>
        <w:tc>
          <w:tcPr>
            <w:tcW w:w="348" w:type="pct"/>
            <w:shd w:val="clear" w:color="auto" w:fill="auto"/>
            <w:vAlign w:val="center"/>
          </w:tcPr>
          <w:p w14:paraId="60659DE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8.53E-07</w:t>
            </w:r>
          </w:p>
        </w:tc>
        <w:tc>
          <w:tcPr>
            <w:tcW w:w="287" w:type="pct"/>
            <w:shd w:val="clear" w:color="auto" w:fill="auto"/>
            <w:vAlign w:val="center"/>
          </w:tcPr>
          <w:p w14:paraId="3106656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7BB47DE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1A5464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5AFEFD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862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069E8643">
            <w:pPr>
              <w:pStyle w:val="28"/>
              <w:rPr>
                <w:color w:val="000000" w:themeColor="text1"/>
                <w14:textFill>
                  <w14:solidFill>
                    <w14:schemeClr w14:val="tx1"/>
                  </w14:solidFill>
                </w14:textFill>
              </w:rPr>
            </w:pPr>
          </w:p>
        </w:tc>
        <w:tc>
          <w:tcPr>
            <w:tcW w:w="367" w:type="pct"/>
            <w:shd w:val="clear" w:color="auto" w:fill="auto"/>
            <w:vAlign w:val="center"/>
          </w:tcPr>
          <w:p w14:paraId="1EA486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1,2,3-三氯丙烷</w:t>
            </w:r>
          </w:p>
        </w:tc>
        <w:tc>
          <w:tcPr>
            <w:tcW w:w="265" w:type="pct"/>
            <w:shd w:val="clear" w:color="auto" w:fill="auto"/>
            <w:vAlign w:val="center"/>
          </w:tcPr>
          <w:p w14:paraId="51D12192">
            <w:pPr>
              <w:pStyle w:val="28"/>
              <w:rPr>
                <w:color w:val="000000" w:themeColor="text1"/>
                <w14:textFill>
                  <w14:solidFill>
                    <w14:schemeClr w14:val="tx1"/>
                  </w14:solidFill>
                </w14:textFill>
              </w:rPr>
            </w:pPr>
            <w:r>
              <w:rPr>
                <w:color w:val="000000" w:themeColor="text1"/>
                <w14:textFill>
                  <w14:solidFill>
                    <w14:schemeClr w14:val="tx1"/>
                  </w14:solidFill>
                </w14:textFill>
              </w:rPr>
              <w:t>µg/kg</w:t>
            </w:r>
          </w:p>
        </w:tc>
        <w:tc>
          <w:tcPr>
            <w:tcW w:w="287" w:type="pct"/>
            <w:shd w:val="clear" w:color="auto" w:fill="auto"/>
            <w:vAlign w:val="center"/>
          </w:tcPr>
          <w:p w14:paraId="64DF57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87" w:type="pct"/>
            <w:shd w:val="clear" w:color="auto" w:fill="auto"/>
            <w:vAlign w:val="center"/>
          </w:tcPr>
          <w:p w14:paraId="1794F1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3B6500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342" w:type="pct"/>
            <w:shd w:val="clear" w:color="auto" w:fill="auto"/>
            <w:vAlign w:val="center"/>
          </w:tcPr>
          <w:p w14:paraId="21C882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1.2L</w:t>
            </w:r>
          </w:p>
        </w:tc>
        <w:tc>
          <w:tcPr>
            <w:tcW w:w="261" w:type="pct"/>
            <w:shd w:val="clear" w:color="auto" w:fill="auto"/>
            <w:vAlign w:val="center"/>
          </w:tcPr>
          <w:p w14:paraId="13EF0C9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1200</w:t>
            </w:r>
          </w:p>
        </w:tc>
        <w:tc>
          <w:tcPr>
            <w:tcW w:w="348" w:type="pct"/>
            <w:shd w:val="clear" w:color="auto" w:fill="auto"/>
            <w:vAlign w:val="center"/>
          </w:tcPr>
          <w:p w14:paraId="1498F37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1.08E-06</w:t>
            </w:r>
          </w:p>
        </w:tc>
        <w:tc>
          <w:tcPr>
            <w:tcW w:w="348" w:type="pct"/>
            <w:shd w:val="clear" w:color="auto" w:fill="auto"/>
            <w:vAlign w:val="center"/>
          </w:tcPr>
          <w:p w14:paraId="150437A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1.08E-06</w:t>
            </w:r>
          </w:p>
        </w:tc>
        <w:tc>
          <w:tcPr>
            <w:tcW w:w="348" w:type="pct"/>
            <w:shd w:val="clear" w:color="auto" w:fill="auto"/>
            <w:vAlign w:val="center"/>
          </w:tcPr>
          <w:p w14:paraId="658B43D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1.08E-06</w:t>
            </w:r>
          </w:p>
        </w:tc>
        <w:tc>
          <w:tcPr>
            <w:tcW w:w="348" w:type="pct"/>
            <w:shd w:val="clear" w:color="auto" w:fill="auto"/>
            <w:vAlign w:val="center"/>
          </w:tcPr>
          <w:p w14:paraId="5497827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1.08E-06</w:t>
            </w:r>
          </w:p>
        </w:tc>
        <w:tc>
          <w:tcPr>
            <w:tcW w:w="287" w:type="pct"/>
            <w:shd w:val="clear" w:color="auto" w:fill="auto"/>
            <w:vAlign w:val="center"/>
          </w:tcPr>
          <w:p w14:paraId="41267A9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B8144B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BA73F3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FE784D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537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843B2A1">
            <w:pPr>
              <w:pStyle w:val="28"/>
              <w:rPr>
                <w:color w:val="000000" w:themeColor="text1"/>
                <w14:textFill>
                  <w14:solidFill>
                    <w14:schemeClr w14:val="tx1"/>
                  </w14:solidFill>
                </w14:textFill>
              </w:rPr>
            </w:pPr>
          </w:p>
        </w:tc>
        <w:tc>
          <w:tcPr>
            <w:tcW w:w="367" w:type="pct"/>
            <w:shd w:val="clear" w:color="auto" w:fill="auto"/>
            <w:vAlign w:val="center"/>
          </w:tcPr>
          <w:p w14:paraId="1CEF4F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1,4-二氯苯</w:t>
            </w:r>
          </w:p>
        </w:tc>
        <w:tc>
          <w:tcPr>
            <w:tcW w:w="265" w:type="pct"/>
            <w:shd w:val="clear" w:color="auto" w:fill="auto"/>
            <w:vAlign w:val="center"/>
          </w:tcPr>
          <w:p w14:paraId="5DF9A7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µg/kg</w:t>
            </w:r>
          </w:p>
        </w:tc>
        <w:tc>
          <w:tcPr>
            <w:tcW w:w="287" w:type="pct"/>
            <w:shd w:val="clear" w:color="auto" w:fill="auto"/>
            <w:vAlign w:val="center"/>
          </w:tcPr>
          <w:p w14:paraId="0F8DEF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87" w:type="pct"/>
            <w:shd w:val="clear" w:color="auto" w:fill="auto"/>
            <w:vAlign w:val="center"/>
          </w:tcPr>
          <w:p w14:paraId="7BAB30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4CB3AB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793B3E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61" w:type="pct"/>
            <w:shd w:val="clear" w:color="auto" w:fill="auto"/>
            <w:vAlign w:val="center"/>
          </w:tcPr>
          <w:p w14:paraId="313E0A6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570</w:t>
            </w:r>
          </w:p>
        </w:tc>
        <w:tc>
          <w:tcPr>
            <w:tcW w:w="348" w:type="pct"/>
            <w:shd w:val="clear" w:color="auto" w:fill="auto"/>
            <w:vAlign w:val="center"/>
          </w:tcPr>
          <w:p w14:paraId="3ADC157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2.11E-06</w:t>
            </w:r>
          </w:p>
        </w:tc>
        <w:tc>
          <w:tcPr>
            <w:tcW w:w="348" w:type="pct"/>
            <w:shd w:val="clear" w:color="auto" w:fill="auto"/>
            <w:vAlign w:val="center"/>
          </w:tcPr>
          <w:p w14:paraId="04EB114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2.11E-06</w:t>
            </w:r>
          </w:p>
        </w:tc>
        <w:tc>
          <w:tcPr>
            <w:tcW w:w="348" w:type="pct"/>
            <w:shd w:val="clear" w:color="auto" w:fill="auto"/>
            <w:vAlign w:val="center"/>
          </w:tcPr>
          <w:p w14:paraId="07A7C4E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2.11E-06</w:t>
            </w:r>
          </w:p>
        </w:tc>
        <w:tc>
          <w:tcPr>
            <w:tcW w:w="348" w:type="pct"/>
            <w:shd w:val="clear" w:color="auto" w:fill="auto"/>
            <w:vAlign w:val="center"/>
          </w:tcPr>
          <w:p w14:paraId="7B1CE1E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2.11E-06</w:t>
            </w:r>
          </w:p>
        </w:tc>
        <w:tc>
          <w:tcPr>
            <w:tcW w:w="287" w:type="pct"/>
            <w:shd w:val="clear" w:color="auto" w:fill="auto"/>
            <w:vAlign w:val="center"/>
          </w:tcPr>
          <w:p w14:paraId="49F0324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6402866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CD4A74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A30E08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88D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B689496">
            <w:pPr>
              <w:pStyle w:val="28"/>
              <w:rPr>
                <w:color w:val="000000" w:themeColor="text1"/>
                <w14:textFill>
                  <w14:solidFill>
                    <w14:schemeClr w14:val="tx1"/>
                  </w14:solidFill>
                </w14:textFill>
              </w:rPr>
            </w:pPr>
          </w:p>
        </w:tc>
        <w:tc>
          <w:tcPr>
            <w:tcW w:w="367" w:type="pct"/>
            <w:shd w:val="clear" w:color="auto" w:fill="auto"/>
            <w:vAlign w:val="center"/>
          </w:tcPr>
          <w:p w14:paraId="290944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1,2-二氯苯</w:t>
            </w:r>
          </w:p>
        </w:tc>
        <w:tc>
          <w:tcPr>
            <w:tcW w:w="265" w:type="pct"/>
            <w:shd w:val="clear" w:color="auto" w:fill="auto"/>
            <w:vAlign w:val="center"/>
          </w:tcPr>
          <w:p w14:paraId="01B92B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µg/kg</w:t>
            </w:r>
          </w:p>
        </w:tc>
        <w:tc>
          <w:tcPr>
            <w:tcW w:w="287" w:type="pct"/>
            <w:shd w:val="clear" w:color="auto" w:fill="auto"/>
            <w:vAlign w:val="center"/>
          </w:tcPr>
          <w:p w14:paraId="5B293A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87" w:type="pct"/>
            <w:shd w:val="clear" w:color="auto" w:fill="auto"/>
            <w:vAlign w:val="center"/>
          </w:tcPr>
          <w:p w14:paraId="02CAAB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5A6C7A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342" w:type="pct"/>
            <w:shd w:val="clear" w:color="auto" w:fill="auto"/>
            <w:vAlign w:val="center"/>
          </w:tcPr>
          <w:p w14:paraId="1C4B00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1.5L</w:t>
            </w:r>
          </w:p>
        </w:tc>
        <w:tc>
          <w:tcPr>
            <w:tcW w:w="261" w:type="pct"/>
            <w:shd w:val="clear" w:color="auto" w:fill="auto"/>
            <w:vAlign w:val="center"/>
          </w:tcPr>
          <w:p w14:paraId="73D8190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640</w:t>
            </w:r>
          </w:p>
        </w:tc>
        <w:tc>
          <w:tcPr>
            <w:tcW w:w="348" w:type="pct"/>
            <w:shd w:val="clear" w:color="auto" w:fill="auto"/>
            <w:vAlign w:val="center"/>
          </w:tcPr>
          <w:p w14:paraId="10EC16F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1.88E-06</w:t>
            </w:r>
          </w:p>
        </w:tc>
        <w:tc>
          <w:tcPr>
            <w:tcW w:w="348" w:type="pct"/>
            <w:shd w:val="clear" w:color="auto" w:fill="auto"/>
            <w:vAlign w:val="center"/>
          </w:tcPr>
          <w:p w14:paraId="39B7B04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1.88E-06</w:t>
            </w:r>
          </w:p>
        </w:tc>
        <w:tc>
          <w:tcPr>
            <w:tcW w:w="348" w:type="pct"/>
            <w:shd w:val="clear" w:color="auto" w:fill="auto"/>
            <w:vAlign w:val="center"/>
          </w:tcPr>
          <w:p w14:paraId="4BD1730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1.88E-06</w:t>
            </w:r>
          </w:p>
        </w:tc>
        <w:tc>
          <w:tcPr>
            <w:tcW w:w="348" w:type="pct"/>
            <w:shd w:val="clear" w:color="auto" w:fill="auto"/>
            <w:vAlign w:val="center"/>
          </w:tcPr>
          <w:p w14:paraId="62F08A2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1.88E-06</w:t>
            </w:r>
          </w:p>
        </w:tc>
        <w:tc>
          <w:tcPr>
            <w:tcW w:w="287" w:type="pct"/>
            <w:shd w:val="clear" w:color="auto" w:fill="auto"/>
            <w:vAlign w:val="center"/>
          </w:tcPr>
          <w:p w14:paraId="2B70126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773A4F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5092AA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FE8480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FE4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77CC6DFD">
            <w:pPr>
              <w:pStyle w:val="28"/>
              <w:rPr>
                <w:color w:val="000000" w:themeColor="text1"/>
                <w14:textFill>
                  <w14:solidFill>
                    <w14:schemeClr w14:val="tx1"/>
                  </w14:solidFill>
                </w14:textFill>
              </w:rPr>
            </w:pPr>
          </w:p>
        </w:tc>
        <w:tc>
          <w:tcPr>
            <w:tcW w:w="367" w:type="pct"/>
            <w:shd w:val="clear" w:color="auto" w:fill="auto"/>
            <w:vAlign w:val="center"/>
          </w:tcPr>
          <w:p w14:paraId="60779D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2-氯苯酚</w:t>
            </w:r>
          </w:p>
        </w:tc>
        <w:tc>
          <w:tcPr>
            <w:tcW w:w="265" w:type="pct"/>
            <w:shd w:val="clear" w:color="auto" w:fill="auto"/>
            <w:vAlign w:val="center"/>
          </w:tcPr>
          <w:p w14:paraId="779B9F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35841C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0.06L</w:t>
            </w:r>
          </w:p>
        </w:tc>
        <w:tc>
          <w:tcPr>
            <w:tcW w:w="287" w:type="pct"/>
            <w:shd w:val="clear" w:color="auto" w:fill="auto"/>
            <w:vAlign w:val="center"/>
          </w:tcPr>
          <w:p w14:paraId="2B24FA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0.06L</w:t>
            </w:r>
          </w:p>
        </w:tc>
        <w:tc>
          <w:tcPr>
            <w:tcW w:w="342" w:type="pct"/>
            <w:shd w:val="clear" w:color="auto" w:fill="auto"/>
            <w:vAlign w:val="center"/>
          </w:tcPr>
          <w:p w14:paraId="72E0C8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0.06L</w:t>
            </w:r>
          </w:p>
        </w:tc>
        <w:tc>
          <w:tcPr>
            <w:tcW w:w="342" w:type="pct"/>
            <w:shd w:val="clear" w:color="auto" w:fill="auto"/>
            <w:vAlign w:val="center"/>
          </w:tcPr>
          <w:p w14:paraId="032448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0.06L</w:t>
            </w:r>
          </w:p>
        </w:tc>
        <w:tc>
          <w:tcPr>
            <w:tcW w:w="261" w:type="pct"/>
            <w:shd w:val="clear" w:color="auto" w:fill="FFFFFF" w:themeFill="background1"/>
            <w:vAlign w:val="center"/>
          </w:tcPr>
          <w:p w14:paraId="11C55C2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76</w:t>
            </w:r>
          </w:p>
        </w:tc>
        <w:tc>
          <w:tcPr>
            <w:tcW w:w="348" w:type="pct"/>
            <w:shd w:val="clear" w:color="auto" w:fill="FFFFFF" w:themeFill="background1"/>
            <w:vAlign w:val="center"/>
          </w:tcPr>
          <w:p w14:paraId="3576321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1.18E-03</w:t>
            </w:r>
          </w:p>
        </w:tc>
        <w:tc>
          <w:tcPr>
            <w:tcW w:w="348" w:type="pct"/>
            <w:shd w:val="clear" w:color="auto" w:fill="auto"/>
            <w:vAlign w:val="center"/>
          </w:tcPr>
          <w:p w14:paraId="15F042C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1.18E-03</w:t>
            </w:r>
          </w:p>
        </w:tc>
        <w:tc>
          <w:tcPr>
            <w:tcW w:w="348" w:type="pct"/>
            <w:shd w:val="clear" w:color="auto" w:fill="auto"/>
            <w:vAlign w:val="center"/>
          </w:tcPr>
          <w:p w14:paraId="5FA826E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1.18E-03</w:t>
            </w:r>
          </w:p>
        </w:tc>
        <w:tc>
          <w:tcPr>
            <w:tcW w:w="348" w:type="pct"/>
            <w:shd w:val="clear" w:color="auto" w:fill="auto"/>
            <w:vAlign w:val="center"/>
          </w:tcPr>
          <w:p w14:paraId="6ED1A7A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1.18E-03</w:t>
            </w:r>
          </w:p>
        </w:tc>
        <w:tc>
          <w:tcPr>
            <w:tcW w:w="287" w:type="pct"/>
            <w:shd w:val="clear" w:color="auto" w:fill="auto"/>
            <w:vAlign w:val="center"/>
          </w:tcPr>
          <w:p w14:paraId="48897B3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EE3902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792F20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7626AD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F6B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96376CA">
            <w:pPr>
              <w:pStyle w:val="28"/>
              <w:rPr>
                <w:color w:val="000000" w:themeColor="text1"/>
                <w14:textFill>
                  <w14:solidFill>
                    <w14:schemeClr w14:val="tx1"/>
                  </w14:solidFill>
                </w14:textFill>
              </w:rPr>
            </w:pPr>
          </w:p>
        </w:tc>
        <w:tc>
          <w:tcPr>
            <w:tcW w:w="367" w:type="pct"/>
            <w:shd w:val="clear" w:color="auto" w:fill="auto"/>
            <w:vAlign w:val="center"/>
          </w:tcPr>
          <w:p w14:paraId="3C20DB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硝基苯</w:t>
            </w:r>
          </w:p>
        </w:tc>
        <w:tc>
          <w:tcPr>
            <w:tcW w:w="265" w:type="pct"/>
            <w:shd w:val="clear" w:color="auto" w:fill="auto"/>
            <w:vAlign w:val="center"/>
          </w:tcPr>
          <w:p w14:paraId="740E9E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59A770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287" w:type="pct"/>
            <w:shd w:val="clear" w:color="auto" w:fill="auto"/>
            <w:vAlign w:val="center"/>
          </w:tcPr>
          <w:p w14:paraId="43F66A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342" w:type="pct"/>
            <w:shd w:val="clear" w:color="auto" w:fill="auto"/>
            <w:vAlign w:val="center"/>
          </w:tcPr>
          <w:p w14:paraId="7E37AE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342" w:type="pct"/>
            <w:shd w:val="clear" w:color="auto" w:fill="auto"/>
            <w:vAlign w:val="center"/>
          </w:tcPr>
          <w:p w14:paraId="73192A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261" w:type="pct"/>
            <w:shd w:val="clear" w:color="auto" w:fill="FFFFFF" w:themeFill="background1"/>
            <w:vAlign w:val="center"/>
          </w:tcPr>
          <w:p w14:paraId="31EB91B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w:t>
            </w:r>
          </w:p>
        </w:tc>
        <w:tc>
          <w:tcPr>
            <w:tcW w:w="348" w:type="pct"/>
            <w:shd w:val="clear" w:color="auto" w:fill="FFFFFF" w:themeFill="background1"/>
            <w:vAlign w:val="center"/>
          </w:tcPr>
          <w:p w14:paraId="58F7912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3.85E-04</w:t>
            </w:r>
          </w:p>
        </w:tc>
        <w:tc>
          <w:tcPr>
            <w:tcW w:w="348" w:type="pct"/>
            <w:shd w:val="clear" w:color="auto" w:fill="auto"/>
            <w:vAlign w:val="center"/>
          </w:tcPr>
          <w:p w14:paraId="5C62C48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3.85E-04</w:t>
            </w:r>
          </w:p>
        </w:tc>
        <w:tc>
          <w:tcPr>
            <w:tcW w:w="348" w:type="pct"/>
            <w:shd w:val="clear" w:color="auto" w:fill="auto"/>
            <w:vAlign w:val="center"/>
          </w:tcPr>
          <w:p w14:paraId="6791F26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3.85E-04</w:t>
            </w:r>
          </w:p>
        </w:tc>
        <w:tc>
          <w:tcPr>
            <w:tcW w:w="348" w:type="pct"/>
            <w:shd w:val="clear" w:color="auto" w:fill="auto"/>
            <w:vAlign w:val="center"/>
          </w:tcPr>
          <w:p w14:paraId="5B7DB24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3.85E-04</w:t>
            </w:r>
          </w:p>
        </w:tc>
        <w:tc>
          <w:tcPr>
            <w:tcW w:w="287" w:type="pct"/>
            <w:shd w:val="clear" w:color="auto" w:fill="auto"/>
            <w:vAlign w:val="center"/>
          </w:tcPr>
          <w:p w14:paraId="1A35EEE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E02351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BFCCF7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D34AC7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1C7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5DA073FC">
            <w:pPr>
              <w:pStyle w:val="28"/>
              <w:rPr>
                <w:color w:val="000000" w:themeColor="text1"/>
                <w14:textFill>
                  <w14:solidFill>
                    <w14:schemeClr w14:val="tx1"/>
                  </w14:solidFill>
                </w14:textFill>
              </w:rPr>
            </w:pPr>
          </w:p>
        </w:tc>
        <w:tc>
          <w:tcPr>
            <w:tcW w:w="367" w:type="pct"/>
            <w:shd w:val="clear" w:color="auto" w:fill="auto"/>
            <w:vAlign w:val="center"/>
          </w:tcPr>
          <w:p w14:paraId="6D8B3F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萘</w:t>
            </w:r>
          </w:p>
        </w:tc>
        <w:tc>
          <w:tcPr>
            <w:tcW w:w="265" w:type="pct"/>
            <w:shd w:val="clear" w:color="auto" w:fill="auto"/>
            <w:vAlign w:val="center"/>
          </w:tcPr>
          <w:p w14:paraId="23535E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18C6B0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287" w:type="pct"/>
            <w:shd w:val="clear" w:color="auto" w:fill="auto"/>
            <w:vAlign w:val="center"/>
          </w:tcPr>
          <w:p w14:paraId="016E99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342" w:type="pct"/>
            <w:shd w:val="clear" w:color="auto" w:fill="auto"/>
            <w:vAlign w:val="center"/>
          </w:tcPr>
          <w:p w14:paraId="338EB9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342" w:type="pct"/>
            <w:shd w:val="clear" w:color="auto" w:fill="auto"/>
            <w:vAlign w:val="center"/>
          </w:tcPr>
          <w:p w14:paraId="2BFED3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0.09L</w:t>
            </w:r>
          </w:p>
        </w:tc>
        <w:tc>
          <w:tcPr>
            <w:tcW w:w="261" w:type="pct"/>
            <w:shd w:val="clear" w:color="auto" w:fill="FFFFFF" w:themeFill="background1"/>
            <w:vAlign w:val="center"/>
          </w:tcPr>
          <w:p w14:paraId="5FCE1C4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2256</w:t>
            </w:r>
          </w:p>
        </w:tc>
        <w:tc>
          <w:tcPr>
            <w:tcW w:w="348" w:type="pct"/>
            <w:shd w:val="clear" w:color="auto" w:fill="FFFFFF" w:themeFill="background1"/>
            <w:vAlign w:val="center"/>
          </w:tcPr>
          <w:p w14:paraId="795098A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2.66E-05</w:t>
            </w:r>
          </w:p>
        </w:tc>
        <w:tc>
          <w:tcPr>
            <w:tcW w:w="348" w:type="pct"/>
            <w:shd w:val="clear" w:color="auto" w:fill="auto"/>
            <w:vAlign w:val="center"/>
          </w:tcPr>
          <w:p w14:paraId="255F0F5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2.66E-05</w:t>
            </w:r>
          </w:p>
        </w:tc>
        <w:tc>
          <w:tcPr>
            <w:tcW w:w="348" w:type="pct"/>
            <w:shd w:val="clear" w:color="auto" w:fill="auto"/>
            <w:vAlign w:val="center"/>
          </w:tcPr>
          <w:p w14:paraId="239D9A9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2.66E-05</w:t>
            </w:r>
          </w:p>
        </w:tc>
        <w:tc>
          <w:tcPr>
            <w:tcW w:w="348" w:type="pct"/>
            <w:shd w:val="clear" w:color="auto" w:fill="auto"/>
            <w:vAlign w:val="center"/>
          </w:tcPr>
          <w:p w14:paraId="247EE15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2.66E-05</w:t>
            </w:r>
          </w:p>
        </w:tc>
        <w:tc>
          <w:tcPr>
            <w:tcW w:w="287" w:type="pct"/>
            <w:shd w:val="clear" w:color="auto" w:fill="auto"/>
            <w:vAlign w:val="center"/>
          </w:tcPr>
          <w:p w14:paraId="1BD7180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6A7E98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07A005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0DB1969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73D2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47A5D8C7">
            <w:pPr>
              <w:pStyle w:val="28"/>
              <w:rPr>
                <w:color w:val="000000" w:themeColor="text1"/>
                <w14:textFill>
                  <w14:solidFill>
                    <w14:schemeClr w14:val="tx1"/>
                  </w14:solidFill>
                </w14:textFill>
              </w:rPr>
            </w:pPr>
          </w:p>
        </w:tc>
        <w:tc>
          <w:tcPr>
            <w:tcW w:w="367" w:type="pct"/>
            <w:shd w:val="clear" w:color="auto" w:fill="auto"/>
            <w:vAlign w:val="center"/>
          </w:tcPr>
          <w:p w14:paraId="58452A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苯并[a]蒽</w:t>
            </w:r>
          </w:p>
        </w:tc>
        <w:tc>
          <w:tcPr>
            <w:tcW w:w="265" w:type="pct"/>
            <w:shd w:val="clear" w:color="auto" w:fill="auto"/>
            <w:vAlign w:val="center"/>
          </w:tcPr>
          <w:p w14:paraId="18524E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4A2EDA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0F3170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29A7F7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328124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1ED3021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48" w:type="pct"/>
            <w:shd w:val="clear" w:color="auto" w:fill="FFFFFF" w:themeFill="background1"/>
            <w:vAlign w:val="center"/>
          </w:tcPr>
          <w:p w14:paraId="65EE393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6353B10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5D4523B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4E8A74A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287" w:type="pct"/>
            <w:shd w:val="clear" w:color="auto" w:fill="auto"/>
            <w:vAlign w:val="center"/>
          </w:tcPr>
          <w:p w14:paraId="174831C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0AF2984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0C144F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05AFC7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1D8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7BC8713">
            <w:pPr>
              <w:pStyle w:val="28"/>
              <w:rPr>
                <w:color w:val="000000" w:themeColor="text1"/>
                <w14:textFill>
                  <w14:solidFill>
                    <w14:schemeClr w14:val="tx1"/>
                  </w14:solidFill>
                </w14:textFill>
              </w:rPr>
            </w:pPr>
          </w:p>
        </w:tc>
        <w:tc>
          <w:tcPr>
            <w:tcW w:w="367" w:type="pct"/>
            <w:shd w:val="clear" w:color="auto" w:fill="auto"/>
            <w:vAlign w:val="center"/>
          </w:tcPr>
          <w:p w14:paraId="03DC7D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䓛</w:t>
            </w:r>
          </w:p>
        </w:tc>
        <w:tc>
          <w:tcPr>
            <w:tcW w:w="265" w:type="pct"/>
            <w:shd w:val="clear" w:color="auto" w:fill="auto"/>
            <w:vAlign w:val="center"/>
          </w:tcPr>
          <w:p w14:paraId="05CD26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37A9C0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4A580F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72315D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2CF989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38D13E5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48" w:type="pct"/>
            <w:shd w:val="clear" w:color="auto" w:fill="FFFFFF" w:themeFill="background1"/>
            <w:vAlign w:val="center"/>
          </w:tcPr>
          <w:p w14:paraId="25C8048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2D5C4AC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3A084F1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0637E18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287" w:type="pct"/>
            <w:shd w:val="clear" w:color="auto" w:fill="auto"/>
            <w:vAlign w:val="center"/>
          </w:tcPr>
          <w:p w14:paraId="08D398B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C7FC93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6F94A1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47F564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DFC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131F4CFB">
            <w:pPr>
              <w:pStyle w:val="28"/>
              <w:rPr>
                <w:color w:val="000000" w:themeColor="text1"/>
                <w14:textFill>
                  <w14:solidFill>
                    <w14:schemeClr w14:val="tx1"/>
                  </w14:solidFill>
                </w14:textFill>
              </w:rPr>
            </w:pPr>
          </w:p>
        </w:tc>
        <w:tc>
          <w:tcPr>
            <w:tcW w:w="367" w:type="pct"/>
            <w:shd w:val="clear" w:color="auto" w:fill="auto"/>
            <w:vAlign w:val="center"/>
          </w:tcPr>
          <w:p w14:paraId="434696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苯并[b]荧蒽</w:t>
            </w:r>
          </w:p>
        </w:tc>
        <w:tc>
          <w:tcPr>
            <w:tcW w:w="265" w:type="pct"/>
            <w:shd w:val="clear" w:color="auto" w:fill="auto"/>
            <w:vAlign w:val="center"/>
          </w:tcPr>
          <w:p w14:paraId="46639B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7870FF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0.2L</w:t>
            </w:r>
          </w:p>
        </w:tc>
        <w:tc>
          <w:tcPr>
            <w:tcW w:w="287" w:type="pct"/>
            <w:shd w:val="clear" w:color="auto" w:fill="auto"/>
            <w:vAlign w:val="center"/>
          </w:tcPr>
          <w:p w14:paraId="14DA98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0.2L</w:t>
            </w:r>
          </w:p>
        </w:tc>
        <w:tc>
          <w:tcPr>
            <w:tcW w:w="342" w:type="pct"/>
            <w:shd w:val="clear" w:color="auto" w:fill="auto"/>
            <w:vAlign w:val="center"/>
          </w:tcPr>
          <w:p w14:paraId="363DA3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0.2L</w:t>
            </w:r>
          </w:p>
        </w:tc>
        <w:tc>
          <w:tcPr>
            <w:tcW w:w="342" w:type="pct"/>
            <w:shd w:val="clear" w:color="auto" w:fill="auto"/>
            <w:vAlign w:val="center"/>
          </w:tcPr>
          <w:p w14:paraId="016161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0.2L</w:t>
            </w:r>
          </w:p>
        </w:tc>
        <w:tc>
          <w:tcPr>
            <w:tcW w:w="261" w:type="pct"/>
            <w:shd w:val="clear" w:color="auto" w:fill="FFFFFF" w:themeFill="background1"/>
            <w:vAlign w:val="center"/>
          </w:tcPr>
          <w:p w14:paraId="64E0BC2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48" w:type="pct"/>
            <w:shd w:val="clear" w:color="auto" w:fill="FFFFFF" w:themeFill="background1"/>
            <w:vAlign w:val="center"/>
          </w:tcPr>
          <w:p w14:paraId="1D6C1F4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1.33E-02</w:t>
            </w:r>
          </w:p>
        </w:tc>
        <w:tc>
          <w:tcPr>
            <w:tcW w:w="348" w:type="pct"/>
            <w:shd w:val="clear" w:color="auto" w:fill="auto"/>
            <w:vAlign w:val="center"/>
          </w:tcPr>
          <w:p w14:paraId="17ED5B2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1.33E-02</w:t>
            </w:r>
          </w:p>
        </w:tc>
        <w:tc>
          <w:tcPr>
            <w:tcW w:w="348" w:type="pct"/>
            <w:shd w:val="clear" w:color="auto" w:fill="auto"/>
            <w:vAlign w:val="center"/>
          </w:tcPr>
          <w:p w14:paraId="7B640A7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1.33E-02</w:t>
            </w:r>
          </w:p>
        </w:tc>
        <w:tc>
          <w:tcPr>
            <w:tcW w:w="348" w:type="pct"/>
            <w:shd w:val="clear" w:color="auto" w:fill="auto"/>
            <w:vAlign w:val="center"/>
          </w:tcPr>
          <w:p w14:paraId="75AF383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1.33E-02</w:t>
            </w:r>
          </w:p>
        </w:tc>
        <w:tc>
          <w:tcPr>
            <w:tcW w:w="287" w:type="pct"/>
            <w:shd w:val="clear" w:color="auto" w:fill="auto"/>
            <w:vAlign w:val="center"/>
          </w:tcPr>
          <w:p w14:paraId="7D3623F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39A0DAC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5EB40D6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1584F6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0A2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39B16DB8">
            <w:pPr>
              <w:pStyle w:val="28"/>
              <w:rPr>
                <w:color w:val="000000" w:themeColor="text1"/>
                <w14:textFill>
                  <w14:solidFill>
                    <w14:schemeClr w14:val="tx1"/>
                  </w14:solidFill>
                </w14:textFill>
              </w:rPr>
            </w:pPr>
          </w:p>
        </w:tc>
        <w:tc>
          <w:tcPr>
            <w:tcW w:w="367" w:type="pct"/>
            <w:shd w:val="clear" w:color="auto" w:fill="auto"/>
            <w:vAlign w:val="center"/>
          </w:tcPr>
          <w:p w14:paraId="03C80F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苯并[k]荧蒽</w:t>
            </w:r>
          </w:p>
        </w:tc>
        <w:tc>
          <w:tcPr>
            <w:tcW w:w="265" w:type="pct"/>
            <w:shd w:val="clear" w:color="auto" w:fill="auto"/>
            <w:vAlign w:val="center"/>
          </w:tcPr>
          <w:p w14:paraId="75C0FC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20063D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10FFC2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771788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0CE016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3A924E2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151</w:t>
            </w:r>
          </w:p>
        </w:tc>
        <w:tc>
          <w:tcPr>
            <w:tcW w:w="348" w:type="pct"/>
            <w:shd w:val="clear" w:color="auto" w:fill="FFFFFF" w:themeFill="background1"/>
            <w:vAlign w:val="center"/>
          </w:tcPr>
          <w:p w14:paraId="03C4DD7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6.62E-04</w:t>
            </w:r>
          </w:p>
        </w:tc>
        <w:tc>
          <w:tcPr>
            <w:tcW w:w="348" w:type="pct"/>
            <w:shd w:val="clear" w:color="auto" w:fill="auto"/>
            <w:vAlign w:val="center"/>
          </w:tcPr>
          <w:p w14:paraId="741A12B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6.62E-04</w:t>
            </w:r>
          </w:p>
        </w:tc>
        <w:tc>
          <w:tcPr>
            <w:tcW w:w="348" w:type="pct"/>
            <w:shd w:val="clear" w:color="auto" w:fill="auto"/>
            <w:vAlign w:val="center"/>
          </w:tcPr>
          <w:p w14:paraId="6E08948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6.62E-04</w:t>
            </w:r>
          </w:p>
        </w:tc>
        <w:tc>
          <w:tcPr>
            <w:tcW w:w="348" w:type="pct"/>
            <w:shd w:val="clear" w:color="auto" w:fill="auto"/>
            <w:vAlign w:val="center"/>
          </w:tcPr>
          <w:p w14:paraId="222AEB7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6.62E-04</w:t>
            </w:r>
          </w:p>
        </w:tc>
        <w:tc>
          <w:tcPr>
            <w:tcW w:w="287" w:type="pct"/>
            <w:shd w:val="clear" w:color="auto" w:fill="auto"/>
            <w:vAlign w:val="center"/>
          </w:tcPr>
          <w:p w14:paraId="77F9ADB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A4BF29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38044E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CDD7A4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B9A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2868ADE">
            <w:pPr>
              <w:pStyle w:val="28"/>
              <w:rPr>
                <w:color w:val="000000" w:themeColor="text1"/>
                <w14:textFill>
                  <w14:solidFill>
                    <w14:schemeClr w14:val="tx1"/>
                  </w14:solidFill>
                </w14:textFill>
              </w:rPr>
            </w:pPr>
          </w:p>
        </w:tc>
        <w:tc>
          <w:tcPr>
            <w:tcW w:w="367" w:type="pct"/>
            <w:shd w:val="clear" w:color="auto" w:fill="auto"/>
            <w:vAlign w:val="center"/>
          </w:tcPr>
          <w:p w14:paraId="708987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苯并[a]芘</w:t>
            </w:r>
          </w:p>
        </w:tc>
        <w:tc>
          <w:tcPr>
            <w:tcW w:w="265" w:type="pct"/>
            <w:shd w:val="clear" w:color="auto" w:fill="auto"/>
            <w:vAlign w:val="center"/>
          </w:tcPr>
          <w:p w14:paraId="3A2E0E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6AE663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33A26B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7006C7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0503B2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0FD4CD6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1293</w:t>
            </w:r>
          </w:p>
        </w:tc>
        <w:tc>
          <w:tcPr>
            <w:tcW w:w="348" w:type="pct"/>
            <w:shd w:val="clear" w:color="auto" w:fill="FFFFFF" w:themeFill="background1"/>
            <w:vAlign w:val="center"/>
          </w:tcPr>
          <w:p w14:paraId="56E1E54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7.73E-05</w:t>
            </w:r>
          </w:p>
        </w:tc>
        <w:tc>
          <w:tcPr>
            <w:tcW w:w="348" w:type="pct"/>
            <w:shd w:val="clear" w:color="auto" w:fill="auto"/>
            <w:vAlign w:val="center"/>
          </w:tcPr>
          <w:p w14:paraId="1B02296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7.73E-05</w:t>
            </w:r>
          </w:p>
        </w:tc>
        <w:tc>
          <w:tcPr>
            <w:tcW w:w="348" w:type="pct"/>
            <w:shd w:val="clear" w:color="auto" w:fill="auto"/>
            <w:vAlign w:val="center"/>
          </w:tcPr>
          <w:p w14:paraId="082E87A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7.73E-05</w:t>
            </w:r>
          </w:p>
        </w:tc>
        <w:tc>
          <w:tcPr>
            <w:tcW w:w="348" w:type="pct"/>
            <w:shd w:val="clear" w:color="auto" w:fill="auto"/>
            <w:vAlign w:val="center"/>
          </w:tcPr>
          <w:p w14:paraId="42076A6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7.73E-05</w:t>
            </w:r>
          </w:p>
        </w:tc>
        <w:tc>
          <w:tcPr>
            <w:tcW w:w="287" w:type="pct"/>
            <w:shd w:val="clear" w:color="auto" w:fill="auto"/>
            <w:vAlign w:val="center"/>
          </w:tcPr>
          <w:p w14:paraId="3D3B175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2DC98B9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8038E1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14F9913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C22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27D4F621">
            <w:pPr>
              <w:pStyle w:val="28"/>
              <w:rPr>
                <w:color w:val="000000" w:themeColor="text1"/>
                <w14:textFill>
                  <w14:solidFill>
                    <w14:schemeClr w14:val="tx1"/>
                  </w14:solidFill>
                </w14:textFill>
              </w:rPr>
            </w:pPr>
          </w:p>
        </w:tc>
        <w:tc>
          <w:tcPr>
            <w:tcW w:w="367" w:type="pct"/>
            <w:shd w:val="clear" w:color="auto" w:fill="auto"/>
            <w:vAlign w:val="center"/>
          </w:tcPr>
          <w:p w14:paraId="02F850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茚并[1,2,3-cd]芘</w:t>
            </w:r>
          </w:p>
        </w:tc>
        <w:tc>
          <w:tcPr>
            <w:tcW w:w="265" w:type="pct"/>
            <w:shd w:val="clear" w:color="auto" w:fill="auto"/>
            <w:vAlign w:val="center"/>
          </w:tcPr>
          <w:p w14:paraId="457F46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4FC3E6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7704E1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078B87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1CBAA6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5DEEA22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48" w:type="pct"/>
            <w:shd w:val="clear" w:color="auto" w:fill="FFFFFF" w:themeFill="background1"/>
            <w:vAlign w:val="center"/>
          </w:tcPr>
          <w:p w14:paraId="472F3AF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5D384E0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3B6EA0B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348" w:type="pct"/>
            <w:shd w:val="clear" w:color="auto" w:fill="auto"/>
            <w:vAlign w:val="center"/>
          </w:tcPr>
          <w:p w14:paraId="30A6952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6.67E-02</w:t>
            </w:r>
          </w:p>
        </w:tc>
        <w:tc>
          <w:tcPr>
            <w:tcW w:w="287" w:type="pct"/>
            <w:shd w:val="clear" w:color="auto" w:fill="auto"/>
            <w:vAlign w:val="center"/>
          </w:tcPr>
          <w:p w14:paraId="6148565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7BECEFE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C2245E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2CE131A5">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763E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637970EC">
            <w:pPr>
              <w:pStyle w:val="28"/>
              <w:rPr>
                <w:color w:val="000000" w:themeColor="text1"/>
                <w14:textFill>
                  <w14:solidFill>
                    <w14:schemeClr w14:val="tx1"/>
                  </w14:solidFill>
                </w14:textFill>
              </w:rPr>
            </w:pPr>
          </w:p>
        </w:tc>
        <w:tc>
          <w:tcPr>
            <w:tcW w:w="367" w:type="pct"/>
            <w:shd w:val="clear" w:color="auto" w:fill="auto"/>
            <w:vAlign w:val="center"/>
          </w:tcPr>
          <w:p w14:paraId="2B74EB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二苯并[a,h]蒽</w:t>
            </w:r>
          </w:p>
        </w:tc>
        <w:tc>
          <w:tcPr>
            <w:tcW w:w="265" w:type="pct"/>
            <w:shd w:val="clear" w:color="auto" w:fill="auto"/>
            <w:vAlign w:val="center"/>
          </w:tcPr>
          <w:p w14:paraId="1B126B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0D700C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87" w:type="pct"/>
            <w:shd w:val="clear" w:color="auto" w:fill="auto"/>
            <w:vAlign w:val="center"/>
          </w:tcPr>
          <w:p w14:paraId="62012A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76BBAD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342" w:type="pct"/>
            <w:shd w:val="clear" w:color="auto" w:fill="auto"/>
            <w:vAlign w:val="center"/>
          </w:tcPr>
          <w:p w14:paraId="36110F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0.1L</w:t>
            </w:r>
          </w:p>
        </w:tc>
        <w:tc>
          <w:tcPr>
            <w:tcW w:w="261" w:type="pct"/>
            <w:shd w:val="clear" w:color="auto" w:fill="FFFFFF" w:themeFill="background1"/>
            <w:vAlign w:val="center"/>
          </w:tcPr>
          <w:p w14:paraId="2E92DD94">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48" w:type="pct"/>
            <w:shd w:val="clear" w:color="auto" w:fill="FFFFFF" w:themeFill="background1"/>
            <w:vAlign w:val="center"/>
          </w:tcPr>
          <w:p w14:paraId="01A72C99">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1320372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40DC9C1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348" w:type="pct"/>
            <w:shd w:val="clear" w:color="auto" w:fill="auto"/>
            <w:vAlign w:val="center"/>
          </w:tcPr>
          <w:p w14:paraId="4964B4B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6.67E-03</w:t>
            </w:r>
          </w:p>
        </w:tc>
        <w:tc>
          <w:tcPr>
            <w:tcW w:w="287" w:type="pct"/>
            <w:shd w:val="clear" w:color="auto" w:fill="auto"/>
            <w:vAlign w:val="center"/>
          </w:tcPr>
          <w:p w14:paraId="64BE169B">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D6E9AB3">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6BB2EA9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E14CDA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310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4B478E3C">
            <w:pPr>
              <w:pStyle w:val="28"/>
              <w:rPr>
                <w:color w:val="000000" w:themeColor="text1"/>
                <w14:textFill>
                  <w14:solidFill>
                    <w14:schemeClr w14:val="tx1"/>
                  </w14:solidFill>
                </w14:textFill>
              </w:rPr>
            </w:pPr>
          </w:p>
        </w:tc>
        <w:tc>
          <w:tcPr>
            <w:tcW w:w="367" w:type="pct"/>
            <w:shd w:val="clear" w:color="auto" w:fill="auto"/>
            <w:vAlign w:val="center"/>
          </w:tcPr>
          <w:p w14:paraId="51CB6B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苯胺</w:t>
            </w:r>
          </w:p>
        </w:tc>
        <w:tc>
          <w:tcPr>
            <w:tcW w:w="265" w:type="pct"/>
            <w:shd w:val="clear" w:color="auto" w:fill="auto"/>
            <w:vAlign w:val="center"/>
          </w:tcPr>
          <w:p w14:paraId="61E33A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µg/kg</w:t>
            </w:r>
          </w:p>
        </w:tc>
        <w:tc>
          <w:tcPr>
            <w:tcW w:w="287" w:type="pct"/>
            <w:shd w:val="clear" w:color="auto" w:fill="auto"/>
            <w:vAlign w:val="center"/>
          </w:tcPr>
          <w:p w14:paraId="0C230F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2L</w:t>
            </w:r>
          </w:p>
        </w:tc>
        <w:tc>
          <w:tcPr>
            <w:tcW w:w="287" w:type="pct"/>
            <w:shd w:val="clear" w:color="auto" w:fill="auto"/>
            <w:vAlign w:val="center"/>
          </w:tcPr>
          <w:p w14:paraId="461E16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2L</w:t>
            </w:r>
          </w:p>
        </w:tc>
        <w:tc>
          <w:tcPr>
            <w:tcW w:w="342" w:type="pct"/>
            <w:shd w:val="clear" w:color="auto" w:fill="auto"/>
            <w:vAlign w:val="center"/>
          </w:tcPr>
          <w:p w14:paraId="28DC45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2L</w:t>
            </w:r>
          </w:p>
        </w:tc>
        <w:tc>
          <w:tcPr>
            <w:tcW w:w="342" w:type="pct"/>
            <w:shd w:val="clear" w:color="auto" w:fill="auto"/>
            <w:vAlign w:val="center"/>
          </w:tcPr>
          <w:p w14:paraId="48C1FF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2L</w:t>
            </w:r>
          </w:p>
        </w:tc>
        <w:tc>
          <w:tcPr>
            <w:tcW w:w="261" w:type="pct"/>
            <w:shd w:val="clear" w:color="auto" w:fill="FFFFFF" w:themeFill="background1"/>
            <w:vAlign w:val="center"/>
          </w:tcPr>
          <w:p w14:paraId="76E179C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348" w:type="pct"/>
            <w:shd w:val="clear" w:color="auto" w:fill="FFFFFF" w:themeFill="background1"/>
            <w:vAlign w:val="center"/>
          </w:tcPr>
          <w:p w14:paraId="68514060">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1.29E-03</w:t>
            </w:r>
          </w:p>
        </w:tc>
        <w:tc>
          <w:tcPr>
            <w:tcW w:w="348" w:type="pct"/>
            <w:shd w:val="clear" w:color="auto" w:fill="auto"/>
            <w:vAlign w:val="center"/>
          </w:tcPr>
          <w:p w14:paraId="23E8E87A">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1.29E-03</w:t>
            </w:r>
          </w:p>
        </w:tc>
        <w:tc>
          <w:tcPr>
            <w:tcW w:w="348" w:type="pct"/>
            <w:shd w:val="clear" w:color="auto" w:fill="auto"/>
            <w:vAlign w:val="center"/>
          </w:tcPr>
          <w:p w14:paraId="1F2E130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1.29E-03</w:t>
            </w:r>
          </w:p>
        </w:tc>
        <w:tc>
          <w:tcPr>
            <w:tcW w:w="348" w:type="pct"/>
            <w:shd w:val="clear" w:color="auto" w:fill="auto"/>
            <w:vAlign w:val="center"/>
          </w:tcPr>
          <w:p w14:paraId="278219E7">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1.29E-03</w:t>
            </w:r>
          </w:p>
        </w:tc>
        <w:tc>
          <w:tcPr>
            <w:tcW w:w="287" w:type="pct"/>
            <w:shd w:val="clear" w:color="auto" w:fill="auto"/>
            <w:vAlign w:val="center"/>
          </w:tcPr>
          <w:p w14:paraId="162B243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44921C9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39F71268">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417CB56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730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 w:type="pct"/>
            <w:vMerge w:val="continue"/>
          </w:tcPr>
          <w:p w14:paraId="25A28D3E">
            <w:pPr>
              <w:pStyle w:val="28"/>
              <w:rPr>
                <w:color w:val="000000" w:themeColor="text1"/>
                <w14:textFill>
                  <w14:solidFill>
                    <w14:schemeClr w14:val="tx1"/>
                  </w14:solidFill>
                </w14:textFill>
              </w:rPr>
            </w:pPr>
          </w:p>
        </w:tc>
        <w:tc>
          <w:tcPr>
            <w:tcW w:w="367" w:type="pct"/>
            <w:shd w:val="clear" w:color="auto" w:fill="auto"/>
            <w:vAlign w:val="center"/>
          </w:tcPr>
          <w:p w14:paraId="750AA0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265" w:type="pct"/>
            <w:shd w:val="clear" w:color="auto" w:fill="auto"/>
            <w:vAlign w:val="center"/>
          </w:tcPr>
          <w:p w14:paraId="7D466B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287" w:type="pct"/>
            <w:shd w:val="clear" w:color="auto" w:fill="auto"/>
            <w:vAlign w:val="center"/>
          </w:tcPr>
          <w:p w14:paraId="282DDB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87" w:type="pct"/>
            <w:shd w:val="clear" w:color="auto" w:fill="auto"/>
            <w:vAlign w:val="center"/>
          </w:tcPr>
          <w:p w14:paraId="05404F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42" w:type="pct"/>
            <w:shd w:val="clear" w:color="auto" w:fill="auto"/>
            <w:vAlign w:val="center"/>
          </w:tcPr>
          <w:p w14:paraId="055013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42" w:type="pct"/>
            <w:shd w:val="clear" w:color="auto" w:fill="auto"/>
            <w:vAlign w:val="center"/>
          </w:tcPr>
          <w:p w14:paraId="11593C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261" w:type="pct"/>
            <w:shd w:val="clear" w:color="auto" w:fill="FFFFFF" w:themeFill="background1"/>
            <w:vAlign w:val="center"/>
          </w:tcPr>
          <w:p w14:paraId="10C3412C">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4500</w:t>
            </w:r>
          </w:p>
        </w:tc>
        <w:tc>
          <w:tcPr>
            <w:tcW w:w="348" w:type="pct"/>
            <w:shd w:val="clear" w:color="auto" w:fill="FFFFFF" w:themeFill="background1"/>
            <w:vAlign w:val="center"/>
          </w:tcPr>
          <w:p w14:paraId="4913CE4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c>
          <w:tcPr>
            <w:tcW w:w="348" w:type="pct"/>
            <w:shd w:val="clear" w:color="auto" w:fill="auto"/>
            <w:vAlign w:val="center"/>
          </w:tcPr>
          <w:p w14:paraId="6F0E2B2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c>
          <w:tcPr>
            <w:tcW w:w="348" w:type="pct"/>
            <w:shd w:val="clear" w:color="auto" w:fill="auto"/>
            <w:vAlign w:val="center"/>
          </w:tcPr>
          <w:p w14:paraId="5ED0D3E1">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c>
          <w:tcPr>
            <w:tcW w:w="348" w:type="pct"/>
            <w:shd w:val="clear" w:color="auto" w:fill="auto"/>
            <w:vAlign w:val="center"/>
          </w:tcPr>
          <w:p w14:paraId="6D8FD246">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287" w:type="pct"/>
            <w:shd w:val="clear" w:color="auto" w:fill="auto"/>
            <w:vAlign w:val="center"/>
          </w:tcPr>
          <w:p w14:paraId="444699DF">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287" w:type="pct"/>
            <w:shd w:val="clear" w:color="auto" w:fill="auto"/>
            <w:vAlign w:val="center"/>
          </w:tcPr>
          <w:p w14:paraId="5240F332">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376264E">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42" w:type="pct"/>
            <w:shd w:val="clear" w:color="auto" w:fill="auto"/>
            <w:vAlign w:val="center"/>
          </w:tcPr>
          <w:p w14:paraId="7337495D">
            <w:pPr>
              <w:pStyle w:val="2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339DB52D">
      <w:pPr>
        <w:pStyle w:val="11"/>
        <w:ind w:firstLine="480"/>
        <w:rPr>
          <w:color w:val="000000" w:themeColor="text1"/>
          <w14:textFill>
            <w14:solidFill>
              <w14:schemeClr w14:val="tx1"/>
            </w14:solidFill>
          </w14:textFill>
        </w:rPr>
        <w:sectPr>
          <w:pgSz w:w="16838" w:h="11906" w:orient="landscape"/>
          <w:pgMar w:top="1440" w:right="1440" w:bottom="1440" w:left="1803" w:header="907" w:footer="992" w:gutter="0"/>
          <w:cols w:space="425" w:num="1"/>
          <w:docGrid w:type="lines" w:linePitch="312" w:charSpace="0"/>
        </w:sectPr>
      </w:pPr>
    </w:p>
    <w:p w14:paraId="443F0708">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土壤环境质量现状监测结果及评价结果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695"/>
        <w:gridCol w:w="753"/>
        <w:gridCol w:w="833"/>
        <w:gridCol w:w="1722"/>
        <w:gridCol w:w="926"/>
        <w:gridCol w:w="833"/>
      </w:tblGrid>
      <w:tr w14:paraId="5726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Align w:val="center"/>
          </w:tcPr>
          <w:p w14:paraId="40FDA8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408" w:type="pct"/>
            <w:vAlign w:val="center"/>
          </w:tcPr>
          <w:p w14:paraId="5E486E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441" w:type="pct"/>
            <w:shd w:val="clear" w:color="auto" w:fill="auto"/>
            <w:vAlign w:val="center"/>
          </w:tcPr>
          <w:p w14:paraId="1BBCD7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488" w:type="pct"/>
            <w:shd w:val="clear" w:color="auto" w:fill="auto"/>
            <w:vAlign w:val="center"/>
          </w:tcPr>
          <w:p w14:paraId="36AB78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1009" w:type="pct"/>
            <w:shd w:val="clear" w:color="auto" w:fill="auto"/>
            <w:vAlign w:val="center"/>
          </w:tcPr>
          <w:p w14:paraId="6B4C89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筛选值（第二类用地）</w:t>
            </w:r>
          </w:p>
        </w:tc>
        <w:tc>
          <w:tcPr>
            <w:tcW w:w="543" w:type="pct"/>
            <w:shd w:val="clear" w:color="auto" w:fill="auto"/>
            <w:vAlign w:val="center"/>
          </w:tcPr>
          <w:p w14:paraId="7243D1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标准指数</w:t>
            </w:r>
          </w:p>
        </w:tc>
        <w:tc>
          <w:tcPr>
            <w:tcW w:w="488" w:type="pct"/>
            <w:shd w:val="clear" w:color="auto" w:fill="auto"/>
            <w:vAlign w:val="center"/>
          </w:tcPr>
          <w:p w14:paraId="2EC1AD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0EE9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Align w:val="center"/>
          </w:tcPr>
          <w:p w14:paraId="31F87E7E">
            <w:pPr>
              <w:pStyle w:val="28"/>
              <w:rPr>
                <w:color w:val="000000" w:themeColor="text1"/>
                <w14:textFill>
                  <w14:solidFill>
                    <w14:schemeClr w14:val="tx1"/>
                  </w14:solidFill>
                </w14:textFill>
              </w:rPr>
            </w:pPr>
            <w:r>
              <w:rPr>
                <w:color w:val="000000" w:themeColor="text1"/>
                <w14:textFill>
                  <w14:solidFill>
                    <w14:schemeClr w14:val="tx1"/>
                  </w14:solidFill>
                </w14:textFill>
              </w:rPr>
              <w:t>厂区外西面农田Tb1</w:t>
            </w:r>
          </w:p>
        </w:tc>
        <w:tc>
          <w:tcPr>
            <w:tcW w:w="408" w:type="pct"/>
            <w:vAlign w:val="center"/>
          </w:tcPr>
          <w:p w14:paraId="1AB08D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441" w:type="pct"/>
            <w:shd w:val="clear" w:color="auto" w:fill="auto"/>
            <w:vAlign w:val="center"/>
          </w:tcPr>
          <w:p w14:paraId="280D36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4115F4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009" w:type="pct"/>
            <w:shd w:val="clear" w:color="auto" w:fill="auto"/>
            <w:vAlign w:val="center"/>
          </w:tcPr>
          <w:p w14:paraId="156B90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462FD8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684B0E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428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Align w:val="center"/>
          </w:tcPr>
          <w:p w14:paraId="3610227E">
            <w:pPr>
              <w:pStyle w:val="28"/>
              <w:rPr>
                <w:color w:val="000000" w:themeColor="text1"/>
                <w14:textFill>
                  <w14:solidFill>
                    <w14:schemeClr w14:val="tx1"/>
                  </w14:solidFill>
                </w14:textFill>
              </w:rPr>
            </w:pPr>
            <w:r>
              <w:rPr>
                <w:color w:val="000000" w:themeColor="text1"/>
                <w14:textFill>
                  <w14:solidFill>
                    <w14:schemeClr w14:val="tx1"/>
                  </w14:solidFill>
                </w14:textFill>
              </w:rPr>
              <w:t>厂区外东北面农田Tb2</w:t>
            </w:r>
          </w:p>
        </w:tc>
        <w:tc>
          <w:tcPr>
            <w:tcW w:w="408" w:type="pct"/>
            <w:vAlign w:val="center"/>
          </w:tcPr>
          <w:p w14:paraId="5EA990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441" w:type="pct"/>
            <w:shd w:val="clear" w:color="auto" w:fill="auto"/>
            <w:vAlign w:val="center"/>
          </w:tcPr>
          <w:p w14:paraId="1AC2E4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5A7B9E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009" w:type="pct"/>
            <w:shd w:val="clear" w:color="auto" w:fill="auto"/>
            <w:vAlign w:val="center"/>
          </w:tcPr>
          <w:p w14:paraId="34816B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676750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w:t>
            </w:r>
          </w:p>
        </w:tc>
        <w:tc>
          <w:tcPr>
            <w:tcW w:w="488" w:type="pct"/>
            <w:shd w:val="clear" w:color="auto" w:fill="auto"/>
            <w:vAlign w:val="center"/>
          </w:tcPr>
          <w:p w14:paraId="1FB88C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B9C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Align w:val="center"/>
          </w:tcPr>
          <w:p w14:paraId="7D630EA4">
            <w:pPr>
              <w:pStyle w:val="28"/>
              <w:rPr>
                <w:color w:val="000000" w:themeColor="text1"/>
                <w14:textFill>
                  <w14:solidFill>
                    <w14:schemeClr w14:val="tx1"/>
                  </w14:solidFill>
                </w14:textFill>
              </w:rPr>
            </w:pPr>
            <w:r>
              <w:rPr>
                <w:color w:val="000000" w:themeColor="text1"/>
                <w14:textFill>
                  <w14:solidFill>
                    <w14:schemeClr w14:val="tx1"/>
                  </w14:solidFill>
                </w14:textFill>
              </w:rPr>
              <w:t>原料暂存间和废水处理间附近绿化带Tb3</w:t>
            </w:r>
          </w:p>
        </w:tc>
        <w:tc>
          <w:tcPr>
            <w:tcW w:w="408" w:type="pct"/>
            <w:vAlign w:val="center"/>
          </w:tcPr>
          <w:p w14:paraId="2A8A9B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441" w:type="pct"/>
            <w:shd w:val="clear" w:color="auto" w:fill="auto"/>
            <w:vAlign w:val="center"/>
          </w:tcPr>
          <w:p w14:paraId="188D74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4EE435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1009" w:type="pct"/>
            <w:shd w:val="clear" w:color="auto" w:fill="auto"/>
            <w:vAlign w:val="center"/>
          </w:tcPr>
          <w:p w14:paraId="6ABF8B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2AFBE8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0.014</w:t>
            </w:r>
          </w:p>
        </w:tc>
        <w:tc>
          <w:tcPr>
            <w:tcW w:w="488" w:type="pct"/>
            <w:shd w:val="clear" w:color="auto" w:fill="auto"/>
            <w:vAlign w:val="center"/>
          </w:tcPr>
          <w:p w14:paraId="1922E0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085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restart"/>
            <w:vAlign w:val="center"/>
          </w:tcPr>
          <w:p w14:paraId="4F5E5A2D">
            <w:pPr>
              <w:pStyle w:val="28"/>
              <w:rPr>
                <w:color w:val="000000" w:themeColor="text1"/>
                <w14:textFill>
                  <w14:solidFill>
                    <w14:schemeClr w14:val="tx1"/>
                  </w14:solidFill>
                </w14:textFill>
              </w:rPr>
            </w:pPr>
            <w:r>
              <w:rPr>
                <w:color w:val="000000" w:themeColor="text1"/>
                <w14:textFill>
                  <w14:solidFill>
                    <w14:schemeClr w14:val="tx1"/>
                  </w14:solidFill>
                </w14:textFill>
              </w:rPr>
              <w:t>原料暂存间和废水处理间附近绿化带Tz1</w:t>
            </w:r>
          </w:p>
        </w:tc>
        <w:tc>
          <w:tcPr>
            <w:tcW w:w="408" w:type="pct"/>
            <w:vMerge w:val="restart"/>
            <w:vAlign w:val="center"/>
          </w:tcPr>
          <w:p w14:paraId="0A8098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441" w:type="pct"/>
            <w:shd w:val="clear" w:color="auto" w:fill="auto"/>
            <w:vAlign w:val="center"/>
          </w:tcPr>
          <w:p w14:paraId="61A182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37F4CE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009" w:type="pct"/>
            <w:shd w:val="clear" w:color="auto" w:fill="auto"/>
            <w:vAlign w:val="center"/>
          </w:tcPr>
          <w:p w14:paraId="00460D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557F48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41DCCB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0DA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continue"/>
            <w:vAlign w:val="center"/>
          </w:tcPr>
          <w:p w14:paraId="78F828EB">
            <w:pPr>
              <w:pStyle w:val="28"/>
              <w:rPr>
                <w:color w:val="000000" w:themeColor="text1"/>
                <w14:textFill>
                  <w14:solidFill>
                    <w14:schemeClr w14:val="tx1"/>
                  </w14:solidFill>
                </w14:textFill>
              </w:rPr>
            </w:pPr>
          </w:p>
        </w:tc>
        <w:tc>
          <w:tcPr>
            <w:tcW w:w="408" w:type="pct"/>
            <w:vMerge w:val="continue"/>
            <w:vAlign w:val="center"/>
          </w:tcPr>
          <w:p w14:paraId="46ABBEF2">
            <w:pPr>
              <w:pStyle w:val="28"/>
              <w:rPr>
                <w:color w:val="000000" w:themeColor="text1"/>
                <w14:textFill>
                  <w14:solidFill>
                    <w14:schemeClr w14:val="tx1"/>
                  </w14:solidFill>
                </w14:textFill>
              </w:rPr>
            </w:pPr>
          </w:p>
        </w:tc>
        <w:tc>
          <w:tcPr>
            <w:tcW w:w="441" w:type="pct"/>
            <w:shd w:val="clear" w:color="auto" w:fill="auto"/>
            <w:vAlign w:val="center"/>
          </w:tcPr>
          <w:p w14:paraId="4AD17E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2E61D1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009" w:type="pct"/>
            <w:shd w:val="clear" w:color="auto" w:fill="auto"/>
            <w:vAlign w:val="center"/>
          </w:tcPr>
          <w:p w14:paraId="6B1E02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54631A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529733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FE7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continue"/>
            <w:vAlign w:val="center"/>
          </w:tcPr>
          <w:p w14:paraId="73882C84">
            <w:pPr>
              <w:pStyle w:val="28"/>
              <w:rPr>
                <w:color w:val="000000" w:themeColor="text1"/>
                <w14:textFill>
                  <w14:solidFill>
                    <w14:schemeClr w14:val="tx1"/>
                  </w14:solidFill>
                </w14:textFill>
              </w:rPr>
            </w:pPr>
          </w:p>
        </w:tc>
        <w:tc>
          <w:tcPr>
            <w:tcW w:w="408" w:type="pct"/>
            <w:vMerge w:val="continue"/>
            <w:vAlign w:val="center"/>
          </w:tcPr>
          <w:p w14:paraId="65E7E216">
            <w:pPr>
              <w:pStyle w:val="28"/>
              <w:rPr>
                <w:color w:val="000000" w:themeColor="text1"/>
                <w14:textFill>
                  <w14:solidFill>
                    <w14:schemeClr w14:val="tx1"/>
                  </w14:solidFill>
                </w14:textFill>
              </w:rPr>
            </w:pPr>
          </w:p>
        </w:tc>
        <w:tc>
          <w:tcPr>
            <w:tcW w:w="441" w:type="pct"/>
            <w:shd w:val="clear" w:color="auto" w:fill="auto"/>
            <w:vAlign w:val="center"/>
          </w:tcPr>
          <w:p w14:paraId="2B00D1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732978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009" w:type="pct"/>
            <w:shd w:val="clear" w:color="auto" w:fill="auto"/>
            <w:vAlign w:val="center"/>
          </w:tcPr>
          <w:p w14:paraId="506C83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4DC72F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0BD3FF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13C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continue"/>
            <w:vAlign w:val="center"/>
          </w:tcPr>
          <w:p w14:paraId="1FD9F836">
            <w:pPr>
              <w:pStyle w:val="28"/>
              <w:rPr>
                <w:color w:val="000000" w:themeColor="text1"/>
                <w14:textFill>
                  <w14:solidFill>
                    <w14:schemeClr w14:val="tx1"/>
                  </w14:solidFill>
                </w14:textFill>
              </w:rPr>
            </w:pPr>
          </w:p>
        </w:tc>
        <w:tc>
          <w:tcPr>
            <w:tcW w:w="408" w:type="pct"/>
            <w:vMerge w:val="continue"/>
            <w:vAlign w:val="center"/>
          </w:tcPr>
          <w:p w14:paraId="5BB5D2F7">
            <w:pPr>
              <w:pStyle w:val="28"/>
              <w:rPr>
                <w:color w:val="000000" w:themeColor="text1"/>
                <w14:textFill>
                  <w14:solidFill>
                    <w14:schemeClr w14:val="tx1"/>
                  </w14:solidFill>
                </w14:textFill>
              </w:rPr>
            </w:pPr>
          </w:p>
        </w:tc>
        <w:tc>
          <w:tcPr>
            <w:tcW w:w="441" w:type="pct"/>
            <w:shd w:val="clear" w:color="auto" w:fill="auto"/>
            <w:vAlign w:val="center"/>
          </w:tcPr>
          <w:p w14:paraId="5CBD0B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7D6A6B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009" w:type="pct"/>
            <w:shd w:val="clear" w:color="auto" w:fill="auto"/>
            <w:vAlign w:val="center"/>
          </w:tcPr>
          <w:p w14:paraId="5F9239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7B5396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w:t>
            </w:r>
          </w:p>
        </w:tc>
        <w:tc>
          <w:tcPr>
            <w:tcW w:w="488" w:type="pct"/>
            <w:shd w:val="clear" w:color="auto" w:fill="auto"/>
            <w:vAlign w:val="center"/>
          </w:tcPr>
          <w:p w14:paraId="0F8ADC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BB3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restart"/>
            <w:vAlign w:val="center"/>
          </w:tcPr>
          <w:p w14:paraId="78B9D5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废水输送路径附近空地Tz2</w:t>
            </w:r>
          </w:p>
        </w:tc>
        <w:tc>
          <w:tcPr>
            <w:tcW w:w="408" w:type="pct"/>
            <w:vMerge w:val="restart"/>
            <w:vAlign w:val="center"/>
          </w:tcPr>
          <w:p w14:paraId="692AF8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p>
        </w:tc>
        <w:tc>
          <w:tcPr>
            <w:tcW w:w="441" w:type="pct"/>
            <w:shd w:val="clear" w:color="auto" w:fill="auto"/>
            <w:vAlign w:val="center"/>
          </w:tcPr>
          <w:p w14:paraId="2514F5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542F21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09" w:type="pct"/>
            <w:shd w:val="clear" w:color="auto" w:fill="auto"/>
            <w:vAlign w:val="center"/>
          </w:tcPr>
          <w:p w14:paraId="6C812E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6B14FE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3C526B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AF2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continue"/>
            <w:vAlign w:val="center"/>
          </w:tcPr>
          <w:p w14:paraId="59DD1D8C">
            <w:pPr>
              <w:pStyle w:val="28"/>
              <w:rPr>
                <w:color w:val="000000" w:themeColor="text1"/>
                <w14:textFill>
                  <w14:solidFill>
                    <w14:schemeClr w14:val="tx1"/>
                  </w14:solidFill>
                </w14:textFill>
              </w:rPr>
            </w:pPr>
          </w:p>
        </w:tc>
        <w:tc>
          <w:tcPr>
            <w:tcW w:w="408" w:type="pct"/>
            <w:vMerge w:val="continue"/>
            <w:shd w:val="clear" w:color="auto" w:fill="auto"/>
            <w:vAlign w:val="center"/>
          </w:tcPr>
          <w:p w14:paraId="0ED45AF2">
            <w:pPr>
              <w:pStyle w:val="28"/>
              <w:rPr>
                <w:color w:val="000000" w:themeColor="text1"/>
                <w14:textFill>
                  <w14:solidFill>
                    <w14:schemeClr w14:val="tx1"/>
                  </w14:solidFill>
                </w14:textFill>
              </w:rPr>
            </w:pPr>
          </w:p>
        </w:tc>
        <w:tc>
          <w:tcPr>
            <w:tcW w:w="441" w:type="pct"/>
            <w:shd w:val="clear" w:color="auto" w:fill="auto"/>
            <w:vAlign w:val="center"/>
          </w:tcPr>
          <w:p w14:paraId="5DEFD9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79432D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009" w:type="pct"/>
            <w:shd w:val="clear" w:color="auto" w:fill="auto"/>
            <w:vAlign w:val="center"/>
          </w:tcPr>
          <w:p w14:paraId="1A2308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0AD389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4F441B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F0F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pct"/>
            <w:vMerge w:val="continue"/>
            <w:vAlign w:val="center"/>
          </w:tcPr>
          <w:p w14:paraId="417B7EBA">
            <w:pPr>
              <w:pStyle w:val="28"/>
              <w:rPr>
                <w:color w:val="000000" w:themeColor="text1"/>
                <w14:textFill>
                  <w14:solidFill>
                    <w14:schemeClr w14:val="tx1"/>
                  </w14:solidFill>
                </w14:textFill>
              </w:rPr>
            </w:pPr>
          </w:p>
        </w:tc>
        <w:tc>
          <w:tcPr>
            <w:tcW w:w="408" w:type="pct"/>
            <w:vMerge w:val="continue"/>
            <w:shd w:val="clear" w:color="auto" w:fill="auto"/>
            <w:vAlign w:val="center"/>
          </w:tcPr>
          <w:p w14:paraId="449CB435">
            <w:pPr>
              <w:pStyle w:val="28"/>
              <w:rPr>
                <w:color w:val="000000" w:themeColor="text1"/>
                <w14:textFill>
                  <w14:solidFill>
                    <w14:schemeClr w14:val="tx1"/>
                  </w14:solidFill>
                </w14:textFill>
              </w:rPr>
            </w:pPr>
          </w:p>
        </w:tc>
        <w:tc>
          <w:tcPr>
            <w:tcW w:w="441" w:type="pct"/>
            <w:shd w:val="clear" w:color="auto" w:fill="auto"/>
            <w:vAlign w:val="center"/>
          </w:tcPr>
          <w:p w14:paraId="3E6AD5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mg/kg</w:t>
            </w:r>
          </w:p>
        </w:tc>
        <w:tc>
          <w:tcPr>
            <w:tcW w:w="488" w:type="pct"/>
            <w:shd w:val="clear" w:color="auto" w:fill="auto"/>
            <w:vAlign w:val="center"/>
          </w:tcPr>
          <w:p w14:paraId="4997BA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09" w:type="pct"/>
            <w:shd w:val="clear" w:color="auto" w:fill="auto"/>
            <w:vAlign w:val="center"/>
          </w:tcPr>
          <w:p w14:paraId="30A13A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543" w:type="pct"/>
            <w:shd w:val="clear" w:color="auto" w:fill="auto"/>
            <w:vAlign w:val="center"/>
          </w:tcPr>
          <w:p w14:paraId="2B3616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488" w:type="pct"/>
            <w:shd w:val="clear" w:color="auto" w:fill="auto"/>
            <w:vAlign w:val="center"/>
          </w:tcPr>
          <w:p w14:paraId="768413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1B6A87A8">
      <w:pPr>
        <w:ind w:firstLine="480"/>
        <w:rPr>
          <w:rStyle w:val="26"/>
          <w:color w:val="000000" w:themeColor="text1"/>
          <w14:textFill>
            <w14:solidFill>
              <w14:schemeClr w14:val="tx1"/>
            </w14:solidFill>
          </w14:textFill>
        </w:rPr>
      </w:pPr>
      <w:r>
        <w:rPr>
          <w:color w:val="000000" w:themeColor="text1"/>
          <w14:textFill>
            <w14:solidFill>
              <w14:schemeClr w14:val="tx1"/>
            </w14:solidFill>
          </w14:textFill>
        </w:rPr>
        <w:t>根据监测结果可知，厂区内</w:t>
      </w:r>
      <w:r>
        <w:rPr>
          <w:rFonts w:hint="eastAsia"/>
          <w:color w:val="000000" w:themeColor="text1"/>
          <w14:textFill>
            <w14:solidFill>
              <w14:schemeClr w14:val="tx1"/>
            </w14:solidFill>
          </w14:textFill>
        </w:rPr>
        <w:t>及厂区外对照点</w:t>
      </w:r>
      <w:r>
        <w:rPr>
          <w:color w:val="000000" w:themeColor="text1"/>
          <w14:textFill>
            <w14:solidFill>
              <w14:schemeClr w14:val="tx1"/>
            </w14:solidFill>
          </w14:textFill>
        </w:rPr>
        <w:t>土壤各监测因子均低于《土壤环境质量 建设用地土壤污染风险管控标准》（GB36600-2018）中第二类用地标准要求</w:t>
      </w:r>
      <w:r>
        <w:rPr>
          <w:rFonts w:hint="eastAsia"/>
          <w:color w:val="000000" w:themeColor="text1"/>
          <w14:textFill>
            <w14:solidFill>
              <w14:schemeClr w14:val="tx1"/>
            </w14:solidFill>
          </w14:textFill>
        </w:rPr>
        <w:t>。</w:t>
      </w:r>
    </w:p>
    <w:p w14:paraId="3179AE56">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（8）小结</w:t>
      </w:r>
    </w:p>
    <w:p w14:paraId="0C93B93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表4.2-1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监测点位合理性分析一览表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057"/>
        <w:gridCol w:w="1981"/>
        <w:gridCol w:w="4929"/>
      </w:tblGrid>
      <w:tr w14:paraId="564F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gridSpan w:val="2"/>
            <w:vAlign w:val="center"/>
          </w:tcPr>
          <w:p w14:paraId="43F2E6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1162" w:type="pct"/>
            <w:vAlign w:val="center"/>
          </w:tcPr>
          <w:p w14:paraId="7A2F82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作用</w:t>
            </w:r>
          </w:p>
        </w:tc>
        <w:tc>
          <w:tcPr>
            <w:tcW w:w="2891" w:type="pct"/>
            <w:vAlign w:val="center"/>
          </w:tcPr>
          <w:p w14:paraId="541964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合理性</w:t>
            </w:r>
          </w:p>
        </w:tc>
      </w:tr>
      <w:tr w14:paraId="4953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2F439B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Tb1</w:t>
            </w:r>
          </w:p>
        </w:tc>
        <w:tc>
          <w:tcPr>
            <w:tcW w:w="620" w:type="pct"/>
            <w:vAlign w:val="center"/>
          </w:tcPr>
          <w:p w14:paraId="5CDC1A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厂区外西面农田</w:t>
            </w:r>
          </w:p>
        </w:tc>
        <w:tc>
          <w:tcPr>
            <w:tcW w:w="1162" w:type="pct"/>
            <w:vAlign w:val="center"/>
          </w:tcPr>
          <w:p w14:paraId="6E5667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作为对照点，反映项目区域土壤背景值</w:t>
            </w:r>
          </w:p>
        </w:tc>
        <w:tc>
          <w:tcPr>
            <w:tcW w:w="2891" w:type="pct"/>
            <w:vAlign w:val="center"/>
          </w:tcPr>
          <w:p w14:paraId="0C8D07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点位位于厂界外未受项目直接影响的农田，符合背景/对照点布设要求，本项目涉及大气沉降，该点位相对本项目废气排气筒位于项目区常年主导风向的上风向，能有效对比项目建设前后土壤环境变化。</w:t>
            </w:r>
          </w:p>
        </w:tc>
      </w:tr>
      <w:tr w14:paraId="58E4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66A394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Tb2</w:t>
            </w:r>
          </w:p>
        </w:tc>
        <w:tc>
          <w:tcPr>
            <w:tcW w:w="620" w:type="pct"/>
            <w:vAlign w:val="center"/>
          </w:tcPr>
          <w:p w14:paraId="3F6B62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厂区外东北面农田</w:t>
            </w:r>
          </w:p>
        </w:tc>
        <w:tc>
          <w:tcPr>
            <w:tcW w:w="1162" w:type="pct"/>
            <w:vAlign w:val="center"/>
          </w:tcPr>
          <w:p w14:paraId="4DE8F0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可作为东北侧对照点，反映项目外东北侧土壤背景值</w:t>
            </w:r>
          </w:p>
        </w:tc>
        <w:tc>
          <w:tcPr>
            <w:tcW w:w="2891" w:type="pct"/>
            <w:vAlign w:val="center"/>
          </w:tcPr>
          <w:p w14:paraId="7F9904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本项目涉及大气沉降，该点位位于项目区常年主导风向的下风向。</w:t>
            </w:r>
          </w:p>
        </w:tc>
      </w:tr>
      <w:tr w14:paraId="6230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14:paraId="707FD3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Tb3</w:t>
            </w:r>
          </w:p>
        </w:tc>
        <w:tc>
          <w:tcPr>
            <w:tcW w:w="620" w:type="pct"/>
            <w:vAlign w:val="center"/>
          </w:tcPr>
          <w:p w14:paraId="448E64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原料暂存间和废水处理间附近绿化带</w:t>
            </w:r>
          </w:p>
        </w:tc>
        <w:tc>
          <w:tcPr>
            <w:tcW w:w="1162" w:type="pct"/>
            <w:vMerge w:val="restart"/>
            <w:vAlign w:val="center"/>
          </w:tcPr>
          <w:p w14:paraId="0B7F4A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覆盖原料暂存、废水处理两大核心污染源，监测泄漏、渗漏对土壤的潜在影响</w:t>
            </w:r>
          </w:p>
        </w:tc>
        <w:tc>
          <w:tcPr>
            <w:tcW w:w="2891" w:type="pct"/>
            <w:vMerge w:val="restart"/>
            <w:vAlign w:val="center"/>
          </w:tcPr>
          <w:p w14:paraId="7CF665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溶剂、废水泄漏，通过垂直入渗的方式污染土壤及地下水，主要产污装置区应设置柱状样监测点。由于项目租用已厂房进行建设，厂区地面已硬化，因此根据就近原则调整监测点的位置至原料暂存间和废水处理间附近绿化带。</w:t>
            </w:r>
          </w:p>
        </w:tc>
      </w:tr>
      <w:tr w14:paraId="470D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2C8A14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Tz1</w:t>
            </w:r>
          </w:p>
        </w:tc>
        <w:tc>
          <w:tcPr>
            <w:tcW w:w="620" w:type="pct"/>
            <w:shd w:val="clear" w:color="auto" w:fill="auto"/>
            <w:vAlign w:val="center"/>
          </w:tcPr>
          <w:p w14:paraId="51FFC7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原料暂存间和废水处理间附近绿化带</w:t>
            </w:r>
          </w:p>
        </w:tc>
        <w:tc>
          <w:tcPr>
            <w:tcW w:w="1162" w:type="pct"/>
            <w:vMerge w:val="continue"/>
            <w:shd w:val="clear" w:color="auto" w:fill="auto"/>
            <w:vAlign w:val="center"/>
          </w:tcPr>
          <w:p w14:paraId="32E63390">
            <w:pPr>
              <w:pStyle w:val="28"/>
              <w:rPr>
                <w:color w:val="000000" w:themeColor="text1"/>
                <w14:textFill>
                  <w14:solidFill>
                    <w14:schemeClr w14:val="tx1"/>
                  </w14:solidFill>
                </w14:textFill>
              </w:rPr>
            </w:pPr>
          </w:p>
        </w:tc>
        <w:tc>
          <w:tcPr>
            <w:tcW w:w="2891" w:type="pct"/>
            <w:vMerge w:val="continue"/>
            <w:shd w:val="clear" w:color="auto" w:fill="auto"/>
            <w:vAlign w:val="center"/>
          </w:tcPr>
          <w:p w14:paraId="3B57AE60">
            <w:pPr>
              <w:pStyle w:val="28"/>
              <w:rPr>
                <w:color w:val="000000" w:themeColor="text1"/>
                <w14:textFill>
                  <w14:solidFill>
                    <w14:schemeClr w14:val="tx1"/>
                  </w14:solidFill>
                </w14:textFill>
              </w:rPr>
            </w:pPr>
          </w:p>
        </w:tc>
      </w:tr>
      <w:tr w14:paraId="7C0F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1FAC9F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Tz2</w:t>
            </w:r>
          </w:p>
        </w:tc>
        <w:tc>
          <w:tcPr>
            <w:tcW w:w="620" w:type="pct"/>
            <w:shd w:val="clear" w:color="auto" w:fill="auto"/>
            <w:vAlign w:val="center"/>
          </w:tcPr>
          <w:p w14:paraId="01C2BB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废水输送路径附近空地</w:t>
            </w:r>
          </w:p>
        </w:tc>
        <w:tc>
          <w:tcPr>
            <w:tcW w:w="1162" w:type="pct"/>
            <w:shd w:val="clear" w:color="auto" w:fill="auto"/>
            <w:vAlign w:val="center"/>
          </w:tcPr>
          <w:p w14:paraId="6FD787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监控废水管线泄漏可能造成的土壤污染，覆盖污染扩散路径</w:t>
            </w:r>
          </w:p>
        </w:tc>
        <w:tc>
          <w:tcPr>
            <w:tcW w:w="2891" w:type="pct"/>
            <w:shd w:val="clear" w:color="auto" w:fill="auto"/>
            <w:vAlign w:val="center"/>
          </w:tcPr>
          <w:p w14:paraId="5E824D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本项目废水泄漏，通过垂直入渗的方式污染土壤及地下水，应设置柱状样监测点。由于污水管线输送路径地面已硬化，因此根据就近原则调整监测点的位置至附近未硬化的空地。</w:t>
            </w:r>
          </w:p>
        </w:tc>
      </w:tr>
      <w:tr w14:paraId="3B5C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shd w:val="clear" w:color="auto" w:fill="auto"/>
            <w:vAlign w:val="center"/>
          </w:tcPr>
          <w:p w14:paraId="70476C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Tz3</w:t>
            </w:r>
          </w:p>
        </w:tc>
        <w:tc>
          <w:tcPr>
            <w:tcW w:w="620" w:type="pct"/>
            <w:vAlign w:val="center"/>
          </w:tcPr>
          <w:p w14:paraId="32C3EC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危废暂存间附近绿化带</w:t>
            </w:r>
          </w:p>
        </w:tc>
        <w:tc>
          <w:tcPr>
            <w:tcW w:w="1162" w:type="pct"/>
            <w:vAlign w:val="center"/>
          </w:tcPr>
          <w:p w14:paraId="0445DD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监控危废暂存环节的泄漏、渗漏风险，是土壤环境重点保护区域</w:t>
            </w:r>
          </w:p>
        </w:tc>
        <w:tc>
          <w:tcPr>
            <w:tcW w:w="2891" w:type="pct"/>
            <w:vAlign w:val="center"/>
          </w:tcPr>
          <w:p w14:paraId="13A5D8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危废暂存间内废机油、砂磨机碱洗废碱液等泄漏，通过垂直入渗的方式污染土壤及地下水，应设置柱状样监测点。由于项目租用已厂房进行建设，危废暂存间构筑物已建成，因此根据就近原则调整监测点的位置至危废暂存间附近绿化带。</w:t>
            </w:r>
          </w:p>
        </w:tc>
      </w:tr>
    </w:tbl>
    <w:p w14:paraId="2D1AC4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本项目土壤评价为二级评价，项目土壤环境影响为污染影响型，根据《环境影响评价技术导则 土壤环境（试行）》（HJ964-2018），污染影响型二级评价项目占地范围内需要布置1个表层点和3个柱状点，占地范围外需布置2个表层点。本项目占地范围内共布置了3个柱状样、1个表层样，占地范围外2个表层样，现状监测布点满足导则要求。</w:t>
      </w:r>
    </w:p>
    <w:p w14:paraId="6F7EC2A3">
      <w:pPr>
        <w:ind w:firstLine="480"/>
        <w:rPr>
          <w:rStyle w:val="26"/>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综上分析，本项目监测结果能代表项目区土壤环境质量现状。</w:t>
      </w:r>
    </w:p>
    <w:p w14:paraId="4471530F">
      <w:pPr>
        <w:pStyle w:val="4"/>
        <w:rPr>
          <w:color w:val="000000" w:themeColor="text1"/>
          <w14:textFill>
            <w14:solidFill>
              <w14:schemeClr w14:val="tx1"/>
            </w14:solidFill>
          </w14:textFill>
        </w:rPr>
      </w:pPr>
      <w:bookmarkStart w:id="85" w:name="_Toc1665"/>
      <w:r>
        <w:rPr>
          <w:color w:val="000000" w:themeColor="text1"/>
          <w14:textFill>
            <w14:solidFill>
              <w14:schemeClr w14:val="tx1"/>
            </w14:solidFill>
          </w14:textFill>
        </w:rPr>
        <w:t>4.2.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地下水环境现状</w:t>
      </w:r>
      <w:bookmarkEnd w:id="85"/>
    </w:p>
    <w:p w14:paraId="22FD7C5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本项目属于Ⅳ类项目，可不开展地下水评价，但由于本项目使用危险化学品为原料，因此本次评价引用云南提正生物科技有限公司</w:t>
      </w:r>
      <w:bookmarkStart w:id="86" w:name="_Hlk226539376"/>
      <w:r>
        <w:rPr>
          <w:rFonts w:hint="eastAsia"/>
          <w:color w:val="000000" w:themeColor="text1"/>
          <w:kern w:val="0"/>
          <w:lang w:bidi="ar"/>
          <w14:textFill>
            <w14:solidFill>
              <w14:schemeClr w14:val="tx1"/>
            </w14:solidFill>
          </w14:textFill>
        </w:rPr>
        <w:t>《云南提正生物科技有限公司3t/a胆红素生产项目竣工环境保护验收监测报告》</w:t>
      </w:r>
      <w:bookmarkEnd w:id="86"/>
      <w:r>
        <w:rPr>
          <w:rFonts w:hint="eastAsia"/>
          <w:color w:val="000000" w:themeColor="text1"/>
          <w:kern w:val="0"/>
          <w:lang w:bidi="ar"/>
          <w14:textFill>
            <w14:solidFill>
              <w14:schemeClr w14:val="tx1"/>
            </w14:solidFill>
          </w14:textFill>
        </w:rPr>
        <w:t>中委托</w:t>
      </w:r>
      <w:bookmarkStart w:id="87" w:name="_Hlk226539430"/>
      <w:r>
        <w:rPr>
          <w:rFonts w:hint="eastAsia"/>
          <w:color w:val="000000" w:themeColor="text1"/>
          <w:kern w:val="0"/>
          <w:lang w:bidi="ar"/>
          <w14:textFill>
            <w14:solidFill>
              <w14:schemeClr w14:val="tx1"/>
            </w14:solidFill>
          </w14:textFill>
        </w:rPr>
        <w:t>云南鑫田环境分析测试有限公司</w:t>
      </w:r>
      <w:bookmarkEnd w:id="87"/>
      <w:r>
        <w:rPr>
          <w:rFonts w:hint="eastAsia"/>
          <w:color w:val="000000" w:themeColor="text1"/>
          <w:kern w:val="0"/>
          <w:lang w:bidi="ar"/>
          <w14:textFill>
            <w14:solidFill>
              <w14:schemeClr w14:val="tx1"/>
            </w14:solidFill>
          </w14:textFill>
        </w:rPr>
        <w:t>于</w:t>
      </w:r>
      <w:bookmarkStart w:id="88" w:name="_Hlk226539438"/>
      <w:r>
        <w:rPr>
          <w:rFonts w:hint="eastAsia"/>
          <w:color w:val="000000" w:themeColor="text1"/>
          <w:kern w:val="0"/>
          <w:lang w:bidi="ar"/>
          <w14:textFill>
            <w14:solidFill>
              <w14:schemeClr w14:val="tx1"/>
            </w14:solidFill>
          </w14:textFill>
        </w:rPr>
        <w:t>2023年6月6日</w:t>
      </w:r>
      <w:bookmarkEnd w:id="88"/>
      <w:r>
        <w:rPr>
          <w:rFonts w:hint="eastAsia"/>
          <w:color w:val="000000" w:themeColor="text1"/>
          <w:kern w:val="0"/>
          <w:lang w:bidi="ar"/>
          <w14:textFill>
            <w14:solidFill>
              <w14:schemeClr w14:val="tx1"/>
            </w14:solidFill>
          </w14:textFill>
        </w:rPr>
        <w:t>对项目区</w:t>
      </w:r>
      <w:bookmarkStart w:id="89" w:name="_Hlk226539468"/>
      <w:r>
        <w:rPr>
          <w:rFonts w:hint="eastAsia"/>
          <w:color w:val="000000" w:themeColor="text1"/>
          <w:kern w:val="0"/>
          <w:lang w:bidi="ar"/>
          <w14:textFill>
            <w14:solidFill>
              <w14:schemeClr w14:val="tx1"/>
            </w14:solidFill>
          </w14:textFill>
        </w:rPr>
        <w:t>下游麻线屯村水井、提正公司项目区水井和龙池村水井</w:t>
      </w:r>
      <w:bookmarkEnd w:id="89"/>
      <w:r>
        <w:rPr>
          <w:rFonts w:hint="eastAsia"/>
          <w:color w:val="000000" w:themeColor="text1"/>
          <w:kern w:val="0"/>
          <w:lang w:bidi="ar"/>
          <w14:textFill>
            <w14:solidFill>
              <w14:schemeClr w14:val="tx1"/>
            </w14:solidFill>
          </w14:textFill>
        </w:rPr>
        <w:t>进行的地下水监测数据作为区域地下水环境现状背景值进行评价。数据如下：</w:t>
      </w:r>
    </w:p>
    <w:p w14:paraId="3E49EC3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地下水</w:t>
      </w:r>
      <w:r>
        <w:rPr>
          <w:rFonts w:hint="eastAsia"/>
          <w:color w:val="000000" w:themeColor="text1"/>
          <w14:textFill>
            <w14:solidFill>
              <w14:schemeClr w14:val="tx1"/>
            </w14:solidFill>
          </w14:textFill>
        </w:rPr>
        <w:t>引用数据</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单位：mg/L</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458"/>
        <w:gridCol w:w="1458"/>
        <w:gridCol w:w="1458"/>
        <w:gridCol w:w="1458"/>
        <w:gridCol w:w="802"/>
        <w:gridCol w:w="802"/>
      </w:tblGrid>
      <w:tr w14:paraId="25B9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A72BCD9">
            <w:pPr>
              <w:pStyle w:val="28"/>
              <w:rPr>
                <w:color w:val="000000" w:themeColor="text1"/>
                <w14:textFill>
                  <w14:solidFill>
                    <w14:schemeClr w14:val="tx1"/>
                  </w14:solidFill>
                </w14:textFill>
              </w:rPr>
            </w:pPr>
            <w:r>
              <w:rPr>
                <w:color w:val="000000" w:themeColor="text1"/>
                <w14:textFill>
                  <w14:solidFill>
                    <w14:schemeClr w14:val="tx1"/>
                  </w14:solidFill>
                </w14:textFill>
              </w:rPr>
              <w:t>检测点</w:t>
            </w:r>
          </w:p>
        </w:tc>
        <w:tc>
          <w:tcPr>
            <w:tcW w:w="3421" w:type="pct"/>
            <w:gridSpan w:val="4"/>
            <w:vAlign w:val="center"/>
          </w:tcPr>
          <w:p w14:paraId="27D9E11D">
            <w:pPr>
              <w:pStyle w:val="28"/>
              <w:rPr>
                <w:color w:val="000000" w:themeColor="text1"/>
                <w14:textFill>
                  <w14:solidFill>
                    <w14:schemeClr w14:val="tx1"/>
                  </w14:solidFill>
                </w14:textFill>
              </w:rPr>
            </w:pPr>
            <w:r>
              <w:rPr>
                <w:color w:val="000000" w:themeColor="text1"/>
                <w14:textFill>
                  <w14:solidFill>
                    <w14:schemeClr w14:val="tx1"/>
                  </w14:solidFill>
                </w14:textFill>
              </w:rPr>
              <w:t>麻线屯村</w:t>
            </w:r>
          </w:p>
        </w:tc>
        <w:tc>
          <w:tcPr>
            <w:tcW w:w="471" w:type="pct"/>
            <w:vMerge w:val="restart"/>
            <w:vAlign w:val="center"/>
          </w:tcPr>
          <w:p w14:paraId="1F8704CF">
            <w:pPr>
              <w:pStyle w:val="28"/>
              <w:rPr>
                <w:color w:val="000000" w:themeColor="text1"/>
                <w14:textFill>
                  <w14:solidFill>
                    <w14:schemeClr w14:val="tx1"/>
                  </w14:solidFill>
                </w14:textFill>
              </w:rPr>
            </w:pP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值</w:t>
            </w:r>
          </w:p>
        </w:tc>
        <w:tc>
          <w:tcPr>
            <w:tcW w:w="471" w:type="pct"/>
            <w:vMerge w:val="restart"/>
            <w:vAlign w:val="center"/>
          </w:tcPr>
          <w:p w14:paraId="17A94C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7839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96B6179">
            <w:pPr>
              <w:pStyle w:val="28"/>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3421" w:type="pct"/>
            <w:gridSpan w:val="4"/>
            <w:vAlign w:val="center"/>
          </w:tcPr>
          <w:p w14:paraId="7B442D99">
            <w:pPr>
              <w:pStyle w:val="28"/>
              <w:rPr>
                <w:color w:val="000000" w:themeColor="text1"/>
                <w14:textFill>
                  <w14:solidFill>
                    <w14:schemeClr w14:val="tx1"/>
                  </w14:solidFill>
                </w14:textFill>
              </w:rPr>
            </w:pPr>
            <w:r>
              <w:rPr>
                <w:color w:val="000000" w:themeColor="text1"/>
                <w14:textFill>
                  <w14:solidFill>
                    <w14:schemeClr w14:val="tx1"/>
                  </w14:solidFill>
                </w14:textFill>
              </w:rPr>
              <w:t>E：102.524249  N：24.429703</w:t>
            </w:r>
          </w:p>
        </w:tc>
        <w:tc>
          <w:tcPr>
            <w:tcW w:w="471" w:type="pct"/>
            <w:vMerge w:val="continue"/>
            <w:vAlign w:val="center"/>
          </w:tcPr>
          <w:p w14:paraId="495F96B7">
            <w:pPr>
              <w:pStyle w:val="28"/>
              <w:rPr>
                <w:color w:val="000000" w:themeColor="text1"/>
                <w14:textFill>
                  <w14:solidFill>
                    <w14:schemeClr w14:val="tx1"/>
                  </w14:solidFill>
                </w14:textFill>
              </w:rPr>
            </w:pPr>
          </w:p>
        </w:tc>
        <w:tc>
          <w:tcPr>
            <w:tcW w:w="471" w:type="pct"/>
            <w:vMerge w:val="continue"/>
            <w:vAlign w:val="center"/>
          </w:tcPr>
          <w:p w14:paraId="5C5D400E">
            <w:pPr>
              <w:pStyle w:val="28"/>
              <w:rPr>
                <w:color w:val="000000" w:themeColor="text1"/>
                <w14:textFill>
                  <w14:solidFill>
                    <w14:schemeClr w14:val="tx1"/>
                  </w14:solidFill>
                </w14:textFill>
              </w:rPr>
            </w:pPr>
          </w:p>
        </w:tc>
      </w:tr>
      <w:tr w14:paraId="3BF8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pct"/>
            <w:vMerge w:val="restart"/>
            <w:vAlign w:val="center"/>
          </w:tcPr>
          <w:p w14:paraId="74913F45">
            <w:pPr>
              <w:pStyle w:val="2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-53975</wp:posOffset>
                      </wp:positionH>
                      <wp:positionV relativeFrom="paragraph">
                        <wp:posOffset>20955</wp:posOffset>
                      </wp:positionV>
                      <wp:extent cx="657225" cy="538480"/>
                      <wp:effectExtent l="3175" t="3810" r="6350" b="10160"/>
                      <wp:wrapNone/>
                      <wp:docPr id="62" name="直接连接符 62"/>
                      <wp:cNvGraphicFramePr/>
                      <a:graphic xmlns:a="http://schemas.openxmlformats.org/drawingml/2006/main">
                        <a:graphicData uri="http://schemas.microsoft.com/office/word/2010/wordprocessingShape">
                          <wps:wsp>
                            <wps:cNvCnPr/>
                            <wps:spPr>
                              <a:xfrm>
                                <a:off x="1089660" y="1720215"/>
                                <a:ext cx="657225" cy="538480"/>
                              </a:xfrm>
                              <a:prstGeom prst="line">
                                <a:avLst/>
                              </a:prstGeom>
                              <a:noFill/>
                              <a:ln w="3175" cap="flat" cmpd="sng" algn="ctr">
                                <a:solidFill>
                                  <a:srgbClr val="000000"/>
                                </a:solidFill>
                                <a:prstDash val="solid"/>
                              </a:ln>
                              <a:effectLst/>
                            </wps:spPr>
                            <wps:bodyPr/>
                          </wps:wsp>
                        </a:graphicData>
                      </a:graphic>
                    </wp:anchor>
                  </w:drawing>
                </mc:Choice>
                <mc:Fallback>
                  <w:pict>
                    <v:line id="_x0000_s1026" o:spid="_x0000_s1026" o:spt="20" style="position:absolute;left:0pt;margin-left:-4.25pt;margin-top:1.65pt;height:42.4pt;width:51.75pt;z-index:251681792;mso-width-relative:page;mso-height-relative:page;" filled="f" stroked="t" coordsize="21600,21600" o:gfxdata="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GV0etcAAAAGAQAADwAAAAAAAAABACAAAAAiAAAAZHJzL2Rvd25yZXYueG1sUEsBAhQAFAAA&#10;AAgAh07iQO2UIuzwAQAAugMAAA4AAAAAAAAAAQAgAAAAJgEAAGRycy9lMm9Eb2MueG1sUEsFBgAA&#10;AAAGAAYAWQEAAIgFAAAAAA==&#10;">
                      <v:fill on="f" focussize="0,0"/>
                      <v:stroke weight="0.25pt" color="#000000" joinstyle="round"/>
                      <v:imagedata o:title=""/>
                      <o:lock v:ext="edit" aspectratio="f"/>
                    </v:line>
                  </w:pict>
                </mc:Fallback>
              </mc:AlternateContent>
            </w:r>
            <w:r>
              <w:rPr>
                <w:color w:val="000000" w:themeColor="text1"/>
                <w14:textFill>
                  <w14:solidFill>
                    <w14:schemeClr w14:val="tx1"/>
                  </w14:solidFill>
                </w14:textFill>
              </w:rPr>
              <w:t>采样</w:t>
            </w:r>
          </w:p>
          <w:p w14:paraId="03E2CF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时间</w:t>
            </w:r>
          </w:p>
          <w:p w14:paraId="5DC02BD2">
            <w:pPr>
              <w:pStyle w:val="28"/>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1710" w:type="pct"/>
            <w:gridSpan w:val="2"/>
            <w:vAlign w:val="center"/>
          </w:tcPr>
          <w:p w14:paraId="6A84A1B2">
            <w:pPr>
              <w:pStyle w:val="28"/>
              <w:rPr>
                <w:color w:val="000000" w:themeColor="text1"/>
                <w14:textFill>
                  <w14:solidFill>
                    <w14:schemeClr w14:val="tx1"/>
                  </w14:solidFill>
                </w14:textFill>
              </w:rPr>
            </w:pPr>
            <w:r>
              <w:rPr>
                <w:color w:val="000000" w:themeColor="text1"/>
                <w14:textFill>
                  <w14:solidFill>
                    <w14:schemeClr w14:val="tx1"/>
                  </w14:solidFill>
                </w14:textFill>
              </w:rPr>
              <w:t>2023/06/06</w:t>
            </w:r>
          </w:p>
        </w:tc>
        <w:tc>
          <w:tcPr>
            <w:tcW w:w="1711" w:type="pct"/>
            <w:gridSpan w:val="2"/>
            <w:vAlign w:val="center"/>
          </w:tcPr>
          <w:p w14:paraId="4F422A0F">
            <w:pPr>
              <w:pStyle w:val="28"/>
              <w:rPr>
                <w:color w:val="000000" w:themeColor="text1"/>
                <w14:textFill>
                  <w14:solidFill>
                    <w14:schemeClr w14:val="tx1"/>
                  </w14:solidFill>
                </w14:textFill>
              </w:rPr>
            </w:pPr>
            <w:r>
              <w:rPr>
                <w:color w:val="000000" w:themeColor="text1"/>
                <w14:textFill>
                  <w14:solidFill>
                    <w14:schemeClr w14:val="tx1"/>
                  </w14:solidFill>
                </w14:textFill>
              </w:rPr>
              <w:t>2023/06/07</w:t>
            </w:r>
          </w:p>
        </w:tc>
        <w:tc>
          <w:tcPr>
            <w:tcW w:w="471" w:type="pct"/>
            <w:vMerge w:val="continue"/>
            <w:vAlign w:val="center"/>
          </w:tcPr>
          <w:p w14:paraId="2C99AD0F">
            <w:pPr>
              <w:pStyle w:val="28"/>
              <w:rPr>
                <w:color w:val="000000" w:themeColor="text1"/>
                <w14:textFill>
                  <w14:solidFill>
                    <w14:schemeClr w14:val="tx1"/>
                  </w14:solidFill>
                </w14:textFill>
              </w:rPr>
            </w:pPr>
          </w:p>
        </w:tc>
        <w:tc>
          <w:tcPr>
            <w:tcW w:w="471" w:type="pct"/>
            <w:vMerge w:val="continue"/>
            <w:vAlign w:val="center"/>
          </w:tcPr>
          <w:p w14:paraId="7FF89978">
            <w:pPr>
              <w:pStyle w:val="28"/>
              <w:rPr>
                <w:color w:val="000000" w:themeColor="text1"/>
                <w14:textFill>
                  <w14:solidFill>
                    <w14:schemeClr w14:val="tx1"/>
                  </w14:solidFill>
                </w14:textFill>
              </w:rPr>
            </w:pPr>
          </w:p>
        </w:tc>
      </w:tr>
      <w:tr w14:paraId="52F4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35" w:type="pct"/>
            <w:vMerge w:val="continue"/>
            <w:tcBorders>
              <w:tl2br w:val="single" w:color="auto" w:sz="4" w:space="0"/>
            </w:tcBorders>
            <w:vAlign w:val="center"/>
          </w:tcPr>
          <w:p w14:paraId="6A98072D">
            <w:pPr>
              <w:pStyle w:val="28"/>
              <w:rPr>
                <w:color w:val="000000" w:themeColor="text1"/>
                <w14:textFill>
                  <w14:solidFill>
                    <w14:schemeClr w14:val="tx1"/>
                  </w14:solidFill>
                </w14:textFill>
              </w:rPr>
            </w:pPr>
          </w:p>
        </w:tc>
        <w:tc>
          <w:tcPr>
            <w:tcW w:w="855" w:type="pct"/>
            <w:vAlign w:val="center"/>
          </w:tcPr>
          <w:p w14:paraId="557988F6">
            <w:pPr>
              <w:pStyle w:val="28"/>
              <w:rPr>
                <w:color w:val="000000" w:themeColor="text1"/>
                <w14:textFill>
                  <w14:solidFill>
                    <w14:schemeClr w14:val="tx1"/>
                  </w14:solidFill>
                </w14:textFill>
              </w:rPr>
            </w:pPr>
            <w:r>
              <w:rPr>
                <w:color w:val="000000" w:themeColor="text1"/>
                <w14:textFill>
                  <w14:solidFill>
                    <w14:schemeClr w14:val="tx1"/>
                  </w14:solidFill>
                </w14:textFill>
              </w:rPr>
              <w:t>09:37</w:t>
            </w:r>
          </w:p>
        </w:tc>
        <w:tc>
          <w:tcPr>
            <w:tcW w:w="855" w:type="pct"/>
            <w:vAlign w:val="center"/>
          </w:tcPr>
          <w:p w14:paraId="3C730EAA">
            <w:pPr>
              <w:pStyle w:val="28"/>
              <w:rPr>
                <w:color w:val="000000" w:themeColor="text1"/>
                <w14:textFill>
                  <w14:solidFill>
                    <w14:schemeClr w14:val="tx1"/>
                  </w14:solidFill>
                </w14:textFill>
              </w:rPr>
            </w:pPr>
            <w:r>
              <w:rPr>
                <w:color w:val="000000" w:themeColor="text1"/>
                <w14:textFill>
                  <w14:solidFill>
                    <w14:schemeClr w14:val="tx1"/>
                  </w14:solidFill>
                </w14:textFill>
              </w:rPr>
              <w:t>14:35</w:t>
            </w:r>
          </w:p>
        </w:tc>
        <w:tc>
          <w:tcPr>
            <w:tcW w:w="855" w:type="pct"/>
            <w:vAlign w:val="center"/>
          </w:tcPr>
          <w:p w14:paraId="27A9B540">
            <w:pPr>
              <w:pStyle w:val="28"/>
              <w:rPr>
                <w:color w:val="000000" w:themeColor="text1"/>
                <w14:textFill>
                  <w14:solidFill>
                    <w14:schemeClr w14:val="tx1"/>
                  </w14:solidFill>
                </w14:textFill>
              </w:rPr>
            </w:pPr>
            <w:r>
              <w:rPr>
                <w:color w:val="000000" w:themeColor="text1"/>
                <w14:textFill>
                  <w14:solidFill>
                    <w14:schemeClr w14:val="tx1"/>
                  </w14:solidFill>
                </w14:textFill>
              </w:rPr>
              <w:t>09:29</w:t>
            </w:r>
          </w:p>
        </w:tc>
        <w:tc>
          <w:tcPr>
            <w:tcW w:w="856" w:type="pct"/>
            <w:vAlign w:val="center"/>
          </w:tcPr>
          <w:p w14:paraId="72CD9FEF">
            <w:pPr>
              <w:pStyle w:val="28"/>
              <w:rPr>
                <w:color w:val="000000" w:themeColor="text1"/>
                <w14:textFill>
                  <w14:solidFill>
                    <w14:schemeClr w14:val="tx1"/>
                  </w14:solidFill>
                </w14:textFill>
              </w:rPr>
            </w:pPr>
            <w:r>
              <w:rPr>
                <w:color w:val="000000" w:themeColor="text1"/>
                <w14:textFill>
                  <w14:solidFill>
                    <w14:schemeClr w14:val="tx1"/>
                  </w14:solidFill>
                </w14:textFill>
              </w:rPr>
              <w:t>14:19</w:t>
            </w:r>
          </w:p>
        </w:tc>
        <w:tc>
          <w:tcPr>
            <w:tcW w:w="471" w:type="pct"/>
            <w:vMerge w:val="continue"/>
            <w:vAlign w:val="center"/>
          </w:tcPr>
          <w:p w14:paraId="6194FD6B">
            <w:pPr>
              <w:pStyle w:val="28"/>
              <w:rPr>
                <w:color w:val="000000" w:themeColor="text1"/>
                <w14:textFill>
                  <w14:solidFill>
                    <w14:schemeClr w14:val="tx1"/>
                  </w14:solidFill>
                </w14:textFill>
              </w:rPr>
            </w:pPr>
          </w:p>
        </w:tc>
        <w:tc>
          <w:tcPr>
            <w:tcW w:w="471" w:type="pct"/>
            <w:vMerge w:val="continue"/>
            <w:vAlign w:val="center"/>
          </w:tcPr>
          <w:p w14:paraId="2CFABB1E">
            <w:pPr>
              <w:pStyle w:val="28"/>
              <w:rPr>
                <w:color w:val="000000" w:themeColor="text1"/>
                <w14:textFill>
                  <w14:solidFill>
                    <w14:schemeClr w14:val="tx1"/>
                  </w14:solidFill>
                </w14:textFill>
              </w:rPr>
            </w:pPr>
          </w:p>
        </w:tc>
      </w:tr>
      <w:tr w14:paraId="35BE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6755A326">
            <w:pPr>
              <w:pStyle w:val="28"/>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855" w:type="pct"/>
            <w:vAlign w:val="center"/>
          </w:tcPr>
          <w:p w14:paraId="57AA926F">
            <w:pPr>
              <w:pStyle w:val="28"/>
              <w:rPr>
                <w:color w:val="000000" w:themeColor="text1"/>
                <w14:textFill>
                  <w14:solidFill>
                    <w14:schemeClr w14:val="tx1"/>
                  </w14:solidFill>
                </w14:textFill>
              </w:rPr>
            </w:pPr>
            <w:r>
              <w:rPr>
                <w:color w:val="000000" w:themeColor="text1"/>
                <w14:textFill>
                  <w14:solidFill>
                    <w14:schemeClr w14:val="tx1"/>
                  </w14:solidFill>
                </w14:textFill>
              </w:rPr>
              <w:t>7.9</w:t>
            </w:r>
          </w:p>
        </w:tc>
        <w:tc>
          <w:tcPr>
            <w:tcW w:w="855" w:type="pct"/>
            <w:vAlign w:val="center"/>
          </w:tcPr>
          <w:p w14:paraId="797E3ABD">
            <w:pPr>
              <w:pStyle w:val="28"/>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55" w:type="pct"/>
            <w:vAlign w:val="center"/>
          </w:tcPr>
          <w:p w14:paraId="60C29647">
            <w:pPr>
              <w:pStyle w:val="28"/>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56" w:type="pct"/>
            <w:vAlign w:val="center"/>
          </w:tcPr>
          <w:p w14:paraId="07172025">
            <w:pPr>
              <w:pStyle w:val="28"/>
              <w:rPr>
                <w:color w:val="000000" w:themeColor="text1"/>
                <w14:textFill>
                  <w14:solidFill>
                    <w14:schemeClr w14:val="tx1"/>
                  </w14:solidFill>
                </w14:textFill>
              </w:rPr>
            </w:pPr>
            <w:r>
              <w:rPr>
                <w:color w:val="000000" w:themeColor="text1"/>
                <w14:textFill>
                  <w14:solidFill>
                    <w14:schemeClr w14:val="tx1"/>
                  </w14:solidFill>
                </w14:textFill>
              </w:rPr>
              <w:t>7.9</w:t>
            </w:r>
          </w:p>
        </w:tc>
        <w:tc>
          <w:tcPr>
            <w:tcW w:w="471" w:type="pct"/>
            <w:vAlign w:val="center"/>
          </w:tcPr>
          <w:p w14:paraId="7E44D5E1">
            <w:pPr>
              <w:pStyle w:val="28"/>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471" w:type="pct"/>
            <w:vAlign w:val="center"/>
          </w:tcPr>
          <w:p w14:paraId="027CD1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FED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37139547">
            <w:pPr>
              <w:pStyle w:val="2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855" w:type="pct"/>
            <w:vAlign w:val="center"/>
          </w:tcPr>
          <w:p w14:paraId="70F91C7E">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855" w:type="pct"/>
            <w:vAlign w:val="center"/>
          </w:tcPr>
          <w:p w14:paraId="136CE7ED">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855" w:type="pct"/>
            <w:vAlign w:val="center"/>
          </w:tcPr>
          <w:p w14:paraId="771C82A7">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856" w:type="pct"/>
            <w:vAlign w:val="center"/>
          </w:tcPr>
          <w:p w14:paraId="168C4A43">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471" w:type="pct"/>
            <w:vAlign w:val="center"/>
          </w:tcPr>
          <w:p w14:paraId="6659C7CA">
            <w:pPr>
              <w:pStyle w:val="28"/>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471" w:type="pct"/>
            <w:vAlign w:val="center"/>
          </w:tcPr>
          <w:p w14:paraId="58F164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291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AE6A526">
            <w:pPr>
              <w:pStyle w:val="28"/>
              <w:rPr>
                <w:color w:val="000000" w:themeColor="text1"/>
                <w14:textFill>
                  <w14:solidFill>
                    <w14:schemeClr w14:val="tx1"/>
                  </w14:solidFill>
                </w14:textFill>
              </w:rPr>
            </w:pPr>
            <w:r>
              <w:rPr>
                <w:color w:val="000000" w:themeColor="text1"/>
                <w14:textFill>
                  <w14:solidFill>
                    <w14:schemeClr w14:val="tx1"/>
                  </w14:solidFill>
                </w14:textFill>
              </w:rPr>
              <w:t>硝酸盐氮</w:t>
            </w:r>
          </w:p>
        </w:tc>
        <w:tc>
          <w:tcPr>
            <w:tcW w:w="855" w:type="pct"/>
            <w:vAlign w:val="center"/>
          </w:tcPr>
          <w:p w14:paraId="1FB2E796">
            <w:pPr>
              <w:pStyle w:val="28"/>
              <w:rPr>
                <w:color w:val="000000" w:themeColor="text1"/>
                <w14:textFill>
                  <w14:solidFill>
                    <w14:schemeClr w14:val="tx1"/>
                  </w14:solidFill>
                </w14:textFill>
              </w:rPr>
            </w:pPr>
            <w:r>
              <w:rPr>
                <w:color w:val="000000" w:themeColor="text1"/>
                <w14:textFill>
                  <w14:solidFill>
                    <w14:schemeClr w14:val="tx1"/>
                  </w14:solidFill>
                </w14:textFill>
              </w:rPr>
              <w:t>0.99</w:t>
            </w:r>
          </w:p>
        </w:tc>
        <w:tc>
          <w:tcPr>
            <w:tcW w:w="855" w:type="pct"/>
            <w:vAlign w:val="center"/>
          </w:tcPr>
          <w:p w14:paraId="176282F3">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55" w:type="pct"/>
            <w:vAlign w:val="center"/>
          </w:tcPr>
          <w:p w14:paraId="4F2314AC">
            <w:pPr>
              <w:pStyle w:val="2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56" w:type="pct"/>
            <w:vAlign w:val="center"/>
          </w:tcPr>
          <w:p w14:paraId="3A85C058">
            <w:pPr>
              <w:pStyle w:val="28"/>
              <w:rPr>
                <w:color w:val="000000" w:themeColor="text1"/>
                <w14:textFill>
                  <w14:solidFill>
                    <w14:schemeClr w14:val="tx1"/>
                  </w14:solidFill>
                </w14:textFill>
              </w:rPr>
            </w:pPr>
            <w:r>
              <w:rPr>
                <w:color w:val="000000" w:themeColor="text1"/>
                <w14:textFill>
                  <w14:solidFill>
                    <w14:schemeClr w14:val="tx1"/>
                  </w14:solidFill>
                </w14:textFill>
              </w:rPr>
              <w:t>1.01</w:t>
            </w:r>
          </w:p>
        </w:tc>
        <w:tc>
          <w:tcPr>
            <w:tcW w:w="471" w:type="pct"/>
            <w:vAlign w:val="center"/>
          </w:tcPr>
          <w:p w14:paraId="4C49FA09">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71" w:type="pct"/>
            <w:vAlign w:val="center"/>
          </w:tcPr>
          <w:p w14:paraId="7650EC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46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744C41F">
            <w:pPr>
              <w:pStyle w:val="2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855" w:type="pct"/>
            <w:vAlign w:val="center"/>
          </w:tcPr>
          <w:p w14:paraId="54452635">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06E05B43">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561527F5">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6" w:type="pct"/>
            <w:vAlign w:val="center"/>
          </w:tcPr>
          <w:p w14:paraId="220AE3A2">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471" w:type="pct"/>
            <w:vAlign w:val="center"/>
          </w:tcPr>
          <w:p w14:paraId="5D35A019">
            <w:pPr>
              <w:pStyle w:val="2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471" w:type="pct"/>
            <w:vAlign w:val="center"/>
          </w:tcPr>
          <w:p w14:paraId="12E541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786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3D166834">
            <w:pPr>
              <w:pStyle w:val="2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855" w:type="pct"/>
            <w:vAlign w:val="center"/>
          </w:tcPr>
          <w:p w14:paraId="10A1E541">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4F6A937D">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57F3347D">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6" w:type="pct"/>
            <w:vAlign w:val="center"/>
          </w:tcPr>
          <w:p w14:paraId="31F7B4D7">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471" w:type="pct"/>
            <w:vAlign w:val="center"/>
          </w:tcPr>
          <w:p w14:paraId="668301B6">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00B3D7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F8F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8D44171">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55" w:type="pct"/>
            <w:vAlign w:val="center"/>
          </w:tcPr>
          <w:p w14:paraId="2D67DAEB">
            <w:pPr>
              <w:pStyle w:val="28"/>
              <w:rPr>
                <w:color w:val="000000" w:themeColor="text1"/>
                <w14:textFill>
                  <w14:solidFill>
                    <w14:schemeClr w14:val="tx1"/>
                  </w14:solidFill>
                </w14:textFill>
              </w:rPr>
            </w:pPr>
            <w:r>
              <w:rPr>
                <w:color w:val="000000" w:themeColor="text1"/>
                <w14:textFill>
                  <w14:solidFill>
                    <w14:schemeClr w14:val="tx1"/>
                  </w14:solidFill>
                </w14:textFill>
              </w:rPr>
              <w:t>9×10-4</w:t>
            </w:r>
          </w:p>
        </w:tc>
        <w:tc>
          <w:tcPr>
            <w:tcW w:w="855" w:type="pct"/>
            <w:vAlign w:val="center"/>
          </w:tcPr>
          <w:p w14:paraId="75A4D003">
            <w:pPr>
              <w:pStyle w:val="28"/>
              <w:rPr>
                <w:color w:val="000000" w:themeColor="text1"/>
                <w14:textFill>
                  <w14:solidFill>
                    <w14:schemeClr w14:val="tx1"/>
                  </w14:solidFill>
                </w14:textFill>
              </w:rPr>
            </w:pPr>
            <w:r>
              <w:rPr>
                <w:color w:val="000000" w:themeColor="text1"/>
                <w14:textFill>
                  <w14:solidFill>
                    <w14:schemeClr w14:val="tx1"/>
                  </w14:solidFill>
                </w14:textFill>
              </w:rPr>
              <w:t>8×10-4</w:t>
            </w:r>
          </w:p>
        </w:tc>
        <w:tc>
          <w:tcPr>
            <w:tcW w:w="855" w:type="pct"/>
            <w:vAlign w:val="center"/>
          </w:tcPr>
          <w:p w14:paraId="677BE756">
            <w:pPr>
              <w:pStyle w:val="28"/>
              <w:rPr>
                <w:color w:val="000000" w:themeColor="text1"/>
                <w14:textFill>
                  <w14:solidFill>
                    <w14:schemeClr w14:val="tx1"/>
                  </w14:solidFill>
                </w14:textFill>
              </w:rPr>
            </w:pPr>
            <w:r>
              <w:rPr>
                <w:color w:val="000000" w:themeColor="text1"/>
                <w14:textFill>
                  <w14:solidFill>
                    <w14:schemeClr w14:val="tx1"/>
                  </w14:solidFill>
                </w14:textFill>
              </w:rPr>
              <w:t>3.2×10-3</w:t>
            </w:r>
          </w:p>
        </w:tc>
        <w:tc>
          <w:tcPr>
            <w:tcW w:w="856" w:type="pct"/>
            <w:vAlign w:val="center"/>
          </w:tcPr>
          <w:p w14:paraId="0FAFD470">
            <w:pPr>
              <w:pStyle w:val="28"/>
              <w:rPr>
                <w:color w:val="000000" w:themeColor="text1"/>
                <w14:textFill>
                  <w14:solidFill>
                    <w14:schemeClr w14:val="tx1"/>
                  </w14:solidFill>
                </w14:textFill>
              </w:rPr>
            </w:pPr>
            <w:r>
              <w:rPr>
                <w:color w:val="000000" w:themeColor="text1"/>
                <w14:textFill>
                  <w14:solidFill>
                    <w14:schemeClr w14:val="tx1"/>
                  </w14:solidFill>
                </w14:textFill>
              </w:rPr>
              <w:t>3.7×10-3</w:t>
            </w:r>
          </w:p>
        </w:tc>
        <w:tc>
          <w:tcPr>
            <w:tcW w:w="471" w:type="pct"/>
            <w:vAlign w:val="center"/>
          </w:tcPr>
          <w:p w14:paraId="6EF8306F">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471" w:type="pct"/>
            <w:vAlign w:val="center"/>
          </w:tcPr>
          <w:p w14:paraId="67EFB0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0CD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1BC4409">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55" w:type="pct"/>
            <w:vAlign w:val="center"/>
          </w:tcPr>
          <w:p w14:paraId="3673F916">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37F81B83">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61EDB6A9">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6" w:type="pct"/>
            <w:vAlign w:val="center"/>
          </w:tcPr>
          <w:p w14:paraId="0B1D9FBE">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471" w:type="pct"/>
            <w:vAlign w:val="center"/>
          </w:tcPr>
          <w:p w14:paraId="2A0B9AA9">
            <w:pPr>
              <w:pStyle w:val="28"/>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471" w:type="pct"/>
            <w:vAlign w:val="center"/>
          </w:tcPr>
          <w:p w14:paraId="6BC08B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109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A779DC2">
            <w:pPr>
              <w:pStyle w:val="2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855" w:type="pct"/>
            <w:vAlign w:val="center"/>
          </w:tcPr>
          <w:p w14:paraId="35B3B55B">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7B8A10AC">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05713711">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6" w:type="pct"/>
            <w:vAlign w:val="center"/>
          </w:tcPr>
          <w:p w14:paraId="018E27A0">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471" w:type="pct"/>
            <w:vAlign w:val="center"/>
          </w:tcPr>
          <w:p w14:paraId="33B2F384">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6B21BF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1B6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14E00CC9">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855" w:type="pct"/>
            <w:vAlign w:val="center"/>
          </w:tcPr>
          <w:p w14:paraId="13B23D84">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0517632B">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3412305D">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6" w:type="pct"/>
            <w:vAlign w:val="center"/>
          </w:tcPr>
          <w:p w14:paraId="4CADB597">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471" w:type="pct"/>
            <w:vAlign w:val="center"/>
          </w:tcPr>
          <w:p w14:paraId="20A7970B">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471" w:type="pct"/>
            <w:vAlign w:val="center"/>
          </w:tcPr>
          <w:p w14:paraId="69BFEA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388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B9FB1B8">
            <w:pPr>
              <w:pStyle w:val="28"/>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855" w:type="pct"/>
            <w:vAlign w:val="center"/>
          </w:tcPr>
          <w:p w14:paraId="61286206">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5" w:type="pct"/>
            <w:vAlign w:val="center"/>
          </w:tcPr>
          <w:p w14:paraId="47707895">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5" w:type="pct"/>
            <w:vAlign w:val="center"/>
          </w:tcPr>
          <w:p w14:paraId="5C9E233F">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6" w:type="pct"/>
            <w:vAlign w:val="center"/>
          </w:tcPr>
          <w:p w14:paraId="1FA1E46B">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471" w:type="pct"/>
            <w:vAlign w:val="center"/>
          </w:tcPr>
          <w:p w14:paraId="2FBC3AD9">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471" w:type="pct"/>
            <w:vAlign w:val="center"/>
          </w:tcPr>
          <w:p w14:paraId="2256B2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355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690D127">
            <w:pPr>
              <w:pStyle w:val="28"/>
              <w:rPr>
                <w:color w:val="000000" w:themeColor="text1"/>
                <w14:textFill>
                  <w14:solidFill>
                    <w14:schemeClr w14:val="tx1"/>
                  </w14:solidFill>
                </w14:textFill>
              </w:rPr>
            </w:pPr>
            <w:r>
              <w:rPr>
                <w:color w:val="000000" w:themeColor="text1"/>
                <w14:textFill>
                  <w14:solidFill>
                    <w14:schemeClr w14:val="tx1"/>
                  </w14:solidFill>
                </w14:textFill>
              </w:rPr>
              <w:t>高锰酸盐指数</w:t>
            </w:r>
          </w:p>
          <w:p w14:paraId="7F5DFC12">
            <w:pPr>
              <w:pStyle w:val="28"/>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855" w:type="pct"/>
            <w:vAlign w:val="center"/>
          </w:tcPr>
          <w:p w14:paraId="4E27FEA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5" w:type="pct"/>
            <w:vAlign w:val="center"/>
          </w:tcPr>
          <w:p w14:paraId="2A4B6A8A">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855" w:type="pct"/>
            <w:vAlign w:val="center"/>
          </w:tcPr>
          <w:p w14:paraId="0FA5B35C">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6" w:type="pct"/>
            <w:vAlign w:val="center"/>
          </w:tcPr>
          <w:p w14:paraId="10F2980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71" w:type="pct"/>
            <w:vAlign w:val="center"/>
          </w:tcPr>
          <w:p w14:paraId="2B17A489">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71" w:type="pct"/>
            <w:vAlign w:val="center"/>
          </w:tcPr>
          <w:p w14:paraId="612A9D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025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A7689E6">
            <w:pPr>
              <w:pStyle w:val="2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855" w:type="pct"/>
            <w:vAlign w:val="center"/>
          </w:tcPr>
          <w:p w14:paraId="57CCCE51">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5" w:type="pct"/>
            <w:vAlign w:val="center"/>
          </w:tcPr>
          <w:p w14:paraId="69C23D89">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5" w:type="pct"/>
            <w:vAlign w:val="center"/>
          </w:tcPr>
          <w:p w14:paraId="427153D5">
            <w:pPr>
              <w:pStyle w:val="2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856" w:type="pct"/>
            <w:vAlign w:val="center"/>
          </w:tcPr>
          <w:p w14:paraId="77402249">
            <w:pPr>
              <w:pStyle w:val="2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471" w:type="pct"/>
            <w:vAlign w:val="center"/>
          </w:tcPr>
          <w:p w14:paraId="1061C62D">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654D11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DB6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96FB27A">
            <w:pPr>
              <w:pStyle w:val="28"/>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855" w:type="pct"/>
            <w:vAlign w:val="center"/>
          </w:tcPr>
          <w:p w14:paraId="7978BB04">
            <w:pPr>
              <w:pStyle w:val="28"/>
              <w:rPr>
                <w:color w:val="000000" w:themeColor="text1"/>
                <w14:textFill>
                  <w14:solidFill>
                    <w14:schemeClr w14:val="tx1"/>
                  </w14:solidFill>
                </w14:textFill>
              </w:rPr>
            </w:pPr>
            <w:r>
              <w:rPr>
                <w:color w:val="000000" w:themeColor="text1"/>
                <w14:textFill>
                  <w14:solidFill>
                    <w14:schemeClr w14:val="tx1"/>
                  </w14:solidFill>
                </w14:textFill>
              </w:rPr>
              <w:t>116</w:t>
            </w:r>
          </w:p>
        </w:tc>
        <w:tc>
          <w:tcPr>
            <w:tcW w:w="855" w:type="pct"/>
            <w:vAlign w:val="center"/>
          </w:tcPr>
          <w:p w14:paraId="2982704C">
            <w:pPr>
              <w:pStyle w:val="28"/>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855" w:type="pct"/>
            <w:vAlign w:val="center"/>
          </w:tcPr>
          <w:p w14:paraId="10BF438D">
            <w:pPr>
              <w:pStyle w:val="28"/>
              <w:rPr>
                <w:color w:val="000000" w:themeColor="text1"/>
                <w14:textFill>
                  <w14:solidFill>
                    <w14:schemeClr w14:val="tx1"/>
                  </w14:solidFill>
                </w14:textFill>
              </w:rPr>
            </w:pPr>
            <w:r>
              <w:rPr>
                <w:color w:val="000000" w:themeColor="text1"/>
                <w14:textFill>
                  <w14:solidFill>
                    <w14:schemeClr w14:val="tx1"/>
                  </w14:solidFill>
                </w14:textFill>
              </w:rPr>
              <w:t>154</w:t>
            </w:r>
          </w:p>
        </w:tc>
        <w:tc>
          <w:tcPr>
            <w:tcW w:w="856" w:type="pct"/>
            <w:vAlign w:val="center"/>
          </w:tcPr>
          <w:p w14:paraId="1A8C7340">
            <w:pPr>
              <w:pStyle w:val="28"/>
              <w:rPr>
                <w:color w:val="000000" w:themeColor="text1"/>
                <w14:textFill>
                  <w14:solidFill>
                    <w14:schemeClr w14:val="tx1"/>
                  </w14:solidFill>
                </w14:textFill>
              </w:rPr>
            </w:pPr>
            <w:r>
              <w:rPr>
                <w:color w:val="000000" w:themeColor="text1"/>
                <w14:textFill>
                  <w14:solidFill>
                    <w14:schemeClr w14:val="tx1"/>
                  </w14:solidFill>
                </w14:textFill>
              </w:rPr>
              <w:t>156</w:t>
            </w:r>
          </w:p>
        </w:tc>
        <w:tc>
          <w:tcPr>
            <w:tcW w:w="471" w:type="pct"/>
            <w:vAlign w:val="center"/>
          </w:tcPr>
          <w:p w14:paraId="63B7810F">
            <w:pPr>
              <w:pStyle w:val="28"/>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471" w:type="pct"/>
            <w:vAlign w:val="center"/>
          </w:tcPr>
          <w:p w14:paraId="29DAC8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224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DE20D4B">
            <w:pPr>
              <w:pStyle w:val="2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855" w:type="pct"/>
            <w:vAlign w:val="center"/>
          </w:tcPr>
          <w:p w14:paraId="65DE222F">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0F5BFC31">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6A9AC598">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6" w:type="pct"/>
            <w:vAlign w:val="center"/>
          </w:tcPr>
          <w:p w14:paraId="6E1A2E70">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471" w:type="pct"/>
            <w:vAlign w:val="center"/>
          </w:tcPr>
          <w:p w14:paraId="028EE9F8">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394CC0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86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1D80561">
            <w:pPr>
              <w:pStyle w:val="2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855" w:type="pct"/>
            <w:vAlign w:val="center"/>
          </w:tcPr>
          <w:p w14:paraId="1FF32D55">
            <w:pPr>
              <w:pStyle w:val="28"/>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855" w:type="pct"/>
            <w:vAlign w:val="center"/>
          </w:tcPr>
          <w:p w14:paraId="2ACE19C8">
            <w:pPr>
              <w:pStyle w:val="28"/>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855" w:type="pct"/>
            <w:vAlign w:val="center"/>
          </w:tcPr>
          <w:p w14:paraId="23954723">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856" w:type="pct"/>
            <w:vAlign w:val="center"/>
          </w:tcPr>
          <w:p w14:paraId="733BFEE5">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471" w:type="pct"/>
            <w:vAlign w:val="center"/>
          </w:tcPr>
          <w:p w14:paraId="521FF7F5">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71" w:type="pct"/>
            <w:vAlign w:val="center"/>
          </w:tcPr>
          <w:p w14:paraId="546EA3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2B0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1971704">
            <w:pPr>
              <w:pStyle w:val="28"/>
              <w:rPr>
                <w:color w:val="000000" w:themeColor="text1"/>
                <w14:textFill>
                  <w14:solidFill>
                    <w14:schemeClr w14:val="tx1"/>
                  </w14:solidFill>
                </w14:textFill>
              </w:rPr>
            </w:pPr>
            <w:r>
              <w:rPr>
                <w:color w:val="000000" w:themeColor="text1"/>
                <w14:textFill>
                  <w14:solidFill>
                    <w14:schemeClr w14:val="tx1"/>
                  </w14:solidFill>
                </w14:textFill>
              </w:rPr>
              <w:t>总大肠菌群（MPN/100ml）</w:t>
            </w:r>
          </w:p>
        </w:tc>
        <w:tc>
          <w:tcPr>
            <w:tcW w:w="855" w:type="pct"/>
            <w:vAlign w:val="center"/>
          </w:tcPr>
          <w:p w14:paraId="1EB8DA5A">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5" w:type="pct"/>
            <w:vAlign w:val="center"/>
          </w:tcPr>
          <w:p w14:paraId="71E59A11">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5" w:type="pct"/>
            <w:vAlign w:val="center"/>
          </w:tcPr>
          <w:p w14:paraId="3AA8052B">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6" w:type="pct"/>
            <w:vAlign w:val="center"/>
          </w:tcPr>
          <w:p w14:paraId="2A53F76A">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471" w:type="pct"/>
            <w:vAlign w:val="center"/>
          </w:tcPr>
          <w:p w14:paraId="0D048F4C">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71" w:type="pct"/>
            <w:vAlign w:val="center"/>
          </w:tcPr>
          <w:p w14:paraId="708787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1A8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02CD8FA">
            <w:pPr>
              <w:pStyle w:val="28"/>
              <w:rPr>
                <w:color w:val="000000" w:themeColor="text1"/>
                <w14:textFill>
                  <w14:solidFill>
                    <w14:schemeClr w14:val="tx1"/>
                  </w14:solidFill>
                </w14:textFill>
              </w:rPr>
            </w:pPr>
            <w:r>
              <w:rPr>
                <w:color w:val="000000" w:themeColor="text1"/>
                <w14:textFill>
                  <w14:solidFill>
                    <w14:schemeClr w14:val="tx1"/>
                  </w14:solidFill>
                </w14:textFill>
              </w:rPr>
              <w:t>检测点</w:t>
            </w:r>
          </w:p>
        </w:tc>
        <w:tc>
          <w:tcPr>
            <w:tcW w:w="3421" w:type="pct"/>
            <w:gridSpan w:val="4"/>
            <w:vAlign w:val="center"/>
          </w:tcPr>
          <w:p w14:paraId="1C0C26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提正公司项目区</w:t>
            </w:r>
          </w:p>
        </w:tc>
        <w:tc>
          <w:tcPr>
            <w:tcW w:w="471" w:type="pct"/>
            <w:vMerge w:val="restart"/>
            <w:vAlign w:val="center"/>
          </w:tcPr>
          <w:p w14:paraId="0898D5D9">
            <w:pPr>
              <w:pStyle w:val="28"/>
              <w:rPr>
                <w:color w:val="000000" w:themeColor="text1"/>
                <w14:textFill>
                  <w14:solidFill>
                    <w14:schemeClr w14:val="tx1"/>
                  </w14:solidFill>
                </w14:textFill>
              </w:rPr>
            </w:pP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值</w:t>
            </w:r>
          </w:p>
        </w:tc>
        <w:tc>
          <w:tcPr>
            <w:tcW w:w="471" w:type="pct"/>
            <w:vMerge w:val="restart"/>
            <w:vAlign w:val="center"/>
          </w:tcPr>
          <w:p w14:paraId="343029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3523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50377B1">
            <w:pPr>
              <w:pStyle w:val="28"/>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3421" w:type="pct"/>
            <w:gridSpan w:val="4"/>
            <w:vAlign w:val="center"/>
          </w:tcPr>
          <w:p w14:paraId="5968DF64">
            <w:pPr>
              <w:pStyle w:val="28"/>
              <w:rPr>
                <w:color w:val="000000" w:themeColor="text1"/>
                <w14:textFill>
                  <w14:solidFill>
                    <w14:schemeClr w14:val="tx1"/>
                  </w14:solidFill>
                </w14:textFill>
              </w:rPr>
            </w:pPr>
            <w:r>
              <w:rPr>
                <w:color w:val="000000" w:themeColor="text1"/>
                <w14:textFill>
                  <w14:solidFill>
                    <w14:schemeClr w14:val="tx1"/>
                  </w14:solidFill>
                </w14:textFill>
              </w:rPr>
              <w:t>E：102.524364  N：24.424740</w:t>
            </w:r>
          </w:p>
        </w:tc>
        <w:tc>
          <w:tcPr>
            <w:tcW w:w="471" w:type="pct"/>
            <w:vMerge w:val="continue"/>
            <w:vAlign w:val="center"/>
          </w:tcPr>
          <w:p w14:paraId="220B892F">
            <w:pPr>
              <w:pStyle w:val="28"/>
              <w:rPr>
                <w:color w:val="000000" w:themeColor="text1"/>
                <w14:textFill>
                  <w14:solidFill>
                    <w14:schemeClr w14:val="tx1"/>
                  </w14:solidFill>
                </w14:textFill>
              </w:rPr>
            </w:pPr>
          </w:p>
        </w:tc>
        <w:tc>
          <w:tcPr>
            <w:tcW w:w="471" w:type="pct"/>
            <w:vMerge w:val="continue"/>
            <w:vAlign w:val="center"/>
          </w:tcPr>
          <w:p w14:paraId="21DAEE2B">
            <w:pPr>
              <w:pStyle w:val="28"/>
              <w:rPr>
                <w:color w:val="000000" w:themeColor="text1"/>
                <w14:textFill>
                  <w14:solidFill>
                    <w14:schemeClr w14:val="tx1"/>
                  </w14:solidFill>
                </w14:textFill>
              </w:rPr>
            </w:pPr>
          </w:p>
        </w:tc>
      </w:tr>
      <w:tr w14:paraId="1D63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Merge w:val="restart"/>
            <w:vAlign w:val="center"/>
          </w:tcPr>
          <w:p w14:paraId="7B280E7E">
            <w:pPr>
              <w:pStyle w:val="2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-53975</wp:posOffset>
                      </wp:positionH>
                      <wp:positionV relativeFrom="paragraph">
                        <wp:posOffset>20955</wp:posOffset>
                      </wp:positionV>
                      <wp:extent cx="590550" cy="466090"/>
                      <wp:effectExtent l="3175" t="3810" r="15875" b="6350"/>
                      <wp:wrapNone/>
                      <wp:docPr id="61" name="直接连接符 61"/>
                      <wp:cNvGraphicFramePr/>
                      <a:graphic xmlns:a="http://schemas.openxmlformats.org/drawingml/2006/main">
                        <a:graphicData uri="http://schemas.microsoft.com/office/word/2010/wordprocessingShape">
                          <wps:wsp>
                            <wps:cNvCnPr/>
                            <wps:spPr>
                              <a:xfrm>
                                <a:off x="1089660" y="1720215"/>
                                <a:ext cx="590550" cy="466090"/>
                              </a:xfrm>
                              <a:prstGeom prst="line">
                                <a:avLst/>
                              </a:prstGeom>
                              <a:noFill/>
                              <a:ln w="3175" cap="flat" cmpd="sng" algn="ctr">
                                <a:solidFill>
                                  <a:srgbClr val="000000"/>
                                </a:solidFill>
                                <a:prstDash val="solid"/>
                              </a:ln>
                              <a:effectLst/>
                            </wps:spPr>
                            <wps:bodyPr/>
                          </wps:wsp>
                        </a:graphicData>
                      </a:graphic>
                    </wp:anchor>
                  </w:drawing>
                </mc:Choice>
                <mc:Fallback>
                  <w:pict>
                    <v:line id="_x0000_s1026" o:spid="_x0000_s1026" o:spt="20" style="position:absolute;left:0pt;margin-left:-4.25pt;margin-top:1.65pt;height:36.7pt;width:46.5pt;z-index:251682816;mso-width-relative:page;mso-height-relative:page;" filled="f" stroked="t" coordsize="21600,21600" o:gfxdata="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4639YAAAAGAQAADwAAAAAAAAABACAAAAAiAAAAZHJzL2Rvd25yZXYueG1sUEsBAhQAFAAAAAgA&#10;h07iQPFkuuzuAQAAugMAAA4AAAAAAAAAAQAgAAAAJQEAAGRycy9lMm9Eb2MueG1sUEsFBgAAAAAG&#10;AAYAWQEAAIUFAAAAAA==&#10;">
                      <v:fill on="f" focussize="0,0"/>
                      <v:stroke weight="0.25pt" color="#000000" joinstyle="round"/>
                      <v:imagedata o:title=""/>
                      <o:lock v:ext="edit" aspectratio="f"/>
                    </v:line>
                  </w:pict>
                </mc:Fallback>
              </mc:AlternateContent>
            </w:r>
            <w:r>
              <w:rPr>
                <w:color w:val="000000" w:themeColor="text1"/>
                <w14:textFill>
                  <w14:solidFill>
                    <w14:schemeClr w14:val="tx1"/>
                  </w14:solidFill>
                </w14:textFill>
              </w:rPr>
              <w:t>采样</w:t>
            </w:r>
          </w:p>
          <w:p w14:paraId="5149E4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时间</w:t>
            </w:r>
          </w:p>
          <w:p w14:paraId="684C2EDA">
            <w:pPr>
              <w:pStyle w:val="28"/>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1710" w:type="pct"/>
            <w:gridSpan w:val="2"/>
            <w:vAlign w:val="center"/>
          </w:tcPr>
          <w:p w14:paraId="7C15E44C">
            <w:pPr>
              <w:pStyle w:val="28"/>
              <w:rPr>
                <w:color w:val="000000" w:themeColor="text1"/>
                <w14:textFill>
                  <w14:solidFill>
                    <w14:schemeClr w14:val="tx1"/>
                  </w14:solidFill>
                </w14:textFill>
              </w:rPr>
            </w:pPr>
            <w:r>
              <w:rPr>
                <w:color w:val="000000" w:themeColor="text1"/>
                <w14:textFill>
                  <w14:solidFill>
                    <w14:schemeClr w14:val="tx1"/>
                  </w14:solidFill>
                </w14:textFill>
              </w:rPr>
              <w:t>2023/06/06</w:t>
            </w:r>
          </w:p>
        </w:tc>
        <w:tc>
          <w:tcPr>
            <w:tcW w:w="1711" w:type="pct"/>
            <w:gridSpan w:val="2"/>
            <w:vAlign w:val="center"/>
          </w:tcPr>
          <w:p w14:paraId="34954C01">
            <w:pPr>
              <w:pStyle w:val="28"/>
              <w:rPr>
                <w:color w:val="000000" w:themeColor="text1"/>
                <w14:textFill>
                  <w14:solidFill>
                    <w14:schemeClr w14:val="tx1"/>
                  </w14:solidFill>
                </w14:textFill>
              </w:rPr>
            </w:pPr>
            <w:r>
              <w:rPr>
                <w:color w:val="000000" w:themeColor="text1"/>
                <w14:textFill>
                  <w14:solidFill>
                    <w14:schemeClr w14:val="tx1"/>
                  </w14:solidFill>
                </w14:textFill>
              </w:rPr>
              <w:t>2023/06/07</w:t>
            </w:r>
          </w:p>
        </w:tc>
        <w:tc>
          <w:tcPr>
            <w:tcW w:w="471" w:type="pct"/>
            <w:vMerge w:val="continue"/>
            <w:vAlign w:val="center"/>
          </w:tcPr>
          <w:p w14:paraId="2F894A11">
            <w:pPr>
              <w:pStyle w:val="28"/>
              <w:rPr>
                <w:color w:val="000000" w:themeColor="text1"/>
                <w14:textFill>
                  <w14:solidFill>
                    <w14:schemeClr w14:val="tx1"/>
                  </w14:solidFill>
                </w14:textFill>
              </w:rPr>
            </w:pPr>
          </w:p>
        </w:tc>
        <w:tc>
          <w:tcPr>
            <w:tcW w:w="471" w:type="pct"/>
            <w:vMerge w:val="continue"/>
            <w:vAlign w:val="center"/>
          </w:tcPr>
          <w:p w14:paraId="2E23F8E7">
            <w:pPr>
              <w:pStyle w:val="28"/>
              <w:rPr>
                <w:color w:val="000000" w:themeColor="text1"/>
                <w14:textFill>
                  <w14:solidFill>
                    <w14:schemeClr w14:val="tx1"/>
                  </w14:solidFill>
                </w14:textFill>
              </w:rPr>
            </w:pPr>
          </w:p>
        </w:tc>
      </w:tr>
      <w:tr w14:paraId="28D3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Merge w:val="continue"/>
            <w:vAlign w:val="center"/>
          </w:tcPr>
          <w:p w14:paraId="53D80F4E">
            <w:pPr>
              <w:pStyle w:val="28"/>
              <w:rPr>
                <w:color w:val="000000" w:themeColor="text1"/>
                <w14:textFill>
                  <w14:solidFill>
                    <w14:schemeClr w14:val="tx1"/>
                  </w14:solidFill>
                </w14:textFill>
              </w:rPr>
            </w:pPr>
          </w:p>
        </w:tc>
        <w:tc>
          <w:tcPr>
            <w:tcW w:w="855" w:type="pct"/>
            <w:vAlign w:val="center"/>
          </w:tcPr>
          <w:p w14:paraId="6C798852">
            <w:pPr>
              <w:pStyle w:val="28"/>
              <w:rPr>
                <w:color w:val="000000" w:themeColor="text1"/>
                <w14:textFill>
                  <w14:solidFill>
                    <w14:schemeClr w14:val="tx1"/>
                  </w14:solidFill>
                </w14:textFill>
              </w:rPr>
            </w:pPr>
            <w:r>
              <w:rPr>
                <w:color w:val="000000" w:themeColor="text1"/>
                <w14:textFill>
                  <w14:solidFill>
                    <w14:schemeClr w14:val="tx1"/>
                  </w14:solidFill>
                </w14:textFill>
              </w:rPr>
              <w:t>09:15</w:t>
            </w:r>
          </w:p>
        </w:tc>
        <w:tc>
          <w:tcPr>
            <w:tcW w:w="855" w:type="pct"/>
            <w:vAlign w:val="center"/>
          </w:tcPr>
          <w:p w14:paraId="7B912D4A">
            <w:pPr>
              <w:pStyle w:val="28"/>
              <w:rPr>
                <w:color w:val="000000" w:themeColor="text1"/>
                <w14:textFill>
                  <w14:solidFill>
                    <w14:schemeClr w14:val="tx1"/>
                  </w14:solidFill>
                </w14:textFill>
              </w:rPr>
            </w:pPr>
            <w:r>
              <w:rPr>
                <w:color w:val="000000" w:themeColor="text1"/>
                <w14:textFill>
                  <w14:solidFill>
                    <w14:schemeClr w14:val="tx1"/>
                  </w14:solidFill>
                </w14:textFill>
              </w:rPr>
              <w:t>14:12</w:t>
            </w:r>
          </w:p>
        </w:tc>
        <w:tc>
          <w:tcPr>
            <w:tcW w:w="855" w:type="pct"/>
            <w:vAlign w:val="center"/>
          </w:tcPr>
          <w:p w14:paraId="62280D86">
            <w:pPr>
              <w:pStyle w:val="28"/>
              <w:rPr>
                <w:color w:val="000000" w:themeColor="text1"/>
                <w14:textFill>
                  <w14:solidFill>
                    <w14:schemeClr w14:val="tx1"/>
                  </w14:solidFill>
                </w14:textFill>
              </w:rPr>
            </w:pPr>
            <w:r>
              <w:rPr>
                <w:color w:val="000000" w:themeColor="text1"/>
                <w14:textFill>
                  <w14:solidFill>
                    <w14:schemeClr w14:val="tx1"/>
                  </w14:solidFill>
                </w14:textFill>
              </w:rPr>
              <w:t>09:04</w:t>
            </w:r>
          </w:p>
        </w:tc>
        <w:tc>
          <w:tcPr>
            <w:tcW w:w="856" w:type="pct"/>
            <w:vAlign w:val="center"/>
          </w:tcPr>
          <w:p w14:paraId="2E669812">
            <w:pPr>
              <w:pStyle w:val="28"/>
              <w:rPr>
                <w:color w:val="000000" w:themeColor="text1"/>
                <w14:textFill>
                  <w14:solidFill>
                    <w14:schemeClr w14:val="tx1"/>
                  </w14:solidFill>
                </w14:textFill>
              </w:rPr>
            </w:pPr>
            <w:r>
              <w:rPr>
                <w:color w:val="000000" w:themeColor="text1"/>
                <w14:textFill>
                  <w14:solidFill>
                    <w14:schemeClr w14:val="tx1"/>
                  </w14:solidFill>
                </w14:textFill>
              </w:rPr>
              <w:t>14:07</w:t>
            </w:r>
          </w:p>
        </w:tc>
        <w:tc>
          <w:tcPr>
            <w:tcW w:w="471" w:type="pct"/>
            <w:vMerge w:val="continue"/>
            <w:vAlign w:val="center"/>
          </w:tcPr>
          <w:p w14:paraId="0AC19AEF">
            <w:pPr>
              <w:pStyle w:val="28"/>
              <w:rPr>
                <w:color w:val="000000" w:themeColor="text1"/>
                <w14:textFill>
                  <w14:solidFill>
                    <w14:schemeClr w14:val="tx1"/>
                  </w14:solidFill>
                </w14:textFill>
              </w:rPr>
            </w:pPr>
          </w:p>
        </w:tc>
        <w:tc>
          <w:tcPr>
            <w:tcW w:w="471" w:type="pct"/>
            <w:vMerge w:val="continue"/>
            <w:vAlign w:val="center"/>
          </w:tcPr>
          <w:p w14:paraId="3F57298C">
            <w:pPr>
              <w:pStyle w:val="28"/>
              <w:rPr>
                <w:color w:val="000000" w:themeColor="text1"/>
                <w14:textFill>
                  <w14:solidFill>
                    <w14:schemeClr w14:val="tx1"/>
                  </w14:solidFill>
                </w14:textFill>
              </w:rPr>
            </w:pPr>
          </w:p>
        </w:tc>
      </w:tr>
      <w:tr w14:paraId="3F77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81AE3C5">
            <w:pPr>
              <w:pStyle w:val="28"/>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855" w:type="pct"/>
            <w:vAlign w:val="center"/>
          </w:tcPr>
          <w:p w14:paraId="5C08AB33">
            <w:pPr>
              <w:pStyle w:val="28"/>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55" w:type="pct"/>
            <w:vAlign w:val="center"/>
          </w:tcPr>
          <w:p w14:paraId="66B7322E">
            <w:pPr>
              <w:pStyle w:val="28"/>
              <w:rPr>
                <w:color w:val="000000" w:themeColor="text1"/>
                <w14:textFill>
                  <w14:solidFill>
                    <w14:schemeClr w14:val="tx1"/>
                  </w14:solidFill>
                </w14:textFill>
              </w:rPr>
            </w:pPr>
            <w:r>
              <w:rPr>
                <w:color w:val="000000" w:themeColor="text1"/>
                <w14:textFill>
                  <w14:solidFill>
                    <w14:schemeClr w14:val="tx1"/>
                  </w14:solidFill>
                </w14:textFill>
              </w:rPr>
              <w:t>7.6</w:t>
            </w:r>
          </w:p>
        </w:tc>
        <w:tc>
          <w:tcPr>
            <w:tcW w:w="855" w:type="pct"/>
            <w:vAlign w:val="center"/>
          </w:tcPr>
          <w:p w14:paraId="69FA97BB">
            <w:pPr>
              <w:pStyle w:val="28"/>
              <w:rPr>
                <w:color w:val="000000" w:themeColor="text1"/>
                <w14:textFill>
                  <w14:solidFill>
                    <w14:schemeClr w14:val="tx1"/>
                  </w14:solidFill>
                </w14:textFill>
              </w:rPr>
            </w:pPr>
            <w:r>
              <w:rPr>
                <w:color w:val="000000" w:themeColor="text1"/>
                <w14:textFill>
                  <w14:solidFill>
                    <w14:schemeClr w14:val="tx1"/>
                  </w14:solidFill>
                </w14:textFill>
              </w:rPr>
              <w:t>7.5</w:t>
            </w:r>
          </w:p>
        </w:tc>
        <w:tc>
          <w:tcPr>
            <w:tcW w:w="856" w:type="pct"/>
            <w:vAlign w:val="center"/>
          </w:tcPr>
          <w:p w14:paraId="1C141C70">
            <w:pPr>
              <w:pStyle w:val="28"/>
              <w:rPr>
                <w:color w:val="000000" w:themeColor="text1"/>
                <w14:textFill>
                  <w14:solidFill>
                    <w14:schemeClr w14:val="tx1"/>
                  </w14:solidFill>
                </w14:textFill>
              </w:rPr>
            </w:pPr>
            <w:r>
              <w:rPr>
                <w:color w:val="000000" w:themeColor="text1"/>
                <w14:textFill>
                  <w14:solidFill>
                    <w14:schemeClr w14:val="tx1"/>
                  </w14:solidFill>
                </w14:textFill>
              </w:rPr>
              <w:t>7.7</w:t>
            </w:r>
          </w:p>
        </w:tc>
        <w:tc>
          <w:tcPr>
            <w:tcW w:w="471" w:type="pct"/>
            <w:vAlign w:val="center"/>
          </w:tcPr>
          <w:p w14:paraId="0518F5CA">
            <w:pPr>
              <w:pStyle w:val="28"/>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471" w:type="pct"/>
            <w:vAlign w:val="center"/>
          </w:tcPr>
          <w:p w14:paraId="476CAD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3B5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37B11DEC">
            <w:pPr>
              <w:pStyle w:val="2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855" w:type="pct"/>
            <w:vAlign w:val="center"/>
          </w:tcPr>
          <w:p w14:paraId="312E01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0.458</w:t>
            </w:r>
          </w:p>
        </w:tc>
        <w:tc>
          <w:tcPr>
            <w:tcW w:w="855" w:type="pct"/>
            <w:vAlign w:val="center"/>
          </w:tcPr>
          <w:p w14:paraId="2B7EF5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0.445</w:t>
            </w:r>
          </w:p>
        </w:tc>
        <w:tc>
          <w:tcPr>
            <w:tcW w:w="855" w:type="pct"/>
            <w:vAlign w:val="center"/>
          </w:tcPr>
          <w:p w14:paraId="23B5D4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0.406</w:t>
            </w:r>
          </w:p>
        </w:tc>
        <w:tc>
          <w:tcPr>
            <w:tcW w:w="856" w:type="pct"/>
            <w:vAlign w:val="center"/>
          </w:tcPr>
          <w:p w14:paraId="75C975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0.427</w:t>
            </w:r>
          </w:p>
        </w:tc>
        <w:tc>
          <w:tcPr>
            <w:tcW w:w="471" w:type="pct"/>
            <w:vAlign w:val="center"/>
          </w:tcPr>
          <w:p w14:paraId="02126EAD">
            <w:pPr>
              <w:pStyle w:val="28"/>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471" w:type="pct"/>
            <w:vAlign w:val="center"/>
          </w:tcPr>
          <w:p w14:paraId="000D6B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CAD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335308E6">
            <w:pPr>
              <w:pStyle w:val="28"/>
              <w:rPr>
                <w:color w:val="000000" w:themeColor="text1"/>
                <w14:textFill>
                  <w14:solidFill>
                    <w14:schemeClr w14:val="tx1"/>
                  </w14:solidFill>
                </w14:textFill>
              </w:rPr>
            </w:pPr>
            <w:r>
              <w:rPr>
                <w:color w:val="000000" w:themeColor="text1"/>
                <w14:textFill>
                  <w14:solidFill>
                    <w14:schemeClr w14:val="tx1"/>
                  </w14:solidFill>
                </w14:textFill>
              </w:rPr>
              <w:t>硝酸盐氮</w:t>
            </w:r>
          </w:p>
        </w:tc>
        <w:tc>
          <w:tcPr>
            <w:tcW w:w="855" w:type="pct"/>
            <w:vAlign w:val="center"/>
          </w:tcPr>
          <w:p w14:paraId="6F95F49D">
            <w:pPr>
              <w:pStyle w:val="28"/>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855" w:type="pct"/>
            <w:vAlign w:val="center"/>
          </w:tcPr>
          <w:p w14:paraId="0F2FE14D">
            <w:pPr>
              <w:pStyle w:val="28"/>
              <w:rPr>
                <w:color w:val="000000" w:themeColor="text1"/>
                <w14:textFill>
                  <w14:solidFill>
                    <w14:schemeClr w14:val="tx1"/>
                  </w14:solidFill>
                </w14:textFill>
              </w:rPr>
            </w:pPr>
            <w:r>
              <w:rPr>
                <w:color w:val="000000" w:themeColor="text1"/>
                <w14:textFill>
                  <w14:solidFill>
                    <w14:schemeClr w14:val="tx1"/>
                  </w14:solidFill>
                </w14:textFill>
              </w:rPr>
              <w:t>0.40</w:t>
            </w:r>
          </w:p>
        </w:tc>
        <w:tc>
          <w:tcPr>
            <w:tcW w:w="855" w:type="pct"/>
            <w:vAlign w:val="center"/>
          </w:tcPr>
          <w:p w14:paraId="1FB48868">
            <w:pPr>
              <w:pStyle w:val="28"/>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856" w:type="pct"/>
            <w:vAlign w:val="center"/>
          </w:tcPr>
          <w:p w14:paraId="74EA0F5D">
            <w:pPr>
              <w:pStyle w:val="28"/>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471" w:type="pct"/>
            <w:vAlign w:val="center"/>
          </w:tcPr>
          <w:p w14:paraId="0A4560B2">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71" w:type="pct"/>
            <w:vAlign w:val="center"/>
          </w:tcPr>
          <w:p w14:paraId="65FDA5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01B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2D9012E">
            <w:pPr>
              <w:pStyle w:val="2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855" w:type="pct"/>
            <w:vAlign w:val="center"/>
          </w:tcPr>
          <w:p w14:paraId="61DB202D">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2E7B4729">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1AB94017">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6" w:type="pct"/>
            <w:vAlign w:val="center"/>
          </w:tcPr>
          <w:p w14:paraId="06F71163">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471" w:type="pct"/>
            <w:vAlign w:val="center"/>
          </w:tcPr>
          <w:p w14:paraId="1F53D537">
            <w:pPr>
              <w:pStyle w:val="2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471" w:type="pct"/>
            <w:vAlign w:val="center"/>
          </w:tcPr>
          <w:p w14:paraId="341F24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D6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D64A619">
            <w:pPr>
              <w:pStyle w:val="2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855" w:type="pct"/>
            <w:vAlign w:val="center"/>
          </w:tcPr>
          <w:p w14:paraId="6BFF1DEB">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597B8756">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7A3519F0">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6" w:type="pct"/>
            <w:vAlign w:val="center"/>
          </w:tcPr>
          <w:p w14:paraId="3A6B11F6">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471" w:type="pct"/>
            <w:vAlign w:val="center"/>
          </w:tcPr>
          <w:p w14:paraId="08F42C7A">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7D0024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25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B44F340">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55" w:type="pct"/>
            <w:vAlign w:val="center"/>
          </w:tcPr>
          <w:p w14:paraId="506DC261">
            <w:pPr>
              <w:pStyle w:val="28"/>
              <w:rPr>
                <w:color w:val="000000" w:themeColor="text1"/>
                <w14:textFill>
                  <w14:solidFill>
                    <w14:schemeClr w14:val="tx1"/>
                  </w14:solidFill>
                </w14:textFill>
              </w:rPr>
            </w:pPr>
            <w:r>
              <w:rPr>
                <w:color w:val="000000" w:themeColor="text1"/>
                <w14:textFill>
                  <w14:solidFill>
                    <w14:schemeClr w14:val="tx1"/>
                  </w14:solidFill>
                </w14:textFill>
              </w:rPr>
              <w:t>2.0×10-3</w:t>
            </w:r>
          </w:p>
        </w:tc>
        <w:tc>
          <w:tcPr>
            <w:tcW w:w="855" w:type="pct"/>
            <w:vAlign w:val="center"/>
          </w:tcPr>
          <w:p w14:paraId="716FA14F">
            <w:pPr>
              <w:pStyle w:val="28"/>
              <w:rPr>
                <w:color w:val="000000" w:themeColor="text1"/>
                <w14:textFill>
                  <w14:solidFill>
                    <w14:schemeClr w14:val="tx1"/>
                  </w14:solidFill>
                </w14:textFill>
              </w:rPr>
            </w:pPr>
            <w:r>
              <w:rPr>
                <w:color w:val="000000" w:themeColor="text1"/>
                <w14:textFill>
                  <w14:solidFill>
                    <w14:schemeClr w14:val="tx1"/>
                  </w14:solidFill>
                </w14:textFill>
              </w:rPr>
              <w:t>2.1×10-3</w:t>
            </w:r>
          </w:p>
        </w:tc>
        <w:tc>
          <w:tcPr>
            <w:tcW w:w="855" w:type="pct"/>
            <w:vAlign w:val="center"/>
          </w:tcPr>
          <w:p w14:paraId="1EE07A3D">
            <w:pPr>
              <w:pStyle w:val="28"/>
              <w:rPr>
                <w:color w:val="000000" w:themeColor="text1"/>
                <w14:textFill>
                  <w14:solidFill>
                    <w14:schemeClr w14:val="tx1"/>
                  </w14:solidFill>
                </w14:textFill>
              </w:rPr>
            </w:pPr>
            <w:r>
              <w:rPr>
                <w:color w:val="000000" w:themeColor="text1"/>
                <w14:textFill>
                  <w14:solidFill>
                    <w14:schemeClr w14:val="tx1"/>
                  </w14:solidFill>
                </w14:textFill>
              </w:rPr>
              <w:t>1.2×10-3</w:t>
            </w:r>
          </w:p>
        </w:tc>
        <w:tc>
          <w:tcPr>
            <w:tcW w:w="856" w:type="pct"/>
            <w:vAlign w:val="center"/>
          </w:tcPr>
          <w:p w14:paraId="599F195D">
            <w:pPr>
              <w:pStyle w:val="28"/>
              <w:rPr>
                <w:color w:val="000000" w:themeColor="text1"/>
                <w14:textFill>
                  <w14:solidFill>
                    <w14:schemeClr w14:val="tx1"/>
                  </w14:solidFill>
                </w14:textFill>
              </w:rPr>
            </w:pPr>
            <w:r>
              <w:rPr>
                <w:color w:val="000000" w:themeColor="text1"/>
                <w14:textFill>
                  <w14:solidFill>
                    <w14:schemeClr w14:val="tx1"/>
                  </w14:solidFill>
                </w14:textFill>
              </w:rPr>
              <w:t>1.5×10-3</w:t>
            </w:r>
          </w:p>
        </w:tc>
        <w:tc>
          <w:tcPr>
            <w:tcW w:w="471" w:type="pct"/>
            <w:vAlign w:val="center"/>
          </w:tcPr>
          <w:p w14:paraId="062DFA17">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471" w:type="pct"/>
            <w:vAlign w:val="center"/>
          </w:tcPr>
          <w:p w14:paraId="64D694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59E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AD210FE">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55" w:type="pct"/>
            <w:vAlign w:val="center"/>
          </w:tcPr>
          <w:p w14:paraId="30CBC811">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4796E439">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18191152">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6" w:type="pct"/>
            <w:vAlign w:val="center"/>
          </w:tcPr>
          <w:p w14:paraId="49CB4C5F">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471" w:type="pct"/>
            <w:vAlign w:val="center"/>
          </w:tcPr>
          <w:p w14:paraId="04FE72C3">
            <w:pPr>
              <w:pStyle w:val="28"/>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471" w:type="pct"/>
            <w:vAlign w:val="center"/>
          </w:tcPr>
          <w:p w14:paraId="10FB6C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E93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610FB9D3">
            <w:pPr>
              <w:pStyle w:val="2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855" w:type="pct"/>
            <w:vAlign w:val="center"/>
          </w:tcPr>
          <w:p w14:paraId="69E4EE26">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6B5B1796">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0A3F5B49">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6" w:type="pct"/>
            <w:vAlign w:val="center"/>
          </w:tcPr>
          <w:p w14:paraId="437528E1">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471" w:type="pct"/>
            <w:vAlign w:val="center"/>
          </w:tcPr>
          <w:p w14:paraId="7171D964">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0AF5AB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F25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37A6A55">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855" w:type="pct"/>
            <w:vAlign w:val="center"/>
          </w:tcPr>
          <w:p w14:paraId="203475FE">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1DCA82A4">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45411F24">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6" w:type="pct"/>
            <w:vAlign w:val="center"/>
          </w:tcPr>
          <w:p w14:paraId="78DD3C98">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471" w:type="pct"/>
            <w:vAlign w:val="center"/>
          </w:tcPr>
          <w:p w14:paraId="69DF3CA9">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471" w:type="pct"/>
            <w:vAlign w:val="center"/>
          </w:tcPr>
          <w:p w14:paraId="3B61F4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11A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3454F22C">
            <w:pPr>
              <w:pStyle w:val="28"/>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855" w:type="pct"/>
            <w:vAlign w:val="center"/>
          </w:tcPr>
          <w:p w14:paraId="4822B83C">
            <w:pPr>
              <w:pStyle w:val="28"/>
              <w:rPr>
                <w:color w:val="000000" w:themeColor="text1"/>
                <w14:textFill>
                  <w14:solidFill>
                    <w14:schemeClr w14:val="tx1"/>
                  </w14:solidFill>
                </w14:textFill>
              </w:rPr>
            </w:pPr>
            <w:r>
              <w:rPr>
                <w:color w:val="000000" w:themeColor="text1"/>
                <w14:textFill>
                  <w14:solidFill>
                    <w14:schemeClr w14:val="tx1"/>
                  </w14:solidFill>
                </w14:textFill>
              </w:rPr>
              <w:t>0.27</w:t>
            </w:r>
          </w:p>
        </w:tc>
        <w:tc>
          <w:tcPr>
            <w:tcW w:w="855" w:type="pct"/>
            <w:vAlign w:val="center"/>
          </w:tcPr>
          <w:p w14:paraId="3CCD5C42">
            <w:pPr>
              <w:pStyle w:val="28"/>
              <w:rPr>
                <w:color w:val="000000" w:themeColor="text1"/>
                <w14:textFill>
                  <w14:solidFill>
                    <w14:schemeClr w14:val="tx1"/>
                  </w14:solidFill>
                </w14:textFill>
              </w:rPr>
            </w:pPr>
            <w:r>
              <w:rPr>
                <w:color w:val="000000" w:themeColor="text1"/>
                <w14:textFill>
                  <w14:solidFill>
                    <w14:schemeClr w14:val="tx1"/>
                  </w14:solidFill>
                </w14:textFill>
              </w:rPr>
              <w:t>0.27</w:t>
            </w:r>
          </w:p>
        </w:tc>
        <w:tc>
          <w:tcPr>
            <w:tcW w:w="855" w:type="pct"/>
            <w:vAlign w:val="center"/>
          </w:tcPr>
          <w:p w14:paraId="003817CF">
            <w:pPr>
              <w:pStyle w:val="28"/>
              <w:rPr>
                <w:color w:val="000000" w:themeColor="text1"/>
                <w14:textFill>
                  <w14:solidFill>
                    <w14:schemeClr w14:val="tx1"/>
                  </w14:solidFill>
                </w14:textFill>
              </w:rPr>
            </w:pPr>
            <w:r>
              <w:rPr>
                <w:color w:val="000000" w:themeColor="text1"/>
                <w14:textFill>
                  <w14:solidFill>
                    <w14:schemeClr w14:val="tx1"/>
                  </w14:solidFill>
                </w14:textFill>
              </w:rPr>
              <w:t>0.28</w:t>
            </w:r>
          </w:p>
        </w:tc>
        <w:tc>
          <w:tcPr>
            <w:tcW w:w="856" w:type="pct"/>
            <w:vAlign w:val="center"/>
          </w:tcPr>
          <w:p w14:paraId="5F9679F5">
            <w:pPr>
              <w:pStyle w:val="28"/>
              <w:rPr>
                <w:color w:val="000000" w:themeColor="text1"/>
                <w14:textFill>
                  <w14:solidFill>
                    <w14:schemeClr w14:val="tx1"/>
                  </w14:solidFill>
                </w14:textFill>
              </w:rPr>
            </w:pPr>
            <w:r>
              <w:rPr>
                <w:color w:val="000000" w:themeColor="text1"/>
                <w14:textFill>
                  <w14:solidFill>
                    <w14:schemeClr w14:val="tx1"/>
                  </w14:solidFill>
                </w14:textFill>
              </w:rPr>
              <w:t>0.27</w:t>
            </w:r>
          </w:p>
        </w:tc>
        <w:tc>
          <w:tcPr>
            <w:tcW w:w="471" w:type="pct"/>
            <w:vAlign w:val="center"/>
          </w:tcPr>
          <w:p w14:paraId="2050E9A7">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471" w:type="pct"/>
            <w:vAlign w:val="center"/>
          </w:tcPr>
          <w:p w14:paraId="0DA79D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29A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1938E2C">
            <w:pPr>
              <w:pStyle w:val="28"/>
              <w:rPr>
                <w:color w:val="000000" w:themeColor="text1"/>
                <w14:textFill>
                  <w14:solidFill>
                    <w14:schemeClr w14:val="tx1"/>
                  </w14:solidFill>
                </w14:textFill>
              </w:rPr>
            </w:pPr>
            <w:r>
              <w:rPr>
                <w:color w:val="000000" w:themeColor="text1"/>
                <w14:textFill>
                  <w14:solidFill>
                    <w14:schemeClr w14:val="tx1"/>
                  </w14:solidFill>
                </w14:textFill>
              </w:rPr>
              <w:t>高锰酸盐指数（耗氧量）</w:t>
            </w:r>
          </w:p>
        </w:tc>
        <w:tc>
          <w:tcPr>
            <w:tcW w:w="855" w:type="pct"/>
            <w:vAlign w:val="center"/>
          </w:tcPr>
          <w:p w14:paraId="067E74BF">
            <w:pPr>
              <w:pStyle w:val="28"/>
              <w:rPr>
                <w:color w:val="000000" w:themeColor="text1"/>
                <w14:textFill>
                  <w14:solidFill>
                    <w14:schemeClr w14:val="tx1"/>
                  </w14:solidFill>
                </w14:textFill>
              </w:rPr>
            </w:pPr>
            <w:r>
              <w:rPr>
                <w:color w:val="000000" w:themeColor="text1"/>
                <w14:textFill>
                  <w14:solidFill>
                    <w14:schemeClr w14:val="tx1"/>
                  </w14:solidFill>
                </w14:textFill>
              </w:rPr>
              <w:t>2.9</w:t>
            </w:r>
          </w:p>
        </w:tc>
        <w:tc>
          <w:tcPr>
            <w:tcW w:w="855" w:type="pct"/>
            <w:vAlign w:val="center"/>
          </w:tcPr>
          <w:p w14:paraId="37D0A4C9">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55" w:type="pct"/>
            <w:vAlign w:val="center"/>
          </w:tcPr>
          <w:p w14:paraId="44177954">
            <w:pPr>
              <w:pStyle w:val="2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856" w:type="pct"/>
            <w:vAlign w:val="center"/>
          </w:tcPr>
          <w:p w14:paraId="0F9CD57B">
            <w:pPr>
              <w:pStyle w:val="28"/>
              <w:rPr>
                <w:color w:val="000000" w:themeColor="text1"/>
                <w14:textFill>
                  <w14:solidFill>
                    <w14:schemeClr w14:val="tx1"/>
                  </w14:solidFill>
                </w14:textFill>
              </w:rPr>
            </w:pPr>
            <w:r>
              <w:rPr>
                <w:color w:val="000000" w:themeColor="text1"/>
                <w14:textFill>
                  <w14:solidFill>
                    <w14:schemeClr w14:val="tx1"/>
                  </w14:solidFill>
                </w14:textFill>
              </w:rPr>
              <w:t>2.7</w:t>
            </w:r>
          </w:p>
        </w:tc>
        <w:tc>
          <w:tcPr>
            <w:tcW w:w="471" w:type="pct"/>
            <w:vAlign w:val="center"/>
          </w:tcPr>
          <w:p w14:paraId="7123F6C0">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71" w:type="pct"/>
            <w:vAlign w:val="center"/>
          </w:tcPr>
          <w:p w14:paraId="4A08FE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026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56AA100">
            <w:pPr>
              <w:pStyle w:val="2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855" w:type="pct"/>
            <w:vAlign w:val="center"/>
          </w:tcPr>
          <w:p w14:paraId="46F737F7">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855" w:type="pct"/>
            <w:vAlign w:val="center"/>
          </w:tcPr>
          <w:p w14:paraId="43D11FE8">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855" w:type="pct"/>
            <w:vAlign w:val="center"/>
          </w:tcPr>
          <w:p w14:paraId="706EDD52">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856" w:type="pct"/>
            <w:vAlign w:val="center"/>
          </w:tcPr>
          <w:p w14:paraId="17C6B882">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471" w:type="pct"/>
            <w:vAlign w:val="center"/>
          </w:tcPr>
          <w:p w14:paraId="1D0158BA">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0C59A1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990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BF82AC9">
            <w:pPr>
              <w:pStyle w:val="28"/>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855" w:type="pct"/>
            <w:vAlign w:val="center"/>
          </w:tcPr>
          <w:p w14:paraId="07624570">
            <w:pPr>
              <w:pStyle w:val="28"/>
              <w:rPr>
                <w:color w:val="000000" w:themeColor="text1"/>
                <w14:textFill>
                  <w14:solidFill>
                    <w14:schemeClr w14:val="tx1"/>
                  </w14:solidFill>
                </w14:textFill>
              </w:rPr>
            </w:pPr>
            <w:r>
              <w:rPr>
                <w:color w:val="000000" w:themeColor="text1"/>
                <w14:textFill>
                  <w14:solidFill>
                    <w14:schemeClr w14:val="tx1"/>
                  </w14:solidFill>
                </w14:textFill>
              </w:rPr>
              <w:t>67</w:t>
            </w:r>
          </w:p>
        </w:tc>
        <w:tc>
          <w:tcPr>
            <w:tcW w:w="855" w:type="pct"/>
            <w:vAlign w:val="center"/>
          </w:tcPr>
          <w:p w14:paraId="3AA2D8C2">
            <w:pPr>
              <w:pStyle w:val="28"/>
              <w:rPr>
                <w:color w:val="000000" w:themeColor="text1"/>
                <w14:textFill>
                  <w14:solidFill>
                    <w14:schemeClr w14:val="tx1"/>
                  </w14:solidFill>
                </w14:textFill>
              </w:rPr>
            </w:pPr>
            <w:r>
              <w:rPr>
                <w:color w:val="000000" w:themeColor="text1"/>
                <w14:textFill>
                  <w14:solidFill>
                    <w14:schemeClr w14:val="tx1"/>
                  </w14:solidFill>
                </w14:textFill>
              </w:rPr>
              <w:t>66</w:t>
            </w:r>
          </w:p>
        </w:tc>
        <w:tc>
          <w:tcPr>
            <w:tcW w:w="855" w:type="pct"/>
            <w:vAlign w:val="center"/>
          </w:tcPr>
          <w:p w14:paraId="1E9F0831">
            <w:pPr>
              <w:pStyle w:val="28"/>
              <w:rPr>
                <w:color w:val="000000" w:themeColor="text1"/>
                <w14:textFill>
                  <w14:solidFill>
                    <w14:schemeClr w14:val="tx1"/>
                  </w14:solidFill>
                </w14:textFill>
              </w:rPr>
            </w:pPr>
            <w:r>
              <w:rPr>
                <w:color w:val="000000" w:themeColor="text1"/>
                <w14:textFill>
                  <w14:solidFill>
                    <w14:schemeClr w14:val="tx1"/>
                  </w14:solidFill>
                </w14:textFill>
              </w:rPr>
              <w:t>87</w:t>
            </w:r>
          </w:p>
        </w:tc>
        <w:tc>
          <w:tcPr>
            <w:tcW w:w="856" w:type="pct"/>
            <w:vAlign w:val="center"/>
          </w:tcPr>
          <w:p w14:paraId="39D41AF7">
            <w:pPr>
              <w:pStyle w:val="28"/>
              <w:rPr>
                <w:color w:val="000000" w:themeColor="text1"/>
                <w14:textFill>
                  <w14:solidFill>
                    <w14:schemeClr w14:val="tx1"/>
                  </w14:solidFill>
                </w14:textFill>
              </w:rPr>
            </w:pPr>
            <w:r>
              <w:rPr>
                <w:color w:val="000000" w:themeColor="text1"/>
                <w14:textFill>
                  <w14:solidFill>
                    <w14:schemeClr w14:val="tx1"/>
                  </w14:solidFill>
                </w14:textFill>
              </w:rPr>
              <w:t>92</w:t>
            </w:r>
          </w:p>
        </w:tc>
        <w:tc>
          <w:tcPr>
            <w:tcW w:w="471" w:type="pct"/>
            <w:vAlign w:val="center"/>
          </w:tcPr>
          <w:p w14:paraId="6B901858">
            <w:pPr>
              <w:pStyle w:val="28"/>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471" w:type="pct"/>
            <w:vAlign w:val="center"/>
          </w:tcPr>
          <w:p w14:paraId="2926B3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AD2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5797A0B">
            <w:pPr>
              <w:pStyle w:val="2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855" w:type="pct"/>
            <w:vAlign w:val="center"/>
          </w:tcPr>
          <w:p w14:paraId="799AD831">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1D6511E8">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2E7A8A9A">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6" w:type="pct"/>
            <w:vAlign w:val="center"/>
          </w:tcPr>
          <w:p w14:paraId="1E60EDCB">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471" w:type="pct"/>
            <w:vAlign w:val="center"/>
          </w:tcPr>
          <w:p w14:paraId="3B07567A">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7AF7E0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8D6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6C2E8180">
            <w:pPr>
              <w:pStyle w:val="2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855" w:type="pct"/>
            <w:vAlign w:val="center"/>
          </w:tcPr>
          <w:p w14:paraId="7DB6C243">
            <w:pPr>
              <w:pStyle w:val="28"/>
              <w:rPr>
                <w:color w:val="000000" w:themeColor="text1"/>
                <w14:textFill>
                  <w14:solidFill>
                    <w14:schemeClr w14:val="tx1"/>
                  </w14:solidFill>
                </w14:textFill>
              </w:rPr>
            </w:pPr>
            <w:r>
              <w:rPr>
                <w:color w:val="000000" w:themeColor="text1"/>
                <w14:textFill>
                  <w14:solidFill>
                    <w14:schemeClr w14:val="tx1"/>
                  </w14:solidFill>
                </w14:textFill>
              </w:rPr>
              <w:t>0.26</w:t>
            </w:r>
          </w:p>
        </w:tc>
        <w:tc>
          <w:tcPr>
            <w:tcW w:w="855" w:type="pct"/>
            <w:vAlign w:val="center"/>
          </w:tcPr>
          <w:p w14:paraId="275972CF">
            <w:pPr>
              <w:pStyle w:val="28"/>
              <w:rPr>
                <w:color w:val="000000" w:themeColor="text1"/>
                <w14:textFill>
                  <w14:solidFill>
                    <w14:schemeClr w14:val="tx1"/>
                  </w14:solidFill>
                </w14:textFill>
              </w:rPr>
            </w:pPr>
            <w:r>
              <w:rPr>
                <w:color w:val="000000" w:themeColor="text1"/>
                <w14:textFill>
                  <w14:solidFill>
                    <w14:schemeClr w14:val="tx1"/>
                  </w14:solidFill>
                </w14:textFill>
              </w:rPr>
              <w:t>0.26</w:t>
            </w:r>
          </w:p>
        </w:tc>
        <w:tc>
          <w:tcPr>
            <w:tcW w:w="855" w:type="pct"/>
            <w:vAlign w:val="center"/>
          </w:tcPr>
          <w:p w14:paraId="00AF43C1">
            <w:pPr>
              <w:pStyle w:val="28"/>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856" w:type="pct"/>
            <w:vAlign w:val="center"/>
          </w:tcPr>
          <w:p w14:paraId="34C06AD5">
            <w:pPr>
              <w:pStyle w:val="28"/>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471" w:type="pct"/>
            <w:vAlign w:val="center"/>
          </w:tcPr>
          <w:p w14:paraId="0057F67A">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71" w:type="pct"/>
            <w:vAlign w:val="center"/>
          </w:tcPr>
          <w:p w14:paraId="630C5D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ED6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6E67F7E4">
            <w:pPr>
              <w:pStyle w:val="28"/>
              <w:rPr>
                <w:color w:val="000000" w:themeColor="text1"/>
                <w14:textFill>
                  <w14:solidFill>
                    <w14:schemeClr w14:val="tx1"/>
                  </w14:solidFill>
                </w14:textFill>
              </w:rPr>
            </w:pPr>
            <w:r>
              <w:rPr>
                <w:color w:val="000000" w:themeColor="text1"/>
                <w14:textFill>
                  <w14:solidFill>
                    <w14:schemeClr w14:val="tx1"/>
                  </w14:solidFill>
                </w14:textFill>
              </w:rPr>
              <w:t>总大肠菌群（MPN/100ml）</w:t>
            </w:r>
          </w:p>
        </w:tc>
        <w:tc>
          <w:tcPr>
            <w:tcW w:w="855" w:type="pct"/>
            <w:vAlign w:val="center"/>
          </w:tcPr>
          <w:p w14:paraId="54D9DF21">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5" w:type="pct"/>
            <w:vAlign w:val="center"/>
          </w:tcPr>
          <w:p w14:paraId="191CECA9">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5" w:type="pct"/>
            <w:vAlign w:val="center"/>
          </w:tcPr>
          <w:p w14:paraId="7E826915">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56" w:type="pct"/>
            <w:vAlign w:val="center"/>
          </w:tcPr>
          <w:p w14:paraId="45BBB13B">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471" w:type="pct"/>
            <w:vAlign w:val="center"/>
          </w:tcPr>
          <w:p w14:paraId="6235D13A">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71" w:type="pct"/>
            <w:vAlign w:val="center"/>
          </w:tcPr>
          <w:p w14:paraId="3213CC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8E3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2F80DBE">
            <w:pPr>
              <w:pStyle w:val="28"/>
              <w:rPr>
                <w:color w:val="000000" w:themeColor="text1"/>
                <w14:textFill>
                  <w14:solidFill>
                    <w14:schemeClr w14:val="tx1"/>
                  </w14:solidFill>
                </w14:textFill>
              </w:rPr>
            </w:pPr>
            <w:r>
              <w:rPr>
                <w:color w:val="000000" w:themeColor="text1"/>
                <w14:textFill>
                  <w14:solidFill>
                    <w14:schemeClr w14:val="tx1"/>
                  </w14:solidFill>
                </w14:textFill>
              </w:rPr>
              <w:t>检测点</w:t>
            </w:r>
          </w:p>
        </w:tc>
        <w:tc>
          <w:tcPr>
            <w:tcW w:w="3421" w:type="pct"/>
            <w:gridSpan w:val="4"/>
            <w:vAlign w:val="center"/>
          </w:tcPr>
          <w:p w14:paraId="4322B30A">
            <w:pPr>
              <w:pStyle w:val="28"/>
              <w:rPr>
                <w:color w:val="000000" w:themeColor="text1"/>
                <w14:textFill>
                  <w14:solidFill>
                    <w14:schemeClr w14:val="tx1"/>
                  </w14:solidFill>
                </w14:textFill>
              </w:rPr>
            </w:pPr>
            <w:r>
              <w:rPr>
                <w:color w:val="000000" w:themeColor="text1"/>
                <w14:textFill>
                  <w14:solidFill>
                    <w14:schemeClr w14:val="tx1"/>
                  </w14:solidFill>
                </w14:textFill>
              </w:rPr>
              <w:t>龙池村</w:t>
            </w:r>
          </w:p>
        </w:tc>
        <w:tc>
          <w:tcPr>
            <w:tcW w:w="471" w:type="pct"/>
            <w:vMerge w:val="restart"/>
            <w:vAlign w:val="center"/>
          </w:tcPr>
          <w:p w14:paraId="4A1736A3">
            <w:pPr>
              <w:pStyle w:val="28"/>
              <w:rPr>
                <w:color w:val="000000" w:themeColor="text1"/>
                <w14:textFill>
                  <w14:solidFill>
                    <w14:schemeClr w14:val="tx1"/>
                  </w14:solidFill>
                </w14:textFill>
              </w:rPr>
            </w:pP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值</w:t>
            </w:r>
          </w:p>
        </w:tc>
        <w:tc>
          <w:tcPr>
            <w:tcW w:w="471" w:type="pct"/>
            <w:vMerge w:val="restart"/>
            <w:vAlign w:val="center"/>
          </w:tcPr>
          <w:p w14:paraId="775BC7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252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438B9DF">
            <w:pPr>
              <w:pStyle w:val="28"/>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3421" w:type="pct"/>
            <w:gridSpan w:val="4"/>
            <w:vAlign w:val="center"/>
          </w:tcPr>
          <w:p w14:paraId="540161CC">
            <w:pPr>
              <w:pStyle w:val="28"/>
              <w:rPr>
                <w:color w:val="000000" w:themeColor="text1"/>
                <w14:textFill>
                  <w14:solidFill>
                    <w14:schemeClr w14:val="tx1"/>
                  </w14:solidFill>
                </w14:textFill>
              </w:rPr>
            </w:pPr>
            <w:r>
              <w:rPr>
                <w:color w:val="000000" w:themeColor="text1"/>
                <w14:textFill>
                  <w14:solidFill>
                    <w14:schemeClr w14:val="tx1"/>
                  </w14:solidFill>
                </w14:textFill>
              </w:rPr>
              <w:t>E：102.525595  N：24.421453</w:t>
            </w:r>
          </w:p>
        </w:tc>
        <w:tc>
          <w:tcPr>
            <w:tcW w:w="471" w:type="pct"/>
            <w:vMerge w:val="continue"/>
            <w:vAlign w:val="center"/>
          </w:tcPr>
          <w:p w14:paraId="35A4EEAF">
            <w:pPr>
              <w:pStyle w:val="28"/>
              <w:rPr>
                <w:color w:val="000000" w:themeColor="text1"/>
                <w14:textFill>
                  <w14:solidFill>
                    <w14:schemeClr w14:val="tx1"/>
                  </w14:solidFill>
                </w14:textFill>
              </w:rPr>
            </w:pPr>
          </w:p>
        </w:tc>
        <w:tc>
          <w:tcPr>
            <w:tcW w:w="471" w:type="pct"/>
            <w:vMerge w:val="continue"/>
            <w:vAlign w:val="center"/>
          </w:tcPr>
          <w:p w14:paraId="39ECCEF8">
            <w:pPr>
              <w:pStyle w:val="28"/>
              <w:rPr>
                <w:color w:val="000000" w:themeColor="text1"/>
                <w14:textFill>
                  <w14:solidFill>
                    <w14:schemeClr w14:val="tx1"/>
                  </w14:solidFill>
                </w14:textFill>
              </w:rPr>
            </w:pPr>
          </w:p>
        </w:tc>
      </w:tr>
      <w:tr w14:paraId="6131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Merge w:val="restart"/>
            <w:vAlign w:val="center"/>
          </w:tcPr>
          <w:p w14:paraId="510F2143">
            <w:pPr>
              <w:pStyle w:val="2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-53975</wp:posOffset>
                      </wp:positionH>
                      <wp:positionV relativeFrom="paragraph">
                        <wp:posOffset>20955</wp:posOffset>
                      </wp:positionV>
                      <wp:extent cx="638175" cy="481330"/>
                      <wp:effectExtent l="3175" t="3810" r="6350" b="10160"/>
                      <wp:wrapNone/>
                      <wp:docPr id="63" name="直接连接符 63"/>
                      <wp:cNvGraphicFramePr/>
                      <a:graphic xmlns:a="http://schemas.openxmlformats.org/drawingml/2006/main">
                        <a:graphicData uri="http://schemas.microsoft.com/office/word/2010/wordprocessingShape">
                          <wps:wsp>
                            <wps:cNvCnPr/>
                            <wps:spPr>
                              <a:xfrm>
                                <a:off x="1089660" y="1720215"/>
                                <a:ext cx="638175" cy="481330"/>
                              </a:xfrm>
                              <a:prstGeom prst="line">
                                <a:avLst/>
                              </a:prstGeom>
                              <a:noFill/>
                              <a:ln w="3175" cap="flat" cmpd="sng" algn="ctr">
                                <a:solidFill>
                                  <a:srgbClr val="000000"/>
                                </a:solidFill>
                                <a:prstDash val="solid"/>
                              </a:ln>
                              <a:effectLst/>
                            </wps:spPr>
                            <wps:bodyPr/>
                          </wps:wsp>
                        </a:graphicData>
                      </a:graphic>
                    </wp:anchor>
                  </w:drawing>
                </mc:Choice>
                <mc:Fallback>
                  <w:pict>
                    <v:line id="_x0000_s1026" o:spid="_x0000_s1026" o:spt="20" style="position:absolute;left:0pt;margin-left:-4.25pt;margin-top:1.65pt;height:37.9pt;width:50.25pt;z-index:251683840;mso-width-relative:page;mso-height-relative:page;" filled="f" stroked="t" coordsize="21600,21600" o:gfxdata="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yIPV9gAAAAGAQAADwAAAAAAAAABACAAAAAiAAAAZHJzL2Rvd25yZXYueG1sUEsBAhQAFAAA&#10;AAgAh07iQLPSEcjvAQAAugMAAA4AAAAAAAAAAQAgAAAAJwEAAGRycy9lMm9Eb2MueG1sUEsFBgAA&#10;AAAGAAYAWQEAAIgFAAAAAA==&#10;">
                      <v:fill on="f" focussize="0,0"/>
                      <v:stroke weight="0.25pt" color="#000000" joinstyle="round"/>
                      <v:imagedata o:title=""/>
                      <o:lock v:ext="edit" aspectratio="f"/>
                    </v:line>
                  </w:pict>
                </mc:Fallback>
              </mc:AlternateContent>
            </w:r>
            <w:r>
              <w:rPr>
                <w:color w:val="000000" w:themeColor="text1"/>
                <w14:textFill>
                  <w14:solidFill>
                    <w14:schemeClr w14:val="tx1"/>
                  </w14:solidFill>
                </w14:textFill>
              </w:rPr>
              <w:t>采样</w:t>
            </w:r>
          </w:p>
          <w:p w14:paraId="3E036F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时间</w:t>
            </w:r>
          </w:p>
          <w:p w14:paraId="71957E70">
            <w:pPr>
              <w:pStyle w:val="28"/>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1710" w:type="pct"/>
            <w:gridSpan w:val="2"/>
            <w:vAlign w:val="center"/>
          </w:tcPr>
          <w:p w14:paraId="28287ECB">
            <w:pPr>
              <w:pStyle w:val="28"/>
              <w:rPr>
                <w:color w:val="000000" w:themeColor="text1"/>
                <w14:textFill>
                  <w14:solidFill>
                    <w14:schemeClr w14:val="tx1"/>
                  </w14:solidFill>
                </w14:textFill>
              </w:rPr>
            </w:pPr>
            <w:r>
              <w:rPr>
                <w:color w:val="000000" w:themeColor="text1"/>
                <w14:textFill>
                  <w14:solidFill>
                    <w14:schemeClr w14:val="tx1"/>
                  </w14:solidFill>
                </w14:textFill>
              </w:rPr>
              <w:t>2023/06/06</w:t>
            </w:r>
          </w:p>
        </w:tc>
        <w:tc>
          <w:tcPr>
            <w:tcW w:w="1711" w:type="pct"/>
            <w:gridSpan w:val="2"/>
            <w:vAlign w:val="center"/>
          </w:tcPr>
          <w:p w14:paraId="246A157F">
            <w:pPr>
              <w:pStyle w:val="28"/>
              <w:rPr>
                <w:color w:val="000000" w:themeColor="text1"/>
                <w14:textFill>
                  <w14:solidFill>
                    <w14:schemeClr w14:val="tx1"/>
                  </w14:solidFill>
                </w14:textFill>
              </w:rPr>
            </w:pPr>
            <w:r>
              <w:rPr>
                <w:color w:val="000000" w:themeColor="text1"/>
                <w14:textFill>
                  <w14:solidFill>
                    <w14:schemeClr w14:val="tx1"/>
                  </w14:solidFill>
                </w14:textFill>
              </w:rPr>
              <w:t>2023/06/07</w:t>
            </w:r>
          </w:p>
        </w:tc>
        <w:tc>
          <w:tcPr>
            <w:tcW w:w="471" w:type="pct"/>
            <w:vMerge w:val="continue"/>
            <w:vAlign w:val="center"/>
          </w:tcPr>
          <w:p w14:paraId="36F15ADC">
            <w:pPr>
              <w:pStyle w:val="28"/>
              <w:rPr>
                <w:color w:val="000000" w:themeColor="text1"/>
                <w14:textFill>
                  <w14:solidFill>
                    <w14:schemeClr w14:val="tx1"/>
                  </w14:solidFill>
                </w14:textFill>
              </w:rPr>
            </w:pPr>
          </w:p>
        </w:tc>
        <w:tc>
          <w:tcPr>
            <w:tcW w:w="471" w:type="pct"/>
            <w:vMerge w:val="continue"/>
            <w:vAlign w:val="center"/>
          </w:tcPr>
          <w:p w14:paraId="27CAF562">
            <w:pPr>
              <w:pStyle w:val="28"/>
              <w:rPr>
                <w:color w:val="000000" w:themeColor="text1"/>
                <w14:textFill>
                  <w14:solidFill>
                    <w14:schemeClr w14:val="tx1"/>
                  </w14:solidFill>
                </w14:textFill>
              </w:rPr>
            </w:pPr>
          </w:p>
        </w:tc>
      </w:tr>
      <w:tr w14:paraId="05A7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Merge w:val="continue"/>
            <w:vAlign w:val="center"/>
          </w:tcPr>
          <w:p w14:paraId="26B10B50">
            <w:pPr>
              <w:pStyle w:val="28"/>
              <w:rPr>
                <w:color w:val="000000" w:themeColor="text1"/>
                <w14:textFill>
                  <w14:solidFill>
                    <w14:schemeClr w14:val="tx1"/>
                  </w14:solidFill>
                </w14:textFill>
              </w:rPr>
            </w:pPr>
          </w:p>
        </w:tc>
        <w:tc>
          <w:tcPr>
            <w:tcW w:w="855" w:type="pct"/>
            <w:vAlign w:val="center"/>
          </w:tcPr>
          <w:p w14:paraId="67BED23B">
            <w:pPr>
              <w:pStyle w:val="28"/>
              <w:rPr>
                <w:color w:val="000000" w:themeColor="text1"/>
                <w14:textFill>
                  <w14:solidFill>
                    <w14:schemeClr w14:val="tx1"/>
                  </w14:solidFill>
                </w14:textFill>
              </w:rPr>
            </w:pPr>
            <w:r>
              <w:rPr>
                <w:color w:val="000000" w:themeColor="text1"/>
                <w14:textFill>
                  <w14:solidFill>
                    <w14:schemeClr w14:val="tx1"/>
                  </w14:solidFill>
                </w14:textFill>
              </w:rPr>
              <w:t>09:26</w:t>
            </w:r>
          </w:p>
        </w:tc>
        <w:tc>
          <w:tcPr>
            <w:tcW w:w="855" w:type="pct"/>
            <w:vAlign w:val="center"/>
          </w:tcPr>
          <w:p w14:paraId="2C94A0E4">
            <w:pPr>
              <w:pStyle w:val="28"/>
              <w:rPr>
                <w:color w:val="000000" w:themeColor="text1"/>
                <w14:textFill>
                  <w14:solidFill>
                    <w14:schemeClr w14:val="tx1"/>
                  </w14:solidFill>
                </w14:textFill>
              </w:rPr>
            </w:pPr>
            <w:r>
              <w:rPr>
                <w:color w:val="000000" w:themeColor="text1"/>
                <w14:textFill>
                  <w14:solidFill>
                    <w14:schemeClr w14:val="tx1"/>
                  </w14:solidFill>
                </w14:textFill>
              </w:rPr>
              <w:t>14:24</w:t>
            </w:r>
          </w:p>
        </w:tc>
        <w:tc>
          <w:tcPr>
            <w:tcW w:w="855" w:type="pct"/>
            <w:vAlign w:val="center"/>
          </w:tcPr>
          <w:p w14:paraId="1AFD48EA">
            <w:pPr>
              <w:pStyle w:val="28"/>
              <w:rPr>
                <w:color w:val="000000" w:themeColor="text1"/>
                <w14:textFill>
                  <w14:solidFill>
                    <w14:schemeClr w14:val="tx1"/>
                  </w14:solidFill>
                </w14:textFill>
              </w:rPr>
            </w:pPr>
            <w:r>
              <w:rPr>
                <w:color w:val="000000" w:themeColor="text1"/>
                <w14:textFill>
                  <w14:solidFill>
                    <w14:schemeClr w14:val="tx1"/>
                  </w14:solidFill>
                </w14:textFill>
              </w:rPr>
              <w:t>09:36</w:t>
            </w:r>
          </w:p>
        </w:tc>
        <w:tc>
          <w:tcPr>
            <w:tcW w:w="856" w:type="pct"/>
            <w:vAlign w:val="center"/>
          </w:tcPr>
          <w:p w14:paraId="3A563FBF">
            <w:pPr>
              <w:pStyle w:val="28"/>
              <w:rPr>
                <w:color w:val="000000" w:themeColor="text1"/>
                <w14:textFill>
                  <w14:solidFill>
                    <w14:schemeClr w14:val="tx1"/>
                  </w14:solidFill>
                </w14:textFill>
              </w:rPr>
            </w:pPr>
            <w:r>
              <w:rPr>
                <w:color w:val="000000" w:themeColor="text1"/>
                <w14:textFill>
                  <w14:solidFill>
                    <w14:schemeClr w14:val="tx1"/>
                  </w14:solidFill>
                </w14:textFill>
              </w:rPr>
              <w:t>14:18</w:t>
            </w:r>
          </w:p>
        </w:tc>
        <w:tc>
          <w:tcPr>
            <w:tcW w:w="471" w:type="pct"/>
            <w:vMerge w:val="continue"/>
            <w:vAlign w:val="center"/>
          </w:tcPr>
          <w:p w14:paraId="489BD4CB">
            <w:pPr>
              <w:pStyle w:val="28"/>
              <w:rPr>
                <w:color w:val="000000" w:themeColor="text1"/>
                <w14:textFill>
                  <w14:solidFill>
                    <w14:schemeClr w14:val="tx1"/>
                  </w14:solidFill>
                </w14:textFill>
              </w:rPr>
            </w:pPr>
          </w:p>
        </w:tc>
        <w:tc>
          <w:tcPr>
            <w:tcW w:w="471" w:type="pct"/>
            <w:vMerge w:val="continue"/>
            <w:vAlign w:val="center"/>
          </w:tcPr>
          <w:p w14:paraId="42E6BDB4">
            <w:pPr>
              <w:pStyle w:val="28"/>
              <w:rPr>
                <w:color w:val="000000" w:themeColor="text1"/>
                <w14:textFill>
                  <w14:solidFill>
                    <w14:schemeClr w14:val="tx1"/>
                  </w14:solidFill>
                </w14:textFill>
              </w:rPr>
            </w:pPr>
          </w:p>
        </w:tc>
      </w:tr>
      <w:tr w14:paraId="2CD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5F9841DA">
            <w:pPr>
              <w:pStyle w:val="28"/>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855" w:type="pct"/>
            <w:vAlign w:val="center"/>
          </w:tcPr>
          <w:p w14:paraId="48A6644F">
            <w:pPr>
              <w:pStyle w:val="28"/>
              <w:rPr>
                <w:color w:val="000000" w:themeColor="text1"/>
                <w14:textFill>
                  <w14:solidFill>
                    <w14:schemeClr w14:val="tx1"/>
                  </w14:solidFill>
                </w14:textFill>
              </w:rPr>
            </w:pPr>
            <w:r>
              <w:rPr>
                <w:color w:val="000000" w:themeColor="text1"/>
                <w14:textFill>
                  <w14:solidFill>
                    <w14:schemeClr w14:val="tx1"/>
                  </w14:solidFill>
                </w14:textFill>
              </w:rPr>
              <w:t>7.5</w:t>
            </w:r>
          </w:p>
        </w:tc>
        <w:tc>
          <w:tcPr>
            <w:tcW w:w="855" w:type="pct"/>
            <w:vAlign w:val="center"/>
          </w:tcPr>
          <w:p w14:paraId="2346C465">
            <w:pPr>
              <w:pStyle w:val="28"/>
              <w:rPr>
                <w:color w:val="000000" w:themeColor="text1"/>
                <w14:textFill>
                  <w14:solidFill>
                    <w14:schemeClr w14:val="tx1"/>
                  </w14:solidFill>
                </w14:textFill>
              </w:rPr>
            </w:pPr>
            <w:r>
              <w:rPr>
                <w:color w:val="000000" w:themeColor="text1"/>
                <w14:textFill>
                  <w14:solidFill>
                    <w14:schemeClr w14:val="tx1"/>
                  </w14:solidFill>
                </w14:textFill>
              </w:rPr>
              <w:t>7.6</w:t>
            </w:r>
          </w:p>
        </w:tc>
        <w:tc>
          <w:tcPr>
            <w:tcW w:w="855" w:type="pct"/>
            <w:vAlign w:val="center"/>
          </w:tcPr>
          <w:p w14:paraId="0B2948FB">
            <w:pPr>
              <w:pStyle w:val="28"/>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56" w:type="pct"/>
            <w:vAlign w:val="center"/>
          </w:tcPr>
          <w:p w14:paraId="7B5929E1">
            <w:pPr>
              <w:pStyle w:val="28"/>
              <w:rPr>
                <w:color w:val="000000" w:themeColor="text1"/>
                <w14:textFill>
                  <w14:solidFill>
                    <w14:schemeClr w14:val="tx1"/>
                  </w14:solidFill>
                </w14:textFill>
              </w:rPr>
            </w:pPr>
            <w:r>
              <w:rPr>
                <w:color w:val="000000" w:themeColor="text1"/>
                <w14:textFill>
                  <w14:solidFill>
                    <w14:schemeClr w14:val="tx1"/>
                  </w14:solidFill>
                </w14:textFill>
              </w:rPr>
              <w:t>7.5</w:t>
            </w:r>
          </w:p>
        </w:tc>
        <w:tc>
          <w:tcPr>
            <w:tcW w:w="471" w:type="pct"/>
            <w:vAlign w:val="center"/>
          </w:tcPr>
          <w:p w14:paraId="166C579F">
            <w:pPr>
              <w:pStyle w:val="28"/>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471" w:type="pct"/>
            <w:vAlign w:val="center"/>
          </w:tcPr>
          <w:p w14:paraId="107E3F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A4F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2A6480B4">
            <w:pPr>
              <w:pStyle w:val="2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855" w:type="pct"/>
            <w:vAlign w:val="center"/>
          </w:tcPr>
          <w:p w14:paraId="52742752">
            <w:pPr>
              <w:pStyle w:val="28"/>
              <w:rPr>
                <w:color w:val="000000" w:themeColor="text1"/>
                <w14:textFill>
                  <w14:solidFill>
                    <w14:schemeClr w14:val="tx1"/>
                  </w14:solidFill>
                </w14:textFill>
              </w:rPr>
            </w:pPr>
            <w:r>
              <w:rPr>
                <w:color w:val="000000" w:themeColor="text1"/>
                <w14:textFill>
                  <w14:solidFill>
                    <w14:schemeClr w14:val="tx1"/>
                  </w14:solidFill>
                </w14:textFill>
              </w:rPr>
              <w:t>0.040</w:t>
            </w:r>
          </w:p>
        </w:tc>
        <w:tc>
          <w:tcPr>
            <w:tcW w:w="855" w:type="pct"/>
            <w:vAlign w:val="center"/>
          </w:tcPr>
          <w:p w14:paraId="1A7C90B9">
            <w:pPr>
              <w:pStyle w:val="28"/>
              <w:rPr>
                <w:color w:val="000000" w:themeColor="text1"/>
                <w14:textFill>
                  <w14:solidFill>
                    <w14:schemeClr w14:val="tx1"/>
                  </w14:solidFill>
                </w14:textFill>
              </w:rPr>
            </w:pPr>
            <w:r>
              <w:rPr>
                <w:color w:val="000000" w:themeColor="text1"/>
                <w14:textFill>
                  <w14:solidFill>
                    <w14:schemeClr w14:val="tx1"/>
                  </w14:solidFill>
                </w14:textFill>
              </w:rPr>
              <w:t>0.046</w:t>
            </w:r>
          </w:p>
        </w:tc>
        <w:tc>
          <w:tcPr>
            <w:tcW w:w="855" w:type="pct"/>
            <w:vAlign w:val="center"/>
          </w:tcPr>
          <w:p w14:paraId="664FA32E">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856" w:type="pct"/>
            <w:vAlign w:val="center"/>
          </w:tcPr>
          <w:p w14:paraId="331DAF10">
            <w:pPr>
              <w:pStyle w:val="28"/>
              <w:rPr>
                <w:color w:val="000000" w:themeColor="text1"/>
                <w14:textFill>
                  <w14:solidFill>
                    <w14:schemeClr w14:val="tx1"/>
                  </w14:solidFill>
                </w14:textFill>
              </w:rPr>
            </w:pPr>
            <w:r>
              <w:rPr>
                <w:color w:val="000000" w:themeColor="text1"/>
                <w14:textFill>
                  <w14:solidFill>
                    <w14:schemeClr w14:val="tx1"/>
                  </w14:solidFill>
                </w14:textFill>
              </w:rPr>
              <w:t>0.025L</w:t>
            </w:r>
          </w:p>
        </w:tc>
        <w:tc>
          <w:tcPr>
            <w:tcW w:w="471" w:type="pct"/>
            <w:vAlign w:val="center"/>
          </w:tcPr>
          <w:p w14:paraId="11F84EB0">
            <w:pPr>
              <w:pStyle w:val="28"/>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471" w:type="pct"/>
            <w:vAlign w:val="center"/>
          </w:tcPr>
          <w:p w14:paraId="159F6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473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11DFE92E">
            <w:pPr>
              <w:pStyle w:val="28"/>
              <w:rPr>
                <w:color w:val="000000" w:themeColor="text1"/>
                <w14:textFill>
                  <w14:solidFill>
                    <w14:schemeClr w14:val="tx1"/>
                  </w14:solidFill>
                </w14:textFill>
              </w:rPr>
            </w:pPr>
            <w:r>
              <w:rPr>
                <w:color w:val="000000" w:themeColor="text1"/>
                <w14:textFill>
                  <w14:solidFill>
                    <w14:schemeClr w14:val="tx1"/>
                  </w14:solidFill>
                </w14:textFill>
              </w:rPr>
              <w:t>硝酸盐氮</w:t>
            </w:r>
          </w:p>
        </w:tc>
        <w:tc>
          <w:tcPr>
            <w:tcW w:w="855" w:type="pct"/>
            <w:vAlign w:val="center"/>
          </w:tcPr>
          <w:p w14:paraId="0DC06E49">
            <w:pPr>
              <w:pStyle w:val="28"/>
              <w:rPr>
                <w:color w:val="000000" w:themeColor="text1"/>
                <w14:textFill>
                  <w14:solidFill>
                    <w14:schemeClr w14:val="tx1"/>
                  </w14:solidFill>
                </w14:textFill>
              </w:rPr>
            </w:pPr>
            <w:r>
              <w:rPr>
                <w:color w:val="000000" w:themeColor="text1"/>
                <w14:textFill>
                  <w14:solidFill>
                    <w14:schemeClr w14:val="tx1"/>
                  </w14:solidFill>
                </w14:textFill>
              </w:rPr>
              <w:t>0.58</w:t>
            </w:r>
          </w:p>
        </w:tc>
        <w:tc>
          <w:tcPr>
            <w:tcW w:w="855" w:type="pct"/>
            <w:vAlign w:val="center"/>
          </w:tcPr>
          <w:p w14:paraId="168B003E">
            <w:pPr>
              <w:pStyle w:val="28"/>
              <w:rPr>
                <w:color w:val="000000" w:themeColor="text1"/>
                <w14:textFill>
                  <w14:solidFill>
                    <w14:schemeClr w14:val="tx1"/>
                  </w14:solidFill>
                </w14:textFill>
              </w:rPr>
            </w:pPr>
            <w:r>
              <w:rPr>
                <w:color w:val="000000" w:themeColor="text1"/>
                <w14:textFill>
                  <w14:solidFill>
                    <w14:schemeClr w14:val="tx1"/>
                  </w14:solidFill>
                </w14:textFill>
              </w:rPr>
              <w:t>0.58</w:t>
            </w:r>
          </w:p>
        </w:tc>
        <w:tc>
          <w:tcPr>
            <w:tcW w:w="855" w:type="pct"/>
            <w:vAlign w:val="center"/>
          </w:tcPr>
          <w:p w14:paraId="22700CAB">
            <w:pPr>
              <w:pStyle w:val="28"/>
              <w:rPr>
                <w:color w:val="000000" w:themeColor="text1"/>
                <w14:textFill>
                  <w14:solidFill>
                    <w14:schemeClr w14:val="tx1"/>
                  </w14:solidFill>
                </w14:textFill>
              </w:rPr>
            </w:pPr>
            <w:r>
              <w:rPr>
                <w:color w:val="000000" w:themeColor="text1"/>
                <w14:textFill>
                  <w14:solidFill>
                    <w14:schemeClr w14:val="tx1"/>
                  </w14:solidFill>
                </w14:textFill>
              </w:rPr>
              <w:t>0.89</w:t>
            </w:r>
          </w:p>
        </w:tc>
        <w:tc>
          <w:tcPr>
            <w:tcW w:w="856" w:type="pct"/>
            <w:vAlign w:val="center"/>
          </w:tcPr>
          <w:p w14:paraId="688C35BB">
            <w:pPr>
              <w:pStyle w:val="28"/>
              <w:rPr>
                <w:color w:val="000000" w:themeColor="text1"/>
                <w14:textFill>
                  <w14:solidFill>
                    <w14:schemeClr w14:val="tx1"/>
                  </w14:solidFill>
                </w14:textFill>
              </w:rPr>
            </w:pPr>
            <w:r>
              <w:rPr>
                <w:color w:val="000000" w:themeColor="text1"/>
                <w14:textFill>
                  <w14:solidFill>
                    <w14:schemeClr w14:val="tx1"/>
                  </w14:solidFill>
                </w14:textFill>
              </w:rPr>
              <w:t>0.90</w:t>
            </w:r>
          </w:p>
        </w:tc>
        <w:tc>
          <w:tcPr>
            <w:tcW w:w="471" w:type="pct"/>
            <w:vAlign w:val="center"/>
          </w:tcPr>
          <w:p w14:paraId="363B5898">
            <w:pPr>
              <w:pStyle w:val="28"/>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71" w:type="pct"/>
            <w:vAlign w:val="center"/>
          </w:tcPr>
          <w:p w14:paraId="44593C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E84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3F9F008">
            <w:pPr>
              <w:pStyle w:val="2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855" w:type="pct"/>
            <w:vAlign w:val="center"/>
          </w:tcPr>
          <w:p w14:paraId="3C091899">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567801C3">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5" w:type="pct"/>
            <w:vAlign w:val="center"/>
          </w:tcPr>
          <w:p w14:paraId="2C5C4C7C">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856" w:type="pct"/>
            <w:vAlign w:val="center"/>
          </w:tcPr>
          <w:p w14:paraId="685CDEB8">
            <w:pPr>
              <w:pStyle w:val="28"/>
              <w:rPr>
                <w:color w:val="000000" w:themeColor="text1"/>
                <w14:textFill>
                  <w14:solidFill>
                    <w14:schemeClr w14:val="tx1"/>
                  </w14:solidFill>
                </w14:textFill>
              </w:rPr>
            </w:pPr>
            <w:r>
              <w:rPr>
                <w:color w:val="000000" w:themeColor="text1"/>
                <w14:textFill>
                  <w14:solidFill>
                    <w14:schemeClr w14:val="tx1"/>
                  </w14:solidFill>
                </w14:textFill>
              </w:rPr>
              <w:t>3×10-4L</w:t>
            </w:r>
          </w:p>
        </w:tc>
        <w:tc>
          <w:tcPr>
            <w:tcW w:w="471" w:type="pct"/>
            <w:vAlign w:val="center"/>
          </w:tcPr>
          <w:p w14:paraId="02CDDF1F">
            <w:pPr>
              <w:pStyle w:val="2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471" w:type="pct"/>
            <w:vAlign w:val="center"/>
          </w:tcPr>
          <w:p w14:paraId="481D14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166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12908A33">
            <w:pPr>
              <w:pStyle w:val="2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855" w:type="pct"/>
            <w:vAlign w:val="center"/>
          </w:tcPr>
          <w:p w14:paraId="728AC182">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08A4E3C6">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5" w:type="pct"/>
            <w:vAlign w:val="center"/>
          </w:tcPr>
          <w:p w14:paraId="5D07CF57">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856" w:type="pct"/>
            <w:vAlign w:val="center"/>
          </w:tcPr>
          <w:p w14:paraId="648D9174">
            <w:pPr>
              <w:pStyle w:val="28"/>
              <w:rPr>
                <w:color w:val="000000" w:themeColor="text1"/>
                <w14:textFill>
                  <w14:solidFill>
                    <w14:schemeClr w14:val="tx1"/>
                  </w14:solidFill>
                </w14:textFill>
              </w:rPr>
            </w:pPr>
            <w:r>
              <w:rPr>
                <w:color w:val="000000" w:themeColor="text1"/>
                <w14:textFill>
                  <w14:solidFill>
                    <w14:schemeClr w14:val="tx1"/>
                  </w14:solidFill>
                </w14:textFill>
              </w:rPr>
              <w:t>2×10-3L</w:t>
            </w:r>
          </w:p>
        </w:tc>
        <w:tc>
          <w:tcPr>
            <w:tcW w:w="471" w:type="pct"/>
            <w:vAlign w:val="center"/>
          </w:tcPr>
          <w:p w14:paraId="1254B555">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6E7B47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8A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CA3BED9">
            <w:pPr>
              <w:pStyle w:val="2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55" w:type="pct"/>
            <w:vAlign w:val="center"/>
          </w:tcPr>
          <w:p w14:paraId="711A58D2">
            <w:pPr>
              <w:pStyle w:val="28"/>
              <w:rPr>
                <w:color w:val="000000" w:themeColor="text1"/>
                <w14:textFill>
                  <w14:solidFill>
                    <w14:schemeClr w14:val="tx1"/>
                  </w14:solidFill>
                </w14:textFill>
              </w:rPr>
            </w:pPr>
            <w:r>
              <w:rPr>
                <w:color w:val="000000" w:themeColor="text1"/>
                <w14:textFill>
                  <w14:solidFill>
                    <w14:schemeClr w14:val="tx1"/>
                  </w14:solidFill>
                </w14:textFill>
              </w:rPr>
              <w:t>1.8×10-3</w:t>
            </w:r>
          </w:p>
        </w:tc>
        <w:tc>
          <w:tcPr>
            <w:tcW w:w="855" w:type="pct"/>
            <w:vAlign w:val="center"/>
          </w:tcPr>
          <w:p w14:paraId="3D2BD1CB">
            <w:pPr>
              <w:pStyle w:val="28"/>
              <w:rPr>
                <w:color w:val="000000" w:themeColor="text1"/>
                <w14:textFill>
                  <w14:solidFill>
                    <w14:schemeClr w14:val="tx1"/>
                  </w14:solidFill>
                </w14:textFill>
              </w:rPr>
            </w:pPr>
            <w:r>
              <w:rPr>
                <w:color w:val="000000" w:themeColor="text1"/>
                <w14:textFill>
                  <w14:solidFill>
                    <w14:schemeClr w14:val="tx1"/>
                  </w14:solidFill>
                </w14:textFill>
              </w:rPr>
              <w:t>1.9×10-3</w:t>
            </w:r>
          </w:p>
        </w:tc>
        <w:tc>
          <w:tcPr>
            <w:tcW w:w="855" w:type="pct"/>
            <w:vAlign w:val="center"/>
          </w:tcPr>
          <w:p w14:paraId="5F594CEA">
            <w:pPr>
              <w:pStyle w:val="28"/>
              <w:rPr>
                <w:color w:val="000000" w:themeColor="text1"/>
                <w14:textFill>
                  <w14:solidFill>
                    <w14:schemeClr w14:val="tx1"/>
                  </w14:solidFill>
                </w14:textFill>
              </w:rPr>
            </w:pPr>
            <w:r>
              <w:rPr>
                <w:color w:val="000000" w:themeColor="text1"/>
                <w14:textFill>
                  <w14:solidFill>
                    <w14:schemeClr w14:val="tx1"/>
                  </w14:solidFill>
                </w14:textFill>
              </w:rPr>
              <w:t>1.0×10-3</w:t>
            </w:r>
          </w:p>
        </w:tc>
        <w:tc>
          <w:tcPr>
            <w:tcW w:w="856" w:type="pct"/>
            <w:vAlign w:val="center"/>
          </w:tcPr>
          <w:p w14:paraId="152C2FFC">
            <w:pPr>
              <w:pStyle w:val="28"/>
              <w:rPr>
                <w:color w:val="000000" w:themeColor="text1"/>
                <w14:textFill>
                  <w14:solidFill>
                    <w14:schemeClr w14:val="tx1"/>
                  </w14:solidFill>
                </w14:textFill>
              </w:rPr>
            </w:pPr>
            <w:r>
              <w:rPr>
                <w:color w:val="000000" w:themeColor="text1"/>
                <w14:textFill>
                  <w14:solidFill>
                    <w14:schemeClr w14:val="tx1"/>
                  </w14:solidFill>
                </w14:textFill>
              </w:rPr>
              <w:t>1.8×10-3</w:t>
            </w:r>
          </w:p>
        </w:tc>
        <w:tc>
          <w:tcPr>
            <w:tcW w:w="471" w:type="pct"/>
            <w:vAlign w:val="center"/>
          </w:tcPr>
          <w:p w14:paraId="2977045E">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471" w:type="pct"/>
            <w:vAlign w:val="center"/>
          </w:tcPr>
          <w:p w14:paraId="4F7F0A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AF7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2638E7E">
            <w:pPr>
              <w:pStyle w:val="2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55" w:type="pct"/>
            <w:vAlign w:val="center"/>
          </w:tcPr>
          <w:p w14:paraId="5E269794">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0F09AF6B">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5" w:type="pct"/>
            <w:vAlign w:val="center"/>
          </w:tcPr>
          <w:p w14:paraId="0903EE79">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856" w:type="pct"/>
            <w:vAlign w:val="center"/>
          </w:tcPr>
          <w:p w14:paraId="55B861D8">
            <w:pPr>
              <w:pStyle w:val="28"/>
              <w:rPr>
                <w:color w:val="000000" w:themeColor="text1"/>
                <w14:textFill>
                  <w14:solidFill>
                    <w14:schemeClr w14:val="tx1"/>
                  </w14:solidFill>
                </w14:textFill>
              </w:rPr>
            </w:pPr>
            <w:r>
              <w:rPr>
                <w:color w:val="000000" w:themeColor="text1"/>
                <w14:textFill>
                  <w14:solidFill>
                    <w14:schemeClr w14:val="tx1"/>
                  </w14:solidFill>
                </w14:textFill>
              </w:rPr>
              <w:t>4×10-5L</w:t>
            </w:r>
          </w:p>
        </w:tc>
        <w:tc>
          <w:tcPr>
            <w:tcW w:w="471" w:type="pct"/>
            <w:vAlign w:val="center"/>
          </w:tcPr>
          <w:p w14:paraId="5C44460A">
            <w:pPr>
              <w:pStyle w:val="28"/>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471" w:type="pct"/>
            <w:vAlign w:val="center"/>
          </w:tcPr>
          <w:p w14:paraId="141446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26D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E74C0DE">
            <w:pPr>
              <w:pStyle w:val="2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855" w:type="pct"/>
            <w:vAlign w:val="center"/>
          </w:tcPr>
          <w:p w14:paraId="19488C3F">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318AA043">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5" w:type="pct"/>
            <w:vAlign w:val="center"/>
          </w:tcPr>
          <w:p w14:paraId="4CC12FDC">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856" w:type="pct"/>
            <w:vAlign w:val="center"/>
          </w:tcPr>
          <w:p w14:paraId="10E25BE3">
            <w:pPr>
              <w:pStyle w:val="28"/>
              <w:rPr>
                <w:color w:val="000000" w:themeColor="text1"/>
                <w14:textFill>
                  <w14:solidFill>
                    <w14:schemeClr w14:val="tx1"/>
                  </w14:solidFill>
                </w14:textFill>
              </w:rPr>
            </w:pPr>
            <w:r>
              <w:rPr>
                <w:color w:val="000000" w:themeColor="text1"/>
                <w14:textFill>
                  <w14:solidFill>
                    <w14:schemeClr w14:val="tx1"/>
                  </w14:solidFill>
                </w14:textFill>
              </w:rPr>
              <w:t>4×10-3L</w:t>
            </w:r>
          </w:p>
        </w:tc>
        <w:tc>
          <w:tcPr>
            <w:tcW w:w="471" w:type="pct"/>
            <w:vAlign w:val="center"/>
          </w:tcPr>
          <w:p w14:paraId="41BAE5C9">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471" w:type="pct"/>
            <w:vAlign w:val="center"/>
          </w:tcPr>
          <w:p w14:paraId="28CA19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8BC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1498986">
            <w:pPr>
              <w:pStyle w:val="2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855" w:type="pct"/>
            <w:vAlign w:val="center"/>
          </w:tcPr>
          <w:p w14:paraId="3E2185C6">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70C8254D">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5" w:type="pct"/>
            <w:vAlign w:val="center"/>
          </w:tcPr>
          <w:p w14:paraId="18EED734">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856" w:type="pct"/>
            <w:vAlign w:val="center"/>
          </w:tcPr>
          <w:p w14:paraId="773B232E">
            <w:pPr>
              <w:pStyle w:val="28"/>
              <w:rPr>
                <w:color w:val="000000" w:themeColor="text1"/>
                <w14:textFill>
                  <w14:solidFill>
                    <w14:schemeClr w14:val="tx1"/>
                  </w14:solidFill>
                </w14:textFill>
              </w:rPr>
            </w:pPr>
            <w:r>
              <w:rPr>
                <w:color w:val="000000" w:themeColor="text1"/>
                <w14:textFill>
                  <w14:solidFill>
                    <w14:schemeClr w14:val="tx1"/>
                  </w14:solidFill>
                </w14:textFill>
              </w:rPr>
              <w:t>5×10-5L</w:t>
            </w:r>
          </w:p>
        </w:tc>
        <w:tc>
          <w:tcPr>
            <w:tcW w:w="471" w:type="pct"/>
            <w:vAlign w:val="center"/>
          </w:tcPr>
          <w:p w14:paraId="21D8239C">
            <w:pPr>
              <w:pStyle w:val="2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471" w:type="pct"/>
            <w:vAlign w:val="center"/>
          </w:tcPr>
          <w:p w14:paraId="72612D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ACD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81E7B4B">
            <w:pPr>
              <w:pStyle w:val="28"/>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855" w:type="pct"/>
            <w:vAlign w:val="center"/>
          </w:tcPr>
          <w:p w14:paraId="5B2DEE49">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5" w:type="pct"/>
            <w:vAlign w:val="center"/>
          </w:tcPr>
          <w:p w14:paraId="43089A2F">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5" w:type="pct"/>
            <w:vAlign w:val="center"/>
          </w:tcPr>
          <w:p w14:paraId="43E74D77">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856" w:type="pct"/>
            <w:vAlign w:val="center"/>
          </w:tcPr>
          <w:p w14:paraId="6DAC491D">
            <w:pPr>
              <w:pStyle w:val="28"/>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471" w:type="pct"/>
            <w:vAlign w:val="center"/>
          </w:tcPr>
          <w:p w14:paraId="111A0305">
            <w:pPr>
              <w:pStyle w:val="2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471" w:type="pct"/>
            <w:vAlign w:val="center"/>
          </w:tcPr>
          <w:p w14:paraId="56A2ED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F2B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548104D">
            <w:pPr>
              <w:pStyle w:val="28"/>
              <w:rPr>
                <w:color w:val="000000" w:themeColor="text1"/>
                <w14:textFill>
                  <w14:solidFill>
                    <w14:schemeClr w14:val="tx1"/>
                  </w14:solidFill>
                </w14:textFill>
              </w:rPr>
            </w:pPr>
            <w:r>
              <w:rPr>
                <w:color w:val="000000" w:themeColor="text1"/>
                <w14:textFill>
                  <w14:solidFill>
                    <w14:schemeClr w14:val="tx1"/>
                  </w14:solidFill>
                </w14:textFill>
              </w:rPr>
              <w:t>高锰酸盐指数（耗氧量）</w:t>
            </w:r>
          </w:p>
        </w:tc>
        <w:tc>
          <w:tcPr>
            <w:tcW w:w="855" w:type="pct"/>
            <w:vAlign w:val="center"/>
          </w:tcPr>
          <w:p w14:paraId="3BD4A7C1">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5" w:type="pct"/>
            <w:vAlign w:val="center"/>
          </w:tcPr>
          <w:p w14:paraId="522418F1">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855" w:type="pct"/>
            <w:vAlign w:val="center"/>
          </w:tcPr>
          <w:p w14:paraId="1FBD48E3">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856" w:type="pct"/>
            <w:vAlign w:val="center"/>
          </w:tcPr>
          <w:p w14:paraId="26AF772B">
            <w:pPr>
              <w:pStyle w:val="2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471" w:type="pct"/>
            <w:vAlign w:val="center"/>
          </w:tcPr>
          <w:p w14:paraId="350D839E">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71" w:type="pct"/>
            <w:vAlign w:val="center"/>
          </w:tcPr>
          <w:p w14:paraId="62A597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D4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01D5D03B">
            <w:pPr>
              <w:pStyle w:val="2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855" w:type="pct"/>
            <w:vAlign w:val="center"/>
          </w:tcPr>
          <w:p w14:paraId="24D2B1DE">
            <w:pPr>
              <w:pStyle w:val="28"/>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55" w:type="pct"/>
            <w:vAlign w:val="center"/>
          </w:tcPr>
          <w:p w14:paraId="70A5DD80">
            <w:pPr>
              <w:pStyle w:val="28"/>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55" w:type="pct"/>
            <w:vAlign w:val="center"/>
          </w:tcPr>
          <w:p w14:paraId="4CDDEB2D">
            <w:pPr>
              <w:pStyle w:val="28"/>
              <w:rPr>
                <w:color w:val="000000" w:themeColor="text1"/>
                <w14:textFill>
                  <w14:solidFill>
                    <w14:schemeClr w14:val="tx1"/>
                  </w14:solidFill>
                </w14:textFill>
              </w:rPr>
            </w:pPr>
            <w:r>
              <w:rPr>
                <w:color w:val="000000" w:themeColor="text1"/>
                <w14:textFill>
                  <w14:solidFill>
                    <w14:schemeClr w14:val="tx1"/>
                  </w14:solidFill>
                </w14:textFill>
              </w:rPr>
              <w:t>2L</w:t>
            </w:r>
          </w:p>
        </w:tc>
        <w:tc>
          <w:tcPr>
            <w:tcW w:w="856" w:type="pct"/>
            <w:vAlign w:val="center"/>
          </w:tcPr>
          <w:p w14:paraId="23735B67">
            <w:pPr>
              <w:pStyle w:val="28"/>
              <w:rPr>
                <w:color w:val="000000" w:themeColor="text1"/>
                <w14:textFill>
                  <w14:solidFill>
                    <w14:schemeClr w14:val="tx1"/>
                  </w14:solidFill>
                </w14:textFill>
              </w:rPr>
            </w:pPr>
            <w:r>
              <w:rPr>
                <w:color w:val="000000" w:themeColor="text1"/>
                <w14:textFill>
                  <w14:solidFill>
                    <w14:schemeClr w14:val="tx1"/>
                  </w14:solidFill>
                </w14:textFill>
              </w:rPr>
              <w:t>2L</w:t>
            </w:r>
          </w:p>
        </w:tc>
        <w:tc>
          <w:tcPr>
            <w:tcW w:w="471" w:type="pct"/>
            <w:vAlign w:val="center"/>
          </w:tcPr>
          <w:p w14:paraId="79BAE91C">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07BBA2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C9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44B65B67">
            <w:pPr>
              <w:pStyle w:val="28"/>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855" w:type="pct"/>
            <w:vAlign w:val="center"/>
          </w:tcPr>
          <w:p w14:paraId="4D5280E4">
            <w:pPr>
              <w:pStyle w:val="28"/>
              <w:rPr>
                <w:color w:val="000000" w:themeColor="text1"/>
                <w14:textFill>
                  <w14:solidFill>
                    <w14:schemeClr w14:val="tx1"/>
                  </w14:solidFill>
                </w14:textFill>
              </w:rPr>
            </w:pPr>
            <w:r>
              <w:rPr>
                <w:color w:val="000000" w:themeColor="text1"/>
                <w14:textFill>
                  <w14:solidFill>
                    <w14:schemeClr w14:val="tx1"/>
                  </w14:solidFill>
                </w14:textFill>
              </w:rPr>
              <w:t>170</w:t>
            </w:r>
          </w:p>
        </w:tc>
        <w:tc>
          <w:tcPr>
            <w:tcW w:w="855" w:type="pct"/>
            <w:vAlign w:val="center"/>
          </w:tcPr>
          <w:p w14:paraId="6B84079E">
            <w:pPr>
              <w:pStyle w:val="28"/>
              <w:rPr>
                <w:color w:val="000000" w:themeColor="text1"/>
                <w14:textFill>
                  <w14:solidFill>
                    <w14:schemeClr w14:val="tx1"/>
                  </w14:solidFill>
                </w14:textFill>
              </w:rPr>
            </w:pPr>
            <w:r>
              <w:rPr>
                <w:color w:val="000000" w:themeColor="text1"/>
                <w14:textFill>
                  <w14:solidFill>
                    <w14:schemeClr w14:val="tx1"/>
                  </w14:solidFill>
                </w14:textFill>
              </w:rPr>
              <w:t>173</w:t>
            </w:r>
          </w:p>
        </w:tc>
        <w:tc>
          <w:tcPr>
            <w:tcW w:w="855" w:type="pct"/>
            <w:vAlign w:val="center"/>
          </w:tcPr>
          <w:p w14:paraId="51C4C142">
            <w:pPr>
              <w:pStyle w:val="28"/>
              <w:rPr>
                <w:color w:val="000000" w:themeColor="text1"/>
                <w14:textFill>
                  <w14:solidFill>
                    <w14:schemeClr w14:val="tx1"/>
                  </w14:solidFill>
                </w14:textFill>
              </w:rPr>
            </w:pPr>
            <w:r>
              <w:rPr>
                <w:color w:val="000000" w:themeColor="text1"/>
                <w14:textFill>
                  <w14:solidFill>
                    <w14:schemeClr w14:val="tx1"/>
                  </w14:solidFill>
                </w14:textFill>
              </w:rPr>
              <w:t>164</w:t>
            </w:r>
          </w:p>
        </w:tc>
        <w:tc>
          <w:tcPr>
            <w:tcW w:w="856" w:type="pct"/>
            <w:vAlign w:val="center"/>
          </w:tcPr>
          <w:p w14:paraId="4DD401D0">
            <w:pPr>
              <w:pStyle w:val="28"/>
              <w:rPr>
                <w:color w:val="000000" w:themeColor="text1"/>
                <w14:textFill>
                  <w14:solidFill>
                    <w14:schemeClr w14:val="tx1"/>
                  </w14:solidFill>
                </w14:textFill>
              </w:rPr>
            </w:pPr>
            <w:r>
              <w:rPr>
                <w:color w:val="000000" w:themeColor="text1"/>
                <w14:textFill>
                  <w14:solidFill>
                    <w14:schemeClr w14:val="tx1"/>
                  </w14:solidFill>
                </w14:textFill>
              </w:rPr>
              <w:t>166</w:t>
            </w:r>
          </w:p>
        </w:tc>
        <w:tc>
          <w:tcPr>
            <w:tcW w:w="471" w:type="pct"/>
            <w:vAlign w:val="center"/>
          </w:tcPr>
          <w:p w14:paraId="2AA491FF">
            <w:pPr>
              <w:pStyle w:val="28"/>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471" w:type="pct"/>
            <w:vAlign w:val="center"/>
          </w:tcPr>
          <w:p w14:paraId="58C536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6F1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1B7CA953">
            <w:pPr>
              <w:pStyle w:val="2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855" w:type="pct"/>
            <w:vAlign w:val="center"/>
          </w:tcPr>
          <w:p w14:paraId="00EE81B8">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6A9CB22F">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5" w:type="pct"/>
            <w:vAlign w:val="center"/>
          </w:tcPr>
          <w:p w14:paraId="01C8D2A3">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856" w:type="pct"/>
            <w:vAlign w:val="center"/>
          </w:tcPr>
          <w:p w14:paraId="3E1ABB98">
            <w:pPr>
              <w:pStyle w:val="28"/>
              <w:rPr>
                <w:color w:val="000000" w:themeColor="text1"/>
                <w14:textFill>
                  <w14:solidFill>
                    <w14:schemeClr w14:val="tx1"/>
                  </w14:solidFill>
                </w14:textFill>
              </w:rPr>
            </w:pPr>
            <w:r>
              <w:rPr>
                <w:color w:val="000000" w:themeColor="text1"/>
                <w14:textFill>
                  <w14:solidFill>
                    <w14:schemeClr w14:val="tx1"/>
                  </w14:solidFill>
                </w14:textFill>
              </w:rPr>
              <w:t>10L</w:t>
            </w:r>
          </w:p>
        </w:tc>
        <w:tc>
          <w:tcPr>
            <w:tcW w:w="471" w:type="pct"/>
            <w:vAlign w:val="center"/>
          </w:tcPr>
          <w:p w14:paraId="1F600566">
            <w:pPr>
              <w:pStyle w:val="2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471" w:type="pct"/>
            <w:vAlign w:val="center"/>
          </w:tcPr>
          <w:p w14:paraId="16B21D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E76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1A726C2F">
            <w:pPr>
              <w:pStyle w:val="2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855" w:type="pct"/>
            <w:vAlign w:val="center"/>
          </w:tcPr>
          <w:p w14:paraId="7743DF68">
            <w:pPr>
              <w:pStyle w:val="28"/>
              <w:rPr>
                <w:color w:val="000000" w:themeColor="text1"/>
                <w14:textFill>
                  <w14:solidFill>
                    <w14:schemeClr w14:val="tx1"/>
                  </w14:solidFill>
                </w14:textFill>
              </w:rPr>
            </w:pPr>
            <w:r>
              <w:rPr>
                <w:color w:val="000000" w:themeColor="text1"/>
                <w14:textFill>
                  <w14:solidFill>
                    <w14:schemeClr w14:val="tx1"/>
                  </w14:solidFill>
                </w14:textFill>
              </w:rPr>
              <w:t>0.18</w:t>
            </w:r>
          </w:p>
        </w:tc>
        <w:tc>
          <w:tcPr>
            <w:tcW w:w="855" w:type="pct"/>
            <w:vAlign w:val="center"/>
          </w:tcPr>
          <w:p w14:paraId="30210991">
            <w:pPr>
              <w:pStyle w:val="28"/>
              <w:rPr>
                <w:color w:val="000000" w:themeColor="text1"/>
                <w14:textFill>
                  <w14:solidFill>
                    <w14:schemeClr w14:val="tx1"/>
                  </w14:solidFill>
                </w14:textFill>
              </w:rPr>
            </w:pPr>
            <w:r>
              <w:rPr>
                <w:color w:val="000000" w:themeColor="text1"/>
                <w14:textFill>
                  <w14:solidFill>
                    <w14:schemeClr w14:val="tx1"/>
                  </w14:solidFill>
                </w14:textFill>
              </w:rPr>
              <w:t>0.18</w:t>
            </w:r>
          </w:p>
        </w:tc>
        <w:tc>
          <w:tcPr>
            <w:tcW w:w="855" w:type="pct"/>
            <w:vAlign w:val="center"/>
          </w:tcPr>
          <w:p w14:paraId="21CFAFDF">
            <w:pPr>
              <w:pStyle w:val="28"/>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856" w:type="pct"/>
            <w:vAlign w:val="center"/>
          </w:tcPr>
          <w:p w14:paraId="4ABE23C3">
            <w:pPr>
              <w:pStyle w:val="28"/>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471" w:type="pct"/>
            <w:vAlign w:val="center"/>
          </w:tcPr>
          <w:p w14:paraId="0613930B">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71" w:type="pct"/>
            <w:vAlign w:val="center"/>
          </w:tcPr>
          <w:p w14:paraId="01E46B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A23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35" w:type="pct"/>
            <w:vAlign w:val="center"/>
          </w:tcPr>
          <w:p w14:paraId="7438F1EA">
            <w:pPr>
              <w:pStyle w:val="28"/>
              <w:rPr>
                <w:color w:val="000000" w:themeColor="text1"/>
                <w14:textFill>
                  <w14:solidFill>
                    <w14:schemeClr w14:val="tx1"/>
                  </w14:solidFill>
                </w14:textFill>
              </w:rPr>
            </w:pPr>
            <w:r>
              <w:rPr>
                <w:color w:val="000000" w:themeColor="text1"/>
                <w14:textFill>
                  <w14:solidFill>
                    <w14:schemeClr w14:val="tx1"/>
                  </w14:solidFill>
                </w14:textFill>
              </w:rPr>
              <w:t>总大肠菌群（MPN/100ml）</w:t>
            </w:r>
          </w:p>
        </w:tc>
        <w:tc>
          <w:tcPr>
            <w:tcW w:w="1457" w:type="dxa"/>
            <w:vAlign w:val="center"/>
          </w:tcPr>
          <w:p w14:paraId="3C6176B6">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1457" w:type="dxa"/>
            <w:vAlign w:val="center"/>
          </w:tcPr>
          <w:p w14:paraId="1E36A88E">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1457" w:type="dxa"/>
            <w:vAlign w:val="center"/>
          </w:tcPr>
          <w:p w14:paraId="071D1341">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1459" w:type="dxa"/>
            <w:vAlign w:val="center"/>
          </w:tcPr>
          <w:p w14:paraId="102E6F39">
            <w:pPr>
              <w:pStyle w:val="28"/>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804" w:type="dxa"/>
            <w:vAlign w:val="center"/>
          </w:tcPr>
          <w:p w14:paraId="5E3BAA00">
            <w:pPr>
              <w:pStyle w:val="2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03" w:type="dxa"/>
            <w:vAlign w:val="center"/>
          </w:tcPr>
          <w:p w14:paraId="0CC076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7F6612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根据调查，以上三个地下水监测点与本项目区均处于同一水文地质单元，均位于本项目区下游，且数据为近三年内有效数据，根据上表可知，项目区地下水均满足《地下水质量标准》（GB/T 14848-2017）中Ⅲ类标准值。</w:t>
      </w:r>
    </w:p>
    <w:p w14:paraId="60E2F0C1">
      <w:pPr>
        <w:pStyle w:val="4"/>
        <w:rPr>
          <w:color w:val="000000" w:themeColor="text1"/>
          <w14:textFill>
            <w14:solidFill>
              <w14:schemeClr w14:val="tx1"/>
            </w14:solidFill>
          </w14:textFill>
        </w:rPr>
      </w:pPr>
      <w:bookmarkStart w:id="90" w:name="_Toc13031"/>
      <w:r>
        <w:rPr>
          <w:rFonts w:hint="eastAsia"/>
          <w:color w:val="000000" w:themeColor="text1"/>
          <w14:textFill>
            <w14:solidFill>
              <w14:schemeClr w14:val="tx1"/>
            </w14:solidFill>
          </w14:textFill>
        </w:rPr>
        <w:t>4.2.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生态环境现状</w:t>
      </w:r>
      <w:bookmarkEnd w:id="90"/>
    </w:p>
    <w:p w14:paraId="7D3AF9D8">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项目所在区域原生植被已不存在，区域内被建筑及水泥路覆盖，厂区内植被主要为人工绿化植被，场地内生物多样性较差，生态环境质量一般。</w:t>
      </w:r>
      <w:r>
        <w:rPr>
          <w:rFonts w:hint="eastAsia"/>
          <w:color w:val="000000" w:themeColor="text1"/>
          <w14:textFill>
            <w14:solidFill>
              <w14:schemeClr w14:val="tx1"/>
            </w14:solidFill>
          </w14:textFill>
        </w:rPr>
        <w:t>项目周边主要是农田，主要种植应季农作物。</w:t>
      </w:r>
    </w:p>
    <w:p w14:paraId="5A8FDC96">
      <w:pPr>
        <w:pStyle w:val="2"/>
        <w:rPr>
          <w:color w:val="000000" w:themeColor="text1"/>
          <w14:textFill>
            <w14:solidFill>
              <w14:schemeClr w14:val="tx1"/>
            </w14:solidFill>
          </w14:textFill>
        </w:rPr>
      </w:pPr>
      <w:bookmarkStart w:id="91" w:name="_Toc6486"/>
      <w:r>
        <w:rPr>
          <w:rFonts w:hint="eastAsia"/>
          <w:color w:val="000000" w:themeColor="text1"/>
          <w14:textFill>
            <w14:solidFill>
              <w14:schemeClr w14:val="tx1"/>
            </w14:solidFill>
          </w14:textFill>
        </w:rPr>
        <w:t>5、环境影响预测与评价</w:t>
      </w:r>
      <w:bookmarkEnd w:id="91"/>
    </w:p>
    <w:p w14:paraId="5C0E4FEA">
      <w:pPr>
        <w:pStyle w:val="3"/>
        <w:rPr>
          <w:color w:val="000000" w:themeColor="text1"/>
          <w14:textFill>
            <w14:solidFill>
              <w14:schemeClr w14:val="tx1"/>
            </w14:solidFill>
          </w14:textFill>
        </w:rPr>
      </w:pPr>
      <w:bookmarkStart w:id="92" w:name="_Toc29778"/>
      <w:r>
        <w:rPr>
          <w:rFonts w:hint="eastAsia"/>
          <w:color w:val="000000" w:themeColor="text1"/>
          <w14:textFill>
            <w14:solidFill>
              <w14:schemeClr w14:val="tx1"/>
            </w14:solidFill>
          </w14:textFill>
        </w:rPr>
        <w:t>5.1施工期环境影响预测与评价</w:t>
      </w:r>
      <w:bookmarkEnd w:id="92"/>
    </w:p>
    <w:p w14:paraId="2C1CB3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利用云南捷辰包装材料有限公司建设的现有厂房，购置箱式炉、砂磨机、离心机、干燥机等生产设备及配套环保设备，项目不涉及土建施工，仅涉及设备进场和安装，施工期工艺简单，工期短，对周边环境的影响较小，在设备安装完成后对周边环境的影响消失。</w:t>
      </w:r>
    </w:p>
    <w:p w14:paraId="6424D9DE">
      <w:pPr>
        <w:pStyle w:val="3"/>
        <w:rPr>
          <w:color w:val="000000" w:themeColor="text1"/>
          <w14:textFill>
            <w14:solidFill>
              <w14:schemeClr w14:val="tx1"/>
            </w14:solidFill>
          </w14:textFill>
        </w:rPr>
      </w:pPr>
      <w:bookmarkStart w:id="93" w:name="_Toc1269"/>
      <w:r>
        <w:rPr>
          <w:rFonts w:hint="eastAsia"/>
          <w:color w:val="000000" w:themeColor="text1"/>
          <w14:textFill>
            <w14:solidFill>
              <w14:schemeClr w14:val="tx1"/>
            </w14:solidFill>
          </w14:textFill>
        </w:rPr>
        <w:t>5.2运营期环境影响预测与评价</w:t>
      </w:r>
      <w:bookmarkEnd w:id="93"/>
    </w:p>
    <w:p w14:paraId="74C70F6F">
      <w:pPr>
        <w:pStyle w:val="4"/>
        <w:rPr>
          <w:color w:val="000000" w:themeColor="text1"/>
          <w14:textFill>
            <w14:solidFill>
              <w14:schemeClr w14:val="tx1"/>
            </w14:solidFill>
          </w14:textFill>
        </w:rPr>
      </w:pPr>
      <w:bookmarkStart w:id="94" w:name="_Toc18678"/>
      <w:r>
        <w:rPr>
          <w:rFonts w:hint="eastAsia"/>
          <w:color w:val="000000" w:themeColor="text1"/>
          <w14:textFill>
            <w14:solidFill>
              <w14:schemeClr w14:val="tx1"/>
            </w14:solidFill>
          </w14:textFill>
        </w:rPr>
        <w:t>5.2.1大气环境影响分析</w:t>
      </w:r>
      <w:bookmarkEnd w:id="94"/>
    </w:p>
    <w:p w14:paraId="13A803D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5.2.1.1大气环境影响预测</w:t>
      </w:r>
    </w:p>
    <w:p w14:paraId="2FA84C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项目运营过程中的废气主要是投料粉尘、研磨废气、干燥废气、测试残渣处理废气和废水处理站废气。主要污染物为颗粒物、挥发性有机物、硫化氢。</w:t>
      </w:r>
    </w:p>
    <w:p w14:paraId="6684608B">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1、预测因子</w:t>
      </w:r>
    </w:p>
    <w:p w14:paraId="7F7899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p w14:paraId="509CF80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2、估算方法</w:t>
      </w:r>
    </w:p>
    <w:p w14:paraId="30E4306F">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根据《环境影响评价技术导则-大气环境》</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HJ2.2-2018</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中5.3节工作等级的确定方法，结合项目工程分析结果，选择正常排放的主要污染物及排放参数，采用附录A推荐模型中的AERSCREEN模式计算项目污染源的最大环境影响，按照评价工作分级判据进行分级。</w:t>
      </w:r>
    </w:p>
    <w:p w14:paraId="3D22F0E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3、估算参数</w:t>
      </w:r>
    </w:p>
    <w:p w14:paraId="007FF0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本次估算的污染源见下表5.2-1、表5.2-2。</w:t>
      </w:r>
    </w:p>
    <w:p w14:paraId="47450AF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w:t>
      </w:r>
      <w:r>
        <w:rPr>
          <w:color w:val="000000" w:themeColor="text1"/>
          <w14:textFill>
            <w14:solidFill>
              <w14:schemeClr w14:val="tx1"/>
            </w14:solidFill>
          </w14:textFill>
        </w:rPr>
        <w:t xml:space="preserve">  主要废气污染源参数一览表(点源) </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99"/>
        <w:gridCol w:w="1058"/>
        <w:gridCol w:w="962"/>
        <w:gridCol w:w="861"/>
        <w:gridCol w:w="662"/>
        <w:gridCol w:w="563"/>
        <w:gridCol w:w="662"/>
        <w:gridCol w:w="667"/>
        <w:gridCol w:w="762"/>
        <w:gridCol w:w="762"/>
        <w:gridCol w:w="764"/>
      </w:tblGrid>
      <w:tr w14:paraId="7DDBFF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69" w:type="pct"/>
            <w:vMerge w:val="restart"/>
            <w:vAlign w:val="center"/>
          </w:tcPr>
          <w:p w14:paraId="3EC26532">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1185" w:type="pct"/>
            <w:gridSpan w:val="2"/>
            <w:vAlign w:val="center"/>
          </w:tcPr>
          <w:p w14:paraId="42B10EB3">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排气筒底部中心坐标(°)</w:t>
            </w:r>
          </w:p>
        </w:tc>
        <w:tc>
          <w:tcPr>
            <w:tcW w:w="505" w:type="pct"/>
            <w:vMerge w:val="restart"/>
            <w:vAlign w:val="center"/>
          </w:tcPr>
          <w:p w14:paraId="1D8DB33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排气筒底部海拔高度(m)</w:t>
            </w:r>
          </w:p>
        </w:tc>
        <w:tc>
          <w:tcPr>
            <w:tcW w:w="1497" w:type="pct"/>
            <w:gridSpan w:val="4"/>
            <w:vAlign w:val="center"/>
          </w:tcPr>
          <w:p w14:paraId="6020CB59">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排气筒参数</w:t>
            </w:r>
          </w:p>
        </w:tc>
        <w:tc>
          <w:tcPr>
            <w:tcW w:w="1342" w:type="pct"/>
            <w:gridSpan w:val="3"/>
            <w:vAlign w:val="center"/>
          </w:tcPr>
          <w:p w14:paraId="65260007">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污染物排放速率(kg/h)</w:t>
            </w:r>
          </w:p>
        </w:tc>
      </w:tr>
      <w:tr w14:paraId="11F8D4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69" w:type="pct"/>
            <w:vMerge w:val="continue"/>
            <w:vAlign w:val="center"/>
          </w:tcPr>
          <w:p w14:paraId="7BE7E3D1">
            <w:pPr>
              <w:pStyle w:val="28"/>
              <w:rPr>
                <w:color w:val="000000" w:themeColor="text1"/>
                <w:sz w:val="18"/>
                <w:szCs w:val="18"/>
                <w14:textFill>
                  <w14:solidFill>
                    <w14:schemeClr w14:val="tx1"/>
                  </w14:solidFill>
                </w14:textFill>
              </w:rPr>
            </w:pPr>
          </w:p>
        </w:tc>
        <w:tc>
          <w:tcPr>
            <w:tcW w:w="621" w:type="pct"/>
            <w:vAlign w:val="center"/>
          </w:tcPr>
          <w:p w14:paraId="0A1BC53C">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经度</w:t>
            </w:r>
          </w:p>
        </w:tc>
        <w:tc>
          <w:tcPr>
            <w:tcW w:w="564" w:type="pct"/>
            <w:vAlign w:val="center"/>
          </w:tcPr>
          <w:p w14:paraId="666A4F7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纬度</w:t>
            </w:r>
          </w:p>
        </w:tc>
        <w:tc>
          <w:tcPr>
            <w:tcW w:w="505" w:type="pct"/>
            <w:vMerge w:val="continue"/>
            <w:vAlign w:val="center"/>
          </w:tcPr>
          <w:p w14:paraId="17773258">
            <w:pPr>
              <w:pStyle w:val="28"/>
              <w:rPr>
                <w:color w:val="000000" w:themeColor="text1"/>
                <w:sz w:val="18"/>
                <w:szCs w:val="18"/>
                <w14:textFill>
                  <w14:solidFill>
                    <w14:schemeClr w14:val="tx1"/>
                  </w14:solidFill>
                </w14:textFill>
              </w:rPr>
            </w:pPr>
          </w:p>
        </w:tc>
        <w:tc>
          <w:tcPr>
            <w:tcW w:w="388" w:type="pct"/>
            <w:vAlign w:val="center"/>
          </w:tcPr>
          <w:p w14:paraId="52D31097">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高度(m)</w:t>
            </w:r>
          </w:p>
        </w:tc>
        <w:tc>
          <w:tcPr>
            <w:tcW w:w="330" w:type="pct"/>
            <w:vAlign w:val="center"/>
          </w:tcPr>
          <w:p w14:paraId="06305AA8">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内径(m)</w:t>
            </w:r>
          </w:p>
        </w:tc>
        <w:tc>
          <w:tcPr>
            <w:tcW w:w="388" w:type="pct"/>
            <w:vAlign w:val="center"/>
          </w:tcPr>
          <w:p w14:paraId="0812A4CB">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温度(℃)</w:t>
            </w:r>
          </w:p>
        </w:tc>
        <w:tc>
          <w:tcPr>
            <w:tcW w:w="390" w:type="pct"/>
            <w:vAlign w:val="center"/>
          </w:tcPr>
          <w:p w14:paraId="4E48B758">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流速(m/s)</w:t>
            </w:r>
          </w:p>
        </w:tc>
        <w:tc>
          <w:tcPr>
            <w:tcW w:w="447" w:type="pct"/>
            <w:vAlign w:val="center"/>
          </w:tcPr>
          <w:p w14:paraId="56AE7C44">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S</w:t>
            </w:r>
          </w:p>
        </w:tc>
        <w:tc>
          <w:tcPr>
            <w:tcW w:w="447" w:type="pct"/>
            <w:vAlign w:val="center"/>
          </w:tcPr>
          <w:p w14:paraId="7EE2199C">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PM</w:t>
            </w:r>
            <w:r>
              <w:rPr>
                <w:color w:val="000000" w:themeColor="text1"/>
                <w:sz w:val="18"/>
                <w:szCs w:val="18"/>
                <w:vertAlign w:val="subscript"/>
                <w14:textFill>
                  <w14:solidFill>
                    <w14:schemeClr w14:val="tx1"/>
                  </w14:solidFill>
                </w14:textFill>
              </w:rPr>
              <w:t>10</w:t>
            </w:r>
          </w:p>
        </w:tc>
        <w:tc>
          <w:tcPr>
            <w:tcW w:w="448" w:type="pct"/>
            <w:vAlign w:val="center"/>
          </w:tcPr>
          <w:p w14:paraId="42FD7EDE">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TVOC</w:t>
            </w:r>
          </w:p>
        </w:tc>
      </w:tr>
      <w:tr w14:paraId="2622CD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469" w:type="pct"/>
            <w:vAlign w:val="center"/>
          </w:tcPr>
          <w:p w14:paraId="1200FC81">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DA001</w:t>
            </w:r>
          </w:p>
        </w:tc>
        <w:tc>
          <w:tcPr>
            <w:tcW w:w="621" w:type="pct"/>
            <w:vAlign w:val="center"/>
          </w:tcPr>
          <w:p w14:paraId="4AE38B33">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102.52672</w:t>
            </w:r>
          </w:p>
        </w:tc>
        <w:tc>
          <w:tcPr>
            <w:tcW w:w="564" w:type="pct"/>
            <w:vAlign w:val="center"/>
          </w:tcPr>
          <w:p w14:paraId="165FEF0F">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24.43729</w:t>
            </w:r>
          </w:p>
        </w:tc>
        <w:tc>
          <w:tcPr>
            <w:tcW w:w="505" w:type="pct"/>
            <w:vAlign w:val="center"/>
          </w:tcPr>
          <w:p w14:paraId="7962C98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1676.00</w:t>
            </w:r>
          </w:p>
        </w:tc>
        <w:tc>
          <w:tcPr>
            <w:tcW w:w="388" w:type="pct"/>
            <w:vAlign w:val="center"/>
          </w:tcPr>
          <w:p w14:paraId="5DD9E08F">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15.00</w:t>
            </w:r>
          </w:p>
        </w:tc>
        <w:tc>
          <w:tcPr>
            <w:tcW w:w="330" w:type="pct"/>
            <w:vAlign w:val="center"/>
          </w:tcPr>
          <w:p w14:paraId="0A88C7DC">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0.65</w:t>
            </w:r>
          </w:p>
        </w:tc>
        <w:tc>
          <w:tcPr>
            <w:tcW w:w="388" w:type="pct"/>
            <w:vAlign w:val="center"/>
          </w:tcPr>
          <w:p w14:paraId="3C680AB4">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390" w:type="pct"/>
            <w:vAlign w:val="center"/>
          </w:tcPr>
          <w:p w14:paraId="7E6F75AD">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47" w:type="pct"/>
            <w:vAlign w:val="center"/>
          </w:tcPr>
          <w:p w14:paraId="15026955">
            <w:pPr>
              <w:pStyle w:val="2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0.0002</w:t>
            </w:r>
          </w:p>
        </w:tc>
        <w:tc>
          <w:tcPr>
            <w:tcW w:w="447" w:type="pct"/>
            <w:vAlign w:val="center"/>
          </w:tcPr>
          <w:p w14:paraId="188FA28B">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0.018</w:t>
            </w:r>
          </w:p>
        </w:tc>
        <w:tc>
          <w:tcPr>
            <w:tcW w:w="448" w:type="pct"/>
            <w:vAlign w:val="center"/>
          </w:tcPr>
          <w:p w14:paraId="595B7EF8">
            <w:pPr>
              <w:pStyle w:val="2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0.04</w:t>
            </w:r>
          </w:p>
        </w:tc>
      </w:tr>
    </w:tbl>
    <w:p w14:paraId="0ECE6123">
      <w:pPr>
        <w:spacing w:line="480" w:lineRule="exact"/>
        <w:ind w:firstLine="422"/>
        <w:jc w:val="center"/>
        <w:rPr>
          <w:rStyle w:val="30"/>
          <w:color w:val="000000" w:themeColor="text1"/>
          <w14:textFill>
            <w14:solidFill>
              <w14:schemeClr w14:val="tx1"/>
            </w14:solidFill>
          </w14:textFill>
        </w:rPr>
      </w:pPr>
      <w:r>
        <w:rPr>
          <w:rStyle w:val="30"/>
          <w:color w:val="000000" w:themeColor="text1"/>
          <w14:textFill>
            <w14:solidFill>
              <w14:schemeClr w14:val="tx1"/>
            </w14:solidFill>
          </w14:textFill>
        </w:rPr>
        <w:t xml:space="preserve"> </w:t>
      </w:r>
    </w:p>
    <w:p w14:paraId="26214C5F">
      <w:pPr>
        <w:spacing w:line="480" w:lineRule="exact"/>
        <w:ind w:firstLine="422"/>
        <w:jc w:val="center"/>
        <w:rPr>
          <w:rStyle w:val="30"/>
          <w:color w:val="000000" w:themeColor="text1"/>
          <w14:textFill>
            <w14:solidFill>
              <w14:schemeClr w14:val="tx1"/>
            </w14:solidFill>
          </w14:textFill>
        </w:rPr>
      </w:pPr>
    </w:p>
    <w:p w14:paraId="20226211">
      <w:pPr>
        <w:spacing w:line="480" w:lineRule="exact"/>
        <w:ind w:firstLine="422"/>
        <w:jc w:val="center"/>
        <w:rPr>
          <w:rStyle w:val="30"/>
          <w:color w:val="000000" w:themeColor="text1"/>
          <w14:textFill>
            <w14:solidFill>
              <w14:schemeClr w14:val="tx1"/>
            </w14:solidFill>
          </w14:textFill>
        </w:rPr>
      </w:pPr>
      <w:r>
        <w:rPr>
          <w:rStyle w:val="30"/>
          <w:color w:val="000000" w:themeColor="text1"/>
          <w14:textFill>
            <w14:solidFill>
              <w14:schemeClr w14:val="tx1"/>
            </w14:solidFill>
          </w14:textFill>
        </w:rPr>
        <w:t>表</w:t>
      </w:r>
      <w:r>
        <w:rPr>
          <w:rStyle w:val="30"/>
          <w:rFonts w:hint="eastAsia"/>
          <w:color w:val="000000" w:themeColor="text1"/>
          <w14:textFill>
            <w14:solidFill>
              <w14:schemeClr w14:val="tx1"/>
            </w14:solidFill>
          </w14:textFill>
        </w:rPr>
        <w:t>5.2-2</w:t>
      </w:r>
      <w:r>
        <w:rPr>
          <w:rStyle w:val="30"/>
          <w:color w:val="000000" w:themeColor="text1"/>
          <w14:textFill>
            <w14:solidFill>
              <w14:schemeClr w14:val="tx1"/>
            </w14:solidFill>
          </w14:textFill>
        </w:rPr>
        <w:t xml:space="preserve">  主要废气污染源参数一览表(</w:t>
      </w:r>
      <w:r>
        <w:rPr>
          <w:rStyle w:val="30"/>
          <w:rFonts w:hint="eastAsia"/>
          <w:color w:val="000000" w:themeColor="text1"/>
          <w14:textFill>
            <w14:solidFill>
              <w14:schemeClr w14:val="tx1"/>
            </w14:solidFill>
          </w14:textFill>
        </w:rPr>
        <w:t>圆形</w:t>
      </w:r>
      <w:r>
        <w:rPr>
          <w:rStyle w:val="30"/>
          <w:color w:val="000000" w:themeColor="text1"/>
          <w14:textFill>
            <w14:solidFill>
              <w14:schemeClr w14:val="tx1"/>
            </w14:solidFill>
          </w14:textFill>
        </w:rPr>
        <w:t xml:space="preserve">面源) </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91"/>
        <w:gridCol w:w="1214"/>
        <w:gridCol w:w="1109"/>
        <w:gridCol w:w="899"/>
        <w:gridCol w:w="965"/>
        <w:gridCol w:w="898"/>
        <w:gridCol w:w="796"/>
        <w:gridCol w:w="1001"/>
        <w:gridCol w:w="1049"/>
      </w:tblGrid>
      <w:tr w14:paraId="02F1AF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4" w:hRule="atLeast"/>
        </w:trPr>
        <w:tc>
          <w:tcPr>
            <w:tcW w:w="369" w:type="pct"/>
            <w:vMerge w:val="restart"/>
            <w:vAlign w:val="center"/>
          </w:tcPr>
          <w:p w14:paraId="6218EBEF">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污染源名称</w:t>
            </w:r>
          </w:p>
        </w:tc>
        <w:tc>
          <w:tcPr>
            <w:tcW w:w="1203" w:type="pct"/>
            <w:gridSpan w:val="2"/>
            <w:vAlign w:val="center"/>
          </w:tcPr>
          <w:p w14:paraId="71200DC8">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中心点坐标(°)</w:t>
            </w:r>
          </w:p>
        </w:tc>
        <w:tc>
          <w:tcPr>
            <w:tcW w:w="549" w:type="pct"/>
            <w:vMerge w:val="restart"/>
            <w:vAlign w:val="center"/>
          </w:tcPr>
          <w:p w14:paraId="75BDA950">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海拔高度(m)</w:t>
            </w:r>
          </w:p>
        </w:tc>
        <w:tc>
          <w:tcPr>
            <w:tcW w:w="589" w:type="pct"/>
            <w:vMerge w:val="restart"/>
            <w:vAlign w:val="center"/>
          </w:tcPr>
          <w:p w14:paraId="0815656A">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面源有效排放高度(m)</w:t>
            </w:r>
          </w:p>
        </w:tc>
        <w:tc>
          <w:tcPr>
            <w:tcW w:w="549" w:type="pct"/>
            <w:vMerge w:val="restart"/>
            <w:vAlign w:val="center"/>
          </w:tcPr>
          <w:p w14:paraId="37E05705">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初始垂向扩散参数(m)</w:t>
            </w:r>
          </w:p>
        </w:tc>
        <w:tc>
          <w:tcPr>
            <w:tcW w:w="489" w:type="pct"/>
            <w:vMerge w:val="restart"/>
            <w:vAlign w:val="center"/>
          </w:tcPr>
          <w:p w14:paraId="3477278B">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圆形面源半径(m)</w:t>
            </w:r>
          </w:p>
        </w:tc>
        <w:tc>
          <w:tcPr>
            <w:tcW w:w="609" w:type="pct"/>
            <w:vMerge w:val="restart"/>
            <w:vAlign w:val="center"/>
          </w:tcPr>
          <w:p w14:paraId="5A34D955">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近圆形面源的顶点或边的个数</w:t>
            </w:r>
          </w:p>
        </w:tc>
        <w:tc>
          <w:tcPr>
            <w:tcW w:w="637" w:type="pct"/>
            <w:vAlign w:val="center"/>
          </w:tcPr>
          <w:p w14:paraId="388289EA">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污染物排放速率(kg/h)</w:t>
            </w:r>
          </w:p>
        </w:tc>
      </w:tr>
      <w:tr w14:paraId="2FAAB1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69" w:type="pct"/>
            <w:vMerge w:val="continue"/>
            <w:vAlign w:val="center"/>
          </w:tcPr>
          <w:p w14:paraId="0CE2AA49">
            <w:pPr>
              <w:pStyle w:val="28"/>
              <w:rPr>
                <w:color w:val="000000" w:themeColor="text1"/>
                <w:szCs w:val="21"/>
                <w14:textFill>
                  <w14:solidFill>
                    <w14:schemeClr w14:val="tx1"/>
                  </w14:solidFill>
                </w14:textFill>
              </w:rPr>
            </w:pPr>
          </w:p>
        </w:tc>
        <w:tc>
          <w:tcPr>
            <w:tcW w:w="628" w:type="pct"/>
            <w:vAlign w:val="center"/>
          </w:tcPr>
          <w:p w14:paraId="6EAB57E9">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575" w:type="pct"/>
            <w:vAlign w:val="center"/>
          </w:tcPr>
          <w:p w14:paraId="3E58689E">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549" w:type="pct"/>
            <w:vMerge w:val="continue"/>
            <w:vAlign w:val="center"/>
          </w:tcPr>
          <w:p w14:paraId="60B23E01">
            <w:pPr>
              <w:pStyle w:val="28"/>
              <w:rPr>
                <w:color w:val="000000" w:themeColor="text1"/>
                <w:szCs w:val="21"/>
                <w14:textFill>
                  <w14:solidFill>
                    <w14:schemeClr w14:val="tx1"/>
                  </w14:solidFill>
                </w14:textFill>
              </w:rPr>
            </w:pPr>
          </w:p>
        </w:tc>
        <w:tc>
          <w:tcPr>
            <w:tcW w:w="589" w:type="pct"/>
            <w:vMerge w:val="continue"/>
            <w:vAlign w:val="center"/>
          </w:tcPr>
          <w:p w14:paraId="31018694">
            <w:pPr>
              <w:pStyle w:val="28"/>
              <w:rPr>
                <w:color w:val="000000" w:themeColor="text1"/>
                <w:szCs w:val="21"/>
                <w14:textFill>
                  <w14:solidFill>
                    <w14:schemeClr w14:val="tx1"/>
                  </w14:solidFill>
                </w14:textFill>
              </w:rPr>
            </w:pPr>
          </w:p>
        </w:tc>
        <w:tc>
          <w:tcPr>
            <w:tcW w:w="549" w:type="pct"/>
            <w:vMerge w:val="continue"/>
            <w:vAlign w:val="center"/>
          </w:tcPr>
          <w:p w14:paraId="2294A9EB">
            <w:pPr>
              <w:pStyle w:val="28"/>
              <w:rPr>
                <w:color w:val="000000" w:themeColor="text1"/>
                <w:szCs w:val="21"/>
                <w14:textFill>
                  <w14:solidFill>
                    <w14:schemeClr w14:val="tx1"/>
                  </w14:solidFill>
                </w14:textFill>
              </w:rPr>
            </w:pPr>
          </w:p>
        </w:tc>
        <w:tc>
          <w:tcPr>
            <w:tcW w:w="489" w:type="pct"/>
            <w:vMerge w:val="continue"/>
            <w:vAlign w:val="center"/>
          </w:tcPr>
          <w:p w14:paraId="3C476128">
            <w:pPr>
              <w:pStyle w:val="28"/>
              <w:rPr>
                <w:color w:val="000000" w:themeColor="text1"/>
                <w:szCs w:val="21"/>
                <w14:textFill>
                  <w14:solidFill>
                    <w14:schemeClr w14:val="tx1"/>
                  </w14:solidFill>
                </w14:textFill>
              </w:rPr>
            </w:pPr>
          </w:p>
        </w:tc>
        <w:tc>
          <w:tcPr>
            <w:tcW w:w="609" w:type="pct"/>
            <w:vMerge w:val="continue"/>
            <w:vAlign w:val="center"/>
          </w:tcPr>
          <w:p w14:paraId="19670BA2">
            <w:pPr>
              <w:pStyle w:val="28"/>
              <w:rPr>
                <w:color w:val="000000" w:themeColor="text1"/>
                <w:szCs w:val="21"/>
                <w14:textFill>
                  <w14:solidFill>
                    <w14:schemeClr w14:val="tx1"/>
                  </w14:solidFill>
                </w14:textFill>
              </w:rPr>
            </w:pPr>
          </w:p>
        </w:tc>
        <w:tc>
          <w:tcPr>
            <w:tcW w:w="637" w:type="pct"/>
            <w:vAlign w:val="center"/>
          </w:tcPr>
          <w:p w14:paraId="21360000">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r>
      <w:tr w14:paraId="42500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69" w:type="pct"/>
            <w:vAlign w:val="center"/>
          </w:tcPr>
          <w:p w14:paraId="426F2419">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圆形面源</w:t>
            </w:r>
          </w:p>
        </w:tc>
        <w:tc>
          <w:tcPr>
            <w:tcW w:w="628" w:type="pct"/>
            <w:vAlign w:val="center"/>
          </w:tcPr>
          <w:p w14:paraId="3CC89C4A">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102.526712</w:t>
            </w:r>
          </w:p>
        </w:tc>
        <w:tc>
          <w:tcPr>
            <w:tcW w:w="575" w:type="pct"/>
            <w:vAlign w:val="center"/>
          </w:tcPr>
          <w:p w14:paraId="7720881D">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24.437423</w:t>
            </w:r>
          </w:p>
        </w:tc>
        <w:tc>
          <w:tcPr>
            <w:tcW w:w="549" w:type="pct"/>
            <w:vAlign w:val="center"/>
          </w:tcPr>
          <w:p w14:paraId="3612BA72">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1676.00</w:t>
            </w:r>
          </w:p>
        </w:tc>
        <w:tc>
          <w:tcPr>
            <w:tcW w:w="589" w:type="pct"/>
            <w:vAlign w:val="center"/>
          </w:tcPr>
          <w:p w14:paraId="07876F46">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549" w:type="pct"/>
            <w:vAlign w:val="center"/>
          </w:tcPr>
          <w:p w14:paraId="71C48B52">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4.65</w:t>
            </w:r>
          </w:p>
        </w:tc>
        <w:tc>
          <w:tcPr>
            <w:tcW w:w="489" w:type="pct"/>
            <w:vAlign w:val="center"/>
          </w:tcPr>
          <w:p w14:paraId="1C21C027">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5.58</w:t>
            </w:r>
          </w:p>
        </w:tc>
        <w:tc>
          <w:tcPr>
            <w:tcW w:w="609" w:type="pct"/>
            <w:vAlign w:val="center"/>
          </w:tcPr>
          <w:p w14:paraId="55D55948">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37" w:type="pct"/>
            <w:vAlign w:val="center"/>
          </w:tcPr>
          <w:p w14:paraId="74CEF313">
            <w:pPr>
              <w:pStyle w:val="28"/>
              <w:rPr>
                <w:color w:val="000000" w:themeColor="text1"/>
                <w:szCs w:val="21"/>
                <w14:textFill>
                  <w14:solidFill>
                    <w14:schemeClr w14:val="tx1"/>
                  </w14:solidFill>
                </w14:textFill>
              </w:rPr>
            </w:pPr>
            <w:r>
              <w:rPr>
                <w:color w:val="000000" w:themeColor="text1"/>
                <w:szCs w:val="21"/>
                <w14:textFill>
                  <w14:solidFill>
                    <w14:schemeClr w14:val="tx1"/>
                  </w14:solidFill>
                </w14:textFill>
              </w:rPr>
              <w:t>0.000</w:t>
            </w:r>
            <w:r>
              <w:rPr>
                <w:rFonts w:hint="eastAsia"/>
                <w:color w:val="000000" w:themeColor="text1"/>
                <w:szCs w:val="21"/>
                <w14:textFill>
                  <w14:solidFill>
                    <w14:schemeClr w14:val="tx1"/>
                  </w14:solidFill>
                </w14:textFill>
              </w:rPr>
              <w:t>2</w:t>
            </w:r>
          </w:p>
        </w:tc>
      </w:tr>
    </w:tbl>
    <w:p w14:paraId="13B0A2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本环评估算模式所用参数见表5.2-3。</w:t>
      </w:r>
    </w:p>
    <w:p w14:paraId="7A62706E">
      <w:pPr>
        <w:pStyle w:val="27"/>
        <w:rPr>
          <w:rStyle w:val="30"/>
          <w:b/>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5.2-3</w:t>
      </w:r>
      <w:r>
        <w:rPr>
          <w:color w:val="000000" w:themeColor="text1"/>
          <w14:textFill>
            <w14:solidFill>
              <w14:schemeClr w14:val="tx1"/>
            </w14:solidFill>
          </w14:textFill>
        </w:rPr>
        <w:t xml:space="preserve">  估算模型参数表</w:t>
      </w:r>
    </w:p>
    <w:tbl>
      <w:tblPr>
        <w:tblStyle w:val="2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536"/>
        <w:gridCol w:w="3799"/>
        <w:gridCol w:w="1185"/>
      </w:tblGrid>
      <w:tr w14:paraId="5A0FF4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4304" w:type="pct"/>
            <w:gridSpan w:val="2"/>
            <w:vAlign w:val="center"/>
          </w:tcPr>
          <w:p w14:paraId="2D80239F">
            <w:pPr>
              <w:pStyle w:val="28"/>
              <w:rPr>
                <w:color w:val="000000" w:themeColor="text1"/>
                <w14:textFill>
                  <w14:solidFill>
                    <w14:schemeClr w14:val="tx1"/>
                  </w14:solidFill>
                </w14:textFill>
              </w:rPr>
            </w:pPr>
            <w:r>
              <w:rPr>
                <w:color w:val="000000" w:themeColor="text1"/>
                <w14:textFill>
                  <w14:solidFill>
                    <w14:schemeClr w14:val="tx1"/>
                  </w14:solidFill>
                </w14:textFill>
              </w:rPr>
              <w:t>参数</w:t>
            </w:r>
          </w:p>
        </w:tc>
        <w:tc>
          <w:tcPr>
            <w:tcW w:w="695" w:type="pct"/>
            <w:vAlign w:val="center"/>
          </w:tcPr>
          <w:p w14:paraId="27E367C0">
            <w:pPr>
              <w:pStyle w:val="28"/>
              <w:rPr>
                <w:color w:val="000000" w:themeColor="text1"/>
                <w14:textFill>
                  <w14:solidFill>
                    <w14:schemeClr w14:val="tx1"/>
                  </w14:solidFill>
                </w14:textFill>
              </w:rPr>
            </w:pPr>
            <w:r>
              <w:rPr>
                <w:color w:val="000000" w:themeColor="text1"/>
                <w14:textFill>
                  <w14:solidFill>
                    <w14:schemeClr w14:val="tx1"/>
                  </w14:solidFill>
                </w14:textFill>
              </w:rPr>
              <w:t>取值</w:t>
            </w:r>
          </w:p>
        </w:tc>
      </w:tr>
      <w:tr w14:paraId="243429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restart"/>
            <w:vAlign w:val="center"/>
          </w:tcPr>
          <w:p w14:paraId="31179B32">
            <w:pPr>
              <w:pStyle w:val="28"/>
              <w:rPr>
                <w:color w:val="000000" w:themeColor="text1"/>
                <w14:textFill>
                  <w14:solidFill>
                    <w14:schemeClr w14:val="tx1"/>
                  </w14:solidFill>
                </w14:textFill>
              </w:rPr>
            </w:pPr>
            <w:r>
              <w:rPr>
                <w:color w:val="000000" w:themeColor="text1"/>
                <w14:textFill>
                  <w14:solidFill>
                    <w14:schemeClr w14:val="tx1"/>
                  </w14:solidFill>
                </w14:textFill>
              </w:rPr>
              <w:t>城市/农村选项</w:t>
            </w:r>
          </w:p>
        </w:tc>
        <w:tc>
          <w:tcPr>
            <w:tcW w:w="2228" w:type="pct"/>
            <w:vAlign w:val="center"/>
          </w:tcPr>
          <w:p w14:paraId="71A9AB1F">
            <w:pPr>
              <w:pStyle w:val="28"/>
              <w:rPr>
                <w:color w:val="000000" w:themeColor="text1"/>
                <w14:textFill>
                  <w14:solidFill>
                    <w14:schemeClr w14:val="tx1"/>
                  </w14:solidFill>
                </w14:textFill>
              </w:rPr>
            </w:pPr>
            <w:r>
              <w:rPr>
                <w:color w:val="000000" w:themeColor="text1"/>
                <w14:textFill>
                  <w14:solidFill>
                    <w14:schemeClr w14:val="tx1"/>
                  </w14:solidFill>
                </w14:textFill>
              </w:rPr>
              <w:t>城市/农村</w:t>
            </w:r>
          </w:p>
        </w:tc>
        <w:tc>
          <w:tcPr>
            <w:tcW w:w="695" w:type="pct"/>
            <w:vAlign w:val="center"/>
          </w:tcPr>
          <w:p w14:paraId="1516BBED">
            <w:pPr>
              <w:pStyle w:val="28"/>
              <w:rPr>
                <w:color w:val="000000" w:themeColor="text1"/>
                <w14:textFill>
                  <w14:solidFill>
                    <w14:schemeClr w14:val="tx1"/>
                  </w14:solidFill>
                </w14:textFill>
              </w:rPr>
            </w:pPr>
            <w:r>
              <w:rPr>
                <w:color w:val="000000" w:themeColor="text1"/>
                <w14:textFill>
                  <w14:solidFill>
                    <w14:schemeClr w14:val="tx1"/>
                  </w14:solidFill>
                </w14:textFill>
              </w:rPr>
              <w:t>农村</w:t>
            </w:r>
          </w:p>
        </w:tc>
      </w:tr>
      <w:tr w14:paraId="24B055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continue"/>
            <w:vAlign w:val="center"/>
          </w:tcPr>
          <w:p w14:paraId="003161A6">
            <w:pPr>
              <w:pStyle w:val="28"/>
              <w:rPr>
                <w:color w:val="000000" w:themeColor="text1"/>
                <w14:textFill>
                  <w14:solidFill>
                    <w14:schemeClr w14:val="tx1"/>
                  </w14:solidFill>
                </w14:textFill>
              </w:rPr>
            </w:pPr>
          </w:p>
        </w:tc>
        <w:tc>
          <w:tcPr>
            <w:tcW w:w="2228" w:type="pct"/>
            <w:vAlign w:val="center"/>
          </w:tcPr>
          <w:p w14:paraId="017BBCB4">
            <w:pPr>
              <w:pStyle w:val="28"/>
              <w:rPr>
                <w:color w:val="000000" w:themeColor="text1"/>
                <w14:textFill>
                  <w14:solidFill>
                    <w14:schemeClr w14:val="tx1"/>
                  </w14:solidFill>
                </w14:textFill>
              </w:rPr>
            </w:pPr>
            <w:r>
              <w:rPr>
                <w:color w:val="000000" w:themeColor="text1"/>
                <w14:textFill>
                  <w14:solidFill>
                    <w14:schemeClr w14:val="tx1"/>
                  </w14:solidFill>
                </w14:textFill>
              </w:rPr>
              <w:t>人口数(城市人口数)</w:t>
            </w:r>
          </w:p>
        </w:tc>
        <w:tc>
          <w:tcPr>
            <w:tcW w:w="695" w:type="pct"/>
            <w:vAlign w:val="center"/>
          </w:tcPr>
          <w:p w14:paraId="0302FCF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6B957B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4304" w:type="pct"/>
            <w:gridSpan w:val="2"/>
            <w:vAlign w:val="center"/>
          </w:tcPr>
          <w:p w14:paraId="1BD001DC">
            <w:pPr>
              <w:pStyle w:val="28"/>
              <w:rPr>
                <w:color w:val="000000" w:themeColor="text1"/>
                <w14:textFill>
                  <w14:solidFill>
                    <w14:schemeClr w14:val="tx1"/>
                  </w14:solidFill>
                </w14:textFill>
              </w:rPr>
            </w:pPr>
            <w:r>
              <w:rPr>
                <w:color w:val="000000" w:themeColor="text1"/>
                <w14:textFill>
                  <w14:solidFill>
                    <w14:schemeClr w14:val="tx1"/>
                  </w14:solidFill>
                </w14:textFill>
              </w:rPr>
              <w:t>最高环境温度</w:t>
            </w:r>
          </w:p>
        </w:tc>
        <w:tc>
          <w:tcPr>
            <w:tcW w:w="695" w:type="pct"/>
            <w:vAlign w:val="center"/>
          </w:tcPr>
          <w:p w14:paraId="15E41F67">
            <w:pPr>
              <w:pStyle w:val="28"/>
              <w:rPr>
                <w:color w:val="000000" w:themeColor="text1"/>
                <w14:textFill>
                  <w14:solidFill>
                    <w14:schemeClr w14:val="tx1"/>
                  </w14:solidFill>
                </w14:textFill>
              </w:rPr>
            </w:pPr>
            <w:r>
              <w:rPr>
                <w:color w:val="000000" w:themeColor="text1"/>
                <w14:textFill>
                  <w14:solidFill>
                    <w14:schemeClr w14:val="tx1"/>
                  </w14:solidFill>
                </w14:textFill>
              </w:rPr>
              <w:t>34.4</w:t>
            </w:r>
          </w:p>
        </w:tc>
      </w:tr>
      <w:tr w14:paraId="01827A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4304" w:type="pct"/>
            <w:gridSpan w:val="2"/>
            <w:vAlign w:val="center"/>
          </w:tcPr>
          <w:p w14:paraId="609D6F64">
            <w:pPr>
              <w:pStyle w:val="28"/>
              <w:rPr>
                <w:color w:val="000000" w:themeColor="text1"/>
                <w14:textFill>
                  <w14:solidFill>
                    <w14:schemeClr w14:val="tx1"/>
                  </w14:solidFill>
                </w14:textFill>
              </w:rPr>
            </w:pPr>
            <w:r>
              <w:rPr>
                <w:color w:val="000000" w:themeColor="text1"/>
                <w14:textFill>
                  <w14:solidFill>
                    <w14:schemeClr w14:val="tx1"/>
                  </w14:solidFill>
                </w14:textFill>
              </w:rPr>
              <w:t>最低环境温度</w:t>
            </w:r>
          </w:p>
        </w:tc>
        <w:tc>
          <w:tcPr>
            <w:tcW w:w="695" w:type="pct"/>
            <w:vAlign w:val="center"/>
          </w:tcPr>
          <w:p w14:paraId="12C743D8">
            <w:pPr>
              <w:pStyle w:val="28"/>
              <w:rPr>
                <w:color w:val="000000" w:themeColor="text1"/>
                <w14:textFill>
                  <w14:solidFill>
                    <w14:schemeClr w14:val="tx1"/>
                  </w14:solidFill>
                </w14:textFill>
              </w:rPr>
            </w:pPr>
            <w:r>
              <w:rPr>
                <w:color w:val="000000" w:themeColor="text1"/>
                <w14:textFill>
                  <w14:solidFill>
                    <w14:schemeClr w14:val="tx1"/>
                  </w14:solidFill>
                </w14:textFill>
              </w:rPr>
              <w:t>-5.5</w:t>
            </w:r>
          </w:p>
        </w:tc>
      </w:tr>
      <w:tr w14:paraId="1108C2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4304" w:type="pct"/>
            <w:gridSpan w:val="2"/>
            <w:vAlign w:val="center"/>
          </w:tcPr>
          <w:p w14:paraId="0598DFB7">
            <w:pPr>
              <w:pStyle w:val="28"/>
              <w:rPr>
                <w:color w:val="000000" w:themeColor="text1"/>
                <w14:textFill>
                  <w14:solidFill>
                    <w14:schemeClr w14:val="tx1"/>
                  </w14:solidFill>
                </w14:textFill>
              </w:rPr>
            </w:pPr>
            <w:r>
              <w:rPr>
                <w:color w:val="000000" w:themeColor="text1"/>
                <w14:textFill>
                  <w14:solidFill>
                    <w14:schemeClr w14:val="tx1"/>
                  </w14:solidFill>
                </w14:textFill>
              </w:rPr>
              <w:t>土地利用类型</w:t>
            </w:r>
          </w:p>
        </w:tc>
        <w:tc>
          <w:tcPr>
            <w:tcW w:w="695" w:type="pct"/>
            <w:vAlign w:val="center"/>
          </w:tcPr>
          <w:p w14:paraId="54CB29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农田</w:t>
            </w:r>
          </w:p>
        </w:tc>
      </w:tr>
      <w:tr w14:paraId="28CA9E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4304" w:type="pct"/>
            <w:gridSpan w:val="2"/>
            <w:vAlign w:val="center"/>
          </w:tcPr>
          <w:p w14:paraId="1820BEB0">
            <w:pPr>
              <w:pStyle w:val="28"/>
              <w:rPr>
                <w:color w:val="000000" w:themeColor="text1"/>
                <w14:textFill>
                  <w14:solidFill>
                    <w14:schemeClr w14:val="tx1"/>
                  </w14:solidFill>
                </w14:textFill>
              </w:rPr>
            </w:pPr>
            <w:r>
              <w:rPr>
                <w:color w:val="000000" w:themeColor="text1"/>
                <w14:textFill>
                  <w14:solidFill>
                    <w14:schemeClr w14:val="tx1"/>
                  </w14:solidFill>
                </w14:textFill>
              </w:rPr>
              <w:t>区域湿度条件</w:t>
            </w:r>
          </w:p>
        </w:tc>
        <w:tc>
          <w:tcPr>
            <w:tcW w:w="695" w:type="pct"/>
            <w:vAlign w:val="center"/>
          </w:tcPr>
          <w:p w14:paraId="3B4031FE">
            <w:pPr>
              <w:pStyle w:val="28"/>
              <w:rPr>
                <w:color w:val="000000" w:themeColor="text1"/>
                <w14:textFill>
                  <w14:solidFill>
                    <w14:schemeClr w14:val="tx1"/>
                  </w14:solidFill>
                </w14:textFill>
              </w:rPr>
            </w:pPr>
            <w:r>
              <w:rPr>
                <w:color w:val="000000" w:themeColor="text1"/>
                <w14:textFill>
                  <w14:solidFill>
                    <w14:schemeClr w14:val="tx1"/>
                  </w14:solidFill>
                </w14:textFill>
              </w:rPr>
              <w:t>潮湿</w:t>
            </w:r>
          </w:p>
        </w:tc>
      </w:tr>
      <w:tr w14:paraId="3D6F1B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restart"/>
            <w:vAlign w:val="center"/>
          </w:tcPr>
          <w:p w14:paraId="00396F3E">
            <w:pPr>
              <w:pStyle w:val="28"/>
              <w:rPr>
                <w:color w:val="000000" w:themeColor="text1"/>
                <w14:textFill>
                  <w14:solidFill>
                    <w14:schemeClr w14:val="tx1"/>
                  </w14:solidFill>
                </w14:textFill>
              </w:rPr>
            </w:pPr>
            <w:r>
              <w:rPr>
                <w:color w:val="000000" w:themeColor="text1"/>
                <w14:textFill>
                  <w14:solidFill>
                    <w14:schemeClr w14:val="tx1"/>
                  </w14:solidFill>
                </w14:textFill>
              </w:rPr>
              <w:t>是否考虑地形</w:t>
            </w:r>
          </w:p>
        </w:tc>
        <w:tc>
          <w:tcPr>
            <w:tcW w:w="2228" w:type="pct"/>
            <w:vAlign w:val="center"/>
          </w:tcPr>
          <w:p w14:paraId="366D4D2E">
            <w:pPr>
              <w:pStyle w:val="28"/>
              <w:rPr>
                <w:color w:val="000000" w:themeColor="text1"/>
                <w14:textFill>
                  <w14:solidFill>
                    <w14:schemeClr w14:val="tx1"/>
                  </w14:solidFill>
                </w14:textFill>
              </w:rPr>
            </w:pPr>
            <w:r>
              <w:rPr>
                <w:color w:val="000000" w:themeColor="text1"/>
                <w14:textFill>
                  <w14:solidFill>
                    <w14:schemeClr w14:val="tx1"/>
                  </w14:solidFill>
                </w14:textFill>
              </w:rPr>
              <w:t>考虑地形</w:t>
            </w:r>
          </w:p>
        </w:tc>
        <w:tc>
          <w:tcPr>
            <w:tcW w:w="695" w:type="pct"/>
            <w:vAlign w:val="center"/>
          </w:tcPr>
          <w:p w14:paraId="1A36A546">
            <w:pPr>
              <w:pStyle w:val="28"/>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56CF30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continue"/>
            <w:vAlign w:val="center"/>
          </w:tcPr>
          <w:p w14:paraId="6A8BBD6D">
            <w:pPr>
              <w:pStyle w:val="28"/>
              <w:rPr>
                <w:color w:val="000000" w:themeColor="text1"/>
                <w14:textFill>
                  <w14:solidFill>
                    <w14:schemeClr w14:val="tx1"/>
                  </w14:solidFill>
                </w14:textFill>
              </w:rPr>
            </w:pPr>
          </w:p>
        </w:tc>
        <w:tc>
          <w:tcPr>
            <w:tcW w:w="2228" w:type="pct"/>
            <w:vAlign w:val="center"/>
          </w:tcPr>
          <w:p w14:paraId="0DEEF2E4">
            <w:pPr>
              <w:pStyle w:val="28"/>
              <w:rPr>
                <w:color w:val="000000" w:themeColor="text1"/>
                <w14:textFill>
                  <w14:solidFill>
                    <w14:schemeClr w14:val="tx1"/>
                  </w14:solidFill>
                </w14:textFill>
              </w:rPr>
            </w:pPr>
            <w:r>
              <w:rPr>
                <w:color w:val="000000" w:themeColor="text1"/>
                <w14:textFill>
                  <w14:solidFill>
                    <w14:schemeClr w14:val="tx1"/>
                  </w14:solidFill>
                </w14:textFill>
              </w:rPr>
              <w:t>地形数据分辨率(m)</w:t>
            </w:r>
          </w:p>
        </w:tc>
        <w:tc>
          <w:tcPr>
            <w:tcW w:w="695" w:type="pct"/>
            <w:vAlign w:val="center"/>
          </w:tcPr>
          <w:p w14:paraId="22E8C4B6">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r>
      <w:tr w14:paraId="01CE21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restart"/>
            <w:vAlign w:val="center"/>
          </w:tcPr>
          <w:p w14:paraId="65798D5D">
            <w:pPr>
              <w:pStyle w:val="28"/>
              <w:rPr>
                <w:color w:val="000000" w:themeColor="text1"/>
                <w14:textFill>
                  <w14:solidFill>
                    <w14:schemeClr w14:val="tx1"/>
                  </w14:solidFill>
                </w14:textFill>
              </w:rPr>
            </w:pPr>
            <w:r>
              <w:rPr>
                <w:color w:val="000000" w:themeColor="text1"/>
                <w14:textFill>
                  <w14:solidFill>
                    <w14:schemeClr w14:val="tx1"/>
                  </w14:solidFill>
                </w14:textFill>
              </w:rPr>
              <w:t>是否考虑岸线熏烟</w:t>
            </w:r>
          </w:p>
        </w:tc>
        <w:tc>
          <w:tcPr>
            <w:tcW w:w="2228" w:type="pct"/>
            <w:vAlign w:val="center"/>
          </w:tcPr>
          <w:p w14:paraId="03310B65">
            <w:pPr>
              <w:pStyle w:val="28"/>
              <w:rPr>
                <w:color w:val="000000" w:themeColor="text1"/>
                <w14:textFill>
                  <w14:solidFill>
                    <w14:schemeClr w14:val="tx1"/>
                  </w14:solidFill>
                </w14:textFill>
              </w:rPr>
            </w:pPr>
            <w:r>
              <w:rPr>
                <w:color w:val="000000" w:themeColor="text1"/>
                <w14:textFill>
                  <w14:solidFill>
                    <w14:schemeClr w14:val="tx1"/>
                  </w14:solidFill>
                </w14:textFill>
              </w:rPr>
              <w:t>考虑岸线熏烟</w:t>
            </w:r>
          </w:p>
        </w:tc>
        <w:tc>
          <w:tcPr>
            <w:tcW w:w="695" w:type="pct"/>
            <w:vAlign w:val="center"/>
          </w:tcPr>
          <w:p w14:paraId="0B8ED6AB">
            <w:pPr>
              <w:pStyle w:val="28"/>
              <w:rPr>
                <w:color w:val="000000" w:themeColor="text1"/>
                <w14:textFill>
                  <w14:solidFill>
                    <w14:schemeClr w14:val="tx1"/>
                  </w14:solidFill>
                </w14:textFill>
              </w:rPr>
            </w:pPr>
            <w:r>
              <w:rPr>
                <w:color w:val="000000" w:themeColor="text1"/>
                <w14:textFill>
                  <w14:solidFill>
                    <w14:schemeClr w14:val="tx1"/>
                  </w14:solidFill>
                </w14:textFill>
              </w:rPr>
              <w:t>否</w:t>
            </w:r>
          </w:p>
        </w:tc>
      </w:tr>
      <w:tr w14:paraId="12E794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continue"/>
            <w:vAlign w:val="center"/>
          </w:tcPr>
          <w:p w14:paraId="5BF00771">
            <w:pPr>
              <w:pStyle w:val="28"/>
              <w:rPr>
                <w:color w:val="000000" w:themeColor="text1"/>
                <w14:textFill>
                  <w14:solidFill>
                    <w14:schemeClr w14:val="tx1"/>
                  </w14:solidFill>
                </w14:textFill>
              </w:rPr>
            </w:pPr>
          </w:p>
        </w:tc>
        <w:tc>
          <w:tcPr>
            <w:tcW w:w="2228" w:type="pct"/>
            <w:vAlign w:val="center"/>
          </w:tcPr>
          <w:p w14:paraId="225A5DD0">
            <w:pPr>
              <w:pStyle w:val="28"/>
              <w:rPr>
                <w:color w:val="000000" w:themeColor="text1"/>
                <w14:textFill>
                  <w14:solidFill>
                    <w14:schemeClr w14:val="tx1"/>
                  </w14:solidFill>
                </w14:textFill>
              </w:rPr>
            </w:pPr>
            <w:r>
              <w:rPr>
                <w:color w:val="000000" w:themeColor="text1"/>
                <w14:textFill>
                  <w14:solidFill>
                    <w14:schemeClr w14:val="tx1"/>
                  </w14:solidFill>
                </w14:textFill>
              </w:rPr>
              <w:t>岸线距离/m</w:t>
            </w:r>
          </w:p>
        </w:tc>
        <w:tc>
          <w:tcPr>
            <w:tcW w:w="695" w:type="pct"/>
            <w:vAlign w:val="center"/>
          </w:tcPr>
          <w:p w14:paraId="7FCDBD6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r w14:paraId="1418AA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2075" w:type="pct"/>
            <w:vMerge w:val="continue"/>
            <w:vAlign w:val="center"/>
          </w:tcPr>
          <w:p w14:paraId="5936C1A3">
            <w:pPr>
              <w:pStyle w:val="28"/>
              <w:rPr>
                <w:color w:val="000000" w:themeColor="text1"/>
                <w14:textFill>
                  <w14:solidFill>
                    <w14:schemeClr w14:val="tx1"/>
                  </w14:solidFill>
                </w14:textFill>
              </w:rPr>
            </w:pPr>
          </w:p>
        </w:tc>
        <w:tc>
          <w:tcPr>
            <w:tcW w:w="2228" w:type="pct"/>
            <w:vAlign w:val="center"/>
          </w:tcPr>
          <w:p w14:paraId="24AF7D75">
            <w:pPr>
              <w:pStyle w:val="28"/>
              <w:rPr>
                <w:color w:val="000000" w:themeColor="text1"/>
                <w14:textFill>
                  <w14:solidFill>
                    <w14:schemeClr w14:val="tx1"/>
                  </w14:solidFill>
                </w14:textFill>
              </w:rPr>
            </w:pPr>
            <w:r>
              <w:rPr>
                <w:color w:val="000000" w:themeColor="text1"/>
                <w14:textFill>
                  <w14:solidFill>
                    <w14:schemeClr w14:val="tx1"/>
                  </w14:solidFill>
                </w14:textFill>
              </w:rPr>
              <w:t>岸线方向/°</w:t>
            </w:r>
          </w:p>
        </w:tc>
        <w:tc>
          <w:tcPr>
            <w:tcW w:w="695" w:type="pct"/>
            <w:vAlign w:val="center"/>
          </w:tcPr>
          <w:p w14:paraId="7B6CB2EA">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115D549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4、估算结果</w:t>
      </w:r>
    </w:p>
    <w:p w14:paraId="4483D23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本项目采用导则推荐模型AERSCREEN模式计算估算，估算结果详见表</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14:paraId="10247741">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表5.2-4 大气估算结果一览表</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51"/>
        <w:gridCol w:w="996"/>
        <w:gridCol w:w="839"/>
        <w:gridCol w:w="989"/>
        <w:gridCol w:w="827"/>
        <w:gridCol w:w="1025"/>
        <w:gridCol w:w="968"/>
        <w:gridCol w:w="989"/>
        <w:gridCol w:w="738"/>
      </w:tblGrid>
      <w:tr w14:paraId="2C5444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Merge w:val="restart"/>
            <w:vAlign w:val="center"/>
          </w:tcPr>
          <w:p w14:paraId="61FFA1F9">
            <w:pPr>
              <w:pStyle w:val="28"/>
              <w:rPr>
                <w:color w:val="000000" w:themeColor="text1"/>
                <w14:textFill>
                  <w14:solidFill>
                    <w14:schemeClr w14:val="tx1"/>
                  </w14:solidFill>
                </w14:textFill>
              </w:rPr>
            </w:pPr>
            <w:r>
              <w:rPr>
                <w:color w:val="000000" w:themeColor="text1"/>
                <w14:textFill>
                  <w14:solidFill>
                    <w14:schemeClr w14:val="tx1"/>
                  </w14:solidFill>
                </w14:textFill>
              </w:rPr>
              <w:t>下风向距离</w:t>
            </w:r>
          </w:p>
        </w:tc>
        <w:tc>
          <w:tcPr>
            <w:tcW w:w="3310" w:type="pct"/>
            <w:gridSpan w:val="6"/>
            <w:vAlign w:val="center"/>
          </w:tcPr>
          <w:p w14:paraId="26F5B1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点源</w:t>
            </w:r>
          </w:p>
        </w:tc>
        <w:tc>
          <w:tcPr>
            <w:tcW w:w="1013" w:type="pct"/>
            <w:gridSpan w:val="2"/>
            <w:vAlign w:val="center"/>
          </w:tcPr>
          <w:p w14:paraId="3AA6CE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圆形面源</w:t>
            </w:r>
          </w:p>
        </w:tc>
      </w:tr>
      <w:tr w14:paraId="14464D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Merge w:val="continue"/>
            <w:vAlign w:val="center"/>
          </w:tcPr>
          <w:p w14:paraId="37DB7BA9">
            <w:pPr>
              <w:pStyle w:val="28"/>
              <w:rPr>
                <w:color w:val="000000" w:themeColor="text1"/>
                <w14:textFill>
                  <w14:solidFill>
                    <w14:schemeClr w14:val="tx1"/>
                  </w14:solidFill>
                </w14:textFill>
              </w:rPr>
            </w:pPr>
          </w:p>
        </w:tc>
        <w:tc>
          <w:tcPr>
            <w:tcW w:w="584" w:type="pct"/>
            <w:shd w:val="clear" w:color="auto" w:fill="auto"/>
            <w:vAlign w:val="center"/>
          </w:tcPr>
          <w:p w14:paraId="7A23E1ED">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浓度(μg/m³)</w:t>
            </w:r>
          </w:p>
        </w:tc>
        <w:tc>
          <w:tcPr>
            <w:tcW w:w="492" w:type="pct"/>
            <w:shd w:val="clear" w:color="auto" w:fill="auto"/>
            <w:vAlign w:val="center"/>
          </w:tcPr>
          <w:p w14:paraId="4D9F31A4">
            <w:pPr>
              <w:pStyle w:val="28"/>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占标率(%)</w:t>
            </w:r>
          </w:p>
        </w:tc>
        <w:tc>
          <w:tcPr>
            <w:tcW w:w="580" w:type="pct"/>
            <w:shd w:val="clear" w:color="auto" w:fill="auto"/>
            <w:vAlign w:val="center"/>
          </w:tcPr>
          <w:p w14:paraId="6F4033D2">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S浓度(μg/m³)</w:t>
            </w:r>
          </w:p>
        </w:tc>
        <w:tc>
          <w:tcPr>
            <w:tcW w:w="485" w:type="pct"/>
            <w:shd w:val="clear" w:color="auto" w:fill="auto"/>
            <w:vAlign w:val="center"/>
          </w:tcPr>
          <w:p w14:paraId="0D10F7ED">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S占标率(%)</w:t>
            </w:r>
          </w:p>
        </w:tc>
        <w:tc>
          <w:tcPr>
            <w:tcW w:w="601" w:type="pct"/>
            <w:shd w:val="clear" w:color="auto" w:fill="auto"/>
            <w:vAlign w:val="center"/>
          </w:tcPr>
          <w:p w14:paraId="5F0403A8">
            <w:pPr>
              <w:pStyle w:val="28"/>
              <w:rPr>
                <w:color w:val="000000" w:themeColor="text1"/>
                <w14:textFill>
                  <w14:solidFill>
                    <w14:schemeClr w14:val="tx1"/>
                  </w14:solidFill>
                </w14:textFill>
              </w:rPr>
            </w:pPr>
            <w:r>
              <w:rPr>
                <w:color w:val="000000" w:themeColor="text1"/>
                <w14:textFill>
                  <w14:solidFill>
                    <w14:schemeClr w14:val="tx1"/>
                  </w14:solidFill>
                </w14:textFill>
              </w:rPr>
              <w:t>TVOC浓度(μg/m³)</w:t>
            </w:r>
          </w:p>
        </w:tc>
        <w:tc>
          <w:tcPr>
            <w:tcW w:w="566" w:type="pct"/>
            <w:shd w:val="clear" w:color="auto" w:fill="auto"/>
            <w:vAlign w:val="center"/>
          </w:tcPr>
          <w:p w14:paraId="380D2597">
            <w:pPr>
              <w:pStyle w:val="28"/>
              <w:rPr>
                <w:color w:val="000000" w:themeColor="text1"/>
                <w14:textFill>
                  <w14:solidFill>
                    <w14:schemeClr w14:val="tx1"/>
                  </w14:solidFill>
                </w14:textFill>
              </w:rPr>
            </w:pPr>
            <w:r>
              <w:rPr>
                <w:color w:val="000000" w:themeColor="text1"/>
                <w14:textFill>
                  <w14:solidFill>
                    <w14:schemeClr w14:val="tx1"/>
                  </w14:solidFill>
                </w14:textFill>
              </w:rPr>
              <w:t>TVOC占标率(%)</w:t>
            </w:r>
          </w:p>
        </w:tc>
        <w:tc>
          <w:tcPr>
            <w:tcW w:w="580" w:type="pct"/>
            <w:shd w:val="clear" w:color="auto" w:fill="auto"/>
            <w:vAlign w:val="center"/>
          </w:tcPr>
          <w:p w14:paraId="6B67D85C">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S浓度(μg/m³)</w:t>
            </w:r>
          </w:p>
        </w:tc>
        <w:tc>
          <w:tcPr>
            <w:tcW w:w="432" w:type="pct"/>
            <w:shd w:val="clear" w:color="auto" w:fill="auto"/>
            <w:vAlign w:val="center"/>
          </w:tcPr>
          <w:p w14:paraId="09E43EB5">
            <w:pPr>
              <w:pStyle w:val="28"/>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S占标率(%)</w:t>
            </w:r>
          </w:p>
        </w:tc>
      </w:tr>
      <w:tr w14:paraId="59085C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682511C3">
            <w:pPr>
              <w:pStyle w:val="28"/>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84" w:type="pct"/>
            <w:shd w:val="clear" w:color="auto" w:fill="auto"/>
            <w:vAlign w:val="center"/>
          </w:tcPr>
          <w:p w14:paraId="71274BD1">
            <w:pPr>
              <w:pStyle w:val="28"/>
              <w:rPr>
                <w:color w:val="000000" w:themeColor="text1"/>
                <w14:textFill>
                  <w14:solidFill>
                    <w14:schemeClr w14:val="tx1"/>
                  </w14:solidFill>
                </w14:textFill>
              </w:rPr>
            </w:pPr>
            <w:r>
              <w:rPr>
                <w:color w:val="000000" w:themeColor="text1"/>
                <w14:textFill>
                  <w14:solidFill>
                    <w14:schemeClr w14:val="tx1"/>
                  </w14:solidFill>
                </w14:textFill>
              </w:rPr>
              <w:t>10.7240</w:t>
            </w:r>
          </w:p>
        </w:tc>
        <w:tc>
          <w:tcPr>
            <w:tcW w:w="492" w:type="pct"/>
            <w:shd w:val="clear" w:color="auto" w:fill="auto"/>
            <w:vAlign w:val="center"/>
          </w:tcPr>
          <w:p w14:paraId="0B9472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2.98</w:t>
            </w:r>
          </w:p>
        </w:tc>
        <w:tc>
          <w:tcPr>
            <w:tcW w:w="580" w:type="pct"/>
            <w:shd w:val="clear" w:color="auto" w:fill="auto"/>
            <w:vAlign w:val="center"/>
          </w:tcPr>
          <w:p w14:paraId="590A04C7">
            <w:pPr>
              <w:pStyle w:val="28"/>
              <w:rPr>
                <w:color w:val="000000" w:themeColor="text1"/>
                <w14:textFill>
                  <w14:solidFill>
                    <w14:schemeClr w14:val="tx1"/>
                  </w14:solidFill>
                </w14:textFill>
              </w:rPr>
            </w:pPr>
            <w:r>
              <w:rPr>
                <w:color w:val="000000" w:themeColor="text1"/>
                <w14:textFill>
                  <w14:solidFill>
                    <w14:schemeClr w14:val="tx1"/>
                  </w14:solidFill>
                </w14:textFill>
              </w:rPr>
              <w:t>0.1185</w:t>
            </w:r>
          </w:p>
        </w:tc>
        <w:tc>
          <w:tcPr>
            <w:tcW w:w="485" w:type="pct"/>
            <w:shd w:val="clear" w:color="auto" w:fill="auto"/>
            <w:vAlign w:val="center"/>
          </w:tcPr>
          <w:p w14:paraId="70662AD8">
            <w:pPr>
              <w:pStyle w:val="28"/>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601" w:type="pct"/>
            <w:shd w:val="clear" w:color="auto" w:fill="auto"/>
            <w:vAlign w:val="center"/>
          </w:tcPr>
          <w:p w14:paraId="1A869788">
            <w:pPr>
              <w:pStyle w:val="28"/>
              <w:rPr>
                <w:color w:val="000000" w:themeColor="text1"/>
                <w14:textFill>
                  <w14:solidFill>
                    <w14:schemeClr w14:val="tx1"/>
                  </w14:solidFill>
                </w14:textFill>
              </w:rPr>
            </w:pPr>
            <w:r>
              <w:rPr>
                <w:color w:val="000000" w:themeColor="text1"/>
                <w14:textFill>
                  <w14:solidFill>
                    <w14:schemeClr w14:val="tx1"/>
                  </w14:solidFill>
                </w14:textFill>
              </w:rPr>
              <w:t>23.6994</w:t>
            </w:r>
          </w:p>
        </w:tc>
        <w:tc>
          <w:tcPr>
            <w:tcW w:w="566" w:type="pct"/>
            <w:shd w:val="clear" w:color="auto" w:fill="auto"/>
            <w:vAlign w:val="center"/>
          </w:tcPr>
          <w:p w14:paraId="38700802">
            <w:pPr>
              <w:pStyle w:val="28"/>
              <w:rPr>
                <w:color w:val="000000" w:themeColor="text1"/>
                <w14:textFill>
                  <w14:solidFill>
                    <w14:schemeClr w14:val="tx1"/>
                  </w14:solidFill>
                </w14:textFill>
              </w:rPr>
            </w:pPr>
            <w:r>
              <w:rPr>
                <w:color w:val="000000" w:themeColor="text1"/>
                <w14:textFill>
                  <w14:solidFill>
                    <w14:schemeClr w14:val="tx1"/>
                  </w14:solidFill>
                </w14:textFill>
              </w:rPr>
              <w:t>1.97</w:t>
            </w:r>
          </w:p>
        </w:tc>
        <w:tc>
          <w:tcPr>
            <w:tcW w:w="580" w:type="pct"/>
            <w:shd w:val="clear" w:color="auto" w:fill="auto"/>
            <w:vAlign w:val="center"/>
          </w:tcPr>
          <w:p w14:paraId="3CF01922">
            <w:pPr>
              <w:pStyle w:val="28"/>
              <w:rPr>
                <w:color w:val="000000" w:themeColor="text1"/>
                <w14:textFill>
                  <w14:solidFill>
                    <w14:schemeClr w14:val="tx1"/>
                  </w14:solidFill>
                </w14:textFill>
              </w:rPr>
            </w:pPr>
            <w:r>
              <w:rPr>
                <w:color w:val="000000" w:themeColor="text1"/>
                <w14:textFill>
                  <w14:solidFill>
                    <w14:schemeClr w14:val="tx1"/>
                  </w14:solidFill>
                </w14:textFill>
              </w:rPr>
              <w:t>0.4650</w:t>
            </w:r>
          </w:p>
        </w:tc>
        <w:tc>
          <w:tcPr>
            <w:tcW w:w="432" w:type="pct"/>
            <w:shd w:val="clear" w:color="auto" w:fill="auto"/>
            <w:vAlign w:val="center"/>
          </w:tcPr>
          <w:p w14:paraId="6200F01C">
            <w:pPr>
              <w:pStyle w:val="28"/>
              <w:rPr>
                <w:color w:val="000000" w:themeColor="text1"/>
                <w14:textFill>
                  <w14:solidFill>
                    <w14:schemeClr w14:val="tx1"/>
                  </w14:solidFill>
                </w14:textFill>
              </w:rPr>
            </w:pPr>
            <w:r>
              <w:rPr>
                <w:color w:val="000000" w:themeColor="text1"/>
                <w14:textFill>
                  <w14:solidFill>
                    <w14:schemeClr w14:val="tx1"/>
                  </w14:solidFill>
                </w14:textFill>
              </w:rPr>
              <w:t>4.65</w:t>
            </w:r>
          </w:p>
        </w:tc>
      </w:tr>
      <w:tr w14:paraId="78359A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30C9F906">
            <w:pPr>
              <w:pStyle w:val="28"/>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584" w:type="pct"/>
            <w:shd w:val="clear" w:color="auto" w:fill="auto"/>
            <w:vAlign w:val="center"/>
          </w:tcPr>
          <w:p w14:paraId="4F63291B">
            <w:pPr>
              <w:pStyle w:val="28"/>
              <w:rPr>
                <w:color w:val="000000" w:themeColor="text1"/>
                <w14:textFill>
                  <w14:solidFill>
                    <w14:schemeClr w14:val="tx1"/>
                  </w14:solidFill>
                </w14:textFill>
              </w:rPr>
            </w:pPr>
            <w:r>
              <w:rPr>
                <w:color w:val="000000" w:themeColor="text1"/>
                <w14:textFill>
                  <w14:solidFill>
                    <w14:schemeClr w14:val="tx1"/>
                  </w14:solidFill>
                </w14:textFill>
              </w:rPr>
              <w:t>4.9235</w:t>
            </w:r>
          </w:p>
        </w:tc>
        <w:tc>
          <w:tcPr>
            <w:tcW w:w="492" w:type="pct"/>
            <w:shd w:val="clear" w:color="auto" w:fill="auto"/>
            <w:vAlign w:val="center"/>
          </w:tcPr>
          <w:p w14:paraId="2A2CC7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1.37</w:t>
            </w:r>
          </w:p>
        </w:tc>
        <w:tc>
          <w:tcPr>
            <w:tcW w:w="580" w:type="pct"/>
            <w:shd w:val="clear" w:color="auto" w:fill="auto"/>
            <w:vAlign w:val="center"/>
          </w:tcPr>
          <w:p w14:paraId="12DD1A30">
            <w:pPr>
              <w:pStyle w:val="28"/>
              <w:rPr>
                <w:color w:val="000000" w:themeColor="text1"/>
                <w14:textFill>
                  <w14:solidFill>
                    <w14:schemeClr w14:val="tx1"/>
                  </w14:solidFill>
                </w14:textFill>
              </w:rPr>
            </w:pPr>
            <w:r>
              <w:rPr>
                <w:color w:val="000000" w:themeColor="text1"/>
                <w14:textFill>
                  <w14:solidFill>
                    <w14:schemeClr w14:val="tx1"/>
                  </w14:solidFill>
                </w14:textFill>
              </w:rPr>
              <w:t>0.0544</w:t>
            </w:r>
          </w:p>
        </w:tc>
        <w:tc>
          <w:tcPr>
            <w:tcW w:w="485" w:type="pct"/>
            <w:shd w:val="clear" w:color="auto" w:fill="auto"/>
            <w:vAlign w:val="center"/>
          </w:tcPr>
          <w:p w14:paraId="47425C75">
            <w:pPr>
              <w:pStyle w:val="28"/>
              <w:rPr>
                <w:color w:val="000000" w:themeColor="text1"/>
                <w14:textFill>
                  <w14:solidFill>
                    <w14:schemeClr w14:val="tx1"/>
                  </w14:solidFill>
                </w14:textFill>
              </w:rPr>
            </w:pPr>
            <w:r>
              <w:rPr>
                <w:color w:val="000000" w:themeColor="text1"/>
                <w14:textFill>
                  <w14:solidFill>
                    <w14:schemeClr w14:val="tx1"/>
                  </w14:solidFill>
                </w14:textFill>
              </w:rPr>
              <w:t>0.54</w:t>
            </w:r>
          </w:p>
        </w:tc>
        <w:tc>
          <w:tcPr>
            <w:tcW w:w="601" w:type="pct"/>
            <w:shd w:val="clear" w:color="auto" w:fill="auto"/>
            <w:vAlign w:val="center"/>
          </w:tcPr>
          <w:p w14:paraId="57E1D71C">
            <w:pPr>
              <w:pStyle w:val="28"/>
              <w:rPr>
                <w:color w:val="000000" w:themeColor="text1"/>
                <w14:textFill>
                  <w14:solidFill>
                    <w14:schemeClr w14:val="tx1"/>
                  </w14:solidFill>
                </w14:textFill>
              </w:rPr>
            </w:pPr>
            <w:r>
              <w:rPr>
                <w:color w:val="000000" w:themeColor="text1"/>
                <w14:textFill>
                  <w14:solidFill>
                    <w14:schemeClr w14:val="tx1"/>
                  </w14:solidFill>
                </w14:textFill>
              </w:rPr>
              <w:t>10.8807</w:t>
            </w:r>
          </w:p>
        </w:tc>
        <w:tc>
          <w:tcPr>
            <w:tcW w:w="566" w:type="pct"/>
            <w:shd w:val="clear" w:color="auto" w:fill="auto"/>
            <w:vAlign w:val="center"/>
          </w:tcPr>
          <w:p w14:paraId="0E062883">
            <w:pPr>
              <w:pStyle w:val="28"/>
              <w:rPr>
                <w:color w:val="000000" w:themeColor="text1"/>
                <w14:textFill>
                  <w14:solidFill>
                    <w14:schemeClr w14:val="tx1"/>
                  </w14:solidFill>
                </w14:textFill>
              </w:rPr>
            </w:pPr>
            <w:r>
              <w:rPr>
                <w:color w:val="000000" w:themeColor="text1"/>
                <w14:textFill>
                  <w14:solidFill>
                    <w14:schemeClr w14:val="tx1"/>
                  </w14:solidFill>
                </w14:textFill>
              </w:rPr>
              <w:t>0.91</w:t>
            </w:r>
          </w:p>
        </w:tc>
        <w:tc>
          <w:tcPr>
            <w:tcW w:w="580" w:type="pct"/>
            <w:shd w:val="clear" w:color="auto" w:fill="auto"/>
            <w:vAlign w:val="center"/>
          </w:tcPr>
          <w:p w14:paraId="1D4CED2D">
            <w:pPr>
              <w:pStyle w:val="28"/>
              <w:rPr>
                <w:color w:val="000000" w:themeColor="text1"/>
                <w14:textFill>
                  <w14:solidFill>
                    <w14:schemeClr w14:val="tx1"/>
                  </w14:solidFill>
                </w14:textFill>
              </w:rPr>
            </w:pPr>
            <w:r>
              <w:rPr>
                <w:color w:val="000000" w:themeColor="text1"/>
                <w14:textFill>
                  <w14:solidFill>
                    <w14:schemeClr w14:val="tx1"/>
                  </w14:solidFill>
                </w14:textFill>
              </w:rPr>
              <w:t>0.3021</w:t>
            </w:r>
          </w:p>
        </w:tc>
        <w:tc>
          <w:tcPr>
            <w:tcW w:w="432" w:type="pct"/>
            <w:shd w:val="clear" w:color="auto" w:fill="auto"/>
            <w:vAlign w:val="center"/>
          </w:tcPr>
          <w:p w14:paraId="2B33AB0B">
            <w:pPr>
              <w:pStyle w:val="28"/>
              <w:rPr>
                <w:color w:val="000000" w:themeColor="text1"/>
                <w14:textFill>
                  <w14:solidFill>
                    <w14:schemeClr w14:val="tx1"/>
                  </w14:solidFill>
                </w14:textFill>
              </w:rPr>
            </w:pPr>
            <w:r>
              <w:rPr>
                <w:color w:val="000000" w:themeColor="text1"/>
                <w14:textFill>
                  <w14:solidFill>
                    <w14:schemeClr w14:val="tx1"/>
                  </w14:solidFill>
                </w14:textFill>
              </w:rPr>
              <w:t>3.02</w:t>
            </w:r>
          </w:p>
        </w:tc>
      </w:tr>
      <w:tr w14:paraId="05CB59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3B7D3087">
            <w:pPr>
              <w:pStyle w:val="28"/>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584" w:type="pct"/>
            <w:shd w:val="clear" w:color="auto" w:fill="auto"/>
            <w:vAlign w:val="center"/>
          </w:tcPr>
          <w:p w14:paraId="4CBB80FC">
            <w:pPr>
              <w:pStyle w:val="28"/>
              <w:rPr>
                <w:color w:val="000000" w:themeColor="text1"/>
                <w14:textFill>
                  <w14:solidFill>
                    <w14:schemeClr w14:val="tx1"/>
                  </w14:solidFill>
                </w14:textFill>
              </w:rPr>
            </w:pPr>
            <w:r>
              <w:rPr>
                <w:color w:val="000000" w:themeColor="text1"/>
                <w14:textFill>
                  <w14:solidFill>
                    <w14:schemeClr w14:val="tx1"/>
                  </w14:solidFill>
                </w14:textFill>
              </w:rPr>
              <w:t>3.1135</w:t>
            </w:r>
          </w:p>
        </w:tc>
        <w:tc>
          <w:tcPr>
            <w:tcW w:w="492" w:type="pct"/>
            <w:shd w:val="clear" w:color="auto" w:fill="auto"/>
            <w:vAlign w:val="center"/>
          </w:tcPr>
          <w:p w14:paraId="50502A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0.86</w:t>
            </w:r>
          </w:p>
        </w:tc>
        <w:tc>
          <w:tcPr>
            <w:tcW w:w="580" w:type="pct"/>
            <w:shd w:val="clear" w:color="auto" w:fill="auto"/>
            <w:vAlign w:val="center"/>
          </w:tcPr>
          <w:p w14:paraId="2E7B3A02">
            <w:pPr>
              <w:pStyle w:val="28"/>
              <w:rPr>
                <w:color w:val="000000" w:themeColor="text1"/>
                <w14:textFill>
                  <w14:solidFill>
                    <w14:schemeClr w14:val="tx1"/>
                  </w14:solidFill>
                </w14:textFill>
              </w:rPr>
            </w:pPr>
            <w:r>
              <w:rPr>
                <w:color w:val="000000" w:themeColor="text1"/>
                <w14:textFill>
                  <w14:solidFill>
                    <w14:schemeClr w14:val="tx1"/>
                  </w14:solidFill>
                </w14:textFill>
              </w:rPr>
              <w:t>0.0344</w:t>
            </w:r>
          </w:p>
        </w:tc>
        <w:tc>
          <w:tcPr>
            <w:tcW w:w="485" w:type="pct"/>
            <w:shd w:val="clear" w:color="auto" w:fill="auto"/>
            <w:vAlign w:val="center"/>
          </w:tcPr>
          <w:p w14:paraId="486D1978">
            <w:pPr>
              <w:pStyle w:val="28"/>
              <w:rPr>
                <w:color w:val="000000" w:themeColor="text1"/>
                <w14:textFill>
                  <w14:solidFill>
                    <w14:schemeClr w14:val="tx1"/>
                  </w14:solidFill>
                </w14:textFill>
              </w:rPr>
            </w:pPr>
            <w:r>
              <w:rPr>
                <w:color w:val="000000" w:themeColor="text1"/>
                <w14:textFill>
                  <w14:solidFill>
                    <w14:schemeClr w14:val="tx1"/>
                  </w14:solidFill>
                </w14:textFill>
              </w:rPr>
              <w:t>0.34</w:t>
            </w:r>
          </w:p>
        </w:tc>
        <w:tc>
          <w:tcPr>
            <w:tcW w:w="601" w:type="pct"/>
            <w:shd w:val="clear" w:color="auto" w:fill="auto"/>
            <w:vAlign w:val="center"/>
          </w:tcPr>
          <w:p w14:paraId="1C76FA05">
            <w:pPr>
              <w:pStyle w:val="28"/>
              <w:rPr>
                <w:color w:val="000000" w:themeColor="text1"/>
                <w14:textFill>
                  <w14:solidFill>
                    <w14:schemeClr w14:val="tx1"/>
                  </w14:solidFill>
                </w14:textFill>
              </w:rPr>
            </w:pPr>
            <w:r>
              <w:rPr>
                <w:color w:val="000000" w:themeColor="text1"/>
                <w14:textFill>
                  <w14:solidFill>
                    <w14:schemeClr w14:val="tx1"/>
                  </w14:solidFill>
                </w14:textFill>
              </w:rPr>
              <w:t>6.8807</w:t>
            </w:r>
          </w:p>
        </w:tc>
        <w:tc>
          <w:tcPr>
            <w:tcW w:w="566" w:type="pct"/>
            <w:shd w:val="clear" w:color="auto" w:fill="auto"/>
            <w:vAlign w:val="center"/>
          </w:tcPr>
          <w:p w14:paraId="1B625B19">
            <w:pPr>
              <w:pStyle w:val="28"/>
              <w:rPr>
                <w:color w:val="000000" w:themeColor="text1"/>
                <w14:textFill>
                  <w14:solidFill>
                    <w14:schemeClr w14:val="tx1"/>
                  </w14:solidFill>
                </w14:textFill>
              </w:rPr>
            </w:pPr>
            <w:r>
              <w:rPr>
                <w:color w:val="000000" w:themeColor="text1"/>
                <w14:textFill>
                  <w14:solidFill>
                    <w14:schemeClr w14:val="tx1"/>
                  </w14:solidFill>
                </w14:textFill>
              </w:rPr>
              <w:t>0.57</w:t>
            </w:r>
          </w:p>
        </w:tc>
        <w:tc>
          <w:tcPr>
            <w:tcW w:w="580" w:type="pct"/>
            <w:shd w:val="clear" w:color="auto" w:fill="auto"/>
            <w:vAlign w:val="center"/>
          </w:tcPr>
          <w:p w14:paraId="274D9A49">
            <w:pPr>
              <w:pStyle w:val="28"/>
              <w:rPr>
                <w:color w:val="000000" w:themeColor="text1"/>
                <w14:textFill>
                  <w14:solidFill>
                    <w14:schemeClr w14:val="tx1"/>
                  </w14:solidFill>
                </w14:textFill>
              </w:rPr>
            </w:pPr>
            <w:r>
              <w:rPr>
                <w:color w:val="000000" w:themeColor="text1"/>
                <w14:textFill>
                  <w14:solidFill>
                    <w14:schemeClr w14:val="tx1"/>
                  </w14:solidFill>
                </w14:textFill>
              </w:rPr>
              <w:t>0.2870</w:t>
            </w:r>
          </w:p>
        </w:tc>
        <w:tc>
          <w:tcPr>
            <w:tcW w:w="432" w:type="pct"/>
            <w:shd w:val="clear" w:color="auto" w:fill="auto"/>
            <w:vAlign w:val="center"/>
          </w:tcPr>
          <w:p w14:paraId="6724B1F1">
            <w:pPr>
              <w:pStyle w:val="28"/>
              <w:rPr>
                <w:color w:val="000000" w:themeColor="text1"/>
                <w14:textFill>
                  <w14:solidFill>
                    <w14:schemeClr w14:val="tx1"/>
                  </w14:solidFill>
                </w14:textFill>
              </w:rPr>
            </w:pPr>
            <w:r>
              <w:rPr>
                <w:color w:val="000000" w:themeColor="text1"/>
                <w14:textFill>
                  <w14:solidFill>
                    <w14:schemeClr w14:val="tx1"/>
                  </w14:solidFill>
                </w14:textFill>
              </w:rPr>
              <w:t>2.87</w:t>
            </w:r>
          </w:p>
        </w:tc>
      </w:tr>
      <w:tr w14:paraId="0CF589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6524DE4E">
            <w:pPr>
              <w:pStyle w:val="28"/>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584" w:type="pct"/>
            <w:shd w:val="clear" w:color="auto" w:fill="auto"/>
            <w:vAlign w:val="center"/>
          </w:tcPr>
          <w:p w14:paraId="52713D36">
            <w:pPr>
              <w:pStyle w:val="28"/>
              <w:rPr>
                <w:color w:val="000000" w:themeColor="text1"/>
                <w14:textFill>
                  <w14:solidFill>
                    <w14:schemeClr w14:val="tx1"/>
                  </w14:solidFill>
                </w14:textFill>
              </w:rPr>
            </w:pPr>
            <w:r>
              <w:rPr>
                <w:color w:val="000000" w:themeColor="text1"/>
                <w14:textFill>
                  <w14:solidFill>
                    <w14:schemeClr w14:val="tx1"/>
                  </w14:solidFill>
                </w14:textFill>
              </w:rPr>
              <w:t>19.1220</w:t>
            </w:r>
          </w:p>
        </w:tc>
        <w:tc>
          <w:tcPr>
            <w:tcW w:w="492" w:type="pct"/>
            <w:shd w:val="clear" w:color="auto" w:fill="auto"/>
            <w:vAlign w:val="center"/>
          </w:tcPr>
          <w:p w14:paraId="5D4629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5.31</w:t>
            </w:r>
          </w:p>
        </w:tc>
        <w:tc>
          <w:tcPr>
            <w:tcW w:w="580" w:type="pct"/>
            <w:shd w:val="clear" w:color="auto" w:fill="auto"/>
            <w:vAlign w:val="center"/>
          </w:tcPr>
          <w:p w14:paraId="67B3922E">
            <w:pPr>
              <w:pStyle w:val="28"/>
              <w:rPr>
                <w:color w:val="000000" w:themeColor="text1"/>
                <w14:textFill>
                  <w14:solidFill>
                    <w14:schemeClr w14:val="tx1"/>
                  </w14:solidFill>
                </w14:textFill>
              </w:rPr>
            </w:pPr>
            <w:r>
              <w:rPr>
                <w:color w:val="000000" w:themeColor="text1"/>
                <w14:textFill>
                  <w14:solidFill>
                    <w14:schemeClr w14:val="tx1"/>
                  </w14:solidFill>
                </w14:textFill>
              </w:rPr>
              <w:t>0.2113</w:t>
            </w:r>
          </w:p>
        </w:tc>
        <w:tc>
          <w:tcPr>
            <w:tcW w:w="485" w:type="pct"/>
            <w:shd w:val="clear" w:color="auto" w:fill="auto"/>
            <w:vAlign w:val="center"/>
          </w:tcPr>
          <w:p w14:paraId="6EFBD7C2">
            <w:pPr>
              <w:pStyle w:val="28"/>
              <w:rPr>
                <w:color w:val="000000" w:themeColor="text1"/>
                <w14:textFill>
                  <w14:solidFill>
                    <w14:schemeClr w14:val="tx1"/>
                  </w14:solidFill>
                </w14:textFill>
              </w:rPr>
            </w:pPr>
            <w:r>
              <w:rPr>
                <w:color w:val="000000" w:themeColor="text1"/>
                <w14:textFill>
                  <w14:solidFill>
                    <w14:schemeClr w14:val="tx1"/>
                  </w14:solidFill>
                </w14:textFill>
              </w:rPr>
              <w:t>2.11</w:t>
            </w:r>
          </w:p>
        </w:tc>
        <w:tc>
          <w:tcPr>
            <w:tcW w:w="601" w:type="pct"/>
            <w:shd w:val="clear" w:color="auto" w:fill="auto"/>
            <w:vAlign w:val="center"/>
          </w:tcPr>
          <w:p w14:paraId="4E9120A4">
            <w:pPr>
              <w:pStyle w:val="28"/>
              <w:rPr>
                <w:color w:val="000000" w:themeColor="text1"/>
                <w14:textFill>
                  <w14:solidFill>
                    <w14:schemeClr w14:val="tx1"/>
                  </w14:solidFill>
                </w14:textFill>
              </w:rPr>
            </w:pPr>
            <w:r>
              <w:rPr>
                <w:color w:val="000000" w:themeColor="text1"/>
                <w14:textFill>
                  <w14:solidFill>
                    <w14:schemeClr w14:val="tx1"/>
                  </w14:solidFill>
                </w14:textFill>
              </w:rPr>
              <w:t>42.2586</w:t>
            </w:r>
          </w:p>
        </w:tc>
        <w:tc>
          <w:tcPr>
            <w:tcW w:w="566" w:type="pct"/>
            <w:shd w:val="clear" w:color="auto" w:fill="auto"/>
            <w:vAlign w:val="center"/>
          </w:tcPr>
          <w:p w14:paraId="309E1476">
            <w:pPr>
              <w:pStyle w:val="28"/>
              <w:rPr>
                <w:color w:val="000000" w:themeColor="text1"/>
                <w14:textFill>
                  <w14:solidFill>
                    <w14:schemeClr w14:val="tx1"/>
                  </w14:solidFill>
                </w14:textFill>
              </w:rPr>
            </w:pPr>
            <w:r>
              <w:rPr>
                <w:color w:val="000000" w:themeColor="text1"/>
                <w14:textFill>
                  <w14:solidFill>
                    <w14:schemeClr w14:val="tx1"/>
                  </w14:solidFill>
                </w14:textFill>
              </w:rPr>
              <w:t>3.52</w:t>
            </w:r>
          </w:p>
        </w:tc>
        <w:tc>
          <w:tcPr>
            <w:tcW w:w="580" w:type="pct"/>
            <w:shd w:val="clear" w:color="auto" w:fill="auto"/>
            <w:vAlign w:val="center"/>
          </w:tcPr>
          <w:p w14:paraId="3B83C763">
            <w:pPr>
              <w:pStyle w:val="28"/>
              <w:rPr>
                <w:color w:val="000000" w:themeColor="text1"/>
                <w14:textFill>
                  <w14:solidFill>
                    <w14:schemeClr w14:val="tx1"/>
                  </w14:solidFill>
                </w14:textFill>
              </w:rPr>
            </w:pPr>
            <w:r>
              <w:rPr>
                <w:color w:val="000000" w:themeColor="text1"/>
                <w14:textFill>
                  <w14:solidFill>
                    <w14:schemeClr w14:val="tx1"/>
                  </w14:solidFill>
                </w14:textFill>
              </w:rPr>
              <w:t>0.2740</w:t>
            </w:r>
          </w:p>
        </w:tc>
        <w:tc>
          <w:tcPr>
            <w:tcW w:w="432" w:type="pct"/>
            <w:shd w:val="clear" w:color="auto" w:fill="auto"/>
            <w:vAlign w:val="center"/>
          </w:tcPr>
          <w:p w14:paraId="4984F69C">
            <w:pPr>
              <w:pStyle w:val="28"/>
              <w:rPr>
                <w:color w:val="000000" w:themeColor="text1"/>
                <w14:textFill>
                  <w14:solidFill>
                    <w14:schemeClr w14:val="tx1"/>
                  </w14:solidFill>
                </w14:textFill>
              </w:rPr>
            </w:pPr>
            <w:r>
              <w:rPr>
                <w:color w:val="000000" w:themeColor="text1"/>
                <w14:textFill>
                  <w14:solidFill>
                    <w14:schemeClr w14:val="tx1"/>
                  </w14:solidFill>
                </w14:textFill>
              </w:rPr>
              <w:t>2.74</w:t>
            </w:r>
          </w:p>
        </w:tc>
      </w:tr>
      <w:tr w14:paraId="5567B3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2B264BD">
            <w:pPr>
              <w:pStyle w:val="28"/>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584" w:type="pct"/>
            <w:shd w:val="clear" w:color="auto" w:fill="auto"/>
            <w:vAlign w:val="center"/>
          </w:tcPr>
          <w:p w14:paraId="50CF8645">
            <w:pPr>
              <w:pStyle w:val="28"/>
              <w:rPr>
                <w:color w:val="000000" w:themeColor="text1"/>
                <w14:textFill>
                  <w14:solidFill>
                    <w14:schemeClr w14:val="tx1"/>
                  </w14:solidFill>
                </w14:textFill>
              </w:rPr>
            </w:pPr>
            <w:r>
              <w:rPr>
                <w:color w:val="000000" w:themeColor="text1"/>
                <w14:textFill>
                  <w14:solidFill>
                    <w14:schemeClr w14:val="tx1"/>
                  </w14:solidFill>
                </w14:textFill>
              </w:rPr>
              <w:t>16.5540</w:t>
            </w:r>
          </w:p>
        </w:tc>
        <w:tc>
          <w:tcPr>
            <w:tcW w:w="492" w:type="pct"/>
            <w:shd w:val="clear" w:color="auto" w:fill="auto"/>
            <w:vAlign w:val="center"/>
          </w:tcPr>
          <w:p w14:paraId="445ED6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4.60</w:t>
            </w:r>
          </w:p>
        </w:tc>
        <w:tc>
          <w:tcPr>
            <w:tcW w:w="580" w:type="pct"/>
            <w:shd w:val="clear" w:color="auto" w:fill="auto"/>
            <w:vAlign w:val="center"/>
          </w:tcPr>
          <w:p w14:paraId="054CCAF5">
            <w:pPr>
              <w:pStyle w:val="28"/>
              <w:rPr>
                <w:color w:val="000000" w:themeColor="text1"/>
                <w14:textFill>
                  <w14:solidFill>
                    <w14:schemeClr w14:val="tx1"/>
                  </w14:solidFill>
                </w14:textFill>
              </w:rPr>
            </w:pPr>
            <w:r>
              <w:rPr>
                <w:color w:val="000000" w:themeColor="text1"/>
                <w14:textFill>
                  <w14:solidFill>
                    <w14:schemeClr w14:val="tx1"/>
                  </w14:solidFill>
                </w14:textFill>
              </w:rPr>
              <w:t>0.1829</w:t>
            </w:r>
          </w:p>
        </w:tc>
        <w:tc>
          <w:tcPr>
            <w:tcW w:w="485" w:type="pct"/>
            <w:shd w:val="clear" w:color="auto" w:fill="auto"/>
            <w:vAlign w:val="center"/>
          </w:tcPr>
          <w:p w14:paraId="6E12DDB6">
            <w:pPr>
              <w:pStyle w:val="28"/>
              <w:rPr>
                <w:color w:val="000000" w:themeColor="text1"/>
                <w14:textFill>
                  <w14:solidFill>
                    <w14:schemeClr w14:val="tx1"/>
                  </w14:solidFill>
                </w14:textFill>
              </w:rPr>
            </w:pPr>
            <w:r>
              <w:rPr>
                <w:color w:val="000000" w:themeColor="text1"/>
                <w14:textFill>
                  <w14:solidFill>
                    <w14:schemeClr w14:val="tx1"/>
                  </w14:solidFill>
                </w14:textFill>
              </w:rPr>
              <w:t>1.83</w:t>
            </w:r>
          </w:p>
        </w:tc>
        <w:tc>
          <w:tcPr>
            <w:tcW w:w="601" w:type="pct"/>
            <w:shd w:val="clear" w:color="auto" w:fill="auto"/>
            <w:vAlign w:val="center"/>
          </w:tcPr>
          <w:p w14:paraId="64D07E9C">
            <w:pPr>
              <w:pStyle w:val="28"/>
              <w:rPr>
                <w:color w:val="000000" w:themeColor="text1"/>
                <w14:textFill>
                  <w14:solidFill>
                    <w14:schemeClr w14:val="tx1"/>
                  </w14:solidFill>
                </w14:textFill>
              </w:rPr>
            </w:pPr>
            <w:r>
              <w:rPr>
                <w:color w:val="000000" w:themeColor="text1"/>
                <w14:textFill>
                  <w14:solidFill>
                    <w14:schemeClr w14:val="tx1"/>
                  </w14:solidFill>
                </w14:textFill>
              </w:rPr>
              <w:t>36.5834</w:t>
            </w:r>
          </w:p>
        </w:tc>
        <w:tc>
          <w:tcPr>
            <w:tcW w:w="566" w:type="pct"/>
            <w:shd w:val="clear" w:color="auto" w:fill="auto"/>
            <w:vAlign w:val="center"/>
          </w:tcPr>
          <w:p w14:paraId="2D960B4D">
            <w:pPr>
              <w:pStyle w:val="28"/>
              <w:rPr>
                <w:color w:val="000000" w:themeColor="text1"/>
                <w14:textFill>
                  <w14:solidFill>
                    <w14:schemeClr w14:val="tx1"/>
                  </w14:solidFill>
                </w14:textFill>
              </w:rPr>
            </w:pPr>
            <w:r>
              <w:rPr>
                <w:color w:val="000000" w:themeColor="text1"/>
                <w14:textFill>
                  <w14:solidFill>
                    <w14:schemeClr w14:val="tx1"/>
                  </w14:solidFill>
                </w14:textFill>
              </w:rPr>
              <w:t>3.05</w:t>
            </w:r>
          </w:p>
        </w:tc>
        <w:tc>
          <w:tcPr>
            <w:tcW w:w="580" w:type="pct"/>
            <w:shd w:val="clear" w:color="auto" w:fill="auto"/>
            <w:vAlign w:val="center"/>
          </w:tcPr>
          <w:p w14:paraId="703C60A3">
            <w:pPr>
              <w:pStyle w:val="28"/>
              <w:rPr>
                <w:color w:val="000000" w:themeColor="text1"/>
                <w14:textFill>
                  <w14:solidFill>
                    <w14:schemeClr w14:val="tx1"/>
                  </w14:solidFill>
                </w14:textFill>
              </w:rPr>
            </w:pPr>
            <w:r>
              <w:rPr>
                <w:color w:val="000000" w:themeColor="text1"/>
                <w14:textFill>
                  <w14:solidFill>
                    <w14:schemeClr w14:val="tx1"/>
                  </w14:solidFill>
                </w14:textFill>
              </w:rPr>
              <w:t>0.2239</w:t>
            </w:r>
          </w:p>
        </w:tc>
        <w:tc>
          <w:tcPr>
            <w:tcW w:w="432" w:type="pct"/>
            <w:shd w:val="clear" w:color="auto" w:fill="auto"/>
            <w:vAlign w:val="center"/>
          </w:tcPr>
          <w:p w14:paraId="57543AFC">
            <w:pPr>
              <w:pStyle w:val="28"/>
              <w:rPr>
                <w:color w:val="000000" w:themeColor="text1"/>
                <w14:textFill>
                  <w14:solidFill>
                    <w14:schemeClr w14:val="tx1"/>
                  </w14:solidFill>
                </w14:textFill>
              </w:rPr>
            </w:pPr>
            <w:r>
              <w:rPr>
                <w:color w:val="000000" w:themeColor="text1"/>
                <w14:textFill>
                  <w14:solidFill>
                    <w14:schemeClr w14:val="tx1"/>
                  </w14:solidFill>
                </w14:textFill>
              </w:rPr>
              <w:t>2.24</w:t>
            </w:r>
          </w:p>
        </w:tc>
      </w:tr>
      <w:tr w14:paraId="726B7A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065B73A8">
            <w:pPr>
              <w:pStyle w:val="28"/>
              <w:rPr>
                <w:color w:val="000000" w:themeColor="text1"/>
                <w14:textFill>
                  <w14:solidFill>
                    <w14:schemeClr w14:val="tx1"/>
                  </w14:solidFill>
                </w14:textFill>
              </w:rPr>
            </w:pPr>
            <w:r>
              <w:rPr>
                <w:color w:val="000000" w:themeColor="text1"/>
                <w14:textFill>
                  <w14:solidFill>
                    <w14:schemeClr w14:val="tx1"/>
                  </w14:solidFill>
                </w14:textFill>
              </w:rPr>
              <w:t>500.0</w:t>
            </w:r>
          </w:p>
        </w:tc>
        <w:tc>
          <w:tcPr>
            <w:tcW w:w="584" w:type="pct"/>
            <w:shd w:val="clear" w:color="auto" w:fill="auto"/>
            <w:vAlign w:val="center"/>
          </w:tcPr>
          <w:p w14:paraId="7D70AEB2">
            <w:pPr>
              <w:pStyle w:val="28"/>
              <w:rPr>
                <w:color w:val="000000" w:themeColor="text1"/>
                <w14:textFill>
                  <w14:solidFill>
                    <w14:schemeClr w14:val="tx1"/>
                  </w14:solidFill>
                </w14:textFill>
              </w:rPr>
            </w:pPr>
            <w:r>
              <w:rPr>
                <w:color w:val="000000" w:themeColor="text1"/>
                <w14:textFill>
                  <w14:solidFill>
                    <w14:schemeClr w14:val="tx1"/>
                  </w14:solidFill>
                </w14:textFill>
              </w:rPr>
              <w:t>12.6500</w:t>
            </w:r>
          </w:p>
        </w:tc>
        <w:tc>
          <w:tcPr>
            <w:tcW w:w="492" w:type="pct"/>
            <w:shd w:val="clear" w:color="auto" w:fill="auto"/>
            <w:vAlign w:val="center"/>
          </w:tcPr>
          <w:p w14:paraId="66EAEB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3.51</w:t>
            </w:r>
          </w:p>
        </w:tc>
        <w:tc>
          <w:tcPr>
            <w:tcW w:w="580" w:type="pct"/>
            <w:shd w:val="clear" w:color="auto" w:fill="auto"/>
            <w:vAlign w:val="center"/>
          </w:tcPr>
          <w:p w14:paraId="5D58C199">
            <w:pPr>
              <w:pStyle w:val="28"/>
              <w:rPr>
                <w:color w:val="000000" w:themeColor="text1"/>
                <w14:textFill>
                  <w14:solidFill>
                    <w14:schemeClr w14:val="tx1"/>
                  </w14:solidFill>
                </w14:textFill>
              </w:rPr>
            </w:pPr>
            <w:r>
              <w:rPr>
                <w:color w:val="000000" w:themeColor="text1"/>
                <w14:textFill>
                  <w14:solidFill>
                    <w14:schemeClr w14:val="tx1"/>
                  </w14:solidFill>
                </w14:textFill>
              </w:rPr>
              <w:t>0.1398</w:t>
            </w:r>
          </w:p>
        </w:tc>
        <w:tc>
          <w:tcPr>
            <w:tcW w:w="485" w:type="pct"/>
            <w:shd w:val="clear" w:color="auto" w:fill="auto"/>
            <w:vAlign w:val="center"/>
          </w:tcPr>
          <w:p w14:paraId="3107E459">
            <w:pPr>
              <w:pStyle w:val="28"/>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601" w:type="pct"/>
            <w:shd w:val="clear" w:color="auto" w:fill="auto"/>
            <w:vAlign w:val="center"/>
          </w:tcPr>
          <w:p w14:paraId="16CFF50A">
            <w:pPr>
              <w:pStyle w:val="28"/>
              <w:rPr>
                <w:color w:val="000000" w:themeColor="text1"/>
                <w14:textFill>
                  <w14:solidFill>
                    <w14:schemeClr w14:val="tx1"/>
                  </w14:solidFill>
                </w14:textFill>
              </w:rPr>
            </w:pPr>
            <w:r>
              <w:rPr>
                <w:color w:val="000000" w:themeColor="text1"/>
                <w14:textFill>
                  <w14:solidFill>
                    <w14:schemeClr w14:val="tx1"/>
                  </w14:solidFill>
                </w14:textFill>
              </w:rPr>
              <w:t>27.9558</w:t>
            </w:r>
          </w:p>
        </w:tc>
        <w:tc>
          <w:tcPr>
            <w:tcW w:w="566" w:type="pct"/>
            <w:shd w:val="clear" w:color="auto" w:fill="auto"/>
            <w:vAlign w:val="center"/>
          </w:tcPr>
          <w:p w14:paraId="42F837C8">
            <w:pPr>
              <w:pStyle w:val="28"/>
              <w:rPr>
                <w:color w:val="000000" w:themeColor="text1"/>
                <w14:textFill>
                  <w14:solidFill>
                    <w14:schemeClr w14:val="tx1"/>
                  </w14:solidFill>
                </w14:textFill>
              </w:rPr>
            </w:pPr>
            <w:r>
              <w:rPr>
                <w:color w:val="000000" w:themeColor="text1"/>
                <w14:textFill>
                  <w14:solidFill>
                    <w14:schemeClr w14:val="tx1"/>
                  </w14:solidFill>
                </w14:textFill>
              </w:rPr>
              <w:t>2.33</w:t>
            </w:r>
          </w:p>
        </w:tc>
        <w:tc>
          <w:tcPr>
            <w:tcW w:w="580" w:type="pct"/>
            <w:shd w:val="clear" w:color="auto" w:fill="auto"/>
            <w:vAlign w:val="center"/>
          </w:tcPr>
          <w:p w14:paraId="4780C182">
            <w:pPr>
              <w:pStyle w:val="28"/>
              <w:rPr>
                <w:color w:val="000000" w:themeColor="text1"/>
                <w14:textFill>
                  <w14:solidFill>
                    <w14:schemeClr w14:val="tx1"/>
                  </w14:solidFill>
                </w14:textFill>
              </w:rPr>
            </w:pPr>
            <w:r>
              <w:rPr>
                <w:color w:val="000000" w:themeColor="text1"/>
                <w14:textFill>
                  <w14:solidFill>
                    <w14:schemeClr w14:val="tx1"/>
                  </w14:solidFill>
                </w14:textFill>
              </w:rPr>
              <w:t>0.1893</w:t>
            </w:r>
          </w:p>
        </w:tc>
        <w:tc>
          <w:tcPr>
            <w:tcW w:w="432" w:type="pct"/>
            <w:shd w:val="clear" w:color="auto" w:fill="auto"/>
            <w:vAlign w:val="center"/>
          </w:tcPr>
          <w:p w14:paraId="318C6780">
            <w:pPr>
              <w:pStyle w:val="28"/>
              <w:rPr>
                <w:color w:val="000000" w:themeColor="text1"/>
                <w14:textFill>
                  <w14:solidFill>
                    <w14:schemeClr w14:val="tx1"/>
                  </w14:solidFill>
                </w14:textFill>
              </w:rPr>
            </w:pPr>
            <w:r>
              <w:rPr>
                <w:color w:val="000000" w:themeColor="text1"/>
                <w14:textFill>
                  <w14:solidFill>
                    <w14:schemeClr w14:val="tx1"/>
                  </w14:solidFill>
                </w14:textFill>
              </w:rPr>
              <w:t>1.89</w:t>
            </w:r>
          </w:p>
        </w:tc>
      </w:tr>
      <w:tr w14:paraId="3DE679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203756A4">
            <w:pPr>
              <w:pStyle w:val="28"/>
              <w:rPr>
                <w:color w:val="000000" w:themeColor="text1"/>
                <w14:textFill>
                  <w14:solidFill>
                    <w14:schemeClr w14:val="tx1"/>
                  </w14:solidFill>
                </w14:textFill>
              </w:rPr>
            </w:pPr>
            <w:r>
              <w:rPr>
                <w:color w:val="000000" w:themeColor="text1"/>
                <w14:textFill>
                  <w14:solidFill>
                    <w14:schemeClr w14:val="tx1"/>
                  </w14:solidFill>
                </w14:textFill>
              </w:rPr>
              <w:t>600.0</w:t>
            </w:r>
          </w:p>
        </w:tc>
        <w:tc>
          <w:tcPr>
            <w:tcW w:w="584" w:type="pct"/>
            <w:shd w:val="clear" w:color="auto" w:fill="auto"/>
            <w:vAlign w:val="center"/>
          </w:tcPr>
          <w:p w14:paraId="06039159">
            <w:pPr>
              <w:pStyle w:val="28"/>
              <w:rPr>
                <w:color w:val="000000" w:themeColor="text1"/>
                <w14:textFill>
                  <w14:solidFill>
                    <w14:schemeClr w14:val="tx1"/>
                  </w14:solidFill>
                </w14:textFill>
              </w:rPr>
            </w:pPr>
            <w:r>
              <w:rPr>
                <w:color w:val="000000" w:themeColor="text1"/>
                <w14:textFill>
                  <w14:solidFill>
                    <w14:schemeClr w14:val="tx1"/>
                  </w14:solidFill>
                </w14:textFill>
              </w:rPr>
              <w:t>9.5992</w:t>
            </w:r>
          </w:p>
        </w:tc>
        <w:tc>
          <w:tcPr>
            <w:tcW w:w="492" w:type="pct"/>
            <w:shd w:val="clear" w:color="auto" w:fill="auto"/>
            <w:vAlign w:val="center"/>
          </w:tcPr>
          <w:p w14:paraId="51EBA6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2.67</w:t>
            </w:r>
          </w:p>
        </w:tc>
        <w:tc>
          <w:tcPr>
            <w:tcW w:w="580" w:type="pct"/>
            <w:shd w:val="clear" w:color="auto" w:fill="auto"/>
            <w:vAlign w:val="center"/>
          </w:tcPr>
          <w:p w14:paraId="586130EF">
            <w:pPr>
              <w:pStyle w:val="28"/>
              <w:rPr>
                <w:color w:val="000000" w:themeColor="text1"/>
                <w14:textFill>
                  <w14:solidFill>
                    <w14:schemeClr w14:val="tx1"/>
                  </w14:solidFill>
                </w14:textFill>
              </w:rPr>
            </w:pPr>
            <w:r>
              <w:rPr>
                <w:color w:val="000000" w:themeColor="text1"/>
                <w14:textFill>
                  <w14:solidFill>
                    <w14:schemeClr w14:val="tx1"/>
                  </w14:solidFill>
                </w14:textFill>
              </w:rPr>
              <w:t>0.1061</w:t>
            </w:r>
          </w:p>
        </w:tc>
        <w:tc>
          <w:tcPr>
            <w:tcW w:w="485" w:type="pct"/>
            <w:shd w:val="clear" w:color="auto" w:fill="auto"/>
            <w:vAlign w:val="center"/>
          </w:tcPr>
          <w:p w14:paraId="239F2621">
            <w:pPr>
              <w:pStyle w:val="28"/>
              <w:rPr>
                <w:color w:val="000000" w:themeColor="text1"/>
                <w14:textFill>
                  <w14:solidFill>
                    <w14:schemeClr w14:val="tx1"/>
                  </w14:solidFill>
                </w14:textFill>
              </w:rPr>
            </w:pPr>
            <w:r>
              <w:rPr>
                <w:color w:val="000000" w:themeColor="text1"/>
                <w14:textFill>
                  <w14:solidFill>
                    <w14:schemeClr w14:val="tx1"/>
                  </w14:solidFill>
                </w14:textFill>
              </w:rPr>
              <w:t>1.06</w:t>
            </w:r>
          </w:p>
        </w:tc>
        <w:tc>
          <w:tcPr>
            <w:tcW w:w="601" w:type="pct"/>
            <w:shd w:val="clear" w:color="auto" w:fill="auto"/>
            <w:vAlign w:val="center"/>
          </w:tcPr>
          <w:p w14:paraId="2B8689A5">
            <w:pPr>
              <w:pStyle w:val="28"/>
              <w:rPr>
                <w:color w:val="000000" w:themeColor="text1"/>
                <w14:textFill>
                  <w14:solidFill>
                    <w14:schemeClr w14:val="tx1"/>
                  </w14:solidFill>
                </w14:textFill>
              </w:rPr>
            </w:pPr>
            <w:r>
              <w:rPr>
                <w:color w:val="000000" w:themeColor="text1"/>
                <w14:textFill>
                  <w14:solidFill>
                    <w14:schemeClr w14:val="tx1"/>
                  </w14:solidFill>
                </w14:textFill>
              </w:rPr>
              <w:t>21.2137</w:t>
            </w:r>
          </w:p>
        </w:tc>
        <w:tc>
          <w:tcPr>
            <w:tcW w:w="566" w:type="pct"/>
            <w:shd w:val="clear" w:color="auto" w:fill="auto"/>
            <w:vAlign w:val="center"/>
          </w:tcPr>
          <w:p w14:paraId="635B479F">
            <w:pPr>
              <w:pStyle w:val="28"/>
              <w:rPr>
                <w:color w:val="000000" w:themeColor="text1"/>
                <w14:textFill>
                  <w14:solidFill>
                    <w14:schemeClr w14:val="tx1"/>
                  </w14:solidFill>
                </w14:textFill>
              </w:rPr>
            </w:pPr>
            <w:r>
              <w:rPr>
                <w:color w:val="000000" w:themeColor="text1"/>
                <w14:textFill>
                  <w14:solidFill>
                    <w14:schemeClr w14:val="tx1"/>
                  </w14:solidFill>
                </w14:textFill>
              </w:rPr>
              <w:t>1.77</w:t>
            </w:r>
          </w:p>
        </w:tc>
        <w:tc>
          <w:tcPr>
            <w:tcW w:w="580" w:type="pct"/>
            <w:shd w:val="clear" w:color="auto" w:fill="auto"/>
            <w:vAlign w:val="center"/>
          </w:tcPr>
          <w:p w14:paraId="3FD77FF2">
            <w:pPr>
              <w:pStyle w:val="28"/>
              <w:rPr>
                <w:color w:val="000000" w:themeColor="text1"/>
                <w14:textFill>
                  <w14:solidFill>
                    <w14:schemeClr w14:val="tx1"/>
                  </w14:solidFill>
                </w14:textFill>
              </w:rPr>
            </w:pPr>
            <w:r>
              <w:rPr>
                <w:color w:val="000000" w:themeColor="text1"/>
                <w14:textFill>
                  <w14:solidFill>
                    <w14:schemeClr w14:val="tx1"/>
                  </w14:solidFill>
                </w14:textFill>
              </w:rPr>
              <w:t>0.1609</w:t>
            </w:r>
          </w:p>
        </w:tc>
        <w:tc>
          <w:tcPr>
            <w:tcW w:w="432" w:type="pct"/>
            <w:shd w:val="clear" w:color="auto" w:fill="auto"/>
            <w:vAlign w:val="center"/>
          </w:tcPr>
          <w:p w14:paraId="495430F1">
            <w:pPr>
              <w:pStyle w:val="28"/>
              <w:rPr>
                <w:color w:val="000000" w:themeColor="text1"/>
                <w14:textFill>
                  <w14:solidFill>
                    <w14:schemeClr w14:val="tx1"/>
                  </w14:solidFill>
                </w14:textFill>
              </w:rPr>
            </w:pPr>
            <w:r>
              <w:rPr>
                <w:color w:val="000000" w:themeColor="text1"/>
                <w14:textFill>
                  <w14:solidFill>
                    <w14:schemeClr w14:val="tx1"/>
                  </w14:solidFill>
                </w14:textFill>
              </w:rPr>
              <w:t>1.61</w:t>
            </w:r>
          </w:p>
        </w:tc>
      </w:tr>
      <w:tr w14:paraId="4604C6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DBF9A7B">
            <w:pPr>
              <w:pStyle w:val="28"/>
              <w:rPr>
                <w:color w:val="000000" w:themeColor="text1"/>
                <w14:textFill>
                  <w14:solidFill>
                    <w14:schemeClr w14:val="tx1"/>
                  </w14:solidFill>
                </w14:textFill>
              </w:rPr>
            </w:pPr>
            <w:r>
              <w:rPr>
                <w:color w:val="000000" w:themeColor="text1"/>
                <w14:textFill>
                  <w14:solidFill>
                    <w14:schemeClr w14:val="tx1"/>
                  </w14:solidFill>
                </w14:textFill>
              </w:rPr>
              <w:t>700.0</w:t>
            </w:r>
          </w:p>
        </w:tc>
        <w:tc>
          <w:tcPr>
            <w:tcW w:w="584" w:type="pct"/>
            <w:shd w:val="clear" w:color="auto" w:fill="auto"/>
            <w:vAlign w:val="center"/>
          </w:tcPr>
          <w:p w14:paraId="4A962C96">
            <w:pPr>
              <w:pStyle w:val="28"/>
              <w:rPr>
                <w:color w:val="000000" w:themeColor="text1"/>
                <w14:textFill>
                  <w14:solidFill>
                    <w14:schemeClr w14:val="tx1"/>
                  </w14:solidFill>
                </w14:textFill>
              </w:rPr>
            </w:pPr>
            <w:r>
              <w:rPr>
                <w:color w:val="000000" w:themeColor="text1"/>
                <w14:textFill>
                  <w14:solidFill>
                    <w14:schemeClr w14:val="tx1"/>
                  </w14:solidFill>
                </w14:textFill>
              </w:rPr>
              <w:t>7.1908</w:t>
            </w:r>
          </w:p>
        </w:tc>
        <w:tc>
          <w:tcPr>
            <w:tcW w:w="492" w:type="pct"/>
            <w:shd w:val="clear" w:color="auto" w:fill="auto"/>
            <w:vAlign w:val="center"/>
          </w:tcPr>
          <w:p w14:paraId="7E3950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580" w:type="pct"/>
            <w:shd w:val="clear" w:color="auto" w:fill="auto"/>
            <w:vAlign w:val="center"/>
          </w:tcPr>
          <w:p w14:paraId="77CE7E6B">
            <w:pPr>
              <w:pStyle w:val="28"/>
              <w:rPr>
                <w:color w:val="000000" w:themeColor="text1"/>
                <w14:textFill>
                  <w14:solidFill>
                    <w14:schemeClr w14:val="tx1"/>
                  </w14:solidFill>
                </w14:textFill>
              </w:rPr>
            </w:pPr>
            <w:r>
              <w:rPr>
                <w:color w:val="000000" w:themeColor="text1"/>
                <w14:textFill>
                  <w14:solidFill>
                    <w14:schemeClr w14:val="tx1"/>
                  </w14:solidFill>
                </w14:textFill>
              </w:rPr>
              <w:t>0.0795</w:t>
            </w:r>
          </w:p>
        </w:tc>
        <w:tc>
          <w:tcPr>
            <w:tcW w:w="485" w:type="pct"/>
            <w:shd w:val="clear" w:color="auto" w:fill="auto"/>
            <w:vAlign w:val="center"/>
          </w:tcPr>
          <w:p w14:paraId="47D4CA94">
            <w:pPr>
              <w:pStyle w:val="28"/>
              <w:rPr>
                <w:color w:val="000000" w:themeColor="text1"/>
                <w14:textFill>
                  <w14:solidFill>
                    <w14:schemeClr w14:val="tx1"/>
                  </w14:solidFill>
                </w14:textFill>
              </w:rPr>
            </w:pPr>
            <w:r>
              <w:rPr>
                <w:color w:val="000000" w:themeColor="text1"/>
                <w14:textFill>
                  <w14:solidFill>
                    <w14:schemeClr w14:val="tx1"/>
                  </w14:solidFill>
                </w14:textFill>
              </w:rPr>
              <w:t>0.79</w:t>
            </w:r>
          </w:p>
        </w:tc>
        <w:tc>
          <w:tcPr>
            <w:tcW w:w="601" w:type="pct"/>
            <w:shd w:val="clear" w:color="auto" w:fill="auto"/>
            <w:vAlign w:val="center"/>
          </w:tcPr>
          <w:p w14:paraId="496C6569">
            <w:pPr>
              <w:pStyle w:val="28"/>
              <w:rPr>
                <w:color w:val="000000" w:themeColor="text1"/>
                <w14:textFill>
                  <w14:solidFill>
                    <w14:schemeClr w14:val="tx1"/>
                  </w14:solidFill>
                </w14:textFill>
              </w:rPr>
            </w:pPr>
            <w:r>
              <w:rPr>
                <w:color w:val="000000" w:themeColor="text1"/>
                <w14:textFill>
                  <w14:solidFill>
                    <w14:schemeClr w14:val="tx1"/>
                  </w14:solidFill>
                </w14:textFill>
              </w:rPr>
              <w:t>15.8913</w:t>
            </w:r>
          </w:p>
        </w:tc>
        <w:tc>
          <w:tcPr>
            <w:tcW w:w="566" w:type="pct"/>
            <w:shd w:val="clear" w:color="auto" w:fill="auto"/>
            <w:vAlign w:val="center"/>
          </w:tcPr>
          <w:p w14:paraId="5E7B3839">
            <w:pPr>
              <w:pStyle w:val="28"/>
              <w:rPr>
                <w:color w:val="000000" w:themeColor="text1"/>
                <w14:textFill>
                  <w14:solidFill>
                    <w14:schemeClr w14:val="tx1"/>
                  </w14:solidFill>
                </w14:textFill>
              </w:rPr>
            </w:pPr>
            <w:r>
              <w:rPr>
                <w:color w:val="000000" w:themeColor="text1"/>
                <w14:textFill>
                  <w14:solidFill>
                    <w14:schemeClr w14:val="tx1"/>
                  </w14:solidFill>
                </w14:textFill>
              </w:rPr>
              <w:t>1.32</w:t>
            </w:r>
          </w:p>
        </w:tc>
        <w:tc>
          <w:tcPr>
            <w:tcW w:w="580" w:type="pct"/>
            <w:shd w:val="clear" w:color="auto" w:fill="auto"/>
            <w:vAlign w:val="center"/>
          </w:tcPr>
          <w:p w14:paraId="3828BCB2">
            <w:pPr>
              <w:pStyle w:val="28"/>
              <w:rPr>
                <w:color w:val="000000" w:themeColor="text1"/>
                <w14:textFill>
                  <w14:solidFill>
                    <w14:schemeClr w14:val="tx1"/>
                  </w14:solidFill>
                </w14:textFill>
              </w:rPr>
            </w:pPr>
            <w:r>
              <w:rPr>
                <w:color w:val="000000" w:themeColor="text1"/>
                <w14:textFill>
                  <w14:solidFill>
                    <w14:schemeClr w14:val="tx1"/>
                  </w14:solidFill>
                </w14:textFill>
              </w:rPr>
              <w:t>0.1362</w:t>
            </w:r>
          </w:p>
        </w:tc>
        <w:tc>
          <w:tcPr>
            <w:tcW w:w="432" w:type="pct"/>
            <w:shd w:val="clear" w:color="auto" w:fill="auto"/>
            <w:vAlign w:val="center"/>
          </w:tcPr>
          <w:p w14:paraId="0DDBD847">
            <w:pPr>
              <w:pStyle w:val="28"/>
              <w:rPr>
                <w:color w:val="000000" w:themeColor="text1"/>
                <w14:textFill>
                  <w14:solidFill>
                    <w14:schemeClr w14:val="tx1"/>
                  </w14:solidFill>
                </w14:textFill>
              </w:rPr>
            </w:pPr>
            <w:r>
              <w:rPr>
                <w:color w:val="000000" w:themeColor="text1"/>
                <w14:textFill>
                  <w14:solidFill>
                    <w14:schemeClr w14:val="tx1"/>
                  </w14:solidFill>
                </w14:textFill>
              </w:rPr>
              <w:t>1.36</w:t>
            </w:r>
          </w:p>
        </w:tc>
      </w:tr>
      <w:tr w14:paraId="460E78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042EABE">
            <w:pPr>
              <w:pStyle w:val="28"/>
              <w:rPr>
                <w:color w:val="000000" w:themeColor="text1"/>
                <w14:textFill>
                  <w14:solidFill>
                    <w14:schemeClr w14:val="tx1"/>
                  </w14:solidFill>
                </w14:textFill>
              </w:rPr>
            </w:pPr>
            <w:r>
              <w:rPr>
                <w:color w:val="000000" w:themeColor="text1"/>
                <w14:textFill>
                  <w14:solidFill>
                    <w14:schemeClr w14:val="tx1"/>
                  </w14:solidFill>
                </w14:textFill>
              </w:rPr>
              <w:t>800.0</w:t>
            </w:r>
          </w:p>
        </w:tc>
        <w:tc>
          <w:tcPr>
            <w:tcW w:w="584" w:type="pct"/>
            <w:shd w:val="clear" w:color="auto" w:fill="auto"/>
            <w:vAlign w:val="center"/>
          </w:tcPr>
          <w:p w14:paraId="62343FBB">
            <w:pPr>
              <w:pStyle w:val="28"/>
              <w:rPr>
                <w:color w:val="000000" w:themeColor="text1"/>
                <w14:textFill>
                  <w14:solidFill>
                    <w14:schemeClr w14:val="tx1"/>
                  </w14:solidFill>
                </w14:textFill>
              </w:rPr>
            </w:pPr>
            <w:r>
              <w:rPr>
                <w:color w:val="000000" w:themeColor="text1"/>
                <w14:textFill>
                  <w14:solidFill>
                    <w14:schemeClr w14:val="tx1"/>
                  </w14:solidFill>
                </w14:textFill>
              </w:rPr>
              <w:t>6.9896</w:t>
            </w:r>
          </w:p>
        </w:tc>
        <w:tc>
          <w:tcPr>
            <w:tcW w:w="492" w:type="pct"/>
            <w:shd w:val="clear" w:color="auto" w:fill="auto"/>
            <w:vAlign w:val="center"/>
          </w:tcPr>
          <w:p w14:paraId="097DD8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1.94</w:t>
            </w:r>
          </w:p>
        </w:tc>
        <w:tc>
          <w:tcPr>
            <w:tcW w:w="580" w:type="pct"/>
            <w:shd w:val="clear" w:color="auto" w:fill="auto"/>
            <w:vAlign w:val="center"/>
          </w:tcPr>
          <w:p w14:paraId="3BE4B23A">
            <w:pPr>
              <w:pStyle w:val="28"/>
              <w:rPr>
                <w:color w:val="000000" w:themeColor="text1"/>
                <w14:textFill>
                  <w14:solidFill>
                    <w14:schemeClr w14:val="tx1"/>
                  </w14:solidFill>
                </w14:textFill>
              </w:rPr>
            </w:pPr>
            <w:r>
              <w:rPr>
                <w:color w:val="000000" w:themeColor="text1"/>
                <w14:textFill>
                  <w14:solidFill>
                    <w14:schemeClr w14:val="tx1"/>
                  </w14:solidFill>
                </w14:textFill>
              </w:rPr>
              <w:t>0.0772</w:t>
            </w:r>
          </w:p>
        </w:tc>
        <w:tc>
          <w:tcPr>
            <w:tcW w:w="485" w:type="pct"/>
            <w:shd w:val="clear" w:color="auto" w:fill="auto"/>
            <w:vAlign w:val="center"/>
          </w:tcPr>
          <w:p w14:paraId="4F9632BC">
            <w:pPr>
              <w:pStyle w:val="28"/>
              <w:rPr>
                <w:color w:val="000000" w:themeColor="text1"/>
                <w14:textFill>
                  <w14:solidFill>
                    <w14:schemeClr w14:val="tx1"/>
                  </w14:solidFill>
                </w14:textFill>
              </w:rPr>
            </w:pPr>
            <w:r>
              <w:rPr>
                <w:color w:val="000000" w:themeColor="text1"/>
                <w14:textFill>
                  <w14:solidFill>
                    <w14:schemeClr w14:val="tx1"/>
                  </w14:solidFill>
                </w14:textFill>
              </w:rPr>
              <w:t>0.77</w:t>
            </w:r>
          </w:p>
        </w:tc>
        <w:tc>
          <w:tcPr>
            <w:tcW w:w="601" w:type="pct"/>
            <w:shd w:val="clear" w:color="auto" w:fill="auto"/>
            <w:vAlign w:val="center"/>
          </w:tcPr>
          <w:p w14:paraId="50254411">
            <w:pPr>
              <w:pStyle w:val="28"/>
              <w:rPr>
                <w:color w:val="000000" w:themeColor="text1"/>
                <w14:textFill>
                  <w14:solidFill>
                    <w14:schemeClr w14:val="tx1"/>
                  </w14:solidFill>
                </w14:textFill>
              </w:rPr>
            </w:pPr>
            <w:r>
              <w:rPr>
                <w:color w:val="000000" w:themeColor="text1"/>
                <w14:textFill>
                  <w14:solidFill>
                    <w14:schemeClr w14:val="tx1"/>
                  </w14:solidFill>
                </w14:textFill>
              </w:rPr>
              <w:t>15.4466</w:t>
            </w:r>
          </w:p>
        </w:tc>
        <w:tc>
          <w:tcPr>
            <w:tcW w:w="566" w:type="pct"/>
            <w:shd w:val="clear" w:color="auto" w:fill="auto"/>
            <w:vAlign w:val="center"/>
          </w:tcPr>
          <w:p w14:paraId="40B11DFC">
            <w:pPr>
              <w:pStyle w:val="28"/>
              <w:rPr>
                <w:color w:val="000000" w:themeColor="text1"/>
                <w14:textFill>
                  <w14:solidFill>
                    <w14:schemeClr w14:val="tx1"/>
                  </w14:solidFill>
                </w14:textFill>
              </w:rPr>
            </w:pPr>
            <w:r>
              <w:rPr>
                <w:color w:val="000000" w:themeColor="text1"/>
                <w14:textFill>
                  <w14:solidFill>
                    <w14:schemeClr w14:val="tx1"/>
                  </w14:solidFill>
                </w14:textFill>
              </w:rPr>
              <w:t>1.29</w:t>
            </w:r>
          </w:p>
        </w:tc>
        <w:tc>
          <w:tcPr>
            <w:tcW w:w="580" w:type="pct"/>
            <w:shd w:val="clear" w:color="auto" w:fill="auto"/>
            <w:vAlign w:val="center"/>
          </w:tcPr>
          <w:p w14:paraId="65D83645">
            <w:pPr>
              <w:pStyle w:val="28"/>
              <w:rPr>
                <w:color w:val="000000" w:themeColor="text1"/>
                <w14:textFill>
                  <w14:solidFill>
                    <w14:schemeClr w14:val="tx1"/>
                  </w14:solidFill>
                </w14:textFill>
              </w:rPr>
            </w:pPr>
            <w:r>
              <w:rPr>
                <w:color w:val="000000" w:themeColor="text1"/>
                <w14:textFill>
                  <w14:solidFill>
                    <w14:schemeClr w14:val="tx1"/>
                  </w14:solidFill>
                </w14:textFill>
              </w:rPr>
              <w:t>0.1240</w:t>
            </w:r>
          </w:p>
        </w:tc>
        <w:tc>
          <w:tcPr>
            <w:tcW w:w="432" w:type="pct"/>
            <w:shd w:val="clear" w:color="auto" w:fill="auto"/>
            <w:vAlign w:val="center"/>
          </w:tcPr>
          <w:p w14:paraId="32A6DA39">
            <w:pPr>
              <w:pStyle w:val="28"/>
              <w:rPr>
                <w:color w:val="000000" w:themeColor="text1"/>
                <w14:textFill>
                  <w14:solidFill>
                    <w14:schemeClr w14:val="tx1"/>
                  </w14:solidFill>
                </w14:textFill>
              </w:rPr>
            </w:pPr>
            <w:r>
              <w:rPr>
                <w:color w:val="000000" w:themeColor="text1"/>
                <w14:textFill>
                  <w14:solidFill>
                    <w14:schemeClr w14:val="tx1"/>
                  </w14:solidFill>
                </w14:textFill>
              </w:rPr>
              <w:t>1.24</w:t>
            </w:r>
          </w:p>
        </w:tc>
      </w:tr>
      <w:tr w14:paraId="1CE5D4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342EBE85">
            <w:pPr>
              <w:pStyle w:val="28"/>
              <w:rPr>
                <w:color w:val="000000" w:themeColor="text1"/>
                <w14:textFill>
                  <w14:solidFill>
                    <w14:schemeClr w14:val="tx1"/>
                  </w14:solidFill>
                </w14:textFill>
              </w:rPr>
            </w:pPr>
            <w:r>
              <w:rPr>
                <w:color w:val="000000" w:themeColor="text1"/>
                <w14:textFill>
                  <w14:solidFill>
                    <w14:schemeClr w14:val="tx1"/>
                  </w14:solidFill>
                </w14:textFill>
              </w:rPr>
              <w:t>900.0</w:t>
            </w:r>
          </w:p>
        </w:tc>
        <w:tc>
          <w:tcPr>
            <w:tcW w:w="584" w:type="pct"/>
            <w:shd w:val="clear" w:color="auto" w:fill="auto"/>
            <w:vAlign w:val="center"/>
          </w:tcPr>
          <w:p w14:paraId="004FD4C1">
            <w:pPr>
              <w:pStyle w:val="28"/>
              <w:rPr>
                <w:color w:val="000000" w:themeColor="text1"/>
                <w14:textFill>
                  <w14:solidFill>
                    <w14:schemeClr w14:val="tx1"/>
                  </w14:solidFill>
                </w14:textFill>
              </w:rPr>
            </w:pPr>
            <w:r>
              <w:rPr>
                <w:color w:val="000000" w:themeColor="text1"/>
                <w14:textFill>
                  <w14:solidFill>
                    <w14:schemeClr w14:val="tx1"/>
                  </w14:solidFill>
                </w14:textFill>
              </w:rPr>
              <w:t>6.1481</w:t>
            </w:r>
          </w:p>
        </w:tc>
        <w:tc>
          <w:tcPr>
            <w:tcW w:w="492" w:type="pct"/>
            <w:shd w:val="clear" w:color="auto" w:fill="auto"/>
            <w:vAlign w:val="center"/>
          </w:tcPr>
          <w:p w14:paraId="11A19A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1.71</w:t>
            </w:r>
          </w:p>
        </w:tc>
        <w:tc>
          <w:tcPr>
            <w:tcW w:w="580" w:type="pct"/>
            <w:shd w:val="clear" w:color="auto" w:fill="auto"/>
            <w:vAlign w:val="center"/>
          </w:tcPr>
          <w:p w14:paraId="7FBD58A8">
            <w:pPr>
              <w:pStyle w:val="28"/>
              <w:rPr>
                <w:color w:val="000000" w:themeColor="text1"/>
                <w14:textFill>
                  <w14:solidFill>
                    <w14:schemeClr w14:val="tx1"/>
                  </w14:solidFill>
                </w14:textFill>
              </w:rPr>
            </w:pPr>
            <w:r>
              <w:rPr>
                <w:color w:val="000000" w:themeColor="text1"/>
                <w14:textFill>
                  <w14:solidFill>
                    <w14:schemeClr w14:val="tx1"/>
                  </w14:solidFill>
                </w14:textFill>
              </w:rPr>
              <w:t>0.0679</w:t>
            </w:r>
          </w:p>
        </w:tc>
        <w:tc>
          <w:tcPr>
            <w:tcW w:w="485" w:type="pct"/>
            <w:shd w:val="clear" w:color="auto" w:fill="auto"/>
            <w:vAlign w:val="center"/>
          </w:tcPr>
          <w:p w14:paraId="1DFF2298">
            <w:pPr>
              <w:pStyle w:val="28"/>
              <w:rPr>
                <w:color w:val="000000" w:themeColor="text1"/>
                <w14:textFill>
                  <w14:solidFill>
                    <w14:schemeClr w14:val="tx1"/>
                  </w14:solidFill>
                </w14:textFill>
              </w:rPr>
            </w:pPr>
            <w:r>
              <w:rPr>
                <w:color w:val="000000" w:themeColor="text1"/>
                <w14:textFill>
                  <w14:solidFill>
                    <w14:schemeClr w14:val="tx1"/>
                  </w14:solidFill>
                </w14:textFill>
              </w:rPr>
              <w:t>0.68</w:t>
            </w:r>
          </w:p>
        </w:tc>
        <w:tc>
          <w:tcPr>
            <w:tcW w:w="601" w:type="pct"/>
            <w:shd w:val="clear" w:color="auto" w:fill="auto"/>
            <w:vAlign w:val="center"/>
          </w:tcPr>
          <w:p w14:paraId="5FDEED1F">
            <w:pPr>
              <w:pStyle w:val="28"/>
              <w:rPr>
                <w:color w:val="000000" w:themeColor="text1"/>
                <w14:textFill>
                  <w14:solidFill>
                    <w14:schemeClr w14:val="tx1"/>
                  </w14:solidFill>
                </w14:textFill>
              </w:rPr>
            </w:pPr>
            <w:r>
              <w:rPr>
                <w:color w:val="000000" w:themeColor="text1"/>
                <w14:textFill>
                  <w14:solidFill>
                    <w14:schemeClr w14:val="tx1"/>
                  </w14:solidFill>
                </w14:textFill>
              </w:rPr>
              <w:t>13.5870</w:t>
            </w:r>
          </w:p>
        </w:tc>
        <w:tc>
          <w:tcPr>
            <w:tcW w:w="566" w:type="pct"/>
            <w:shd w:val="clear" w:color="auto" w:fill="auto"/>
            <w:vAlign w:val="center"/>
          </w:tcPr>
          <w:p w14:paraId="063B982E">
            <w:pPr>
              <w:pStyle w:val="28"/>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580" w:type="pct"/>
            <w:shd w:val="clear" w:color="auto" w:fill="auto"/>
            <w:vAlign w:val="center"/>
          </w:tcPr>
          <w:p w14:paraId="3749CEFD">
            <w:pPr>
              <w:pStyle w:val="28"/>
              <w:rPr>
                <w:color w:val="000000" w:themeColor="text1"/>
                <w14:textFill>
                  <w14:solidFill>
                    <w14:schemeClr w14:val="tx1"/>
                  </w14:solidFill>
                </w14:textFill>
              </w:rPr>
            </w:pPr>
            <w:r>
              <w:rPr>
                <w:color w:val="000000" w:themeColor="text1"/>
                <w14:textFill>
                  <w14:solidFill>
                    <w14:schemeClr w14:val="tx1"/>
                  </w14:solidFill>
                </w14:textFill>
              </w:rPr>
              <w:t>0.1175</w:t>
            </w:r>
          </w:p>
        </w:tc>
        <w:tc>
          <w:tcPr>
            <w:tcW w:w="432" w:type="pct"/>
            <w:shd w:val="clear" w:color="auto" w:fill="auto"/>
            <w:vAlign w:val="center"/>
          </w:tcPr>
          <w:p w14:paraId="2596952E">
            <w:pPr>
              <w:pStyle w:val="28"/>
              <w:rPr>
                <w:color w:val="000000" w:themeColor="text1"/>
                <w14:textFill>
                  <w14:solidFill>
                    <w14:schemeClr w14:val="tx1"/>
                  </w14:solidFill>
                </w14:textFill>
              </w:rPr>
            </w:pPr>
            <w:r>
              <w:rPr>
                <w:color w:val="000000" w:themeColor="text1"/>
                <w14:textFill>
                  <w14:solidFill>
                    <w14:schemeClr w14:val="tx1"/>
                  </w14:solidFill>
                </w14:textFill>
              </w:rPr>
              <w:t>1.17</w:t>
            </w:r>
          </w:p>
        </w:tc>
      </w:tr>
      <w:tr w14:paraId="412CAE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380EC94B">
            <w:pPr>
              <w:pStyle w:val="28"/>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584" w:type="pct"/>
            <w:shd w:val="clear" w:color="auto" w:fill="auto"/>
            <w:vAlign w:val="center"/>
          </w:tcPr>
          <w:p w14:paraId="2A4D1FFC">
            <w:pPr>
              <w:pStyle w:val="28"/>
              <w:rPr>
                <w:color w:val="000000" w:themeColor="text1"/>
                <w14:textFill>
                  <w14:solidFill>
                    <w14:schemeClr w14:val="tx1"/>
                  </w14:solidFill>
                </w14:textFill>
              </w:rPr>
            </w:pPr>
            <w:r>
              <w:rPr>
                <w:color w:val="000000" w:themeColor="text1"/>
                <w14:textFill>
                  <w14:solidFill>
                    <w14:schemeClr w14:val="tx1"/>
                  </w14:solidFill>
                </w14:textFill>
              </w:rPr>
              <w:t>5.3797</w:t>
            </w:r>
          </w:p>
        </w:tc>
        <w:tc>
          <w:tcPr>
            <w:tcW w:w="492" w:type="pct"/>
            <w:shd w:val="clear" w:color="auto" w:fill="auto"/>
            <w:vAlign w:val="center"/>
          </w:tcPr>
          <w:p w14:paraId="6BD0C2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1.49</w:t>
            </w:r>
          </w:p>
        </w:tc>
        <w:tc>
          <w:tcPr>
            <w:tcW w:w="580" w:type="pct"/>
            <w:shd w:val="clear" w:color="auto" w:fill="auto"/>
            <w:vAlign w:val="center"/>
          </w:tcPr>
          <w:p w14:paraId="42D35A76">
            <w:pPr>
              <w:pStyle w:val="28"/>
              <w:rPr>
                <w:color w:val="000000" w:themeColor="text1"/>
                <w14:textFill>
                  <w14:solidFill>
                    <w14:schemeClr w14:val="tx1"/>
                  </w14:solidFill>
                </w14:textFill>
              </w:rPr>
            </w:pPr>
            <w:r>
              <w:rPr>
                <w:color w:val="000000" w:themeColor="text1"/>
                <w14:textFill>
                  <w14:solidFill>
                    <w14:schemeClr w14:val="tx1"/>
                  </w14:solidFill>
                </w14:textFill>
              </w:rPr>
              <w:t>0.0594</w:t>
            </w:r>
          </w:p>
        </w:tc>
        <w:tc>
          <w:tcPr>
            <w:tcW w:w="485" w:type="pct"/>
            <w:shd w:val="clear" w:color="auto" w:fill="auto"/>
            <w:vAlign w:val="center"/>
          </w:tcPr>
          <w:p w14:paraId="414242A6">
            <w:pPr>
              <w:pStyle w:val="28"/>
              <w:rPr>
                <w:color w:val="000000" w:themeColor="text1"/>
                <w14:textFill>
                  <w14:solidFill>
                    <w14:schemeClr w14:val="tx1"/>
                  </w14:solidFill>
                </w14:textFill>
              </w:rPr>
            </w:pPr>
            <w:r>
              <w:rPr>
                <w:color w:val="000000" w:themeColor="text1"/>
                <w14:textFill>
                  <w14:solidFill>
                    <w14:schemeClr w14:val="tx1"/>
                  </w14:solidFill>
                </w14:textFill>
              </w:rPr>
              <w:t>0.59</w:t>
            </w:r>
          </w:p>
        </w:tc>
        <w:tc>
          <w:tcPr>
            <w:tcW w:w="601" w:type="pct"/>
            <w:shd w:val="clear" w:color="auto" w:fill="auto"/>
            <w:vAlign w:val="center"/>
          </w:tcPr>
          <w:p w14:paraId="2603B5B8">
            <w:pPr>
              <w:pStyle w:val="28"/>
              <w:rPr>
                <w:color w:val="000000" w:themeColor="text1"/>
                <w14:textFill>
                  <w14:solidFill>
                    <w14:schemeClr w14:val="tx1"/>
                  </w14:solidFill>
                </w14:textFill>
              </w:rPr>
            </w:pPr>
            <w:r>
              <w:rPr>
                <w:color w:val="000000" w:themeColor="text1"/>
                <w14:textFill>
                  <w14:solidFill>
                    <w14:schemeClr w14:val="tx1"/>
                  </w14:solidFill>
                </w14:textFill>
              </w:rPr>
              <w:t>11.8888</w:t>
            </w:r>
          </w:p>
        </w:tc>
        <w:tc>
          <w:tcPr>
            <w:tcW w:w="566" w:type="pct"/>
            <w:shd w:val="clear" w:color="auto" w:fill="auto"/>
            <w:vAlign w:val="center"/>
          </w:tcPr>
          <w:p w14:paraId="775F1E65">
            <w:pPr>
              <w:pStyle w:val="28"/>
              <w:rPr>
                <w:color w:val="000000" w:themeColor="text1"/>
                <w14:textFill>
                  <w14:solidFill>
                    <w14:schemeClr w14:val="tx1"/>
                  </w14:solidFill>
                </w14:textFill>
              </w:rPr>
            </w:pPr>
            <w:r>
              <w:rPr>
                <w:color w:val="000000" w:themeColor="text1"/>
                <w14:textFill>
                  <w14:solidFill>
                    <w14:schemeClr w14:val="tx1"/>
                  </w14:solidFill>
                </w14:textFill>
              </w:rPr>
              <w:t>0.99</w:t>
            </w:r>
          </w:p>
        </w:tc>
        <w:tc>
          <w:tcPr>
            <w:tcW w:w="580" w:type="pct"/>
            <w:shd w:val="clear" w:color="auto" w:fill="auto"/>
            <w:vAlign w:val="center"/>
          </w:tcPr>
          <w:p w14:paraId="171DFEA2">
            <w:pPr>
              <w:pStyle w:val="28"/>
              <w:rPr>
                <w:color w:val="000000" w:themeColor="text1"/>
                <w14:textFill>
                  <w14:solidFill>
                    <w14:schemeClr w14:val="tx1"/>
                  </w14:solidFill>
                </w14:textFill>
              </w:rPr>
            </w:pPr>
            <w:r>
              <w:rPr>
                <w:color w:val="000000" w:themeColor="text1"/>
                <w14:textFill>
                  <w14:solidFill>
                    <w14:schemeClr w14:val="tx1"/>
                  </w14:solidFill>
                </w14:textFill>
              </w:rPr>
              <w:t>0.1040</w:t>
            </w:r>
          </w:p>
        </w:tc>
        <w:tc>
          <w:tcPr>
            <w:tcW w:w="432" w:type="pct"/>
            <w:shd w:val="clear" w:color="auto" w:fill="auto"/>
            <w:vAlign w:val="center"/>
          </w:tcPr>
          <w:p w14:paraId="74BE3CBA">
            <w:pPr>
              <w:pStyle w:val="28"/>
              <w:rPr>
                <w:color w:val="000000" w:themeColor="text1"/>
                <w14:textFill>
                  <w14:solidFill>
                    <w14:schemeClr w14:val="tx1"/>
                  </w14:solidFill>
                </w14:textFill>
              </w:rPr>
            </w:pPr>
            <w:r>
              <w:rPr>
                <w:color w:val="000000" w:themeColor="text1"/>
                <w14:textFill>
                  <w14:solidFill>
                    <w14:schemeClr w14:val="tx1"/>
                  </w14:solidFill>
                </w14:textFill>
              </w:rPr>
              <w:t>1.04</w:t>
            </w:r>
          </w:p>
        </w:tc>
      </w:tr>
      <w:tr w14:paraId="30E815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6A2B3839">
            <w:pPr>
              <w:pStyle w:val="28"/>
              <w:rPr>
                <w:color w:val="000000" w:themeColor="text1"/>
                <w14:textFill>
                  <w14:solidFill>
                    <w14:schemeClr w14:val="tx1"/>
                  </w14:solidFill>
                </w14:textFill>
              </w:rPr>
            </w:pPr>
            <w:r>
              <w:rPr>
                <w:color w:val="000000" w:themeColor="text1"/>
                <w14:textFill>
                  <w14:solidFill>
                    <w14:schemeClr w14:val="tx1"/>
                  </w14:solidFill>
                </w14:textFill>
              </w:rPr>
              <w:t>1200.0</w:t>
            </w:r>
          </w:p>
        </w:tc>
        <w:tc>
          <w:tcPr>
            <w:tcW w:w="584" w:type="pct"/>
            <w:shd w:val="clear" w:color="auto" w:fill="auto"/>
            <w:vAlign w:val="center"/>
          </w:tcPr>
          <w:p w14:paraId="1718D341">
            <w:pPr>
              <w:pStyle w:val="28"/>
              <w:rPr>
                <w:color w:val="000000" w:themeColor="text1"/>
                <w14:textFill>
                  <w14:solidFill>
                    <w14:schemeClr w14:val="tx1"/>
                  </w14:solidFill>
                </w14:textFill>
              </w:rPr>
            </w:pPr>
            <w:r>
              <w:rPr>
                <w:color w:val="000000" w:themeColor="text1"/>
                <w14:textFill>
                  <w14:solidFill>
                    <w14:schemeClr w14:val="tx1"/>
                  </w14:solidFill>
                </w14:textFill>
              </w:rPr>
              <w:t>3.2011</w:t>
            </w:r>
          </w:p>
        </w:tc>
        <w:tc>
          <w:tcPr>
            <w:tcW w:w="492" w:type="pct"/>
            <w:shd w:val="clear" w:color="auto" w:fill="auto"/>
            <w:vAlign w:val="center"/>
          </w:tcPr>
          <w:p w14:paraId="2E6D11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0.89</w:t>
            </w:r>
          </w:p>
        </w:tc>
        <w:tc>
          <w:tcPr>
            <w:tcW w:w="580" w:type="pct"/>
            <w:shd w:val="clear" w:color="auto" w:fill="auto"/>
            <w:vAlign w:val="center"/>
          </w:tcPr>
          <w:p w14:paraId="293F47AB">
            <w:pPr>
              <w:pStyle w:val="28"/>
              <w:rPr>
                <w:color w:val="000000" w:themeColor="text1"/>
                <w14:textFill>
                  <w14:solidFill>
                    <w14:schemeClr w14:val="tx1"/>
                  </w14:solidFill>
                </w14:textFill>
              </w:rPr>
            </w:pPr>
            <w:r>
              <w:rPr>
                <w:color w:val="000000" w:themeColor="text1"/>
                <w14:textFill>
                  <w14:solidFill>
                    <w14:schemeClr w14:val="tx1"/>
                  </w14:solidFill>
                </w14:textFill>
              </w:rPr>
              <w:t>0.0354</w:t>
            </w:r>
          </w:p>
        </w:tc>
        <w:tc>
          <w:tcPr>
            <w:tcW w:w="485" w:type="pct"/>
            <w:shd w:val="clear" w:color="auto" w:fill="auto"/>
            <w:vAlign w:val="center"/>
          </w:tcPr>
          <w:p w14:paraId="7BAD37C5">
            <w:pPr>
              <w:pStyle w:val="28"/>
              <w:rPr>
                <w:color w:val="000000" w:themeColor="text1"/>
                <w14:textFill>
                  <w14:solidFill>
                    <w14:schemeClr w14:val="tx1"/>
                  </w14:solidFill>
                </w14:textFill>
              </w:rPr>
            </w:pPr>
            <w:r>
              <w:rPr>
                <w:color w:val="000000" w:themeColor="text1"/>
                <w14:textFill>
                  <w14:solidFill>
                    <w14:schemeClr w14:val="tx1"/>
                  </w14:solidFill>
                </w14:textFill>
              </w:rPr>
              <w:t>0.35</w:t>
            </w:r>
          </w:p>
        </w:tc>
        <w:tc>
          <w:tcPr>
            <w:tcW w:w="601" w:type="pct"/>
            <w:shd w:val="clear" w:color="auto" w:fill="auto"/>
            <w:vAlign w:val="center"/>
          </w:tcPr>
          <w:p w14:paraId="3F4179CD">
            <w:pPr>
              <w:pStyle w:val="28"/>
              <w:rPr>
                <w:color w:val="000000" w:themeColor="text1"/>
                <w14:textFill>
                  <w14:solidFill>
                    <w14:schemeClr w14:val="tx1"/>
                  </w14:solidFill>
                </w14:textFill>
              </w:rPr>
            </w:pPr>
            <w:r>
              <w:rPr>
                <w:color w:val="000000" w:themeColor="text1"/>
                <w14:textFill>
                  <w14:solidFill>
                    <w14:schemeClr w14:val="tx1"/>
                  </w14:solidFill>
                </w14:textFill>
              </w:rPr>
              <w:t>7.0743</w:t>
            </w:r>
          </w:p>
        </w:tc>
        <w:tc>
          <w:tcPr>
            <w:tcW w:w="566" w:type="pct"/>
            <w:shd w:val="clear" w:color="auto" w:fill="auto"/>
            <w:vAlign w:val="center"/>
          </w:tcPr>
          <w:p w14:paraId="4DEA836A">
            <w:pPr>
              <w:pStyle w:val="28"/>
              <w:rPr>
                <w:color w:val="000000" w:themeColor="text1"/>
                <w14:textFill>
                  <w14:solidFill>
                    <w14:schemeClr w14:val="tx1"/>
                  </w14:solidFill>
                </w14:textFill>
              </w:rPr>
            </w:pPr>
            <w:r>
              <w:rPr>
                <w:color w:val="000000" w:themeColor="text1"/>
                <w14:textFill>
                  <w14:solidFill>
                    <w14:schemeClr w14:val="tx1"/>
                  </w14:solidFill>
                </w14:textFill>
              </w:rPr>
              <w:t>0.59</w:t>
            </w:r>
          </w:p>
        </w:tc>
        <w:tc>
          <w:tcPr>
            <w:tcW w:w="580" w:type="pct"/>
            <w:shd w:val="clear" w:color="auto" w:fill="auto"/>
            <w:vAlign w:val="center"/>
          </w:tcPr>
          <w:p w14:paraId="38C06076">
            <w:pPr>
              <w:pStyle w:val="28"/>
              <w:rPr>
                <w:color w:val="000000" w:themeColor="text1"/>
                <w14:textFill>
                  <w14:solidFill>
                    <w14:schemeClr w14:val="tx1"/>
                  </w14:solidFill>
                </w14:textFill>
              </w:rPr>
            </w:pPr>
            <w:r>
              <w:rPr>
                <w:color w:val="000000" w:themeColor="text1"/>
                <w14:textFill>
                  <w14:solidFill>
                    <w14:schemeClr w14:val="tx1"/>
                  </w14:solidFill>
                </w14:textFill>
              </w:rPr>
              <w:t>0.0935</w:t>
            </w:r>
          </w:p>
        </w:tc>
        <w:tc>
          <w:tcPr>
            <w:tcW w:w="432" w:type="pct"/>
            <w:shd w:val="clear" w:color="auto" w:fill="auto"/>
            <w:vAlign w:val="center"/>
          </w:tcPr>
          <w:p w14:paraId="4741585F">
            <w:pPr>
              <w:pStyle w:val="28"/>
              <w:rPr>
                <w:color w:val="000000" w:themeColor="text1"/>
                <w14:textFill>
                  <w14:solidFill>
                    <w14:schemeClr w14:val="tx1"/>
                  </w14:solidFill>
                </w14:textFill>
              </w:rPr>
            </w:pPr>
            <w:r>
              <w:rPr>
                <w:color w:val="000000" w:themeColor="text1"/>
                <w14:textFill>
                  <w14:solidFill>
                    <w14:schemeClr w14:val="tx1"/>
                  </w14:solidFill>
                </w14:textFill>
              </w:rPr>
              <w:t>0.94</w:t>
            </w:r>
          </w:p>
        </w:tc>
      </w:tr>
      <w:tr w14:paraId="675560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529237D2">
            <w:pPr>
              <w:pStyle w:val="28"/>
              <w:rPr>
                <w:color w:val="000000" w:themeColor="text1"/>
                <w14:textFill>
                  <w14:solidFill>
                    <w14:schemeClr w14:val="tx1"/>
                  </w14:solidFill>
                </w14:textFill>
              </w:rPr>
            </w:pPr>
            <w:r>
              <w:rPr>
                <w:color w:val="000000" w:themeColor="text1"/>
                <w14:textFill>
                  <w14:solidFill>
                    <w14:schemeClr w14:val="tx1"/>
                  </w14:solidFill>
                </w14:textFill>
              </w:rPr>
              <w:t>1400.0</w:t>
            </w:r>
          </w:p>
        </w:tc>
        <w:tc>
          <w:tcPr>
            <w:tcW w:w="584" w:type="pct"/>
            <w:shd w:val="clear" w:color="auto" w:fill="auto"/>
            <w:vAlign w:val="center"/>
          </w:tcPr>
          <w:p w14:paraId="4E7462EF">
            <w:pPr>
              <w:pStyle w:val="28"/>
              <w:rPr>
                <w:color w:val="000000" w:themeColor="text1"/>
                <w14:textFill>
                  <w14:solidFill>
                    <w14:schemeClr w14:val="tx1"/>
                  </w14:solidFill>
                </w14:textFill>
              </w:rPr>
            </w:pPr>
            <w:r>
              <w:rPr>
                <w:color w:val="000000" w:themeColor="text1"/>
                <w14:textFill>
                  <w14:solidFill>
                    <w14:schemeClr w14:val="tx1"/>
                  </w14:solidFill>
                </w14:textFill>
              </w:rPr>
              <w:t>1.1683</w:t>
            </w:r>
          </w:p>
        </w:tc>
        <w:tc>
          <w:tcPr>
            <w:tcW w:w="492" w:type="pct"/>
            <w:shd w:val="clear" w:color="auto" w:fill="auto"/>
            <w:vAlign w:val="center"/>
          </w:tcPr>
          <w:p w14:paraId="620437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0.32</w:t>
            </w:r>
          </w:p>
        </w:tc>
        <w:tc>
          <w:tcPr>
            <w:tcW w:w="580" w:type="pct"/>
            <w:shd w:val="clear" w:color="auto" w:fill="auto"/>
            <w:vAlign w:val="center"/>
          </w:tcPr>
          <w:p w14:paraId="56BFD6F7">
            <w:pPr>
              <w:pStyle w:val="28"/>
              <w:rPr>
                <w:color w:val="000000" w:themeColor="text1"/>
                <w14:textFill>
                  <w14:solidFill>
                    <w14:schemeClr w14:val="tx1"/>
                  </w14:solidFill>
                </w14:textFill>
              </w:rPr>
            </w:pPr>
            <w:r>
              <w:rPr>
                <w:color w:val="000000" w:themeColor="text1"/>
                <w14:textFill>
                  <w14:solidFill>
                    <w14:schemeClr w14:val="tx1"/>
                  </w14:solidFill>
                </w14:textFill>
              </w:rPr>
              <w:t>0.0129</w:t>
            </w:r>
          </w:p>
        </w:tc>
        <w:tc>
          <w:tcPr>
            <w:tcW w:w="485" w:type="pct"/>
            <w:shd w:val="clear" w:color="auto" w:fill="auto"/>
            <w:vAlign w:val="center"/>
          </w:tcPr>
          <w:p w14:paraId="18A6B041">
            <w:pPr>
              <w:pStyle w:val="28"/>
              <w:rPr>
                <w:color w:val="000000" w:themeColor="text1"/>
                <w14:textFill>
                  <w14:solidFill>
                    <w14:schemeClr w14:val="tx1"/>
                  </w14:solidFill>
                </w14:textFill>
              </w:rPr>
            </w:pPr>
            <w:r>
              <w:rPr>
                <w:color w:val="000000" w:themeColor="text1"/>
                <w14:textFill>
                  <w14:solidFill>
                    <w14:schemeClr w14:val="tx1"/>
                  </w14:solidFill>
                </w14:textFill>
              </w:rPr>
              <w:t>0.13</w:t>
            </w:r>
          </w:p>
        </w:tc>
        <w:tc>
          <w:tcPr>
            <w:tcW w:w="601" w:type="pct"/>
            <w:shd w:val="clear" w:color="auto" w:fill="auto"/>
            <w:vAlign w:val="center"/>
          </w:tcPr>
          <w:p w14:paraId="4DC45E04">
            <w:pPr>
              <w:pStyle w:val="28"/>
              <w:rPr>
                <w:color w:val="000000" w:themeColor="text1"/>
                <w14:textFill>
                  <w14:solidFill>
                    <w14:schemeClr w14:val="tx1"/>
                  </w14:solidFill>
                </w14:textFill>
              </w:rPr>
            </w:pPr>
            <w:r>
              <w:rPr>
                <w:color w:val="000000" w:themeColor="text1"/>
                <w14:textFill>
                  <w14:solidFill>
                    <w14:schemeClr w14:val="tx1"/>
                  </w14:solidFill>
                </w14:textFill>
              </w:rPr>
              <w:t>2.5819</w:t>
            </w:r>
          </w:p>
        </w:tc>
        <w:tc>
          <w:tcPr>
            <w:tcW w:w="566" w:type="pct"/>
            <w:shd w:val="clear" w:color="auto" w:fill="auto"/>
            <w:vAlign w:val="center"/>
          </w:tcPr>
          <w:p w14:paraId="0157A655">
            <w:pPr>
              <w:pStyle w:val="28"/>
              <w:rPr>
                <w:color w:val="000000" w:themeColor="text1"/>
                <w14:textFill>
                  <w14:solidFill>
                    <w14:schemeClr w14:val="tx1"/>
                  </w14:solidFill>
                </w14:textFill>
              </w:rPr>
            </w:pPr>
            <w:r>
              <w:rPr>
                <w:color w:val="000000" w:themeColor="text1"/>
                <w14:textFill>
                  <w14:solidFill>
                    <w14:schemeClr w14:val="tx1"/>
                  </w14:solidFill>
                </w14:textFill>
              </w:rPr>
              <w:t>0.22</w:t>
            </w:r>
          </w:p>
        </w:tc>
        <w:tc>
          <w:tcPr>
            <w:tcW w:w="580" w:type="pct"/>
            <w:shd w:val="clear" w:color="auto" w:fill="auto"/>
            <w:vAlign w:val="center"/>
          </w:tcPr>
          <w:p w14:paraId="1A94CD6B">
            <w:pPr>
              <w:pStyle w:val="28"/>
              <w:rPr>
                <w:color w:val="000000" w:themeColor="text1"/>
                <w14:textFill>
                  <w14:solidFill>
                    <w14:schemeClr w14:val="tx1"/>
                  </w14:solidFill>
                </w14:textFill>
              </w:rPr>
            </w:pPr>
            <w:r>
              <w:rPr>
                <w:color w:val="000000" w:themeColor="text1"/>
                <w14:textFill>
                  <w14:solidFill>
                    <w14:schemeClr w14:val="tx1"/>
                  </w14:solidFill>
                </w14:textFill>
              </w:rPr>
              <w:t>0.0840</w:t>
            </w:r>
          </w:p>
        </w:tc>
        <w:tc>
          <w:tcPr>
            <w:tcW w:w="432" w:type="pct"/>
            <w:shd w:val="clear" w:color="auto" w:fill="auto"/>
            <w:vAlign w:val="center"/>
          </w:tcPr>
          <w:p w14:paraId="599940BC">
            <w:pPr>
              <w:pStyle w:val="28"/>
              <w:rPr>
                <w:color w:val="000000" w:themeColor="text1"/>
                <w14:textFill>
                  <w14:solidFill>
                    <w14:schemeClr w14:val="tx1"/>
                  </w14:solidFill>
                </w14:textFill>
              </w:rPr>
            </w:pPr>
            <w:r>
              <w:rPr>
                <w:color w:val="000000" w:themeColor="text1"/>
                <w14:textFill>
                  <w14:solidFill>
                    <w14:schemeClr w14:val="tx1"/>
                  </w14:solidFill>
                </w14:textFill>
              </w:rPr>
              <w:t>0.84</w:t>
            </w:r>
          </w:p>
        </w:tc>
      </w:tr>
      <w:tr w14:paraId="050C87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5171403E">
            <w:pPr>
              <w:pStyle w:val="28"/>
              <w:rPr>
                <w:color w:val="000000" w:themeColor="text1"/>
                <w14:textFill>
                  <w14:solidFill>
                    <w14:schemeClr w14:val="tx1"/>
                  </w14:solidFill>
                </w14:textFill>
              </w:rPr>
            </w:pPr>
            <w:r>
              <w:rPr>
                <w:color w:val="000000" w:themeColor="text1"/>
                <w14:textFill>
                  <w14:solidFill>
                    <w14:schemeClr w14:val="tx1"/>
                  </w14:solidFill>
                </w14:textFill>
              </w:rPr>
              <w:t>1600.0</w:t>
            </w:r>
          </w:p>
        </w:tc>
        <w:tc>
          <w:tcPr>
            <w:tcW w:w="584" w:type="pct"/>
            <w:shd w:val="clear" w:color="auto" w:fill="auto"/>
            <w:vAlign w:val="center"/>
          </w:tcPr>
          <w:p w14:paraId="00BA7B72">
            <w:pPr>
              <w:pStyle w:val="28"/>
              <w:rPr>
                <w:color w:val="000000" w:themeColor="text1"/>
                <w14:textFill>
                  <w14:solidFill>
                    <w14:schemeClr w14:val="tx1"/>
                  </w14:solidFill>
                </w14:textFill>
              </w:rPr>
            </w:pPr>
            <w:r>
              <w:rPr>
                <w:color w:val="000000" w:themeColor="text1"/>
                <w14:textFill>
                  <w14:solidFill>
                    <w14:schemeClr w14:val="tx1"/>
                  </w14:solidFill>
                </w14:textFill>
              </w:rPr>
              <w:t>1.1992</w:t>
            </w:r>
          </w:p>
        </w:tc>
        <w:tc>
          <w:tcPr>
            <w:tcW w:w="492" w:type="pct"/>
            <w:shd w:val="clear" w:color="auto" w:fill="auto"/>
            <w:vAlign w:val="center"/>
          </w:tcPr>
          <w:p w14:paraId="0D1E6D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0.33</w:t>
            </w:r>
          </w:p>
        </w:tc>
        <w:tc>
          <w:tcPr>
            <w:tcW w:w="580" w:type="pct"/>
            <w:shd w:val="clear" w:color="auto" w:fill="auto"/>
            <w:vAlign w:val="center"/>
          </w:tcPr>
          <w:p w14:paraId="63606938">
            <w:pPr>
              <w:pStyle w:val="28"/>
              <w:rPr>
                <w:color w:val="000000" w:themeColor="text1"/>
                <w14:textFill>
                  <w14:solidFill>
                    <w14:schemeClr w14:val="tx1"/>
                  </w14:solidFill>
                </w14:textFill>
              </w:rPr>
            </w:pPr>
            <w:r>
              <w:rPr>
                <w:color w:val="000000" w:themeColor="text1"/>
                <w14:textFill>
                  <w14:solidFill>
                    <w14:schemeClr w14:val="tx1"/>
                  </w14:solidFill>
                </w14:textFill>
              </w:rPr>
              <w:t>0.0133</w:t>
            </w:r>
          </w:p>
        </w:tc>
        <w:tc>
          <w:tcPr>
            <w:tcW w:w="485" w:type="pct"/>
            <w:shd w:val="clear" w:color="auto" w:fill="auto"/>
            <w:vAlign w:val="center"/>
          </w:tcPr>
          <w:p w14:paraId="04B16360">
            <w:pPr>
              <w:pStyle w:val="28"/>
              <w:rPr>
                <w:color w:val="000000" w:themeColor="text1"/>
                <w14:textFill>
                  <w14:solidFill>
                    <w14:schemeClr w14:val="tx1"/>
                  </w14:solidFill>
                </w14:textFill>
              </w:rPr>
            </w:pPr>
            <w:r>
              <w:rPr>
                <w:color w:val="000000" w:themeColor="text1"/>
                <w14:textFill>
                  <w14:solidFill>
                    <w14:schemeClr w14:val="tx1"/>
                  </w14:solidFill>
                </w14:textFill>
              </w:rPr>
              <w:t>0.13</w:t>
            </w:r>
          </w:p>
        </w:tc>
        <w:tc>
          <w:tcPr>
            <w:tcW w:w="601" w:type="pct"/>
            <w:shd w:val="clear" w:color="auto" w:fill="auto"/>
            <w:vAlign w:val="center"/>
          </w:tcPr>
          <w:p w14:paraId="243E0363">
            <w:pPr>
              <w:pStyle w:val="28"/>
              <w:rPr>
                <w:color w:val="000000" w:themeColor="text1"/>
                <w14:textFill>
                  <w14:solidFill>
                    <w14:schemeClr w14:val="tx1"/>
                  </w14:solidFill>
                </w14:textFill>
              </w:rPr>
            </w:pPr>
            <w:r>
              <w:rPr>
                <w:color w:val="000000" w:themeColor="text1"/>
                <w14:textFill>
                  <w14:solidFill>
                    <w14:schemeClr w14:val="tx1"/>
                  </w14:solidFill>
                </w14:textFill>
              </w:rPr>
              <w:t>2.6502</w:t>
            </w:r>
          </w:p>
        </w:tc>
        <w:tc>
          <w:tcPr>
            <w:tcW w:w="566" w:type="pct"/>
            <w:shd w:val="clear" w:color="auto" w:fill="auto"/>
            <w:vAlign w:val="center"/>
          </w:tcPr>
          <w:p w14:paraId="7A14B890">
            <w:pPr>
              <w:pStyle w:val="28"/>
              <w:rPr>
                <w:color w:val="000000" w:themeColor="text1"/>
                <w14:textFill>
                  <w14:solidFill>
                    <w14:schemeClr w14:val="tx1"/>
                  </w14:solidFill>
                </w14:textFill>
              </w:rPr>
            </w:pPr>
            <w:r>
              <w:rPr>
                <w:color w:val="000000" w:themeColor="text1"/>
                <w14:textFill>
                  <w14:solidFill>
                    <w14:schemeClr w14:val="tx1"/>
                  </w14:solidFill>
                </w14:textFill>
              </w:rPr>
              <w:t>0.22</w:t>
            </w:r>
          </w:p>
        </w:tc>
        <w:tc>
          <w:tcPr>
            <w:tcW w:w="580" w:type="pct"/>
            <w:shd w:val="clear" w:color="auto" w:fill="auto"/>
            <w:vAlign w:val="center"/>
          </w:tcPr>
          <w:p w14:paraId="07F97715">
            <w:pPr>
              <w:pStyle w:val="28"/>
              <w:rPr>
                <w:color w:val="000000" w:themeColor="text1"/>
                <w14:textFill>
                  <w14:solidFill>
                    <w14:schemeClr w14:val="tx1"/>
                  </w14:solidFill>
                </w14:textFill>
              </w:rPr>
            </w:pPr>
            <w:r>
              <w:rPr>
                <w:color w:val="000000" w:themeColor="text1"/>
                <w14:textFill>
                  <w14:solidFill>
                    <w14:schemeClr w14:val="tx1"/>
                  </w14:solidFill>
                </w14:textFill>
              </w:rPr>
              <w:t>0.0755</w:t>
            </w:r>
          </w:p>
        </w:tc>
        <w:tc>
          <w:tcPr>
            <w:tcW w:w="432" w:type="pct"/>
            <w:shd w:val="clear" w:color="auto" w:fill="auto"/>
            <w:vAlign w:val="center"/>
          </w:tcPr>
          <w:p w14:paraId="085A2365">
            <w:pPr>
              <w:pStyle w:val="28"/>
              <w:rPr>
                <w:color w:val="000000" w:themeColor="text1"/>
                <w14:textFill>
                  <w14:solidFill>
                    <w14:schemeClr w14:val="tx1"/>
                  </w14:solidFill>
                </w14:textFill>
              </w:rPr>
            </w:pPr>
            <w:r>
              <w:rPr>
                <w:color w:val="000000" w:themeColor="text1"/>
                <w14:textFill>
                  <w14:solidFill>
                    <w14:schemeClr w14:val="tx1"/>
                  </w14:solidFill>
                </w14:textFill>
              </w:rPr>
              <w:t>0.75</w:t>
            </w:r>
          </w:p>
        </w:tc>
      </w:tr>
      <w:tr w14:paraId="06B2B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CA7A6C5">
            <w:pPr>
              <w:pStyle w:val="28"/>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584" w:type="pct"/>
            <w:shd w:val="clear" w:color="auto" w:fill="auto"/>
            <w:vAlign w:val="center"/>
          </w:tcPr>
          <w:p w14:paraId="56B5A17E">
            <w:pPr>
              <w:pStyle w:val="28"/>
              <w:rPr>
                <w:color w:val="000000" w:themeColor="text1"/>
                <w14:textFill>
                  <w14:solidFill>
                    <w14:schemeClr w14:val="tx1"/>
                  </w14:solidFill>
                </w14:textFill>
              </w:rPr>
            </w:pPr>
            <w:r>
              <w:rPr>
                <w:color w:val="000000" w:themeColor="text1"/>
                <w14:textFill>
                  <w14:solidFill>
                    <w14:schemeClr w14:val="tx1"/>
                  </w14:solidFill>
                </w14:textFill>
              </w:rPr>
              <w:t>0.6280</w:t>
            </w:r>
          </w:p>
        </w:tc>
        <w:tc>
          <w:tcPr>
            <w:tcW w:w="492" w:type="pct"/>
            <w:shd w:val="clear" w:color="auto" w:fill="auto"/>
            <w:vAlign w:val="center"/>
          </w:tcPr>
          <w:p w14:paraId="110135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0.17</w:t>
            </w:r>
          </w:p>
        </w:tc>
        <w:tc>
          <w:tcPr>
            <w:tcW w:w="580" w:type="pct"/>
            <w:shd w:val="clear" w:color="auto" w:fill="auto"/>
            <w:vAlign w:val="center"/>
          </w:tcPr>
          <w:p w14:paraId="765BB6E9">
            <w:pPr>
              <w:pStyle w:val="28"/>
              <w:rPr>
                <w:color w:val="000000" w:themeColor="text1"/>
                <w14:textFill>
                  <w14:solidFill>
                    <w14:schemeClr w14:val="tx1"/>
                  </w14:solidFill>
                </w14:textFill>
              </w:rPr>
            </w:pPr>
            <w:r>
              <w:rPr>
                <w:color w:val="000000" w:themeColor="text1"/>
                <w14:textFill>
                  <w14:solidFill>
                    <w14:schemeClr w14:val="tx1"/>
                  </w14:solidFill>
                </w14:textFill>
              </w:rPr>
              <w:t>0.0069</w:t>
            </w:r>
          </w:p>
        </w:tc>
        <w:tc>
          <w:tcPr>
            <w:tcW w:w="485" w:type="pct"/>
            <w:shd w:val="clear" w:color="auto" w:fill="auto"/>
            <w:vAlign w:val="center"/>
          </w:tcPr>
          <w:p w14:paraId="37850E64">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601" w:type="pct"/>
            <w:shd w:val="clear" w:color="auto" w:fill="auto"/>
            <w:vAlign w:val="center"/>
          </w:tcPr>
          <w:p w14:paraId="0685F503">
            <w:pPr>
              <w:pStyle w:val="28"/>
              <w:rPr>
                <w:color w:val="000000" w:themeColor="text1"/>
                <w14:textFill>
                  <w14:solidFill>
                    <w14:schemeClr w14:val="tx1"/>
                  </w14:solidFill>
                </w14:textFill>
              </w:rPr>
            </w:pPr>
            <w:r>
              <w:rPr>
                <w:color w:val="000000" w:themeColor="text1"/>
                <w14:textFill>
                  <w14:solidFill>
                    <w14:schemeClr w14:val="tx1"/>
                  </w14:solidFill>
                </w14:textFill>
              </w:rPr>
              <w:t>1.3880</w:t>
            </w:r>
          </w:p>
        </w:tc>
        <w:tc>
          <w:tcPr>
            <w:tcW w:w="566" w:type="pct"/>
            <w:shd w:val="clear" w:color="auto" w:fill="auto"/>
            <w:vAlign w:val="center"/>
          </w:tcPr>
          <w:p w14:paraId="5C153008">
            <w:pPr>
              <w:pStyle w:val="28"/>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580" w:type="pct"/>
            <w:shd w:val="clear" w:color="auto" w:fill="auto"/>
            <w:vAlign w:val="center"/>
          </w:tcPr>
          <w:p w14:paraId="33E088BC">
            <w:pPr>
              <w:pStyle w:val="28"/>
              <w:rPr>
                <w:color w:val="000000" w:themeColor="text1"/>
                <w14:textFill>
                  <w14:solidFill>
                    <w14:schemeClr w14:val="tx1"/>
                  </w14:solidFill>
                </w14:textFill>
              </w:rPr>
            </w:pPr>
            <w:r>
              <w:rPr>
                <w:color w:val="000000" w:themeColor="text1"/>
                <w14:textFill>
                  <w14:solidFill>
                    <w14:schemeClr w14:val="tx1"/>
                  </w14:solidFill>
                </w14:textFill>
              </w:rPr>
              <w:t>0.0554</w:t>
            </w:r>
          </w:p>
        </w:tc>
        <w:tc>
          <w:tcPr>
            <w:tcW w:w="432" w:type="pct"/>
            <w:shd w:val="clear" w:color="auto" w:fill="auto"/>
            <w:vAlign w:val="center"/>
          </w:tcPr>
          <w:p w14:paraId="47EA685E">
            <w:pPr>
              <w:pStyle w:val="28"/>
              <w:rPr>
                <w:color w:val="000000" w:themeColor="text1"/>
                <w14:textFill>
                  <w14:solidFill>
                    <w14:schemeClr w14:val="tx1"/>
                  </w14:solidFill>
                </w14:textFill>
              </w:rPr>
            </w:pPr>
            <w:r>
              <w:rPr>
                <w:color w:val="000000" w:themeColor="text1"/>
                <w14:textFill>
                  <w14:solidFill>
                    <w14:schemeClr w14:val="tx1"/>
                  </w14:solidFill>
                </w14:textFill>
              </w:rPr>
              <w:t>0.55</w:t>
            </w:r>
          </w:p>
        </w:tc>
      </w:tr>
      <w:tr w14:paraId="3B5871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102403C7">
            <w:pPr>
              <w:pStyle w:val="28"/>
              <w:rPr>
                <w:color w:val="000000" w:themeColor="text1"/>
                <w14:textFill>
                  <w14:solidFill>
                    <w14:schemeClr w14:val="tx1"/>
                  </w14:solidFill>
                </w14:textFill>
              </w:rPr>
            </w:pPr>
            <w:r>
              <w:rPr>
                <w:color w:val="000000" w:themeColor="text1"/>
                <w14:textFill>
                  <w14:solidFill>
                    <w14:schemeClr w14:val="tx1"/>
                  </w14:solidFill>
                </w14:textFill>
              </w:rPr>
              <w:t>2000.0</w:t>
            </w:r>
          </w:p>
        </w:tc>
        <w:tc>
          <w:tcPr>
            <w:tcW w:w="584" w:type="pct"/>
            <w:shd w:val="clear" w:color="auto" w:fill="auto"/>
            <w:vAlign w:val="center"/>
          </w:tcPr>
          <w:p w14:paraId="50B19AAC">
            <w:pPr>
              <w:pStyle w:val="28"/>
              <w:rPr>
                <w:color w:val="000000" w:themeColor="text1"/>
                <w14:textFill>
                  <w14:solidFill>
                    <w14:schemeClr w14:val="tx1"/>
                  </w14:solidFill>
                </w14:textFill>
              </w:rPr>
            </w:pPr>
            <w:r>
              <w:rPr>
                <w:color w:val="000000" w:themeColor="text1"/>
                <w14:textFill>
                  <w14:solidFill>
                    <w14:schemeClr w14:val="tx1"/>
                  </w14:solidFill>
                </w14:textFill>
              </w:rPr>
              <w:t>0.6025</w:t>
            </w:r>
          </w:p>
        </w:tc>
        <w:tc>
          <w:tcPr>
            <w:tcW w:w="492" w:type="pct"/>
            <w:shd w:val="clear" w:color="auto" w:fill="auto"/>
            <w:vAlign w:val="center"/>
          </w:tcPr>
          <w:p w14:paraId="488786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0.17</w:t>
            </w:r>
          </w:p>
        </w:tc>
        <w:tc>
          <w:tcPr>
            <w:tcW w:w="580" w:type="pct"/>
            <w:shd w:val="clear" w:color="auto" w:fill="auto"/>
            <w:vAlign w:val="center"/>
          </w:tcPr>
          <w:p w14:paraId="124D7F9D">
            <w:pPr>
              <w:pStyle w:val="28"/>
              <w:rPr>
                <w:color w:val="000000" w:themeColor="text1"/>
                <w14:textFill>
                  <w14:solidFill>
                    <w14:schemeClr w14:val="tx1"/>
                  </w14:solidFill>
                </w14:textFill>
              </w:rPr>
            </w:pPr>
            <w:r>
              <w:rPr>
                <w:color w:val="000000" w:themeColor="text1"/>
                <w14:textFill>
                  <w14:solidFill>
                    <w14:schemeClr w14:val="tx1"/>
                  </w14:solidFill>
                </w14:textFill>
              </w:rPr>
              <w:t>0.0067</w:t>
            </w:r>
          </w:p>
        </w:tc>
        <w:tc>
          <w:tcPr>
            <w:tcW w:w="485" w:type="pct"/>
            <w:shd w:val="clear" w:color="auto" w:fill="auto"/>
            <w:vAlign w:val="center"/>
          </w:tcPr>
          <w:p w14:paraId="42256DC5">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601" w:type="pct"/>
            <w:shd w:val="clear" w:color="auto" w:fill="auto"/>
            <w:vAlign w:val="center"/>
          </w:tcPr>
          <w:p w14:paraId="30F10033">
            <w:pPr>
              <w:pStyle w:val="28"/>
              <w:rPr>
                <w:color w:val="000000" w:themeColor="text1"/>
                <w14:textFill>
                  <w14:solidFill>
                    <w14:schemeClr w14:val="tx1"/>
                  </w14:solidFill>
                </w14:textFill>
              </w:rPr>
            </w:pPr>
            <w:r>
              <w:rPr>
                <w:color w:val="000000" w:themeColor="text1"/>
                <w14:textFill>
                  <w14:solidFill>
                    <w14:schemeClr w14:val="tx1"/>
                  </w14:solidFill>
                </w14:textFill>
              </w:rPr>
              <w:t>1.3315</w:t>
            </w:r>
          </w:p>
        </w:tc>
        <w:tc>
          <w:tcPr>
            <w:tcW w:w="566" w:type="pct"/>
            <w:shd w:val="clear" w:color="auto" w:fill="auto"/>
            <w:vAlign w:val="center"/>
          </w:tcPr>
          <w:p w14:paraId="28A17201">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580" w:type="pct"/>
            <w:shd w:val="clear" w:color="auto" w:fill="auto"/>
            <w:vAlign w:val="center"/>
          </w:tcPr>
          <w:p w14:paraId="549F6328">
            <w:pPr>
              <w:pStyle w:val="28"/>
              <w:rPr>
                <w:color w:val="000000" w:themeColor="text1"/>
                <w14:textFill>
                  <w14:solidFill>
                    <w14:schemeClr w14:val="tx1"/>
                  </w14:solidFill>
                </w14:textFill>
              </w:rPr>
            </w:pPr>
            <w:r>
              <w:rPr>
                <w:color w:val="000000" w:themeColor="text1"/>
                <w14:textFill>
                  <w14:solidFill>
                    <w14:schemeClr w14:val="tx1"/>
                  </w14:solidFill>
                </w14:textFill>
              </w:rPr>
              <w:t>0.0520</w:t>
            </w:r>
          </w:p>
        </w:tc>
        <w:tc>
          <w:tcPr>
            <w:tcW w:w="432" w:type="pct"/>
            <w:shd w:val="clear" w:color="auto" w:fill="auto"/>
            <w:vAlign w:val="center"/>
          </w:tcPr>
          <w:p w14:paraId="01ABEAB9">
            <w:pPr>
              <w:pStyle w:val="28"/>
              <w:rPr>
                <w:color w:val="000000" w:themeColor="text1"/>
                <w14:textFill>
                  <w14:solidFill>
                    <w14:schemeClr w14:val="tx1"/>
                  </w14:solidFill>
                </w14:textFill>
              </w:rPr>
            </w:pPr>
            <w:r>
              <w:rPr>
                <w:color w:val="000000" w:themeColor="text1"/>
                <w14:textFill>
                  <w14:solidFill>
                    <w14:schemeClr w14:val="tx1"/>
                  </w14:solidFill>
                </w14:textFill>
              </w:rPr>
              <w:t>0.52</w:t>
            </w:r>
          </w:p>
        </w:tc>
      </w:tr>
      <w:tr w14:paraId="6A1BAD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B197B8F">
            <w:pPr>
              <w:pStyle w:val="28"/>
              <w:rPr>
                <w:color w:val="000000" w:themeColor="text1"/>
                <w14:textFill>
                  <w14:solidFill>
                    <w14:schemeClr w14:val="tx1"/>
                  </w14:solidFill>
                </w14:textFill>
              </w:rPr>
            </w:pPr>
            <w:r>
              <w:rPr>
                <w:color w:val="000000" w:themeColor="text1"/>
                <w14:textFill>
                  <w14:solidFill>
                    <w14:schemeClr w14:val="tx1"/>
                  </w14:solidFill>
                </w14:textFill>
              </w:rPr>
              <w:t>2500.0</w:t>
            </w:r>
          </w:p>
        </w:tc>
        <w:tc>
          <w:tcPr>
            <w:tcW w:w="584" w:type="pct"/>
            <w:shd w:val="clear" w:color="auto" w:fill="auto"/>
            <w:vAlign w:val="center"/>
          </w:tcPr>
          <w:p w14:paraId="2BA5F178">
            <w:pPr>
              <w:pStyle w:val="28"/>
              <w:rPr>
                <w:color w:val="000000" w:themeColor="text1"/>
                <w14:textFill>
                  <w14:solidFill>
                    <w14:schemeClr w14:val="tx1"/>
                  </w14:solidFill>
                </w14:textFill>
              </w:rPr>
            </w:pPr>
            <w:r>
              <w:rPr>
                <w:color w:val="000000" w:themeColor="text1"/>
                <w14:textFill>
                  <w14:solidFill>
                    <w14:schemeClr w14:val="tx1"/>
                  </w14:solidFill>
                </w14:textFill>
              </w:rPr>
              <w:t>1.4251</w:t>
            </w:r>
          </w:p>
        </w:tc>
        <w:tc>
          <w:tcPr>
            <w:tcW w:w="492" w:type="pct"/>
            <w:shd w:val="clear" w:color="auto" w:fill="auto"/>
            <w:vAlign w:val="center"/>
          </w:tcPr>
          <w:p w14:paraId="182D5E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0.40</w:t>
            </w:r>
          </w:p>
        </w:tc>
        <w:tc>
          <w:tcPr>
            <w:tcW w:w="580" w:type="pct"/>
            <w:shd w:val="clear" w:color="auto" w:fill="auto"/>
            <w:vAlign w:val="center"/>
          </w:tcPr>
          <w:p w14:paraId="1F85153E">
            <w:pPr>
              <w:pStyle w:val="28"/>
              <w:rPr>
                <w:color w:val="000000" w:themeColor="text1"/>
                <w14:textFill>
                  <w14:solidFill>
                    <w14:schemeClr w14:val="tx1"/>
                  </w14:solidFill>
                </w14:textFill>
              </w:rPr>
            </w:pPr>
            <w:r>
              <w:rPr>
                <w:color w:val="000000" w:themeColor="text1"/>
                <w14:textFill>
                  <w14:solidFill>
                    <w14:schemeClr w14:val="tx1"/>
                  </w14:solidFill>
                </w14:textFill>
              </w:rPr>
              <w:t>0.0157</w:t>
            </w:r>
          </w:p>
        </w:tc>
        <w:tc>
          <w:tcPr>
            <w:tcW w:w="485" w:type="pct"/>
            <w:shd w:val="clear" w:color="auto" w:fill="auto"/>
            <w:vAlign w:val="center"/>
          </w:tcPr>
          <w:p w14:paraId="4F8C9F26">
            <w:pPr>
              <w:pStyle w:val="28"/>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601" w:type="pct"/>
            <w:shd w:val="clear" w:color="auto" w:fill="auto"/>
            <w:vAlign w:val="center"/>
          </w:tcPr>
          <w:p w14:paraId="60C25469">
            <w:pPr>
              <w:pStyle w:val="28"/>
              <w:rPr>
                <w:color w:val="000000" w:themeColor="text1"/>
                <w14:textFill>
                  <w14:solidFill>
                    <w14:schemeClr w14:val="tx1"/>
                  </w14:solidFill>
                </w14:textFill>
              </w:rPr>
            </w:pPr>
            <w:r>
              <w:rPr>
                <w:color w:val="000000" w:themeColor="text1"/>
                <w14:textFill>
                  <w14:solidFill>
                    <w14:schemeClr w14:val="tx1"/>
                  </w14:solidFill>
                </w14:textFill>
              </w:rPr>
              <w:t>3.1494</w:t>
            </w:r>
          </w:p>
        </w:tc>
        <w:tc>
          <w:tcPr>
            <w:tcW w:w="566" w:type="pct"/>
            <w:shd w:val="clear" w:color="auto" w:fill="auto"/>
            <w:vAlign w:val="center"/>
          </w:tcPr>
          <w:p w14:paraId="1A2D37A8">
            <w:pPr>
              <w:pStyle w:val="28"/>
              <w:rPr>
                <w:color w:val="000000" w:themeColor="text1"/>
                <w14:textFill>
                  <w14:solidFill>
                    <w14:schemeClr w14:val="tx1"/>
                  </w14:solidFill>
                </w14:textFill>
              </w:rPr>
            </w:pPr>
            <w:r>
              <w:rPr>
                <w:color w:val="000000" w:themeColor="text1"/>
                <w14:textFill>
                  <w14:solidFill>
                    <w14:schemeClr w14:val="tx1"/>
                  </w14:solidFill>
                </w14:textFill>
              </w:rPr>
              <w:t>0.26</w:t>
            </w:r>
          </w:p>
        </w:tc>
        <w:tc>
          <w:tcPr>
            <w:tcW w:w="580" w:type="pct"/>
            <w:shd w:val="clear" w:color="auto" w:fill="auto"/>
            <w:vAlign w:val="center"/>
          </w:tcPr>
          <w:p w14:paraId="53BCF701">
            <w:pPr>
              <w:pStyle w:val="28"/>
              <w:rPr>
                <w:color w:val="000000" w:themeColor="text1"/>
                <w14:textFill>
                  <w14:solidFill>
                    <w14:schemeClr w14:val="tx1"/>
                  </w14:solidFill>
                </w14:textFill>
              </w:rPr>
            </w:pPr>
            <w:r>
              <w:rPr>
                <w:color w:val="000000" w:themeColor="text1"/>
                <w14:textFill>
                  <w14:solidFill>
                    <w14:schemeClr w14:val="tx1"/>
                  </w14:solidFill>
                </w14:textFill>
              </w:rPr>
              <w:t>0.0491</w:t>
            </w:r>
          </w:p>
        </w:tc>
        <w:tc>
          <w:tcPr>
            <w:tcW w:w="432" w:type="pct"/>
            <w:shd w:val="clear" w:color="auto" w:fill="auto"/>
            <w:vAlign w:val="center"/>
          </w:tcPr>
          <w:p w14:paraId="135CCC70">
            <w:pPr>
              <w:pStyle w:val="28"/>
              <w:rPr>
                <w:color w:val="000000" w:themeColor="text1"/>
                <w14:textFill>
                  <w14:solidFill>
                    <w14:schemeClr w14:val="tx1"/>
                  </w14:solidFill>
                </w14:textFill>
              </w:rPr>
            </w:pPr>
            <w:r>
              <w:rPr>
                <w:color w:val="000000" w:themeColor="text1"/>
                <w14:textFill>
                  <w14:solidFill>
                    <w14:schemeClr w14:val="tx1"/>
                  </w14:solidFill>
                </w14:textFill>
              </w:rPr>
              <w:t>0.49</w:t>
            </w:r>
          </w:p>
        </w:tc>
      </w:tr>
      <w:tr w14:paraId="219276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2E80F8E">
            <w:pPr>
              <w:pStyle w:val="28"/>
              <w:rPr>
                <w:color w:val="000000" w:themeColor="text1"/>
                <w14:textFill>
                  <w14:solidFill>
                    <w14:schemeClr w14:val="tx1"/>
                  </w14:solidFill>
                </w14:textFill>
              </w:rPr>
            </w:pPr>
            <w:r>
              <w:rPr>
                <w:color w:val="000000" w:themeColor="text1"/>
                <w14:textFill>
                  <w14:solidFill>
                    <w14:schemeClr w14:val="tx1"/>
                  </w14:solidFill>
                </w14:textFill>
              </w:rPr>
              <w:t>3000.0</w:t>
            </w:r>
          </w:p>
        </w:tc>
        <w:tc>
          <w:tcPr>
            <w:tcW w:w="584" w:type="pct"/>
            <w:shd w:val="clear" w:color="auto" w:fill="auto"/>
            <w:vAlign w:val="center"/>
          </w:tcPr>
          <w:p w14:paraId="5BA99240">
            <w:pPr>
              <w:pStyle w:val="28"/>
              <w:rPr>
                <w:color w:val="000000" w:themeColor="text1"/>
                <w14:textFill>
                  <w14:solidFill>
                    <w14:schemeClr w14:val="tx1"/>
                  </w14:solidFill>
                </w14:textFill>
              </w:rPr>
            </w:pPr>
            <w:r>
              <w:rPr>
                <w:color w:val="000000" w:themeColor="text1"/>
                <w14:textFill>
                  <w14:solidFill>
                    <w14:schemeClr w14:val="tx1"/>
                  </w14:solidFill>
                </w14:textFill>
              </w:rPr>
              <w:t>1.2933</w:t>
            </w:r>
          </w:p>
        </w:tc>
        <w:tc>
          <w:tcPr>
            <w:tcW w:w="492" w:type="pct"/>
            <w:shd w:val="clear" w:color="auto" w:fill="auto"/>
            <w:vAlign w:val="center"/>
          </w:tcPr>
          <w:p w14:paraId="135C8F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0.36</w:t>
            </w:r>
          </w:p>
        </w:tc>
        <w:tc>
          <w:tcPr>
            <w:tcW w:w="580" w:type="pct"/>
            <w:shd w:val="clear" w:color="auto" w:fill="auto"/>
            <w:vAlign w:val="center"/>
          </w:tcPr>
          <w:p w14:paraId="60E790A0">
            <w:pPr>
              <w:pStyle w:val="28"/>
              <w:rPr>
                <w:color w:val="000000" w:themeColor="text1"/>
                <w14:textFill>
                  <w14:solidFill>
                    <w14:schemeClr w14:val="tx1"/>
                  </w14:solidFill>
                </w14:textFill>
              </w:rPr>
            </w:pPr>
            <w:r>
              <w:rPr>
                <w:color w:val="000000" w:themeColor="text1"/>
                <w14:textFill>
                  <w14:solidFill>
                    <w14:schemeClr w14:val="tx1"/>
                  </w14:solidFill>
                </w14:textFill>
              </w:rPr>
              <w:t>0.0143</w:t>
            </w:r>
          </w:p>
        </w:tc>
        <w:tc>
          <w:tcPr>
            <w:tcW w:w="485" w:type="pct"/>
            <w:shd w:val="clear" w:color="auto" w:fill="auto"/>
            <w:vAlign w:val="center"/>
          </w:tcPr>
          <w:p w14:paraId="2EA433DA">
            <w:pPr>
              <w:pStyle w:val="28"/>
              <w:rPr>
                <w:color w:val="000000" w:themeColor="text1"/>
                <w14:textFill>
                  <w14:solidFill>
                    <w14:schemeClr w14:val="tx1"/>
                  </w14:solidFill>
                </w14:textFill>
              </w:rPr>
            </w:pPr>
            <w:r>
              <w:rPr>
                <w:color w:val="000000" w:themeColor="text1"/>
                <w14:textFill>
                  <w14:solidFill>
                    <w14:schemeClr w14:val="tx1"/>
                  </w14:solidFill>
                </w14:textFill>
              </w:rPr>
              <w:t>0.14</w:t>
            </w:r>
          </w:p>
        </w:tc>
        <w:tc>
          <w:tcPr>
            <w:tcW w:w="601" w:type="pct"/>
            <w:shd w:val="clear" w:color="auto" w:fill="auto"/>
            <w:vAlign w:val="center"/>
          </w:tcPr>
          <w:p w14:paraId="6C65F0FC">
            <w:pPr>
              <w:pStyle w:val="28"/>
              <w:rPr>
                <w:color w:val="000000" w:themeColor="text1"/>
                <w14:textFill>
                  <w14:solidFill>
                    <w14:schemeClr w14:val="tx1"/>
                  </w14:solidFill>
                </w14:textFill>
              </w:rPr>
            </w:pPr>
            <w:r>
              <w:rPr>
                <w:color w:val="000000" w:themeColor="text1"/>
                <w14:textFill>
                  <w14:solidFill>
                    <w14:schemeClr w14:val="tx1"/>
                  </w14:solidFill>
                </w14:textFill>
              </w:rPr>
              <w:t>2.8581</w:t>
            </w:r>
          </w:p>
        </w:tc>
        <w:tc>
          <w:tcPr>
            <w:tcW w:w="566" w:type="pct"/>
            <w:shd w:val="clear" w:color="auto" w:fill="auto"/>
            <w:vAlign w:val="center"/>
          </w:tcPr>
          <w:p w14:paraId="1DDAD5A1">
            <w:pPr>
              <w:pStyle w:val="28"/>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580" w:type="pct"/>
            <w:shd w:val="clear" w:color="auto" w:fill="auto"/>
            <w:vAlign w:val="center"/>
          </w:tcPr>
          <w:p w14:paraId="6F42527C">
            <w:pPr>
              <w:pStyle w:val="28"/>
              <w:rPr>
                <w:color w:val="000000" w:themeColor="text1"/>
                <w14:textFill>
                  <w14:solidFill>
                    <w14:schemeClr w14:val="tx1"/>
                  </w14:solidFill>
                </w14:textFill>
              </w:rPr>
            </w:pPr>
            <w:r>
              <w:rPr>
                <w:color w:val="000000" w:themeColor="text1"/>
                <w14:textFill>
                  <w14:solidFill>
                    <w14:schemeClr w14:val="tx1"/>
                  </w14:solidFill>
                </w14:textFill>
              </w:rPr>
              <w:t>0.0397</w:t>
            </w:r>
          </w:p>
        </w:tc>
        <w:tc>
          <w:tcPr>
            <w:tcW w:w="432" w:type="pct"/>
            <w:shd w:val="clear" w:color="auto" w:fill="auto"/>
            <w:vAlign w:val="center"/>
          </w:tcPr>
          <w:p w14:paraId="5E634672">
            <w:pPr>
              <w:pStyle w:val="28"/>
              <w:rPr>
                <w:color w:val="000000" w:themeColor="text1"/>
                <w14:textFill>
                  <w14:solidFill>
                    <w14:schemeClr w14:val="tx1"/>
                  </w14:solidFill>
                </w14:textFill>
              </w:rPr>
            </w:pPr>
            <w:r>
              <w:rPr>
                <w:color w:val="000000" w:themeColor="text1"/>
                <w14:textFill>
                  <w14:solidFill>
                    <w14:schemeClr w14:val="tx1"/>
                  </w14:solidFill>
                </w14:textFill>
              </w:rPr>
              <w:t>0.40</w:t>
            </w:r>
          </w:p>
        </w:tc>
      </w:tr>
      <w:tr w14:paraId="7946D1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0AE1AC51">
            <w:pPr>
              <w:pStyle w:val="28"/>
              <w:rPr>
                <w:color w:val="000000" w:themeColor="text1"/>
                <w14:textFill>
                  <w14:solidFill>
                    <w14:schemeClr w14:val="tx1"/>
                  </w14:solidFill>
                </w14:textFill>
              </w:rPr>
            </w:pPr>
            <w:r>
              <w:rPr>
                <w:color w:val="000000" w:themeColor="text1"/>
                <w14:textFill>
                  <w14:solidFill>
                    <w14:schemeClr w14:val="tx1"/>
                  </w14:solidFill>
                </w14:textFill>
              </w:rPr>
              <w:t>3500.0</w:t>
            </w:r>
          </w:p>
        </w:tc>
        <w:tc>
          <w:tcPr>
            <w:tcW w:w="584" w:type="pct"/>
            <w:shd w:val="clear" w:color="auto" w:fill="auto"/>
            <w:vAlign w:val="center"/>
          </w:tcPr>
          <w:p w14:paraId="0E9C64BD">
            <w:pPr>
              <w:pStyle w:val="28"/>
              <w:rPr>
                <w:color w:val="000000" w:themeColor="text1"/>
                <w14:textFill>
                  <w14:solidFill>
                    <w14:schemeClr w14:val="tx1"/>
                  </w14:solidFill>
                </w14:textFill>
              </w:rPr>
            </w:pPr>
            <w:r>
              <w:rPr>
                <w:color w:val="000000" w:themeColor="text1"/>
                <w14:textFill>
                  <w14:solidFill>
                    <w14:schemeClr w14:val="tx1"/>
                  </w14:solidFill>
                </w14:textFill>
              </w:rPr>
              <w:t>0.6041</w:t>
            </w:r>
          </w:p>
        </w:tc>
        <w:tc>
          <w:tcPr>
            <w:tcW w:w="492" w:type="pct"/>
            <w:shd w:val="clear" w:color="auto" w:fill="auto"/>
            <w:vAlign w:val="center"/>
          </w:tcPr>
          <w:p w14:paraId="20D15A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0.17</w:t>
            </w:r>
          </w:p>
        </w:tc>
        <w:tc>
          <w:tcPr>
            <w:tcW w:w="580" w:type="pct"/>
            <w:shd w:val="clear" w:color="auto" w:fill="auto"/>
            <w:vAlign w:val="center"/>
          </w:tcPr>
          <w:p w14:paraId="1A95A13A">
            <w:pPr>
              <w:pStyle w:val="28"/>
              <w:rPr>
                <w:color w:val="000000" w:themeColor="text1"/>
                <w14:textFill>
                  <w14:solidFill>
                    <w14:schemeClr w14:val="tx1"/>
                  </w14:solidFill>
                </w14:textFill>
              </w:rPr>
            </w:pPr>
            <w:r>
              <w:rPr>
                <w:color w:val="000000" w:themeColor="text1"/>
                <w14:textFill>
                  <w14:solidFill>
                    <w14:schemeClr w14:val="tx1"/>
                  </w14:solidFill>
                </w14:textFill>
              </w:rPr>
              <w:t>0.0067</w:t>
            </w:r>
          </w:p>
        </w:tc>
        <w:tc>
          <w:tcPr>
            <w:tcW w:w="485" w:type="pct"/>
            <w:shd w:val="clear" w:color="auto" w:fill="auto"/>
            <w:vAlign w:val="center"/>
          </w:tcPr>
          <w:p w14:paraId="7956E25E">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601" w:type="pct"/>
            <w:shd w:val="clear" w:color="auto" w:fill="auto"/>
            <w:vAlign w:val="center"/>
          </w:tcPr>
          <w:p w14:paraId="1537281D">
            <w:pPr>
              <w:pStyle w:val="28"/>
              <w:rPr>
                <w:color w:val="000000" w:themeColor="text1"/>
                <w14:textFill>
                  <w14:solidFill>
                    <w14:schemeClr w14:val="tx1"/>
                  </w14:solidFill>
                </w14:textFill>
              </w:rPr>
            </w:pPr>
            <w:r>
              <w:rPr>
                <w:color w:val="000000" w:themeColor="text1"/>
                <w14:textFill>
                  <w14:solidFill>
                    <w14:schemeClr w14:val="tx1"/>
                  </w14:solidFill>
                </w14:textFill>
              </w:rPr>
              <w:t>1.3351</w:t>
            </w:r>
          </w:p>
        </w:tc>
        <w:tc>
          <w:tcPr>
            <w:tcW w:w="566" w:type="pct"/>
            <w:shd w:val="clear" w:color="auto" w:fill="auto"/>
            <w:vAlign w:val="center"/>
          </w:tcPr>
          <w:p w14:paraId="000A8CAC">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580" w:type="pct"/>
            <w:shd w:val="clear" w:color="auto" w:fill="auto"/>
            <w:vAlign w:val="center"/>
          </w:tcPr>
          <w:p w14:paraId="2FC35570">
            <w:pPr>
              <w:pStyle w:val="2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432" w:type="pct"/>
            <w:shd w:val="clear" w:color="auto" w:fill="auto"/>
            <w:vAlign w:val="center"/>
          </w:tcPr>
          <w:p w14:paraId="73B170F1">
            <w:pPr>
              <w:pStyle w:val="28"/>
              <w:rPr>
                <w:color w:val="000000" w:themeColor="text1"/>
                <w14:textFill>
                  <w14:solidFill>
                    <w14:schemeClr w14:val="tx1"/>
                  </w14:solidFill>
                </w14:textFill>
              </w:rPr>
            </w:pPr>
            <w:r>
              <w:rPr>
                <w:color w:val="000000" w:themeColor="text1"/>
                <w14:textFill>
                  <w14:solidFill>
                    <w14:schemeClr w14:val="tx1"/>
                  </w14:solidFill>
                </w14:textFill>
              </w:rPr>
              <w:t>0.33</w:t>
            </w:r>
          </w:p>
        </w:tc>
      </w:tr>
      <w:tr w14:paraId="0AC4D1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2CDD1073">
            <w:pPr>
              <w:pStyle w:val="28"/>
              <w:rPr>
                <w:color w:val="000000" w:themeColor="text1"/>
                <w14:textFill>
                  <w14:solidFill>
                    <w14:schemeClr w14:val="tx1"/>
                  </w14:solidFill>
                </w14:textFill>
              </w:rPr>
            </w:pPr>
            <w:r>
              <w:rPr>
                <w:color w:val="000000" w:themeColor="text1"/>
                <w14:textFill>
                  <w14:solidFill>
                    <w14:schemeClr w14:val="tx1"/>
                  </w14:solidFill>
                </w14:textFill>
              </w:rPr>
              <w:t>4000.0</w:t>
            </w:r>
          </w:p>
        </w:tc>
        <w:tc>
          <w:tcPr>
            <w:tcW w:w="584" w:type="pct"/>
            <w:shd w:val="clear" w:color="auto" w:fill="auto"/>
            <w:vAlign w:val="center"/>
          </w:tcPr>
          <w:p w14:paraId="37CCDB21">
            <w:pPr>
              <w:pStyle w:val="28"/>
              <w:rPr>
                <w:color w:val="000000" w:themeColor="text1"/>
                <w14:textFill>
                  <w14:solidFill>
                    <w14:schemeClr w14:val="tx1"/>
                  </w14:solidFill>
                </w14:textFill>
              </w:rPr>
            </w:pPr>
            <w:r>
              <w:rPr>
                <w:color w:val="000000" w:themeColor="text1"/>
                <w14:textFill>
                  <w14:solidFill>
                    <w14:schemeClr w14:val="tx1"/>
                  </w14:solidFill>
                </w14:textFill>
              </w:rPr>
              <w:t>0.7924</w:t>
            </w:r>
          </w:p>
        </w:tc>
        <w:tc>
          <w:tcPr>
            <w:tcW w:w="492" w:type="pct"/>
            <w:shd w:val="clear" w:color="auto" w:fill="auto"/>
            <w:vAlign w:val="center"/>
          </w:tcPr>
          <w:p w14:paraId="48FF42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0.22</w:t>
            </w:r>
          </w:p>
        </w:tc>
        <w:tc>
          <w:tcPr>
            <w:tcW w:w="580" w:type="pct"/>
            <w:shd w:val="clear" w:color="auto" w:fill="auto"/>
            <w:vAlign w:val="center"/>
          </w:tcPr>
          <w:p w14:paraId="039A933D">
            <w:pPr>
              <w:pStyle w:val="28"/>
              <w:rPr>
                <w:color w:val="000000" w:themeColor="text1"/>
                <w14:textFill>
                  <w14:solidFill>
                    <w14:schemeClr w14:val="tx1"/>
                  </w14:solidFill>
                </w14:textFill>
              </w:rPr>
            </w:pPr>
            <w:r>
              <w:rPr>
                <w:color w:val="000000" w:themeColor="text1"/>
                <w14:textFill>
                  <w14:solidFill>
                    <w14:schemeClr w14:val="tx1"/>
                  </w14:solidFill>
                </w14:textFill>
              </w:rPr>
              <w:t>0.0088</w:t>
            </w:r>
          </w:p>
        </w:tc>
        <w:tc>
          <w:tcPr>
            <w:tcW w:w="485" w:type="pct"/>
            <w:shd w:val="clear" w:color="auto" w:fill="auto"/>
            <w:vAlign w:val="center"/>
          </w:tcPr>
          <w:p w14:paraId="5C0F4B4C">
            <w:pPr>
              <w:pStyle w:val="28"/>
              <w:rPr>
                <w:color w:val="000000" w:themeColor="text1"/>
                <w14:textFill>
                  <w14:solidFill>
                    <w14:schemeClr w14:val="tx1"/>
                  </w14:solidFill>
                </w14:textFill>
              </w:rPr>
            </w:pPr>
            <w:r>
              <w:rPr>
                <w:color w:val="000000" w:themeColor="text1"/>
                <w14:textFill>
                  <w14:solidFill>
                    <w14:schemeClr w14:val="tx1"/>
                  </w14:solidFill>
                </w14:textFill>
              </w:rPr>
              <w:t>0.09</w:t>
            </w:r>
          </w:p>
        </w:tc>
        <w:tc>
          <w:tcPr>
            <w:tcW w:w="601" w:type="pct"/>
            <w:shd w:val="clear" w:color="auto" w:fill="auto"/>
            <w:vAlign w:val="center"/>
          </w:tcPr>
          <w:p w14:paraId="51C88F08">
            <w:pPr>
              <w:pStyle w:val="28"/>
              <w:rPr>
                <w:color w:val="000000" w:themeColor="text1"/>
                <w14:textFill>
                  <w14:solidFill>
                    <w14:schemeClr w14:val="tx1"/>
                  </w14:solidFill>
                </w14:textFill>
              </w:rPr>
            </w:pPr>
            <w:r>
              <w:rPr>
                <w:color w:val="000000" w:themeColor="text1"/>
                <w14:textFill>
                  <w14:solidFill>
                    <w14:schemeClr w14:val="tx1"/>
                  </w14:solidFill>
                </w14:textFill>
              </w:rPr>
              <w:t>1.7513</w:t>
            </w:r>
          </w:p>
        </w:tc>
        <w:tc>
          <w:tcPr>
            <w:tcW w:w="566" w:type="pct"/>
            <w:shd w:val="clear" w:color="auto" w:fill="auto"/>
            <w:vAlign w:val="center"/>
          </w:tcPr>
          <w:p w14:paraId="1623F961">
            <w:pPr>
              <w:pStyle w:val="28"/>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580" w:type="pct"/>
            <w:shd w:val="clear" w:color="auto" w:fill="auto"/>
            <w:vAlign w:val="center"/>
          </w:tcPr>
          <w:p w14:paraId="7D22BF0C">
            <w:pPr>
              <w:pStyle w:val="28"/>
              <w:rPr>
                <w:color w:val="000000" w:themeColor="text1"/>
                <w14:textFill>
                  <w14:solidFill>
                    <w14:schemeClr w14:val="tx1"/>
                  </w14:solidFill>
                </w14:textFill>
              </w:rPr>
            </w:pPr>
            <w:r>
              <w:rPr>
                <w:color w:val="000000" w:themeColor="text1"/>
                <w14:textFill>
                  <w14:solidFill>
                    <w14:schemeClr w14:val="tx1"/>
                  </w14:solidFill>
                </w14:textFill>
              </w:rPr>
              <w:t>0.0317</w:t>
            </w:r>
          </w:p>
        </w:tc>
        <w:tc>
          <w:tcPr>
            <w:tcW w:w="432" w:type="pct"/>
            <w:shd w:val="clear" w:color="auto" w:fill="auto"/>
            <w:vAlign w:val="center"/>
          </w:tcPr>
          <w:p w14:paraId="39083422">
            <w:pPr>
              <w:pStyle w:val="28"/>
              <w:rPr>
                <w:color w:val="000000" w:themeColor="text1"/>
                <w14:textFill>
                  <w14:solidFill>
                    <w14:schemeClr w14:val="tx1"/>
                  </w14:solidFill>
                </w14:textFill>
              </w:rPr>
            </w:pPr>
            <w:r>
              <w:rPr>
                <w:color w:val="000000" w:themeColor="text1"/>
                <w14:textFill>
                  <w14:solidFill>
                    <w14:schemeClr w14:val="tx1"/>
                  </w14:solidFill>
                </w14:textFill>
              </w:rPr>
              <w:t>0.32</w:t>
            </w:r>
          </w:p>
        </w:tc>
      </w:tr>
      <w:tr w14:paraId="6926E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3B967044">
            <w:pPr>
              <w:pStyle w:val="28"/>
              <w:rPr>
                <w:color w:val="000000" w:themeColor="text1"/>
                <w14:textFill>
                  <w14:solidFill>
                    <w14:schemeClr w14:val="tx1"/>
                  </w14:solidFill>
                </w14:textFill>
              </w:rPr>
            </w:pPr>
            <w:r>
              <w:rPr>
                <w:color w:val="000000" w:themeColor="text1"/>
                <w14:textFill>
                  <w14:solidFill>
                    <w14:schemeClr w14:val="tx1"/>
                  </w14:solidFill>
                </w14:textFill>
              </w:rPr>
              <w:t>4500.0</w:t>
            </w:r>
          </w:p>
        </w:tc>
        <w:tc>
          <w:tcPr>
            <w:tcW w:w="584" w:type="pct"/>
            <w:shd w:val="clear" w:color="auto" w:fill="auto"/>
            <w:vAlign w:val="center"/>
          </w:tcPr>
          <w:p w14:paraId="155DC5C9">
            <w:pPr>
              <w:pStyle w:val="28"/>
              <w:rPr>
                <w:color w:val="000000" w:themeColor="text1"/>
                <w14:textFill>
                  <w14:solidFill>
                    <w14:schemeClr w14:val="tx1"/>
                  </w14:solidFill>
                </w14:textFill>
              </w:rPr>
            </w:pPr>
            <w:r>
              <w:rPr>
                <w:color w:val="000000" w:themeColor="text1"/>
                <w14:textFill>
                  <w14:solidFill>
                    <w14:schemeClr w14:val="tx1"/>
                  </w14:solidFill>
                </w14:textFill>
              </w:rPr>
              <w:t>0.4051</w:t>
            </w:r>
          </w:p>
        </w:tc>
        <w:tc>
          <w:tcPr>
            <w:tcW w:w="492" w:type="pct"/>
            <w:shd w:val="clear" w:color="auto" w:fill="auto"/>
            <w:vAlign w:val="center"/>
          </w:tcPr>
          <w:p w14:paraId="497964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0.11</w:t>
            </w:r>
          </w:p>
        </w:tc>
        <w:tc>
          <w:tcPr>
            <w:tcW w:w="580" w:type="pct"/>
            <w:shd w:val="clear" w:color="auto" w:fill="auto"/>
            <w:vAlign w:val="center"/>
          </w:tcPr>
          <w:p w14:paraId="511BAE9C">
            <w:pPr>
              <w:pStyle w:val="28"/>
              <w:rPr>
                <w:color w:val="000000" w:themeColor="text1"/>
                <w14:textFill>
                  <w14:solidFill>
                    <w14:schemeClr w14:val="tx1"/>
                  </w14:solidFill>
                </w14:textFill>
              </w:rPr>
            </w:pPr>
            <w:r>
              <w:rPr>
                <w:color w:val="000000" w:themeColor="text1"/>
                <w14:textFill>
                  <w14:solidFill>
                    <w14:schemeClr w14:val="tx1"/>
                  </w14:solidFill>
                </w14:textFill>
              </w:rPr>
              <w:t>0.0045</w:t>
            </w:r>
          </w:p>
        </w:tc>
        <w:tc>
          <w:tcPr>
            <w:tcW w:w="485" w:type="pct"/>
            <w:shd w:val="clear" w:color="auto" w:fill="auto"/>
            <w:vAlign w:val="center"/>
          </w:tcPr>
          <w:p w14:paraId="2E0676BB">
            <w:pPr>
              <w:pStyle w:val="2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601" w:type="pct"/>
            <w:shd w:val="clear" w:color="auto" w:fill="auto"/>
            <w:vAlign w:val="center"/>
          </w:tcPr>
          <w:p w14:paraId="4905B887">
            <w:pPr>
              <w:pStyle w:val="28"/>
              <w:rPr>
                <w:color w:val="000000" w:themeColor="text1"/>
                <w14:textFill>
                  <w14:solidFill>
                    <w14:schemeClr w14:val="tx1"/>
                  </w14:solidFill>
                </w14:textFill>
              </w:rPr>
            </w:pPr>
            <w:r>
              <w:rPr>
                <w:color w:val="000000" w:themeColor="text1"/>
                <w14:textFill>
                  <w14:solidFill>
                    <w14:schemeClr w14:val="tx1"/>
                  </w14:solidFill>
                </w14:textFill>
              </w:rPr>
              <w:t>0.8952</w:t>
            </w:r>
          </w:p>
        </w:tc>
        <w:tc>
          <w:tcPr>
            <w:tcW w:w="566" w:type="pct"/>
            <w:shd w:val="clear" w:color="auto" w:fill="auto"/>
            <w:vAlign w:val="center"/>
          </w:tcPr>
          <w:p w14:paraId="7B84EFA7">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580" w:type="pct"/>
            <w:shd w:val="clear" w:color="auto" w:fill="auto"/>
            <w:vAlign w:val="center"/>
          </w:tcPr>
          <w:p w14:paraId="35EAC6FD">
            <w:pPr>
              <w:pStyle w:val="28"/>
              <w:rPr>
                <w:color w:val="000000" w:themeColor="text1"/>
                <w14:textFill>
                  <w14:solidFill>
                    <w14:schemeClr w14:val="tx1"/>
                  </w14:solidFill>
                </w14:textFill>
              </w:rPr>
            </w:pPr>
            <w:r>
              <w:rPr>
                <w:color w:val="000000" w:themeColor="text1"/>
                <w14:textFill>
                  <w14:solidFill>
                    <w14:schemeClr w14:val="tx1"/>
                  </w14:solidFill>
                </w14:textFill>
              </w:rPr>
              <w:t>0.0281</w:t>
            </w:r>
          </w:p>
        </w:tc>
        <w:tc>
          <w:tcPr>
            <w:tcW w:w="432" w:type="pct"/>
            <w:shd w:val="clear" w:color="auto" w:fill="auto"/>
            <w:vAlign w:val="center"/>
          </w:tcPr>
          <w:p w14:paraId="0AE0B25A">
            <w:pPr>
              <w:pStyle w:val="28"/>
              <w:rPr>
                <w:color w:val="000000" w:themeColor="text1"/>
                <w14:textFill>
                  <w14:solidFill>
                    <w14:schemeClr w14:val="tx1"/>
                  </w14:solidFill>
                </w14:textFill>
              </w:rPr>
            </w:pPr>
            <w:r>
              <w:rPr>
                <w:color w:val="000000" w:themeColor="text1"/>
                <w14:textFill>
                  <w14:solidFill>
                    <w14:schemeClr w14:val="tx1"/>
                  </w14:solidFill>
                </w14:textFill>
              </w:rPr>
              <w:t>0.28</w:t>
            </w:r>
          </w:p>
        </w:tc>
      </w:tr>
      <w:tr w14:paraId="32764E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13EE2BC1">
            <w:pPr>
              <w:pStyle w:val="28"/>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584" w:type="pct"/>
            <w:shd w:val="clear" w:color="auto" w:fill="auto"/>
            <w:vAlign w:val="center"/>
          </w:tcPr>
          <w:p w14:paraId="331135F9">
            <w:pPr>
              <w:pStyle w:val="28"/>
              <w:rPr>
                <w:color w:val="000000" w:themeColor="text1"/>
                <w14:textFill>
                  <w14:solidFill>
                    <w14:schemeClr w14:val="tx1"/>
                  </w14:solidFill>
                </w14:textFill>
              </w:rPr>
            </w:pPr>
            <w:r>
              <w:rPr>
                <w:color w:val="000000" w:themeColor="text1"/>
                <w14:textFill>
                  <w14:solidFill>
                    <w14:schemeClr w14:val="tx1"/>
                  </w14:solidFill>
                </w14:textFill>
              </w:rPr>
              <w:t>0.6008</w:t>
            </w:r>
          </w:p>
        </w:tc>
        <w:tc>
          <w:tcPr>
            <w:tcW w:w="492" w:type="pct"/>
            <w:shd w:val="clear" w:color="auto" w:fill="auto"/>
            <w:vAlign w:val="center"/>
          </w:tcPr>
          <w:p w14:paraId="365067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0.17</w:t>
            </w:r>
          </w:p>
        </w:tc>
        <w:tc>
          <w:tcPr>
            <w:tcW w:w="580" w:type="pct"/>
            <w:shd w:val="clear" w:color="auto" w:fill="auto"/>
            <w:vAlign w:val="center"/>
          </w:tcPr>
          <w:p w14:paraId="459B9B02">
            <w:pPr>
              <w:pStyle w:val="28"/>
              <w:rPr>
                <w:color w:val="000000" w:themeColor="text1"/>
                <w14:textFill>
                  <w14:solidFill>
                    <w14:schemeClr w14:val="tx1"/>
                  </w14:solidFill>
                </w14:textFill>
              </w:rPr>
            </w:pPr>
            <w:r>
              <w:rPr>
                <w:color w:val="000000" w:themeColor="text1"/>
                <w14:textFill>
                  <w14:solidFill>
                    <w14:schemeClr w14:val="tx1"/>
                  </w14:solidFill>
                </w14:textFill>
              </w:rPr>
              <w:t>0.0066</w:t>
            </w:r>
          </w:p>
        </w:tc>
        <w:tc>
          <w:tcPr>
            <w:tcW w:w="485" w:type="pct"/>
            <w:shd w:val="clear" w:color="auto" w:fill="auto"/>
            <w:vAlign w:val="center"/>
          </w:tcPr>
          <w:p w14:paraId="7D96653A">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601" w:type="pct"/>
            <w:shd w:val="clear" w:color="auto" w:fill="auto"/>
            <w:vAlign w:val="center"/>
          </w:tcPr>
          <w:p w14:paraId="0DB6698B">
            <w:pPr>
              <w:pStyle w:val="28"/>
              <w:rPr>
                <w:color w:val="000000" w:themeColor="text1"/>
                <w14:textFill>
                  <w14:solidFill>
                    <w14:schemeClr w14:val="tx1"/>
                  </w14:solidFill>
                </w14:textFill>
              </w:rPr>
            </w:pPr>
            <w:r>
              <w:rPr>
                <w:color w:val="000000" w:themeColor="text1"/>
                <w14:textFill>
                  <w14:solidFill>
                    <w14:schemeClr w14:val="tx1"/>
                  </w14:solidFill>
                </w14:textFill>
              </w:rPr>
              <w:t>1.3277</w:t>
            </w:r>
          </w:p>
        </w:tc>
        <w:tc>
          <w:tcPr>
            <w:tcW w:w="566" w:type="pct"/>
            <w:shd w:val="clear" w:color="auto" w:fill="auto"/>
            <w:vAlign w:val="center"/>
          </w:tcPr>
          <w:p w14:paraId="29FBBC8F">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580" w:type="pct"/>
            <w:shd w:val="clear" w:color="auto" w:fill="auto"/>
            <w:vAlign w:val="center"/>
          </w:tcPr>
          <w:p w14:paraId="397D833B">
            <w:pPr>
              <w:pStyle w:val="28"/>
              <w:rPr>
                <w:color w:val="000000" w:themeColor="text1"/>
                <w14:textFill>
                  <w14:solidFill>
                    <w14:schemeClr w14:val="tx1"/>
                  </w14:solidFill>
                </w14:textFill>
              </w:rPr>
            </w:pPr>
            <w:r>
              <w:rPr>
                <w:color w:val="000000" w:themeColor="text1"/>
                <w14:textFill>
                  <w14:solidFill>
                    <w14:schemeClr w14:val="tx1"/>
                  </w14:solidFill>
                </w14:textFill>
              </w:rPr>
              <w:t>0.0280</w:t>
            </w:r>
          </w:p>
        </w:tc>
        <w:tc>
          <w:tcPr>
            <w:tcW w:w="432" w:type="pct"/>
            <w:shd w:val="clear" w:color="auto" w:fill="auto"/>
            <w:vAlign w:val="center"/>
          </w:tcPr>
          <w:p w14:paraId="1F203AA3">
            <w:pPr>
              <w:pStyle w:val="28"/>
              <w:rPr>
                <w:color w:val="000000" w:themeColor="text1"/>
                <w14:textFill>
                  <w14:solidFill>
                    <w14:schemeClr w14:val="tx1"/>
                  </w14:solidFill>
                </w14:textFill>
              </w:rPr>
            </w:pPr>
            <w:r>
              <w:rPr>
                <w:color w:val="000000" w:themeColor="text1"/>
                <w14:textFill>
                  <w14:solidFill>
                    <w14:schemeClr w14:val="tx1"/>
                  </w14:solidFill>
                </w14:textFill>
              </w:rPr>
              <w:t>0.28</w:t>
            </w:r>
          </w:p>
        </w:tc>
      </w:tr>
      <w:tr w14:paraId="154421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FB3B1BB">
            <w:pPr>
              <w:pStyle w:val="28"/>
              <w:rPr>
                <w:color w:val="000000" w:themeColor="text1"/>
                <w14:textFill>
                  <w14:solidFill>
                    <w14:schemeClr w14:val="tx1"/>
                  </w14:solidFill>
                </w14:textFill>
              </w:rPr>
            </w:pPr>
            <w:r>
              <w:rPr>
                <w:color w:val="000000" w:themeColor="text1"/>
                <w14:textFill>
                  <w14:solidFill>
                    <w14:schemeClr w14:val="tx1"/>
                  </w14:solidFill>
                </w14:textFill>
              </w:rPr>
              <w:t>10000.0</w:t>
            </w:r>
          </w:p>
        </w:tc>
        <w:tc>
          <w:tcPr>
            <w:tcW w:w="584" w:type="pct"/>
            <w:shd w:val="clear" w:color="auto" w:fill="auto"/>
            <w:vAlign w:val="center"/>
          </w:tcPr>
          <w:p w14:paraId="2BB65011">
            <w:pPr>
              <w:pStyle w:val="28"/>
              <w:rPr>
                <w:color w:val="000000" w:themeColor="text1"/>
                <w14:textFill>
                  <w14:solidFill>
                    <w14:schemeClr w14:val="tx1"/>
                  </w14:solidFill>
                </w14:textFill>
              </w:rPr>
            </w:pPr>
            <w:r>
              <w:rPr>
                <w:color w:val="000000" w:themeColor="text1"/>
                <w14:textFill>
                  <w14:solidFill>
                    <w14:schemeClr w14:val="tx1"/>
                  </w14:solidFill>
                </w14:textFill>
              </w:rPr>
              <w:t>0.2480</w:t>
            </w:r>
          </w:p>
        </w:tc>
        <w:tc>
          <w:tcPr>
            <w:tcW w:w="492" w:type="pct"/>
            <w:shd w:val="clear" w:color="auto" w:fill="auto"/>
            <w:vAlign w:val="center"/>
          </w:tcPr>
          <w:p w14:paraId="0C2A5C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0.07</w:t>
            </w:r>
          </w:p>
        </w:tc>
        <w:tc>
          <w:tcPr>
            <w:tcW w:w="580" w:type="pct"/>
            <w:shd w:val="clear" w:color="auto" w:fill="auto"/>
            <w:vAlign w:val="center"/>
          </w:tcPr>
          <w:p w14:paraId="50387494">
            <w:pPr>
              <w:pStyle w:val="28"/>
              <w:rPr>
                <w:color w:val="000000" w:themeColor="text1"/>
                <w14:textFill>
                  <w14:solidFill>
                    <w14:schemeClr w14:val="tx1"/>
                  </w14:solidFill>
                </w14:textFill>
              </w:rPr>
            </w:pPr>
            <w:r>
              <w:rPr>
                <w:color w:val="000000" w:themeColor="text1"/>
                <w14:textFill>
                  <w14:solidFill>
                    <w14:schemeClr w14:val="tx1"/>
                  </w14:solidFill>
                </w14:textFill>
              </w:rPr>
              <w:t>0.0027</w:t>
            </w:r>
          </w:p>
        </w:tc>
        <w:tc>
          <w:tcPr>
            <w:tcW w:w="485" w:type="pct"/>
            <w:shd w:val="clear" w:color="auto" w:fill="auto"/>
            <w:vAlign w:val="center"/>
          </w:tcPr>
          <w:p w14:paraId="20DD2EC1">
            <w:pPr>
              <w:pStyle w:val="28"/>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601" w:type="pct"/>
            <w:shd w:val="clear" w:color="auto" w:fill="auto"/>
            <w:vAlign w:val="center"/>
          </w:tcPr>
          <w:p w14:paraId="6057658C">
            <w:pPr>
              <w:pStyle w:val="28"/>
              <w:rPr>
                <w:color w:val="000000" w:themeColor="text1"/>
                <w14:textFill>
                  <w14:solidFill>
                    <w14:schemeClr w14:val="tx1"/>
                  </w14:solidFill>
                </w14:textFill>
              </w:rPr>
            </w:pPr>
            <w:r>
              <w:rPr>
                <w:color w:val="000000" w:themeColor="text1"/>
                <w14:textFill>
                  <w14:solidFill>
                    <w14:schemeClr w14:val="tx1"/>
                  </w14:solidFill>
                </w14:textFill>
              </w:rPr>
              <w:t>0.5481</w:t>
            </w:r>
          </w:p>
        </w:tc>
        <w:tc>
          <w:tcPr>
            <w:tcW w:w="566" w:type="pct"/>
            <w:shd w:val="clear" w:color="auto" w:fill="auto"/>
            <w:vAlign w:val="center"/>
          </w:tcPr>
          <w:p w14:paraId="13DF97FC">
            <w:pPr>
              <w:pStyle w:val="2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580" w:type="pct"/>
            <w:shd w:val="clear" w:color="auto" w:fill="auto"/>
            <w:vAlign w:val="center"/>
          </w:tcPr>
          <w:p w14:paraId="03D65626">
            <w:pPr>
              <w:pStyle w:val="28"/>
              <w:rPr>
                <w:color w:val="000000" w:themeColor="text1"/>
                <w14:textFill>
                  <w14:solidFill>
                    <w14:schemeClr w14:val="tx1"/>
                  </w14:solidFill>
                </w14:textFill>
              </w:rPr>
            </w:pPr>
            <w:r>
              <w:rPr>
                <w:color w:val="000000" w:themeColor="text1"/>
                <w14:textFill>
                  <w14:solidFill>
                    <w14:schemeClr w14:val="tx1"/>
                  </w14:solidFill>
                </w14:textFill>
              </w:rPr>
              <w:t>0.0141</w:t>
            </w:r>
          </w:p>
        </w:tc>
        <w:tc>
          <w:tcPr>
            <w:tcW w:w="432" w:type="pct"/>
            <w:shd w:val="clear" w:color="auto" w:fill="auto"/>
            <w:vAlign w:val="center"/>
          </w:tcPr>
          <w:p w14:paraId="50B39ABD">
            <w:pPr>
              <w:pStyle w:val="28"/>
              <w:rPr>
                <w:color w:val="000000" w:themeColor="text1"/>
                <w14:textFill>
                  <w14:solidFill>
                    <w14:schemeClr w14:val="tx1"/>
                  </w14:solidFill>
                </w14:textFill>
              </w:rPr>
            </w:pPr>
            <w:r>
              <w:rPr>
                <w:color w:val="000000" w:themeColor="text1"/>
                <w14:textFill>
                  <w14:solidFill>
                    <w14:schemeClr w14:val="tx1"/>
                  </w14:solidFill>
                </w14:textFill>
              </w:rPr>
              <w:t>0.14</w:t>
            </w:r>
          </w:p>
        </w:tc>
      </w:tr>
      <w:tr w14:paraId="37E5A8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1C8C0DE">
            <w:pPr>
              <w:pStyle w:val="28"/>
              <w:rPr>
                <w:color w:val="000000" w:themeColor="text1"/>
                <w14:textFill>
                  <w14:solidFill>
                    <w14:schemeClr w14:val="tx1"/>
                  </w14:solidFill>
                </w14:textFill>
              </w:rPr>
            </w:pPr>
            <w:r>
              <w:rPr>
                <w:color w:val="000000" w:themeColor="text1"/>
                <w14:textFill>
                  <w14:solidFill>
                    <w14:schemeClr w14:val="tx1"/>
                  </w14:solidFill>
                </w14:textFill>
              </w:rPr>
              <w:t>11000.0</w:t>
            </w:r>
          </w:p>
        </w:tc>
        <w:tc>
          <w:tcPr>
            <w:tcW w:w="584" w:type="pct"/>
            <w:shd w:val="clear" w:color="auto" w:fill="auto"/>
            <w:vAlign w:val="center"/>
          </w:tcPr>
          <w:p w14:paraId="3D9BF4E4">
            <w:pPr>
              <w:pStyle w:val="28"/>
              <w:rPr>
                <w:color w:val="000000" w:themeColor="text1"/>
                <w14:textFill>
                  <w14:solidFill>
                    <w14:schemeClr w14:val="tx1"/>
                  </w14:solidFill>
                </w14:textFill>
              </w:rPr>
            </w:pPr>
            <w:r>
              <w:rPr>
                <w:color w:val="000000" w:themeColor="text1"/>
                <w14:textFill>
                  <w14:solidFill>
                    <w14:schemeClr w14:val="tx1"/>
                  </w14:solidFill>
                </w14:textFill>
              </w:rPr>
              <w:t>0.1479</w:t>
            </w:r>
          </w:p>
        </w:tc>
        <w:tc>
          <w:tcPr>
            <w:tcW w:w="492" w:type="pct"/>
            <w:shd w:val="clear" w:color="auto" w:fill="auto"/>
            <w:vAlign w:val="center"/>
          </w:tcPr>
          <w:p w14:paraId="230EAC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580" w:type="pct"/>
            <w:shd w:val="clear" w:color="auto" w:fill="auto"/>
            <w:vAlign w:val="center"/>
          </w:tcPr>
          <w:p w14:paraId="04FEF312">
            <w:pPr>
              <w:pStyle w:val="28"/>
              <w:rPr>
                <w:color w:val="000000" w:themeColor="text1"/>
                <w14:textFill>
                  <w14:solidFill>
                    <w14:schemeClr w14:val="tx1"/>
                  </w14:solidFill>
                </w14:textFill>
              </w:rPr>
            </w:pPr>
            <w:r>
              <w:rPr>
                <w:color w:val="000000" w:themeColor="text1"/>
                <w14:textFill>
                  <w14:solidFill>
                    <w14:schemeClr w14:val="tx1"/>
                  </w14:solidFill>
                </w14:textFill>
              </w:rPr>
              <w:t>0.0016</w:t>
            </w:r>
          </w:p>
        </w:tc>
        <w:tc>
          <w:tcPr>
            <w:tcW w:w="485" w:type="pct"/>
            <w:shd w:val="clear" w:color="auto" w:fill="auto"/>
            <w:vAlign w:val="center"/>
          </w:tcPr>
          <w:p w14:paraId="43BFBC73">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601" w:type="pct"/>
            <w:shd w:val="clear" w:color="auto" w:fill="auto"/>
            <w:vAlign w:val="center"/>
          </w:tcPr>
          <w:p w14:paraId="2DAD697C">
            <w:pPr>
              <w:pStyle w:val="28"/>
              <w:rPr>
                <w:color w:val="000000" w:themeColor="text1"/>
                <w14:textFill>
                  <w14:solidFill>
                    <w14:schemeClr w14:val="tx1"/>
                  </w14:solidFill>
                </w14:textFill>
              </w:rPr>
            </w:pPr>
            <w:r>
              <w:rPr>
                <w:color w:val="000000" w:themeColor="text1"/>
                <w14:textFill>
                  <w14:solidFill>
                    <w14:schemeClr w14:val="tx1"/>
                  </w14:solidFill>
                </w14:textFill>
              </w:rPr>
              <w:t>0.3268</w:t>
            </w:r>
          </w:p>
        </w:tc>
        <w:tc>
          <w:tcPr>
            <w:tcW w:w="566" w:type="pct"/>
            <w:shd w:val="clear" w:color="auto" w:fill="auto"/>
            <w:vAlign w:val="center"/>
          </w:tcPr>
          <w:p w14:paraId="70B48E7D">
            <w:pPr>
              <w:pStyle w:val="28"/>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580" w:type="pct"/>
            <w:shd w:val="clear" w:color="auto" w:fill="auto"/>
            <w:vAlign w:val="center"/>
          </w:tcPr>
          <w:p w14:paraId="59CB4672">
            <w:pPr>
              <w:pStyle w:val="28"/>
              <w:rPr>
                <w:color w:val="000000" w:themeColor="text1"/>
                <w14:textFill>
                  <w14:solidFill>
                    <w14:schemeClr w14:val="tx1"/>
                  </w14:solidFill>
                </w14:textFill>
              </w:rPr>
            </w:pPr>
            <w:r>
              <w:rPr>
                <w:color w:val="000000" w:themeColor="text1"/>
                <w14:textFill>
                  <w14:solidFill>
                    <w14:schemeClr w14:val="tx1"/>
                  </w14:solidFill>
                </w14:textFill>
              </w:rPr>
              <w:t>0.0112</w:t>
            </w:r>
          </w:p>
        </w:tc>
        <w:tc>
          <w:tcPr>
            <w:tcW w:w="432" w:type="pct"/>
            <w:shd w:val="clear" w:color="auto" w:fill="auto"/>
            <w:vAlign w:val="center"/>
          </w:tcPr>
          <w:p w14:paraId="665A7920">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r>
      <w:tr w14:paraId="0CDFA7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0071A13D">
            <w:pPr>
              <w:pStyle w:val="28"/>
              <w:rPr>
                <w:color w:val="000000" w:themeColor="text1"/>
                <w14:textFill>
                  <w14:solidFill>
                    <w14:schemeClr w14:val="tx1"/>
                  </w14:solidFill>
                </w14:textFill>
              </w:rPr>
            </w:pPr>
            <w:r>
              <w:rPr>
                <w:color w:val="000000" w:themeColor="text1"/>
                <w14:textFill>
                  <w14:solidFill>
                    <w14:schemeClr w14:val="tx1"/>
                  </w14:solidFill>
                </w14:textFill>
              </w:rPr>
              <w:t>12000.0</w:t>
            </w:r>
          </w:p>
        </w:tc>
        <w:tc>
          <w:tcPr>
            <w:tcW w:w="584" w:type="pct"/>
            <w:shd w:val="clear" w:color="auto" w:fill="auto"/>
            <w:vAlign w:val="center"/>
          </w:tcPr>
          <w:p w14:paraId="2243614D">
            <w:pPr>
              <w:pStyle w:val="28"/>
              <w:rPr>
                <w:color w:val="000000" w:themeColor="text1"/>
                <w14:textFill>
                  <w14:solidFill>
                    <w14:schemeClr w14:val="tx1"/>
                  </w14:solidFill>
                </w14:textFill>
              </w:rPr>
            </w:pPr>
            <w:r>
              <w:rPr>
                <w:color w:val="000000" w:themeColor="text1"/>
                <w14:textFill>
                  <w14:solidFill>
                    <w14:schemeClr w14:val="tx1"/>
                  </w14:solidFill>
                </w14:textFill>
              </w:rPr>
              <w:t>0.2321</w:t>
            </w:r>
          </w:p>
        </w:tc>
        <w:tc>
          <w:tcPr>
            <w:tcW w:w="492" w:type="pct"/>
            <w:shd w:val="clear" w:color="auto" w:fill="auto"/>
            <w:vAlign w:val="center"/>
          </w:tcPr>
          <w:p w14:paraId="0DF88D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580" w:type="pct"/>
            <w:shd w:val="clear" w:color="auto" w:fill="auto"/>
            <w:vAlign w:val="center"/>
          </w:tcPr>
          <w:p w14:paraId="13474AE2">
            <w:pPr>
              <w:pStyle w:val="28"/>
              <w:rPr>
                <w:color w:val="000000" w:themeColor="text1"/>
                <w14:textFill>
                  <w14:solidFill>
                    <w14:schemeClr w14:val="tx1"/>
                  </w14:solidFill>
                </w14:textFill>
              </w:rPr>
            </w:pPr>
            <w:r>
              <w:rPr>
                <w:color w:val="000000" w:themeColor="text1"/>
                <w14:textFill>
                  <w14:solidFill>
                    <w14:schemeClr w14:val="tx1"/>
                  </w14:solidFill>
                </w14:textFill>
              </w:rPr>
              <w:t>0.0026</w:t>
            </w:r>
          </w:p>
        </w:tc>
        <w:tc>
          <w:tcPr>
            <w:tcW w:w="485" w:type="pct"/>
            <w:shd w:val="clear" w:color="auto" w:fill="auto"/>
            <w:vAlign w:val="center"/>
          </w:tcPr>
          <w:p w14:paraId="31106933">
            <w:pPr>
              <w:pStyle w:val="28"/>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601" w:type="pct"/>
            <w:shd w:val="clear" w:color="auto" w:fill="auto"/>
            <w:vAlign w:val="center"/>
          </w:tcPr>
          <w:p w14:paraId="5DA0A859">
            <w:pPr>
              <w:pStyle w:val="28"/>
              <w:rPr>
                <w:color w:val="000000" w:themeColor="text1"/>
                <w14:textFill>
                  <w14:solidFill>
                    <w14:schemeClr w14:val="tx1"/>
                  </w14:solidFill>
                </w14:textFill>
              </w:rPr>
            </w:pPr>
            <w:r>
              <w:rPr>
                <w:color w:val="000000" w:themeColor="text1"/>
                <w14:textFill>
                  <w14:solidFill>
                    <w14:schemeClr w14:val="tx1"/>
                  </w14:solidFill>
                </w14:textFill>
              </w:rPr>
              <w:t>0.5129</w:t>
            </w:r>
          </w:p>
        </w:tc>
        <w:tc>
          <w:tcPr>
            <w:tcW w:w="566" w:type="pct"/>
            <w:shd w:val="clear" w:color="auto" w:fill="auto"/>
            <w:vAlign w:val="center"/>
          </w:tcPr>
          <w:p w14:paraId="77674638">
            <w:pPr>
              <w:pStyle w:val="2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580" w:type="pct"/>
            <w:shd w:val="clear" w:color="auto" w:fill="auto"/>
            <w:vAlign w:val="center"/>
          </w:tcPr>
          <w:p w14:paraId="4FFDB972">
            <w:pPr>
              <w:pStyle w:val="28"/>
              <w:rPr>
                <w:color w:val="000000" w:themeColor="text1"/>
                <w14:textFill>
                  <w14:solidFill>
                    <w14:schemeClr w14:val="tx1"/>
                  </w14:solidFill>
                </w14:textFill>
              </w:rPr>
            </w:pPr>
            <w:r>
              <w:rPr>
                <w:color w:val="000000" w:themeColor="text1"/>
                <w14:textFill>
                  <w14:solidFill>
                    <w14:schemeClr w14:val="tx1"/>
                  </w14:solidFill>
                </w14:textFill>
              </w:rPr>
              <w:t>0.0106</w:t>
            </w:r>
          </w:p>
        </w:tc>
        <w:tc>
          <w:tcPr>
            <w:tcW w:w="432" w:type="pct"/>
            <w:shd w:val="clear" w:color="auto" w:fill="auto"/>
            <w:vAlign w:val="center"/>
          </w:tcPr>
          <w:p w14:paraId="53C021DB">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r>
      <w:tr w14:paraId="5A2CA9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B26C468">
            <w:pPr>
              <w:pStyle w:val="28"/>
              <w:rPr>
                <w:color w:val="000000" w:themeColor="text1"/>
                <w14:textFill>
                  <w14:solidFill>
                    <w14:schemeClr w14:val="tx1"/>
                  </w14:solidFill>
                </w14:textFill>
              </w:rPr>
            </w:pPr>
            <w:r>
              <w:rPr>
                <w:color w:val="000000" w:themeColor="text1"/>
                <w14:textFill>
                  <w14:solidFill>
                    <w14:schemeClr w14:val="tx1"/>
                  </w14:solidFill>
                </w14:textFill>
              </w:rPr>
              <w:t>13000.0</w:t>
            </w:r>
          </w:p>
        </w:tc>
        <w:tc>
          <w:tcPr>
            <w:tcW w:w="584" w:type="pct"/>
            <w:shd w:val="clear" w:color="auto" w:fill="auto"/>
            <w:vAlign w:val="center"/>
          </w:tcPr>
          <w:p w14:paraId="1949B262">
            <w:pPr>
              <w:pStyle w:val="28"/>
              <w:rPr>
                <w:color w:val="000000" w:themeColor="text1"/>
                <w14:textFill>
                  <w14:solidFill>
                    <w14:schemeClr w14:val="tx1"/>
                  </w14:solidFill>
                </w14:textFill>
              </w:rPr>
            </w:pPr>
            <w:r>
              <w:rPr>
                <w:color w:val="000000" w:themeColor="text1"/>
                <w14:textFill>
                  <w14:solidFill>
                    <w14:schemeClr w14:val="tx1"/>
                  </w14:solidFill>
                </w14:textFill>
              </w:rPr>
              <w:t>0.2103</w:t>
            </w:r>
          </w:p>
        </w:tc>
        <w:tc>
          <w:tcPr>
            <w:tcW w:w="492" w:type="pct"/>
            <w:shd w:val="clear" w:color="auto" w:fill="auto"/>
            <w:vAlign w:val="center"/>
          </w:tcPr>
          <w:p w14:paraId="3B4D22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580" w:type="pct"/>
            <w:shd w:val="clear" w:color="auto" w:fill="auto"/>
            <w:vAlign w:val="center"/>
          </w:tcPr>
          <w:p w14:paraId="1942E42D">
            <w:pPr>
              <w:pStyle w:val="28"/>
              <w:rPr>
                <w:color w:val="000000" w:themeColor="text1"/>
                <w14:textFill>
                  <w14:solidFill>
                    <w14:schemeClr w14:val="tx1"/>
                  </w14:solidFill>
                </w14:textFill>
              </w:rPr>
            </w:pPr>
            <w:r>
              <w:rPr>
                <w:color w:val="000000" w:themeColor="text1"/>
                <w14:textFill>
                  <w14:solidFill>
                    <w14:schemeClr w14:val="tx1"/>
                  </w14:solidFill>
                </w14:textFill>
              </w:rPr>
              <w:t>0.0023</w:t>
            </w:r>
          </w:p>
        </w:tc>
        <w:tc>
          <w:tcPr>
            <w:tcW w:w="485" w:type="pct"/>
            <w:shd w:val="clear" w:color="auto" w:fill="auto"/>
            <w:vAlign w:val="center"/>
          </w:tcPr>
          <w:p w14:paraId="36385DA7">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601" w:type="pct"/>
            <w:shd w:val="clear" w:color="auto" w:fill="auto"/>
            <w:vAlign w:val="center"/>
          </w:tcPr>
          <w:p w14:paraId="2B6D9833">
            <w:pPr>
              <w:pStyle w:val="28"/>
              <w:rPr>
                <w:color w:val="000000" w:themeColor="text1"/>
                <w14:textFill>
                  <w14:solidFill>
                    <w14:schemeClr w14:val="tx1"/>
                  </w14:solidFill>
                </w14:textFill>
              </w:rPr>
            </w:pPr>
            <w:r>
              <w:rPr>
                <w:color w:val="000000" w:themeColor="text1"/>
                <w14:textFill>
                  <w14:solidFill>
                    <w14:schemeClr w14:val="tx1"/>
                  </w14:solidFill>
                </w14:textFill>
              </w:rPr>
              <w:t>0.4647</w:t>
            </w:r>
          </w:p>
        </w:tc>
        <w:tc>
          <w:tcPr>
            <w:tcW w:w="566" w:type="pct"/>
            <w:shd w:val="clear" w:color="auto" w:fill="auto"/>
            <w:vAlign w:val="center"/>
          </w:tcPr>
          <w:p w14:paraId="2674AFC6">
            <w:pPr>
              <w:pStyle w:val="2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580" w:type="pct"/>
            <w:shd w:val="clear" w:color="auto" w:fill="auto"/>
            <w:vAlign w:val="center"/>
          </w:tcPr>
          <w:p w14:paraId="65881133">
            <w:pPr>
              <w:pStyle w:val="28"/>
              <w:rPr>
                <w:color w:val="000000" w:themeColor="text1"/>
                <w14:textFill>
                  <w14:solidFill>
                    <w14:schemeClr w14:val="tx1"/>
                  </w14:solidFill>
                </w14:textFill>
              </w:rPr>
            </w:pPr>
            <w:r>
              <w:rPr>
                <w:color w:val="000000" w:themeColor="text1"/>
                <w14:textFill>
                  <w14:solidFill>
                    <w14:schemeClr w14:val="tx1"/>
                  </w14:solidFill>
                </w14:textFill>
              </w:rPr>
              <w:t>0.0110</w:t>
            </w:r>
          </w:p>
        </w:tc>
        <w:tc>
          <w:tcPr>
            <w:tcW w:w="432" w:type="pct"/>
            <w:shd w:val="clear" w:color="auto" w:fill="auto"/>
            <w:vAlign w:val="center"/>
          </w:tcPr>
          <w:p w14:paraId="3008BC4D">
            <w:pPr>
              <w:pStyle w:val="28"/>
              <w:rPr>
                <w:color w:val="000000" w:themeColor="text1"/>
                <w14:textFill>
                  <w14:solidFill>
                    <w14:schemeClr w14:val="tx1"/>
                  </w14:solidFill>
                </w14:textFill>
              </w:rPr>
            </w:pPr>
            <w:r>
              <w:rPr>
                <w:color w:val="000000" w:themeColor="text1"/>
                <w14:textFill>
                  <w14:solidFill>
                    <w14:schemeClr w14:val="tx1"/>
                  </w14:solidFill>
                </w14:textFill>
              </w:rPr>
              <w:t>0.11</w:t>
            </w:r>
          </w:p>
        </w:tc>
      </w:tr>
      <w:tr w14:paraId="3E770C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E72FAF7">
            <w:pPr>
              <w:pStyle w:val="28"/>
              <w:rPr>
                <w:color w:val="000000" w:themeColor="text1"/>
                <w14:textFill>
                  <w14:solidFill>
                    <w14:schemeClr w14:val="tx1"/>
                  </w14:solidFill>
                </w14:textFill>
              </w:rPr>
            </w:pPr>
            <w:r>
              <w:rPr>
                <w:color w:val="000000" w:themeColor="text1"/>
                <w14:textFill>
                  <w14:solidFill>
                    <w14:schemeClr w14:val="tx1"/>
                  </w14:solidFill>
                </w14:textFill>
              </w:rPr>
              <w:t>14000.0</w:t>
            </w:r>
          </w:p>
        </w:tc>
        <w:tc>
          <w:tcPr>
            <w:tcW w:w="584" w:type="pct"/>
            <w:shd w:val="clear" w:color="auto" w:fill="auto"/>
            <w:vAlign w:val="center"/>
          </w:tcPr>
          <w:p w14:paraId="1C12D244">
            <w:pPr>
              <w:pStyle w:val="28"/>
              <w:rPr>
                <w:color w:val="000000" w:themeColor="text1"/>
                <w14:textFill>
                  <w14:solidFill>
                    <w14:schemeClr w14:val="tx1"/>
                  </w14:solidFill>
                </w14:textFill>
              </w:rPr>
            </w:pPr>
            <w:r>
              <w:rPr>
                <w:color w:val="000000" w:themeColor="text1"/>
                <w14:textFill>
                  <w14:solidFill>
                    <w14:schemeClr w14:val="tx1"/>
                  </w14:solidFill>
                </w14:textFill>
              </w:rPr>
              <w:t>0.1506</w:t>
            </w:r>
          </w:p>
        </w:tc>
        <w:tc>
          <w:tcPr>
            <w:tcW w:w="492" w:type="pct"/>
            <w:shd w:val="clear" w:color="auto" w:fill="auto"/>
            <w:vAlign w:val="center"/>
          </w:tcPr>
          <w:p w14:paraId="191929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580" w:type="pct"/>
            <w:shd w:val="clear" w:color="auto" w:fill="auto"/>
            <w:vAlign w:val="center"/>
          </w:tcPr>
          <w:p w14:paraId="756C739F">
            <w:pPr>
              <w:pStyle w:val="28"/>
              <w:rPr>
                <w:color w:val="000000" w:themeColor="text1"/>
                <w14:textFill>
                  <w14:solidFill>
                    <w14:schemeClr w14:val="tx1"/>
                  </w14:solidFill>
                </w14:textFill>
              </w:rPr>
            </w:pPr>
            <w:r>
              <w:rPr>
                <w:color w:val="000000" w:themeColor="text1"/>
                <w14:textFill>
                  <w14:solidFill>
                    <w14:schemeClr w14:val="tx1"/>
                  </w14:solidFill>
                </w14:textFill>
              </w:rPr>
              <w:t>0.0017</w:t>
            </w:r>
          </w:p>
        </w:tc>
        <w:tc>
          <w:tcPr>
            <w:tcW w:w="485" w:type="pct"/>
            <w:shd w:val="clear" w:color="auto" w:fill="auto"/>
            <w:vAlign w:val="center"/>
          </w:tcPr>
          <w:p w14:paraId="5C9C9B1D">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601" w:type="pct"/>
            <w:shd w:val="clear" w:color="auto" w:fill="auto"/>
            <w:vAlign w:val="center"/>
          </w:tcPr>
          <w:p w14:paraId="7EF78737">
            <w:pPr>
              <w:pStyle w:val="28"/>
              <w:rPr>
                <w:color w:val="000000" w:themeColor="text1"/>
                <w14:textFill>
                  <w14:solidFill>
                    <w14:schemeClr w14:val="tx1"/>
                  </w14:solidFill>
                </w14:textFill>
              </w:rPr>
            </w:pPr>
            <w:r>
              <w:rPr>
                <w:color w:val="000000" w:themeColor="text1"/>
                <w14:textFill>
                  <w14:solidFill>
                    <w14:schemeClr w14:val="tx1"/>
                  </w14:solidFill>
                </w14:textFill>
              </w:rPr>
              <w:t>0.3329</w:t>
            </w:r>
          </w:p>
        </w:tc>
        <w:tc>
          <w:tcPr>
            <w:tcW w:w="566" w:type="pct"/>
            <w:shd w:val="clear" w:color="auto" w:fill="auto"/>
            <w:vAlign w:val="center"/>
          </w:tcPr>
          <w:p w14:paraId="790B4775">
            <w:pPr>
              <w:pStyle w:val="28"/>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580" w:type="pct"/>
            <w:shd w:val="clear" w:color="auto" w:fill="auto"/>
            <w:vAlign w:val="center"/>
          </w:tcPr>
          <w:p w14:paraId="40C144B9">
            <w:pPr>
              <w:pStyle w:val="28"/>
              <w:rPr>
                <w:color w:val="000000" w:themeColor="text1"/>
                <w14:textFill>
                  <w14:solidFill>
                    <w14:schemeClr w14:val="tx1"/>
                  </w14:solidFill>
                </w14:textFill>
              </w:rPr>
            </w:pPr>
            <w:r>
              <w:rPr>
                <w:color w:val="000000" w:themeColor="text1"/>
                <w14:textFill>
                  <w14:solidFill>
                    <w14:schemeClr w14:val="tx1"/>
                  </w14:solidFill>
                </w14:textFill>
              </w:rPr>
              <w:t>0.0093</w:t>
            </w:r>
          </w:p>
        </w:tc>
        <w:tc>
          <w:tcPr>
            <w:tcW w:w="432" w:type="pct"/>
            <w:shd w:val="clear" w:color="auto" w:fill="auto"/>
            <w:vAlign w:val="center"/>
          </w:tcPr>
          <w:p w14:paraId="5176325D">
            <w:pPr>
              <w:pStyle w:val="28"/>
              <w:rPr>
                <w:color w:val="000000" w:themeColor="text1"/>
                <w14:textFill>
                  <w14:solidFill>
                    <w14:schemeClr w14:val="tx1"/>
                  </w14:solidFill>
                </w14:textFill>
              </w:rPr>
            </w:pPr>
            <w:r>
              <w:rPr>
                <w:color w:val="000000" w:themeColor="text1"/>
                <w14:textFill>
                  <w14:solidFill>
                    <w14:schemeClr w14:val="tx1"/>
                  </w14:solidFill>
                </w14:textFill>
              </w:rPr>
              <w:t>0.09</w:t>
            </w:r>
          </w:p>
        </w:tc>
      </w:tr>
      <w:tr w14:paraId="5DBA56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8300778">
            <w:pPr>
              <w:pStyle w:val="28"/>
              <w:rPr>
                <w:color w:val="000000" w:themeColor="text1"/>
                <w14:textFill>
                  <w14:solidFill>
                    <w14:schemeClr w14:val="tx1"/>
                  </w14:solidFill>
                </w14:textFill>
              </w:rPr>
            </w:pPr>
            <w:r>
              <w:rPr>
                <w:color w:val="000000" w:themeColor="text1"/>
                <w14:textFill>
                  <w14:solidFill>
                    <w14:schemeClr w14:val="tx1"/>
                  </w14:solidFill>
                </w14:textFill>
              </w:rPr>
              <w:t>15000.0</w:t>
            </w:r>
          </w:p>
        </w:tc>
        <w:tc>
          <w:tcPr>
            <w:tcW w:w="584" w:type="pct"/>
            <w:shd w:val="clear" w:color="auto" w:fill="auto"/>
            <w:vAlign w:val="center"/>
          </w:tcPr>
          <w:p w14:paraId="659B86DE">
            <w:pPr>
              <w:pStyle w:val="28"/>
              <w:rPr>
                <w:color w:val="000000" w:themeColor="text1"/>
                <w14:textFill>
                  <w14:solidFill>
                    <w14:schemeClr w14:val="tx1"/>
                  </w14:solidFill>
                </w14:textFill>
              </w:rPr>
            </w:pPr>
            <w:r>
              <w:rPr>
                <w:color w:val="000000" w:themeColor="text1"/>
                <w14:textFill>
                  <w14:solidFill>
                    <w14:schemeClr w14:val="tx1"/>
                  </w14:solidFill>
                </w14:textFill>
              </w:rPr>
              <w:t>0.1155</w:t>
            </w:r>
          </w:p>
        </w:tc>
        <w:tc>
          <w:tcPr>
            <w:tcW w:w="492" w:type="pct"/>
            <w:shd w:val="clear" w:color="auto" w:fill="auto"/>
            <w:vAlign w:val="center"/>
          </w:tcPr>
          <w:p w14:paraId="1A91F1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w:t>
            </w:r>
          </w:p>
        </w:tc>
        <w:tc>
          <w:tcPr>
            <w:tcW w:w="580" w:type="pct"/>
            <w:shd w:val="clear" w:color="auto" w:fill="auto"/>
            <w:vAlign w:val="center"/>
          </w:tcPr>
          <w:p w14:paraId="6BF068EF">
            <w:pPr>
              <w:pStyle w:val="28"/>
              <w:rPr>
                <w:color w:val="000000" w:themeColor="text1"/>
                <w14:textFill>
                  <w14:solidFill>
                    <w14:schemeClr w14:val="tx1"/>
                  </w14:solidFill>
                </w14:textFill>
              </w:rPr>
            </w:pPr>
            <w:r>
              <w:rPr>
                <w:color w:val="000000" w:themeColor="text1"/>
                <w14:textFill>
                  <w14:solidFill>
                    <w14:schemeClr w14:val="tx1"/>
                  </w14:solidFill>
                </w14:textFill>
              </w:rPr>
              <w:t>0.0013</w:t>
            </w:r>
          </w:p>
        </w:tc>
        <w:tc>
          <w:tcPr>
            <w:tcW w:w="485" w:type="pct"/>
            <w:shd w:val="clear" w:color="auto" w:fill="auto"/>
            <w:vAlign w:val="center"/>
          </w:tcPr>
          <w:p w14:paraId="00F68DCB">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601" w:type="pct"/>
            <w:shd w:val="clear" w:color="auto" w:fill="auto"/>
            <w:vAlign w:val="center"/>
          </w:tcPr>
          <w:p w14:paraId="0DAA46B1">
            <w:pPr>
              <w:pStyle w:val="28"/>
              <w:rPr>
                <w:color w:val="000000" w:themeColor="text1"/>
                <w14:textFill>
                  <w14:solidFill>
                    <w14:schemeClr w14:val="tx1"/>
                  </w14:solidFill>
                </w14:textFill>
              </w:rPr>
            </w:pPr>
            <w:r>
              <w:rPr>
                <w:color w:val="000000" w:themeColor="text1"/>
                <w14:textFill>
                  <w14:solidFill>
                    <w14:schemeClr w14:val="tx1"/>
                  </w14:solidFill>
                </w14:textFill>
              </w:rPr>
              <w:t>0.2553</w:t>
            </w:r>
          </w:p>
        </w:tc>
        <w:tc>
          <w:tcPr>
            <w:tcW w:w="566" w:type="pct"/>
            <w:shd w:val="clear" w:color="auto" w:fill="auto"/>
            <w:vAlign w:val="center"/>
          </w:tcPr>
          <w:p w14:paraId="5866B2A4">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580" w:type="pct"/>
            <w:shd w:val="clear" w:color="auto" w:fill="auto"/>
            <w:vAlign w:val="center"/>
          </w:tcPr>
          <w:p w14:paraId="76E027B6">
            <w:pPr>
              <w:pStyle w:val="28"/>
              <w:rPr>
                <w:color w:val="000000" w:themeColor="text1"/>
                <w14:textFill>
                  <w14:solidFill>
                    <w14:schemeClr w14:val="tx1"/>
                  </w14:solidFill>
                </w14:textFill>
              </w:rPr>
            </w:pPr>
            <w:r>
              <w:rPr>
                <w:color w:val="000000" w:themeColor="text1"/>
                <w14:textFill>
                  <w14:solidFill>
                    <w14:schemeClr w14:val="tx1"/>
                  </w14:solidFill>
                </w14:textFill>
              </w:rPr>
              <w:t>0.0093</w:t>
            </w:r>
          </w:p>
        </w:tc>
        <w:tc>
          <w:tcPr>
            <w:tcW w:w="432" w:type="pct"/>
            <w:shd w:val="clear" w:color="auto" w:fill="auto"/>
            <w:vAlign w:val="center"/>
          </w:tcPr>
          <w:p w14:paraId="10606975">
            <w:pPr>
              <w:pStyle w:val="28"/>
              <w:rPr>
                <w:color w:val="000000" w:themeColor="text1"/>
                <w14:textFill>
                  <w14:solidFill>
                    <w14:schemeClr w14:val="tx1"/>
                  </w14:solidFill>
                </w14:textFill>
              </w:rPr>
            </w:pPr>
            <w:r>
              <w:rPr>
                <w:color w:val="000000" w:themeColor="text1"/>
                <w14:textFill>
                  <w14:solidFill>
                    <w14:schemeClr w14:val="tx1"/>
                  </w14:solidFill>
                </w14:textFill>
              </w:rPr>
              <w:t>0.09</w:t>
            </w:r>
          </w:p>
        </w:tc>
      </w:tr>
      <w:tr w14:paraId="1EDBFB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5089617A">
            <w:pPr>
              <w:pStyle w:val="28"/>
              <w:rPr>
                <w:color w:val="000000" w:themeColor="text1"/>
                <w14:textFill>
                  <w14:solidFill>
                    <w14:schemeClr w14:val="tx1"/>
                  </w14:solidFill>
                </w14:textFill>
              </w:rPr>
            </w:pPr>
            <w:r>
              <w:rPr>
                <w:color w:val="000000" w:themeColor="text1"/>
                <w14:textFill>
                  <w14:solidFill>
                    <w14:schemeClr w14:val="tx1"/>
                  </w14:solidFill>
                </w14:textFill>
              </w:rPr>
              <w:t>20000.0</w:t>
            </w:r>
          </w:p>
        </w:tc>
        <w:tc>
          <w:tcPr>
            <w:tcW w:w="584" w:type="pct"/>
            <w:shd w:val="clear" w:color="auto" w:fill="auto"/>
            <w:vAlign w:val="center"/>
          </w:tcPr>
          <w:p w14:paraId="416D70B1">
            <w:pPr>
              <w:pStyle w:val="28"/>
              <w:rPr>
                <w:color w:val="000000" w:themeColor="text1"/>
                <w14:textFill>
                  <w14:solidFill>
                    <w14:schemeClr w14:val="tx1"/>
                  </w14:solidFill>
                </w14:textFill>
              </w:rPr>
            </w:pPr>
            <w:r>
              <w:rPr>
                <w:color w:val="000000" w:themeColor="text1"/>
                <w14:textFill>
                  <w14:solidFill>
                    <w14:schemeClr w14:val="tx1"/>
                  </w14:solidFill>
                </w14:textFill>
              </w:rPr>
              <w:t>0.0966</w:t>
            </w:r>
          </w:p>
        </w:tc>
        <w:tc>
          <w:tcPr>
            <w:tcW w:w="492" w:type="pct"/>
            <w:shd w:val="clear" w:color="auto" w:fill="auto"/>
            <w:vAlign w:val="center"/>
          </w:tcPr>
          <w:p w14:paraId="1E891B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w:t>
            </w:r>
          </w:p>
        </w:tc>
        <w:tc>
          <w:tcPr>
            <w:tcW w:w="580" w:type="pct"/>
            <w:shd w:val="clear" w:color="auto" w:fill="auto"/>
            <w:vAlign w:val="center"/>
          </w:tcPr>
          <w:p w14:paraId="0CE9537C">
            <w:pPr>
              <w:pStyle w:val="2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485" w:type="pct"/>
            <w:shd w:val="clear" w:color="auto" w:fill="auto"/>
            <w:vAlign w:val="center"/>
          </w:tcPr>
          <w:p w14:paraId="6E346ED9">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601" w:type="pct"/>
            <w:shd w:val="clear" w:color="auto" w:fill="auto"/>
            <w:vAlign w:val="center"/>
          </w:tcPr>
          <w:p w14:paraId="6C8D5A83">
            <w:pPr>
              <w:pStyle w:val="28"/>
              <w:rPr>
                <w:color w:val="000000" w:themeColor="text1"/>
                <w14:textFill>
                  <w14:solidFill>
                    <w14:schemeClr w14:val="tx1"/>
                  </w14:solidFill>
                </w14:textFill>
              </w:rPr>
            </w:pPr>
            <w:r>
              <w:rPr>
                <w:color w:val="000000" w:themeColor="text1"/>
                <w14:textFill>
                  <w14:solidFill>
                    <w14:schemeClr w14:val="tx1"/>
                  </w14:solidFill>
                </w14:textFill>
              </w:rPr>
              <w:t>0.2135</w:t>
            </w:r>
          </w:p>
        </w:tc>
        <w:tc>
          <w:tcPr>
            <w:tcW w:w="566" w:type="pct"/>
            <w:shd w:val="clear" w:color="auto" w:fill="auto"/>
            <w:vAlign w:val="center"/>
          </w:tcPr>
          <w:p w14:paraId="05D65226">
            <w:pPr>
              <w:pStyle w:val="2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580" w:type="pct"/>
            <w:shd w:val="clear" w:color="auto" w:fill="auto"/>
            <w:vAlign w:val="center"/>
          </w:tcPr>
          <w:p w14:paraId="0A1A2757">
            <w:pPr>
              <w:pStyle w:val="28"/>
              <w:rPr>
                <w:color w:val="000000" w:themeColor="text1"/>
                <w14:textFill>
                  <w14:solidFill>
                    <w14:schemeClr w14:val="tx1"/>
                  </w14:solidFill>
                </w14:textFill>
              </w:rPr>
            </w:pPr>
            <w:r>
              <w:rPr>
                <w:color w:val="000000" w:themeColor="text1"/>
                <w14:textFill>
                  <w14:solidFill>
                    <w14:schemeClr w14:val="tx1"/>
                  </w14:solidFill>
                </w14:textFill>
              </w:rPr>
              <w:t>0.0070</w:t>
            </w:r>
          </w:p>
        </w:tc>
        <w:tc>
          <w:tcPr>
            <w:tcW w:w="432" w:type="pct"/>
            <w:shd w:val="clear" w:color="auto" w:fill="auto"/>
            <w:vAlign w:val="center"/>
          </w:tcPr>
          <w:p w14:paraId="2863FC8A">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r>
      <w:tr w14:paraId="0CAA02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85F3283">
            <w:pPr>
              <w:pStyle w:val="28"/>
              <w:rPr>
                <w:color w:val="000000" w:themeColor="text1"/>
                <w14:textFill>
                  <w14:solidFill>
                    <w14:schemeClr w14:val="tx1"/>
                  </w14:solidFill>
                </w14:textFill>
              </w:rPr>
            </w:pPr>
            <w:r>
              <w:rPr>
                <w:color w:val="000000" w:themeColor="text1"/>
                <w14:textFill>
                  <w14:solidFill>
                    <w14:schemeClr w14:val="tx1"/>
                  </w14:solidFill>
                </w14:textFill>
              </w:rPr>
              <w:t>25000.0</w:t>
            </w:r>
          </w:p>
        </w:tc>
        <w:tc>
          <w:tcPr>
            <w:tcW w:w="584" w:type="pct"/>
            <w:shd w:val="clear" w:color="auto" w:fill="auto"/>
            <w:vAlign w:val="center"/>
          </w:tcPr>
          <w:p w14:paraId="7721B35D">
            <w:pPr>
              <w:pStyle w:val="28"/>
              <w:rPr>
                <w:color w:val="000000" w:themeColor="text1"/>
                <w14:textFill>
                  <w14:solidFill>
                    <w14:schemeClr w14:val="tx1"/>
                  </w14:solidFill>
                </w14:textFill>
              </w:rPr>
            </w:pPr>
            <w:r>
              <w:rPr>
                <w:color w:val="000000" w:themeColor="text1"/>
                <w14:textFill>
                  <w14:solidFill>
                    <w14:schemeClr w14:val="tx1"/>
                  </w14:solidFill>
                </w14:textFill>
              </w:rPr>
              <w:t>0.0733</w:t>
            </w:r>
          </w:p>
        </w:tc>
        <w:tc>
          <w:tcPr>
            <w:tcW w:w="492" w:type="pct"/>
            <w:shd w:val="clear" w:color="auto" w:fill="auto"/>
            <w:vAlign w:val="center"/>
          </w:tcPr>
          <w:p w14:paraId="62EAE6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80" w:type="pct"/>
            <w:shd w:val="clear" w:color="auto" w:fill="auto"/>
            <w:vAlign w:val="center"/>
          </w:tcPr>
          <w:p w14:paraId="689F75D9">
            <w:pPr>
              <w:pStyle w:val="28"/>
              <w:rPr>
                <w:color w:val="000000" w:themeColor="text1"/>
                <w14:textFill>
                  <w14:solidFill>
                    <w14:schemeClr w14:val="tx1"/>
                  </w14:solidFill>
                </w14:textFill>
              </w:rPr>
            </w:pPr>
            <w:r>
              <w:rPr>
                <w:color w:val="000000" w:themeColor="text1"/>
                <w14:textFill>
                  <w14:solidFill>
                    <w14:schemeClr w14:val="tx1"/>
                  </w14:solidFill>
                </w14:textFill>
              </w:rPr>
              <w:t>0.0008</w:t>
            </w:r>
          </w:p>
        </w:tc>
        <w:tc>
          <w:tcPr>
            <w:tcW w:w="485" w:type="pct"/>
            <w:shd w:val="clear" w:color="auto" w:fill="auto"/>
            <w:vAlign w:val="center"/>
          </w:tcPr>
          <w:p w14:paraId="4878F639">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601" w:type="pct"/>
            <w:shd w:val="clear" w:color="auto" w:fill="auto"/>
            <w:vAlign w:val="center"/>
          </w:tcPr>
          <w:p w14:paraId="638AD43A">
            <w:pPr>
              <w:pStyle w:val="28"/>
              <w:rPr>
                <w:color w:val="000000" w:themeColor="text1"/>
                <w14:textFill>
                  <w14:solidFill>
                    <w14:schemeClr w14:val="tx1"/>
                  </w14:solidFill>
                </w14:textFill>
              </w:rPr>
            </w:pPr>
            <w:r>
              <w:rPr>
                <w:color w:val="000000" w:themeColor="text1"/>
                <w14:textFill>
                  <w14:solidFill>
                    <w14:schemeClr w14:val="tx1"/>
                  </w14:solidFill>
                </w14:textFill>
              </w:rPr>
              <w:t>0.1620</w:t>
            </w:r>
          </w:p>
        </w:tc>
        <w:tc>
          <w:tcPr>
            <w:tcW w:w="566" w:type="pct"/>
            <w:shd w:val="clear" w:color="auto" w:fill="auto"/>
            <w:vAlign w:val="center"/>
          </w:tcPr>
          <w:p w14:paraId="5FFCA802">
            <w:pPr>
              <w:pStyle w:val="2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580" w:type="pct"/>
            <w:shd w:val="clear" w:color="auto" w:fill="auto"/>
            <w:vAlign w:val="center"/>
          </w:tcPr>
          <w:p w14:paraId="7AC646FD">
            <w:pPr>
              <w:pStyle w:val="28"/>
              <w:rPr>
                <w:color w:val="000000" w:themeColor="text1"/>
                <w14:textFill>
                  <w14:solidFill>
                    <w14:schemeClr w14:val="tx1"/>
                  </w14:solidFill>
                </w14:textFill>
              </w:rPr>
            </w:pPr>
            <w:r>
              <w:rPr>
                <w:color w:val="000000" w:themeColor="text1"/>
                <w14:textFill>
                  <w14:solidFill>
                    <w14:schemeClr w14:val="tx1"/>
                  </w14:solidFill>
                </w14:textFill>
              </w:rPr>
              <w:t>0.0075</w:t>
            </w:r>
          </w:p>
        </w:tc>
        <w:tc>
          <w:tcPr>
            <w:tcW w:w="432" w:type="pct"/>
            <w:shd w:val="clear" w:color="auto" w:fill="auto"/>
            <w:vAlign w:val="center"/>
          </w:tcPr>
          <w:p w14:paraId="239E5830">
            <w:pPr>
              <w:pStyle w:val="28"/>
              <w:rPr>
                <w:color w:val="000000" w:themeColor="text1"/>
                <w14:textFill>
                  <w14:solidFill>
                    <w14:schemeClr w14:val="tx1"/>
                  </w14:solidFill>
                </w14:textFill>
              </w:rPr>
            </w:pPr>
            <w:r>
              <w:rPr>
                <w:color w:val="000000" w:themeColor="text1"/>
                <w14:textFill>
                  <w14:solidFill>
                    <w14:schemeClr w14:val="tx1"/>
                  </w14:solidFill>
                </w14:textFill>
              </w:rPr>
              <w:t>0.07</w:t>
            </w:r>
          </w:p>
        </w:tc>
      </w:tr>
      <w:tr w14:paraId="7A7D24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711E8E88">
            <w:pPr>
              <w:pStyle w:val="28"/>
              <w:rPr>
                <w:color w:val="000000" w:themeColor="text1"/>
                <w14:textFill>
                  <w14:solidFill>
                    <w14:schemeClr w14:val="tx1"/>
                  </w14:solidFill>
                </w14:textFill>
              </w:rPr>
            </w:pPr>
            <w:r>
              <w:rPr>
                <w:color w:val="000000" w:themeColor="text1"/>
                <w14:textFill>
                  <w14:solidFill>
                    <w14:schemeClr w14:val="tx1"/>
                  </w14:solidFill>
                </w14:textFill>
              </w:rPr>
              <w:t>下风向最大浓度</w:t>
            </w:r>
          </w:p>
        </w:tc>
        <w:tc>
          <w:tcPr>
            <w:tcW w:w="584" w:type="pct"/>
            <w:shd w:val="clear" w:color="auto" w:fill="auto"/>
            <w:vAlign w:val="center"/>
          </w:tcPr>
          <w:p w14:paraId="3C4EEC5F">
            <w:pPr>
              <w:pStyle w:val="28"/>
              <w:rPr>
                <w:color w:val="000000" w:themeColor="text1"/>
                <w14:textFill>
                  <w14:solidFill>
                    <w14:schemeClr w14:val="tx1"/>
                  </w14:solidFill>
                </w14:textFill>
              </w:rPr>
            </w:pPr>
            <w:r>
              <w:rPr>
                <w:color w:val="000000" w:themeColor="text1"/>
                <w14:textFill>
                  <w14:solidFill>
                    <w14:schemeClr w14:val="tx1"/>
                  </w14:solidFill>
                </w14:textFill>
              </w:rPr>
              <w:t>34.8520</w:t>
            </w:r>
          </w:p>
        </w:tc>
        <w:tc>
          <w:tcPr>
            <w:tcW w:w="492" w:type="pct"/>
            <w:shd w:val="clear" w:color="auto" w:fill="auto"/>
            <w:vAlign w:val="center"/>
          </w:tcPr>
          <w:p w14:paraId="3ACEC0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9.68</w:t>
            </w:r>
          </w:p>
        </w:tc>
        <w:tc>
          <w:tcPr>
            <w:tcW w:w="580" w:type="pct"/>
            <w:shd w:val="clear" w:color="auto" w:fill="auto"/>
            <w:vAlign w:val="center"/>
          </w:tcPr>
          <w:p w14:paraId="28C7F6A2">
            <w:pPr>
              <w:pStyle w:val="28"/>
              <w:rPr>
                <w:color w:val="000000" w:themeColor="text1"/>
                <w14:textFill>
                  <w14:solidFill>
                    <w14:schemeClr w14:val="tx1"/>
                  </w14:solidFill>
                </w14:textFill>
              </w:rPr>
            </w:pPr>
            <w:r>
              <w:rPr>
                <w:color w:val="000000" w:themeColor="text1"/>
                <w14:textFill>
                  <w14:solidFill>
                    <w14:schemeClr w14:val="tx1"/>
                  </w14:solidFill>
                </w14:textFill>
              </w:rPr>
              <w:t>0.3851</w:t>
            </w:r>
          </w:p>
        </w:tc>
        <w:tc>
          <w:tcPr>
            <w:tcW w:w="485" w:type="pct"/>
            <w:shd w:val="clear" w:color="auto" w:fill="auto"/>
            <w:vAlign w:val="center"/>
          </w:tcPr>
          <w:p w14:paraId="1A4D5D20">
            <w:pPr>
              <w:pStyle w:val="28"/>
              <w:rPr>
                <w:color w:val="000000" w:themeColor="text1"/>
                <w14:textFill>
                  <w14:solidFill>
                    <w14:schemeClr w14:val="tx1"/>
                  </w14:solidFill>
                </w14:textFill>
              </w:rPr>
            </w:pPr>
            <w:r>
              <w:rPr>
                <w:color w:val="000000" w:themeColor="text1"/>
                <w14:textFill>
                  <w14:solidFill>
                    <w14:schemeClr w14:val="tx1"/>
                  </w14:solidFill>
                </w14:textFill>
              </w:rPr>
              <w:t>3.85</w:t>
            </w:r>
          </w:p>
        </w:tc>
        <w:tc>
          <w:tcPr>
            <w:tcW w:w="601" w:type="pct"/>
            <w:shd w:val="clear" w:color="auto" w:fill="auto"/>
            <w:vAlign w:val="center"/>
          </w:tcPr>
          <w:p w14:paraId="24FA57EA">
            <w:pPr>
              <w:pStyle w:val="28"/>
              <w:rPr>
                <w:color w:val="000000" w:themeColor="text1"/>
                <w14:textFill>
                  <w14:solidFill>
                    <w14:schemeClr w14:val="tx1"/>
                  </w14:solidFill>
                </w14:textFill>
              </w:rPr>
            </w:pPr>
            <w:r>
              <w:rPr>
                <w:color w:val="000000" w:themeColor="text1"/>
                <w14:textFill>
                  <w14:solidFill>
                    <w14:schemeClr w14:val="tx1"/>
                  </w14:solidFill>
                </w14:textFill>
              </w:rPr>
              <w:t>77.0210</w:t>
            </w:r>
          </w:p>
        </w:tc>
        <w:tc>
          <w:tcPr>
            <w:tcW w:w="566" w:type="pct"/>
            <w:shd w:val="clear" w:color="auto" w:fill="auto"/>
            <w:vAlign w:val="center"/>
          </w:tcPr>
          <w:p w14:paraId="330B63D5">
            <w:pPr>
              <w:pStyle w:val="28"/>
              <w:rPr>
                <w:color w:val="000000" w:themeColor="text1"/>
                <w14:textFill>
                  <w14:solidFill>
                    <w14:schemeClr w14:val="tx1"/>
                  </w14:solidFill>
                </w14:textFill>
              </w:rPr>
            </w:pPr>
            <w:r>
              <w:rPr>
                <w:color w:val="000000" w:themeColor="text1"/>
                <w14:textFill>
                  <w14:solidFill>
                    <w14:schemeClr w14:val="tx1"/>
                  </w14:solidFill>
                </w14:textFill>
              </w:rPr>
              <w:t>6.42</w:t>
            </w:r>
          </w:p>
        </w:tc>
        <w:tc>
          <w:tcPr>
            <w:tcW w:w="580" w:type="pct"/>
            <w:shd w:val="clear" w:color="auto" w:fill="auto"/>
            <w:vAlign w:val="center"/>
          </w:tcPr>
          <w:p w14:paraId="5701A237">
            <w:pPr>
              <w:pStyle w:val="28"/>
              <w:rPr>
                <w:color w:val="000000" w:themeColor="text1"/>
                <w14:textFill>
                  <w14:solidFill>
                    <w14:schemeClr w14:val="tx1"/>
                  </w14:solidFill>
                </w14:textFill>
              </w:rPr>
            </w:pPr>
            <w:r>
              <w:rPr>
                <w:color w:val="000000" w:themeColor="text1"/>
                <w14:textFill>
                  <w14:solidFill>
                    <w14:schemeClr w14:val="tx1"/>
                  </w14:solidFill>
                </w14:textFill>
              </w:rPr>
              <w:t>0.7926</w:t>
            </w:r>
          </w:p>
        </w:tc>
        <w:tc>
          <w:tcPr>
            <w:tcW w:w="432" w:type="pct"/>
            <w:shd w:val="clear" w:color="auto" w:fill="auto"/>
            <w:vAlign w:val="center"/>
          </w:tcPr>
          <w:p w14:paraId="74B90EE4">
            <w:pPr>
              <w:pStyle w:val="28"/>
              <w:rPr>
                <w:color w:val="000000" w:themeColor="text1"/>
                <w14:textFill>
                  <w14:solidFill>
                    <w14:schemeClr w14:val="tx1"/>
                  </w14:solidFill>
                </w14:textFill>
              </w:rPr>
            </w:pPr>
            <w:r>
              <w:rPr>
                <w:color w:val="000000" w:themeColor="text1"/>
                <w14:textFill>
                  <w14:solidFill>
                    <w14:schemeClr w14:val="tx1"/>
                  </w14:solidFill>
                </w14:textFill>
              </w:rPr>
              <w:t>7.93</w:t>
            </w:r>
          </w:p>
        </w:tc>
      </w:tr>
      <w:tr w14:paraId="7C404A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2DF8F27C">
            <w:pPr>
              <w:pStyle w:val="28"/>
              <w:rPr>
                <w:color w:val="000000" w:themeColor="text1"/>
                <w14:textFill>
                  <w14:solidFill>
                    <w14:schemeClr w14:val="tx1"/>
                  </w14:solidFill>
                </w14:textFill>
              </w:rPr>
            </w:pPr>
            <w:r>
              <w:rPr>
                <w:color w:val="000000" w:themeColor="text1"/>
                <w14:textFill>
                  <w14:solidFill>
                    <w14:schemeClr w14:val="tx1"/>
                  </w14:solidFill>
                </w14:textFill>
              </w:rPr>
              <w:t>下风向最大浓度出现距离</w:t>
            </w:r>
          </w:p>
        </w:tc>
        <w:tc>
          <w:tcPr>
            <w:tcW w:w="584" w:type="pct"/>
            <w:shd w:val="clear" w:color="auto" w:fill="auto"/>
            <w:vAlign w:val="center"/>
          </w:tcPr>
          <w:p w14:paraId="427B5331">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492" w:type="pct"/>
            <w:shd w:val="clear" w:color="auto" w:fill="auto"/>
            <w:vAlign w:val="center"/>
          </w:tcPr>
          <w:p w14:paraId="103357F8">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80" w:type="pct"/>
            <w:shd w:val="clear" w:color="auto" w:fill="auto"/>
            <w:vAlign w:val="center"/>
          </w:tcPr>
          <w:p w14:paraId="1CC27E6B">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485" w:type="pct"/>
            <w:shd w:val="clear" w:color="auto" w:fill="auto"/>
            <w:vAlign w:val="center"/>
          </w:tcPr>
          <w:p w14:paraId="6C78809F">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01" w:type="pct"/>
            <w:shd w:val="clear" w:color="auto" w:fill="auto"/>
            <w:vAlign w:val="center"/>
          </w:tcPr>
          <w:p w14:paraId="65EB44FA">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66" w:type="pct"/>
            <w:shd w:val="clear" w:color="auto" w:fill="auto"/>
            <w:vAlign w:val="center"/>
          </w:tcPr>
          <w:p w14:paraId="0DC21659">
            <w:pPr>
              <w:pStyle w:val="2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80" w:type="pct"/>
            <w:shd w:val="clear" w:color="auto" w:fill="auto"/>
            <w:vAlign w:val="center"/>
          </w:tcPr>
          <w:p w14:paraId="69DFFA8B">
            <w:pPr>
              <w:pStyle w:val="28"/>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432" w:type="pct"/>
            <w:shd w:val="clear" w:color="auto" w:fill="auto"/>
            <w:vAlign w:val="center"/>
          </w:tcPr>
          <w:p w14:paraId="509B98C3">
            <w:pPr>
              <w:pStyle w:val="28"/>
              <w:rPr>
                <w:color w:val="000000" w:themeColor="text1"/>
                <w14:textFill>
                  <w14:solidFill>
                    <w14:schemeClr w14:val="tx1"/>
                  </w14:solidFill>
                </w14:textFill>
              </w:rPr>
            </w:pPr>
            <w:r>
              <w:rPr>
                <w:color w:val="000000" w:themeColor="text1"/>
                <w14:textFill>
                  <w14:solidFill>
                    <w14:schemeClr w14:val="tx1"/>
                  </w14:solidFill>
                </w14:textFill>
              </w:rPr>
              <w:t>13.0</w:t>
            </w:r>
          </w:p>
        </w:tc>
      </w:tr>
      <w:tr w14:paraId="547E91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676" w:type="pct"/>
            <w:vAlign w:val="center"/>
          </w:tcPr>
          <w:p w14:paraId="4980A6C1">
            <w:pPr>
              <w:pStyle w:val="28"/>
              <w:rPr>
                <w:color w:val="000000" w:themeColor="text1"/>
                <w14:textFill>
                  <w14:solidFill>
                    <w14:schemeClr w14:val="tx1"/>
                  </w14:solidFill>
                </w14:textFill>
              </w:rPr>
            </w:pPr>
            <w:r>
              <w:rPr>
                <w:color w:val="000000" w:themeColor="text1"/>
                <w14:textFill>
                  <w14:solidFill>
                    <w14:schemeClr w14:val="tx1"/>
                  </w14:solidFill>
                </w14:textFill>
              </w:rPr>
              <w:t>D10%最远距离</w:t>
            </w:r>
          </w:p>
        </w:tc>
        <w:tc>
          <w:tcPr>
            <w:tcW w:w="584" w:type="pct"/>
            <w:shd w:val="clear" w:color="auto" w:fill="auto"/>
            <w:vAlign w:val="center"/>
          </w:tcPr>
          <w:p w14:paraId="678A0F7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92" w:type="pct"/>
            <w:shd w:val="clear" w:color="auto" w:fill="auto"/>
            <w:vAlign w:val="center"/>
          </w:tcPr>
          <w:p w14:paraId="367FD11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80" w:type="pct"/>
            <w:shd w:val="clear" w:color="auto" w:fill="auto"/>
            <w:vAlign w:val="center"/>
          </w:tcPr>
          <w:p w14:paraId="60848A0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85" w:type="pct"/>
            <w:shd w:val="clear" w:color="auto" w:fill="auto"/>
            <w:vAlign w:val="center"/>
          </w:tcPr>
          <w:p w14:paraId="57AF733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601" w:type="pct"/>
            <w:shd w:val="clear" w:color="auto" w:fill="auto"/>
            <w:vAlign w:val="center"/>
          </w:tcPr>
          <w:p w14:paraId="00E34AC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66" w:type="pct"/>
            <w:shd w:val="clear" w:color="auto" w:fill="auto"/>
            <w:vAlign w:val="center"/>
          </w:tcPr>
          <w:p w14:paraId="2AB7EF83">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580" w:type="pct"/>
            <w:shd w:val="clear" w:color="auto" w:fill="auto"/>
            <w:vAlign w:val="center"/>
          </w:tcPr>
          <w:p w14:paraId="6D6C31CE">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32" w:type="pct"/>
            <w:shd w:val="clear" w:color="auto" w:fill="auto"/>
            <w:vAlign w:val="center"/>
          </w:tcPr>
          <w:p w14:paraId="6ABFA089">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1694F4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根据估算结果，本项目Pmax最大值出现为点源排放的PM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Pmax值为9.68%，Cmax为34.8520</w:t>
      </w:r>
      <w:r>
        <w:rPr>
          <w:rFonts w:cs="Times New Roman"/>
          <w:color w:val="000000" w:themeColor="text1"/>
          <w14:textFill>
            <w14:solidFill>
              <w14:schemeClr w14:val="tx1"/>
            </w14:solidFill>
          </w14:textFill>
        </w:rPr>
        <w:t>μg/m³</w:t>
      </w:r>
      <w:r>
        <w:rPr>
          <w:rFonts w:hint="eastAsia"/>
          <w:color w:val="000000" w:themeColor="text1"/>
          <w14:textFill>
            <w14:solidFill>
              <w14:schemeClr w14:val="tx1"/>
            </w14:solidFill>
          </w14:textFill>
        </w:rPr>
        <w:t>，根据《环境影响评价技术导则 大气环境》（HJ2.2-2018）分级判据，确定本项目大气环境影响评价工作等级为二级。</w:t>
      </w:r>
    </w:p>
    <w:p w14:paraId="6B7285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根据《环境影响评价技术导则-大气环境》（HJ2.2-2018），大气评价等级为二级，不进行进一步预测和评价，只对污染物排放量进行核算。</w:t>
      </w:r>
    </w:p>
    <w:p w14:paraId="237CCDD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5.2.2.2大气环境影响分析</w:t>
      </w:r>
    </w:p>
    <w:p w14:paraId="05F0DFD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1、正常情况大气环境影响分析</w:t>
      </w:r>
    </w:p>
    <w:p w14:paraId="04C6DEF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源强核算结果可知，本项目废气达标排放，本项目废气排放量较小。根据现场勘查，距离项目最近的村庄为项目东北面180m的大莲池村，项目区常年主导风向为西南风，该村庄位于项目下风向，村庄与项目区有道路、绿化相隔，项目运营期废气对其影响较小。根据估算结果可知，大气评价等级为二级，项目废气正常排放对周围大气环境及敏感点环境影响在可接受范围或程度内。运营期排放的废气不会对周围环境产生大的影响，项目的建设不会改变周边环境质量。</w:t>
      </w:r>
    </w:p>
    <w:p w14:paraId="5C64909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2、非正常情况大气环境影响分析</w:t>
      </w:r>
    </w:p>
    <w:p w14:paraId="190C7336">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非正常工况包括生产设备开停炉、污染治理设施故障。本项目生产过程为自动化控制，开机时</w:t>
      </w:r>
      <w:r>
        <w:rPr>
          <w:rFonts w:hint="eastAsia"/>
          <w:color w:val="000000" w:themeColor="text1"/>
          <w14:textFill>
            <w14:solidFill>
              <w14:schemeClr w14:val="tx1"/>
            </w14:solidFill>
          </w14:textFill>
        </w:rPr>
        <w:t>生产装置</w:t>
      </w:r>
      <w:r>
        <w:rPr>
          <w:color w:val="000000" w:themeColor="text1"/>
          <w14:textFill>
            <w14:solidFill>
              <w14:schemeClr w14:val="tx1"/>
            </w14:solidFill>
          </w14:textFill>
        </w:rPr>
        <w:t>及各污染治理设施全部检查完毕后同时开机，停</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或检修时，先关闭生产设施，待生产完全停止后在关闭各污染治理设施，开停</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时不会造成废气非正常排放。本</w:t>
      </w:r>
      <w:r>
        <w:rPr>
          <w:rFonts w:hint="eastAsia"/>
          <w:color w:val="000000" w:themeColor="text1"/>
          <w14:textFill>
            <w14:solidFill>
              <w14:schemeClr w14:val="tx1"/>
            </w14:solidFill>
          </w14:textFill>
        </w:rPr>
        <w:t>环评</w:t>
      </w:r>
      <w:r>
        <w:rPr>
          <w:color w:val="000000" w:themeColor="text1"/>
          <w14:textFill>
            <w14:solidFill>
              <w14:schemeClr w14:val="tx1"/>
            </w14:solidFill>
          </w14:textFill>
        </w:rPr>
        <w:t>非正常排放主要考虑</w:t>
      </w:r>
      <w:r>
        <w:rPr>
          <w:rFonts w:hint="eastAsia"/>
          <w:color w:val="000000" w:themeColor="text1"/>
          <w14:textFill>
            <w14:solidFill>
              <w14:schemeClr w14:val="tx1"/>
            </w14:solidFill>
          </w14:textFill>
        </w:rPr>
        <w:t>活性炭吸附饱和</w:t>
      </w:r>
      <w:r>
        <w:rPr>
          <w:color w:val="000000" w:themeColor="text1"/>
          <w14:textFill>
            <w14:solidFill>
              <w14:schemeClr w14:val="tx1"/>
            </w14:solidFill>
          </w14:textFill>
        </w:rPr>
        <w:t>的情况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装置处理效率降低为0%左右，</w:t>
      </w:r>
      <w:r>
        <w:rPr>
          <w:rFonts w:hint="eastAsia" w:cs="Times New Roman"/>
          <w:color w:val="000000" w:themeColor="text1"/>
          <w14:textFill>
            <w14:solidFill>
              <w14:schemeClr w14:val="tx1"/>
            </w14:solidFill>
          </w14:textFill>
        </w:rPr>
        <w:t>持续时间按1小时计。</w:t>
      </w:r>
    </w:p>
    <w:p w14:paraId="0DAC9D7C">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color w:val="000000" w:themeColor="text1"/>
          <w14:textFill>
            <w14:solidFill>
              <w14:schemeClr w14:val="tx1"/>
            </w14:solidFill>
          </w14:textFill>
        </w:rPr>
        <w:t>非正常情况下</w:t>
      </w:r>
      <w:r>
        <w:rPr>
          <w:rFonts w:hint="eastAsia"/>
          <w:color w:val="000000" w:themeColor="text1"/>
          <w14:textFill>
            <w14:solidFill>
              <w14:schemeClr w14:val="tx1"/>
            </w14:solidFill>
          </w14:textFill>
        </w:rPr>
        <w:t>污染物</w:t>
      </w:r>
      <w:r>
        <w:rPr>
          <w:color w:val="000000" w:themeColor="text1"/>
          <w14:textFill>
            <w14:solidFill>
              <w14:schemeClr w14:val="tx1"/>
            </w14:solidFill>
          </w14:textFill>
        </w:rPr>
        <w:t>排放浓度见下表。</w:t>
      </w:r>
    </w:p>
    <w:p w14:paraId="322260BC">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5.2-5 </w:t>
      </w:r>
      <w:r>
        <w:rPr>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故障情况下污染物</w:t>
      </w:r>
      <w:r>
        <w:rPr>
          <w:color w:val="000000" w:themeColor="text1"/>
          <w14:textFill>
            <w14:solidFill>
              <w14:schemeClr w14:val="tx1"/>
            </w14:solidFill>
          </w14:textFill>
        </w:rPr>
        <w:t>排放浓度</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538"/>
        <w:gridCol w:w="1517"/>
        <w:gridCol w:w="1926"/>
        <w:gridCol w:w="1437"/>
        <w:gridCol w:w="1136"/>
      </w:tblGrid>
      <w:tr w14:paraId="4FA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 w:type="pct"/>
            <w:vAlign w:val="center"/>
          </w:tcPr>
          <w:p w14:paraId="6BE5D919">
            <w:pPr>
              <w:pStyle w:val="28"/>
              <w:rPr>
                <w:color w:val="000000" w:themeColor="text1"/>
                <w14:textFill>
                  <w14:solidFill>
                    <w14:schemeClr w14:val="tx1"/>
                  </w14:solidFill>
                </w14:textFill>
              </w:rPr>
            </w:pPr>
            <w:r>
              <w:rPr>
                <w:color w:val="000000" w:themeColor="text1"/>
                <w14:textFill>
                  <w14:solidFill>
                    <w14:schemeClr w14:val="tx1"/>
                  </w14:solidFill>
                </w14:textFill>
              </w:rPr>
              <w:t>排放口</w:t>
            </w:r>
          </w:p>
        </w:tc>
        <w:tc>
          <w:tcPr>
            <w:tcW w:w="902" w:type="pct"/>
            <w:vAlign w:val="center"/>
          </w:tcPr>
          <w:p w14:paraId="6BC674E3">
            <w:pPr>
              <w:pStyle w:val="28"/>
              <w:rPr>
                <w:color w:val="000000" w:themeColor="text1"/>
                <w14:textFill>
                  <w14:solidFill>
                    <w14:schemeClr w14:val="tx1"/>
                  </w14:solidFill>
                </w14:textFill>
              </w:rPr>
            </w:pPr>
            <w:r>
              <w:rPr>
                <w:color w:val="000000" w:themeColor="text1"/>
                <w14:textFill>
                  <w14:solidFill>
                    <w14:schemeClr w14:val="tx1"/>
                  </w14:solidFill>
                </w14:textFill>
              </w:rPr>
              <w:t>污染因子</w:t>
            </w:r>
          </w:p>
        </w:tc>
        <w:tc>
          <w:tcPr>
            <w:tcW w:w="890" w:type="pct"/>
            <w:vAlign w:val="center"/>
          </w:tcPr>
          <w:p w14:paraId="377F1C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排放量（kg/h）</w:t>
            </w:r>
          </w:p>
        </w:tc>
        <w:tc>
          <w:tcPr>
            <w:tcW w:w="1130" w:type="pct"/>
            <w:vAlign w:val="center"/>
          </w:tcPr>
          <w:p w14:paraId="22708F14">
            <w:pPr>
              <w:pStyle w:val="28"/>
              <w:rPr>
                <w:color w:val="000000" w:themeColor="text1"/>
                <w14:textFill>
                  <w14:solidFill>
                    <w14:schemeClr w14:val="tx1"/>
                  </w14:solidFill>
                </w14:textFill>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843" w:type="pct"/>
            <w:vAlign w:val="center"/>
          </w:tcPr>
          <w:p w14:paraId="532DC3F0">
            <w:pPr>
              <w:pStyle w:val="28"/>
              <w:rPr>
                <w:color w:val="000000" w:themeColor="text1"/>
                <w14:textFill>
                  <w14:solidFill>
                    <w14:schemeClr w14:val="tx1"/>
                  </w14:solidFill>
                </w14:textFill>
              </w:rPr>
            </w:pPr>
            <w:r>
              <w:rPr>
                <w:color w:val="000000" w:themeColor="text1"/>
                <w14:textFill>
                  <w14:solidFill>
                    <w14:schemeClr w14:val="tx1"/>
                  </w14:solidFill>
                </w14:textFill>
              </w:rPr>
              <w:t>标准（mg/m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666" w:type="pct"/>
            <w:vAlign w:val="center"/>
          </w:tcPr>
          <w:p w14:paraId="1DC2A794">
            <w:pPr>
              <w:pStyle w:val="28"/>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147D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14:paraId="544A2A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902" w:type="pct"/>
            <w:vAlign w:val="center"/>
          </w:tcPr>
          <w:p w14:paraId="3C3B1A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890" w:type="pct"/>
            <w:vAlign w:val="center"/>
          </w:tcPr>
          <w:p w14:paraId="427541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30" w:type="pct"/>
            <w:vAlign w:val="center"/>
          </w:tcPr>
          <w:p w14:paraId="275316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843" w:type="pct"/>
            <w:vAlign w:val="center"/>
          </w:tcPr>
          <w:p w14:paraId="3981A0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666" w:type="pct"/>
            <w:vAlign w:val="center"/>
          </w:tcPr>
          <w:p w14:paraId="3CE411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3F54BD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非正常情况下，本项目废气虽然能达标排放，但是污染物排放量增加了。为了保证废气长期稳定的达标排放，建设单位应定期对废气处理装置进行检修、维护，杜绝非正常排放的发生。本环评要求的去除效率保证措施如下：</w:t>
      </w:r>
    </w:p>
    <w:p w14:paraId="30ECC4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①保证设备密闭性、废气收集管道的气密性。</w:t>
      </w:r>
    </w:p>
    <w:p w14:paraId="0641C9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②加强对喷淋装置以及风机的日常检修与维护。</w:t>
      </w:r>
    </w:p>
    <w:p w14:paraId="24DA78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③定期对活性炭装置中的活性炭进行更换，保留更换记录，留档备查。</w:t>
      </w:r>
    </w:p>
    <w:p w14:paraId="6C508EE5">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5.2.2.3异味环境影响分析</w:t>
      </w:r>
    </w:p>
    <w:p w14:paraId="6986CBD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本项目恶臭物质主要是硫化氢。根据</w:t>
      </w:r>
      <w:r>
        <w:rPr>
          <w:rFonts w:ascii="Segoe UI" w:hAnsi="Segoe UI" w:eastAsia="Segoe UI" w:cs="Segoe UI"/>
          <w:color w:val="000000" w:themeColor="text1"/>
          <w:shd w:val="clear" w:color="auto" w:fill="FFFFFF"/>
          <w14:textFill>
            <w14:solidFill>
              <w14:schemeClr w14:val="tx1"/>
            </w14:solidFill>
          </w14:textFill>
        </w:rPr>
        <w:t>职业考试试题解析</w:t>
      </w:r>
      <w:r>
        <w:rPr>
          <w:rFonts w:hint="eastAsia"/>
          <w:color w:val="000000" w:themeColor="text1"/>
          <w14:textFill>
            <w14:solidFill>
              <w14:schemeClr w14:val="tx1"/>
            </w14:solidFill>
          </w14:textFill>
        </w:rPr>
        <w:t>标注硫化氢嗅阈值通常为0.01 - 0.1 ppm，该范围更贴近工业作业场景中普通人群的实际嗅觉感知水平，用于指导作业人员对硫化氢的初步风险判断，硫化氢的嗅阈值无绝对固定值，因区分感觉阈值和识别阈值，且受测试人群、标准方法差异影响，常见范围以ppm为单位集中在0.0005 - 0.03ppm，本环评取0.0005ppm进行异味评价。</w:t>
      </w:r>
    </w:p>
    <w:p w14:paraId="73460F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根据大气估算结果，有组织排放硫化氢最大落地浓度为0.3851</w:t>
      </w:r>
      <w:r>
        <w:rPr>
          <w:rFonts w:cs="Times New Roman"/>
          <w:color w:val="000000" w:themeColor="text1"/>
          <w14:textFill>
            <w14:solidFill>
              <w14:schemeClr w14:val="tx1"/>
            </w14:solidFill>
          </w14:textFill>
        </w:rPr>
        <w:t>μ</w:t>
      </w:r>
      <w:r>
        <w:rPr>
          <w:rFonts w:hint="eastAsia"/>
          <w:color w:val="000000" w:themeColor="text1"/>
          <w14:textFill>
            <w14:solidFill>
              <w14:schemeClr w14:val="tx1"/>
            </w14:solidFill>
          </w14:textFill>
        </w:rPr>
        <w:t>g/m³，无组织排放的硫化氢最大落地浓度为0.7926</w:t>
      </w:r>
      <w:r>
        <w:rPr>
          <w:rFonts w:cs="Times New Roman"/>
          <w:color w:val="000000" w:themeColor="text1"/>
          <w14:textFill>
            <w14:solidFill>
              <w14:schemeClr w14:val="tx1"/>
            </w14:solidFill>
          </w14:textFill>
        </w:rPr>
        <w:t>μ</w:t>
      </w:r>
      <w:r>
        <w:rPr>
          <w:rFonts w:hint="eastAsia"/>
          <w:color w:val="000000" w:themeColor="text1"/>
          <w14:textFill>
            <w14:solidFill>
              <w14:schemeClr w14:val="tx1"/>
            </w14:solidFill>
          </w14:textFill>
        </w:rPr>
        <w:t>g/m³，合计1.1777</w:t>
      </w:r>
      <w:r>
        <w:rPr>
          <w:rFonts w:cs="Times New Roman"/>
          <w:color w:val="000000" w:themeColor="text1"/>
          <w14:textFill>
            <w14:solidFill>
              <w14:schemeClr w14:val="tx1"/>
            </w14:solidFill>
          </w14:textFill>
        </w:rPr>
        <w:t>μ</w:t>
      </w:r>
      <w:r>
        <w:rPr>
          <w:rFonts w:hint="eastAsia"/>
          <w:color w:val="000000" w:themeColor="text1"/>
          <w14:textFill>
            <w14:solidFill>
              <w14:schemeClr w14:val="tx1"/>
            </w14:solidFill>
          </w14:textFill>
        </w:rPr>
        <w:t>g/m³。</w:t>
      </w:r>
    </w:p>
    <w:p w14:paraId="61BB7448">
      <w:pPr>
        <w:ind w:firstLine="480"/>
        <w:rPr>
          <w:color w:val="000000" w:themeColor="text1"/>
          <w14:textFill>
            <w14:solidFill>
              <w14:schemeClr w14:val="tx1"/>
            </w14:solidFill>
          </w14:textFill>
        </w:rPr>
      </w:pPr>
      <w:r>
        <w:rPr>
          <w:color w:val="000000" w:themeColor="text1"/>
          <w14:textFill>
            <w14:solidFill>
              <w14:schemeClr w14:val="tx1"/>
            </w14:solidFill>
          </w14:textFill>
        </w:rPr>
        <w:t>气体浓度（μg/m³ → ppm）换算公式</w:t>
      </w:r>
      <w:r>
        <w:rPr>
          <w:rFonts w:hint="eastAsia"/>
          <w:color w:val="000000" w:themeColor="text1"/>
          <w14:textFill>
            <w14:solidFill>
              <w14:schemeClr w14:val="tx1"/>
            </w14:solidFill>
          </w14:textFill>
        </w:rPr>
        <w:t>如下</w:t>
      </w:r>
      <w:r>
        <w:rPr>
          <w:color w:val="000000" w:themeColor="text1"/>
          <w14:textFill>
            <w14:solidFill>
              <w14:schemeClr w14:val="tx1"/>
            </w14:solidFill>
          </w14:textFill>
        </w:rPr>
        <w:t>：</w:t>
      </w:r>
    </w:p>
    <w:p w14:paraId="6F68C7FE">
      <w:pPr>
        <w:ind w:firstLine="480"/>
        <w:rPr>
          <w:color w:val="000000" w:themeColor="text1"/>
          <w14:textFill>
            <w14:solidFill>
              <w14:schemeClr w14:val="tx1"/>
            </w14:solidFill>
          </w14:textFill>
        </w:rPr>
      </w:pPr>
      <m:oMathPara>
        <m:oMath>
          <m:r>
            <m:rPr>
              <m:sty m:val="p"/>
            </m:rPr>
            <w:rPr>
              <w:rFonts w:hint="eastAsia" w:ascii="Cambria Math" w:hAnsi="Cambria Math"/>
              <w:color w:val="000000" w:themeColor="text1"/>
              <w14:textFill>
                <w14:solidFill>
                  <w14:schemeClr w14:val="tx1"/>
                </w14:solidFill>
              </w14:textFill>
            </w:rPr>
            <m:t>ppm</m:t>
          </m:r>
          <m:r>
            <m:rPr>
              <m:sty m:val="p"/>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r>
                <m:rPr>
                  <m:sty m:val="p"/>
                </m:rPr>
                <w:rPr>
                  <w:rFonts w:ascii="Cambria Math" w:hAnsi="Cambria Math"/>
                  <w:color w:val="000000" w:themeColor="text1"/>
                  <w14:textFill>
                    <w14:solidFill>
                      <w14:schemeClr w14:val="tx1"/>
                    </w14:solidFill>
                  </w14:textFill>
                </w:rPr>
                <m:t xml:space="preserve">质 量 浓 度 （ </m:t>
              </m:r>
              <m:r>
                <m:rPr>
                  <m:sty m:val="p"/>
                </m:rPr>
                <w:rPr>
                  <w:rFonts w:ascii="Cambria Math" w:hAnsi="Cambria Math" w:cs="Times New Roman"/>
                  <w:color w:val="000000" w:themeColor="text1"/>
                  <w14:textFill>
                    <w14:solidFill>
                      <w14:schemeClr w14:val="tx1"/>
                    </w14:solidFill>
                  </w14:textFill>
                </w:rPr>
                <m:t>μ</m:t>
              </m:r>
              <m:r>
                <m:rPr>
                  <m:sty m:val="p"/>
                </m:rPr>
                <w:rPr>
                  <w:rFonts w:hint="eastAsia" w:ascii="Cambria Math" w:hAnsi="Cambria Math"/>
                  <w:color w:val="000000" w:themeColor="text1"/>
                  <w14:textFill>
                    <w14:solidFill>
                      <w14:schemeClr w14:val="tx1"/>
                    </w14:solidFill>
                  </w14:textFill>
                </w:rPr>
                <m:t>g/m³</m:t>
              </m:r>
              <m:r>
                <m:rPr>
                  <m:sty m:val="p"/>
                </m:rPr>
                <w:rPr>
                  <w:rFonts w:ascii="Cambria Math" w:hAnsi="Cambria Math"/>
                  <w:color w:val="000000" w:themeColor="text1"/>
                  <w14:textFill>
                    <w14:solidFill>
                      <w14:schemeClr w14:val="tx1"/>
                    </w14:solidFill>
                  </w14:textFill>
                </w:rPr>
                <m:t xml:space="preserve"> ）</m:t>
              </m:r>
              <m:r>
                <m:rPr>
                  <m:sty m:val="p"/>
                </m:rPr>
                <w:rPr>
                  <w:rFonts w:hint="eastAsia" w:ascii="Cambria Math" w:hAnsi="Cambria Math"/>
                  <w:color w:val="000000" w:themeColor="text1"/>
                  <w14:textFill>
                    <w14:solidFill>
                      <w14:schemeClr w14:val="tx1"/>
                    </w14:solidFill>
                  </w14:textFill>
                </w:rPr>
                <m:t>×</m:t>
              </m:r>
              <m:r>
                <m:rPr>
                  <m:sty m:val="p"/>
                </m:rPr>
                <w:rPr>
                  <w:rFonts w:ascii="Cambria Math" w:hAnsi="Cambria Math"/>
                  <w:color w:val="000000" w:themeColor="text1"/>
                  <w14:textFill>
                    <w14:solidFill>
                      <w14:schemeClr w14:val="tx1"/>
                    </w14:solidFill>
                  </w14:textFill>
                </w:rPr>
                <m:t xml:space="preserve"> 气 体 摩 尔 体 积 （L/mol ）</m:t>
              </m:r>
              <m:ctrlPr>
                <w:rPr>
                  <w:rFonts w:ascii="Cambria Math" w:hAnsi="Cambria Math"/>
                  <w:i/>
                  <w:color w:val="000000" w:themeColor="text1"/>
                  <w14:textFill>
                    <w14:solidFill>
                      <w14:schemeClr w14:val="tx1"/>
                    </w14:solidFill>
                  </w14:textFill>
                </w:rPr>
              </m:ctrlPr>
            </m:num>
            <m:den>
              <m:r>
                <m:rPr>
                  <m:sty m:val="p"/>
                </m:rPr>
                <w:rPr>
                  <w:rFonts w:ascii="Cambria Math" w:hAnsi="Cambria Math"/>
                  <w:color w:val="000000" w:themeColor="text1"/>
                  <w14:textFill>
                    <w14:solidFill>
                      <w14:schemeClr w14:val="tx1"/>
                    </w14:solidFill>
                  </w14:textFill>
                </w:rPr>
                <m:t>摩尔质量</m:t>
              </m:r>
              <m:r>
                <m:rPr>
                  <m:sty m:val="p"/>
                </m:rPr>
                <w:rPr>
                  <w:rFonts w:hint="eastAsia" w:ascii="Cambria Math" w:hAnsi="Cambria Math"/>
                  <w:color w:val="000000" w:themeColor="text1"/>
                  <w14:textFill>
                    <w14:solidFill>
                      <w14:schemeClr w14:val="tx1"/>
                    </w14:solidFill>
                  </w14:textFill>
                </w:rPr>
                <m:t>（</m:t>
              </m:r>
              <m:r>
                <m:rPr>
                  <m:sty m:val="p"/>
                </m:rPr>
                <w:rPr>
                  <w:rFonts w:ascii="Cambria Math" w:hAnsi="Cambria Math"/>
                  <w:color w:val="000000" w:themeColor="text1"/>
                  <w14:textFill>
                    <w14:solidFill>
                      <w14:schemeClr w14:val="tx1"/>
                    </w14:solidFill>
                  </w14:textFill>
                </w:rPr>
                <m:t xml:space="preserve"> g/mol</m:t>
              </m:r>
              <m:r>
                <m:rPr>
                  <m:sty m:val="p"/>
                </m:rPr>
                <w:rPr>
                  <w:rFonts w:hint="eastAsia" w:ascii="Cambria Math" w:hAnsi="Cambria Math"/>
                  <w:color w:val="000000" w:themeColor="text1"/>
                  <w14:textFill>
                    <w14:solidFill>
                      <w14:schemeClr w14:val="tx1"/>
                    </w14:solidFill>
                  </w14:textFill>
                </w:rPr>
                <m:t>）×</m:t>
              </m:r>
              <m:r>
                <m:rPr>
                  <m:sty m:val="p"/>
                </m:rPr>
                <w:rPr>
                  <w:rFonts w:ascii="Cambria Math" w:hAnsi="Cambria Math"/>
                  <w:color w:val="000000" w:themeColor="text1"/>
                  <w14:textFill>
                    <w14:solidFill>
                      <w14:schemeClr w14:val="tx1"/>
                    </w14:solidFill>
                  </w14:textFill>
                </w:rPr>
                <m:t>1000</m:t>
              </m:r>
              <m:ctrlPr>
                <w:rPr>
                  <w:rFonts w:ascii="Cambria Math" w:hAnsi="Cambria Math"/>
                  <w:i/>
                  <w:color w:val="000000" w:themeColor="text1"/>
                  <w14:textFill>
                    <w14:solidFill>
                      <w14:schemeClr w14:val="tx1"/>
                    </w14:solidFill>
                  </w14:textFill>
                </w:rPr>
              </m:ctrlPr>
            </m:den>
          </m:f>
        </m:oMath>
      </m:oMathPara>
    </w:p>
    <w:p w14:paraId="21CD53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14:paraId="5D01D73D">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硫化氢（H₂S）摩尔质量：34.08 g/mol（H=1.008×2 + S=32.06）； </w:t>
      </w:r>
    </w:p>
    <w:p w14:paraId="2AAB1B53">
      <w:pPr>
        <w:ind w:firstLine="480"/>
        <w:rPr>
          <w:color w:val="000000" w:themeColor="text1"/>
          <w14:textFill>
            <w14:solidFill>
              <w14:schemeClr w14:val="tx1"/>
            </w14:solidFill>
          </w14:textFill>
        </w:rPr>
      </w:pPr>
      <w:r>
        <w:rPr>
          <w:color w:val="000000" w:themeColor="text1"/>
          <w14:textFill>
            <w14:solidFill>
              <w14:schemeClr w14:val="tx1"/>
            </w14:solidFill>
          </w14:textFill>
        </w:rPr>
        <w:t>常温（25℃）摩尔体积：24.5 L/mol</w:t>
      </w:r>
      <w:r>
        <w:rPr>
          <w:rFonts w:hint="eastAsia"/>
          <w:color w:val="000000" w:themeColor="text1"/>
          <w14:textFill>
            <w14:solidFill>
              <w14:schemeClr w14:val="tx1"/>
            </w14:solidFill>
          </w14:textFill>
        </w:rPr>
        <w:t>；</w:t>
      </w:r>
    </w:p>
    <w:p w14:paraId="014402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计算得本项目硫化氢最大感觉阈值为0.0008ppm。</w:t>
      </w:r>
    </w:p>
    <w:p w14:paraId="292700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根据上述计算结果，硫化氢最大落地浓度均低于人的嗅阈值，因此该项目在正常生产时恶臭污染物对周围环境影响较小。</w:t>
      </w:r>
    </w:p>
    <w:p w14:paraId="584A6EE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5.2.2.4大气防护距离</w:t>
      </w:r>
    </w:p>
    <w:p w14:paraId="3A8CD7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大气</w:t>
      </w:r>
      <w:r>
        <w:rPr>
          <w:rFonts w:hint="eastAsia"/>
          <w:color w:val="000000" w:themeColor="text1"/>
          <w14:textFill>
            <w14:solidFill>
              <w14:schemeClr w14:val="tx1"/>
            </w14:solidFill>
          </w14:textFill>
        </w:rPr>
        <w:t>环境影响</w:t>
      </w:r>
      <w:r>
        <w:rPr>
          <w:color w:val="000000" w:themeColor="text1"/>
          <w14:textFill>
            <w14:solidFill>
              <w14:schemeClr w14:val="tx1"/>
            </w14:solidFill>
          </w14:textFill>
        </w:rPr>
        <w:t>评价等级为二级，根据《环境影响评价技术导则-大气环境》（HJ2.2-2018），</w:t>
      </w:r>
      <w:r>
        <w:rPr>
          <w:rFonts w:hint="eastAsia"/>
          <w:color w:val="000000" w:themeColor="text1"/>
          <w14:textFill>
            <w14:solidFill>
              <w14:schemeClr w14:val="tx1"/>
            </w14:solidFill>
          </w14:textFill>
        </w:rPr>
        <w:t>无需</w:t>
      </w:r>
      <w:r>
        <w:rPr>
          <w:color w:val="000000" w:themeColor="text1"/>
          <w14:textFill>
            <w14:solidFill>
              <w14:schemeClr w14:val="tx1"/>
            </w14:solidFill>
          </w14:textFill>
        </w:rPr>
        <w:t>进行进一步预测和评价，</w:t>
      </w:r>
      <w:r>
        <w:rPr>
          <w:rFonts w:hint="eastAsia"/>
          <w:color w:val="000000" w:themeColor="text1"/>
          <w14:textFill>
            <w14:solidFill>
              <w14:schemeClr w14:val="tx1"/>
            </w14:solidFill>
          </w14:textFill>
        </w:rPr>
        <w:t>因此无需设置大气防护距离</w:t>
      </w:r>
      <w:r>
        <w:rPr>
          <w:color w:val="000000" w:themeColor="text1"/>
          <w14:textFill>
            <w14:solidFill>
              <w14:schemeClr w14:val="tx1"/>
            </w14:solidFill>
          </w14:textFill>
        </w:rPr>
        <w:t>。</w:t>
      </w:r>
    </w:p>
    <w:p w14:paraId="4839703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5.2.2.5排气筒高度设置的合理性分析</w:t>
      </w:r>
    </w:p>
    <w:p w14:paraId="5E92CC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气主要是投料粉尘、研磨废气、干燥废气、测试残渣处理废气和污水处理站废气，主要污染物为颗粒物、挥发性有机物（以非甲烷总烃表征）、硫化氢。本项目废气通过管道接入废气处理系统，经碱喷淋+除雾+活性炭吸附处理后通过15m高的排气筒排放。颗粒物、非甲烷总烃执行《大气污染物综合排放标准》（GB16297-1996）表2中二级标准限值。硫化氢排放速率执行《恶臭污染物排放标准》（GB 14554-93）中表2最高允许排放速率。</w:t>
      </w:r>
    </w:p>
    <w:p w14:paraId="40B50D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大气污染物综合排放标准》（GB16297-1996）：新污染源的排气筒一般不应低于15m；排气简高度除须遵守表列排放速率标准值外。还应高出周围200m半径范围的建筑5m以上。不能达到该要求的排气筒，应按其高度对应的表列排放速率标准值严格50%执行。根据《恶臭污染物排放标准》（GB 14554-93）排气筒一般不得低于15m。</w:t>
      </w:r>
    </w:p>
    <w:p w14:paraId="7CC84C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根据源强核算结果，本项目颗粒物、非甲烷总烃排放速率为0.0181kg/h，0.04kg/h，满足《大气污染物综合排放标准》（GB16297-1996）表2中二级标准限值颗粒物、非甲烷总烃排放速率为3.5kg/h，10kg/h。根据现场踏勘，本项目周围200m半径范围的建筑为云南捷辰包装材料有限公司已建成的生产厂房，厂房高度为8.15m，本项目排气筒高度为15m，高于厂房6.85m。</w:t>
      </w:r>
    </w:p>
    <w:p w14:paraId="2B1FFE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综上所述，本项目废气15m高的排气筒高度设置合理。</w:t>
      </w:r>
    </w:p>
    <w:p w14:paraId="0581694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5.2.2.6污染物排放量核算</w:t>
      </w:r>
    </w:p>
    <w:p w14:paraId="50B0D8CE">
      <w:pPr>
        <w:ind w:firstLine="480"/>
        <w:rPr>
          <w:color w:val="000000" w:themeColor="text1"/>
          <w14:textFill>
            <w14:solidFill>
              <w14:schemeClr w14:val="tx1"/>
            </w14:solidFill>
          </w14:textFill>
        </w:rPr>
      </w:pPr>
      <w:r>
        <w:rPr>
          <w:color w:val="000000" w:themeColor="text1"/>
          <w14:textFill>
            <w14:solidFill>
              <w14:schemeClr w14:val="tx1"/>
            </w14:solidFill>
          </w14:textFill>
        </w:rPr>
        <w:t>根据导则要求，二级评价不进行进一步预测和评价，</w:t>
      </w:r>
      <w:r>
        <w:rPr>
          <w:rFonts w:hint="eastAsia"/>
          <w:color w:val="000000" w:themeColor="text1"/>
          <w14:textFill>
            <w14:solidFill>
              <w14:schemeClr w14:val="tx1"/>
            </w14:solidFill>
          </w14:textFill>
        </w:rPr>
        <w:t>只对污染物的排放量进行核算。</w:t>
      </w:r>
    </w:p>
    <w:p w14:paraId="2B7A3506">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表5.2-6 大气污染物有组织排放量核算表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2D08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14:paraId="0A50E7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420" w:type="dxa"/>
            <w:vAlign w:val="center"/>
          </w:tcPr>
          <w:p w14:paraId="5CBB7B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tc>
        <w:tc>
          <w:tcPr>
            <w:tcW w:w="1420" w:type="dxa"/>
            <w:vAlign w:val="center"/>
          </w:tcPr>
          <w:p w14:paraId="1F7882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420" w:type="dxa"/>
            <w:vAlign w:val="center"/>
          </w:tcPr>
          <w:p w14:paraId="6D3C72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核算排放浓度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g/m³)</w:t>
            </w:r>
          </w:p>
        </w:tc>
        <w:tc>
          <w:tcPr>
            <w:tcW w:w="1421" w:type="dxa"/>
            <w:vAlign w:val="center"/>
          </w:tcPr>
          <w:p w14:paraId="42FB39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核算排放速率（kg/h）</w:t>
            </w:r>
          </w:p>
        </w:tc>
        <w:tc>
          <w:tcPr>
            <w:tcW w:w="1421" w:type="dxa"/>
            <w:vAlign w:val="center"/>
          </w:tcPr>
          <w:p w14:paraId="3AE2E2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核算年排放量（t/a）</w:t>
            </w:r>
          </w:p>
        </w:tc>
      </w:tr>
      <w:tr w14:paraId="33AA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32669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一般排放口</w:t>
            </w:r>
          </w:p>
        </w:tc>
      </w:tr>
      <w:tr w14:paraId="7D59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214FA3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20" w:type="dxa"/>
            <w:vMerge w:val="restart"/>
            <w:vAlign w:val="center"/>
          </w:tcPr>
          <w:p w14:paraId="0732CF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1420" w:type="dxa"/>
            <w:vAlign w:val="center"/>
          </w:tcPr>
          <w:p w14:paraId="43590E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20" w:type="dxa"/>
            <w:shd w:val="clear" w:color="auto" w:fill="auto"/>
            <w:vAlign w:val="center"/>
          </w:tcPr>
          <w:p w14:paraId="4AA094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421" w:type="dxa"/>
            <w:shd w:val="clear" w:color="auto" w:fill="auto"/>
            <w:vAlign w:val="center"/>
          </w:tcPr>
          <w:p w14:paraId="0D65C4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0.0181</w:t>
            </w:r>
          </w:p>
        </w:tc>
        <w:tc>
          <w:tcPr>
            <w:tcW w:w="1421" w:type="dxa"/>
            <w:shd w:val="clear" w:color="auto" w:fill="auto"/>
            <w:vAlign w:val="center"/>
          </w:tcPr>
          <w:p w14:paraId="1428D3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r>
      <w:tr w14:paraId="3E5E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CD67563">
            <w:pPr>
              <w:pStyle w:val="28"/>
              <w:rPr>
                <w:color w:val="000000" w:themeColor="text1"/>
                <w14:textFill>
                  <w14:solidFill>
                    <w14:schemeClr w14:val="tx1"/>
                  </w14:solidFill>
                </w14:textFill>
              </w:rPr>
            </w:pPr>
          </w:p>
        </w:tc>
        <w:tc>
          <w:tcPr>
            <w:tcW w:w="1420" w:type="dxa"/>
            <w:vMerge w:val="continue"/>
            <w:vAlign w:val="center"/>
          </w:tcPr>
          <w:p w14:paraId="2A62457C">
            <w:pPr>
              <w:pStyle w:val="28"/>
              <w:rPr>
                <w:color w:val="000000" w:themeColor="text1"/>
                <w14:textFill>
                  <w14:solidFill>
                    <w14:schemeClr w14:val="tx1"/>
                  </w14:solidFill>
                </w14:textFill>
              </w:rPr>
            </w:pPr>
          </w:p>
        </w:tc>
        <w:tc>
          <w:tcPr>
            <w:tcW w:w="1420" w:type="dxa"/>
            <w:vAlign w:val="center"/>
          </w:tcPr>
          <w:p w14:paraId="17107C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420" w:type="dxa"/>
            <w:shd w:val="clear" w:color="auto" w:fill="auto"/>
            <w:vAlign w:val="center"/>
          </w:tcPr>
          <w:p w14:paraId="6E911E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21" w:type="dxa"/>
            <w:shd w:val="clear" w:color="auto" w:fill="auto"/>
            <w:vAlign w:val="center"/>
          </w:tcPr>
          <w:p w14:paraId="504997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1421" w:type="dxa"/>
            <w:shd w:val="clear" w:color="auto" w:fill="auto"/>
            <w:vAlign w:val="center"/>
          </w:tcPr>
          <w:p w14:paraId="32493A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r w14:paraId="0803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C7656FE">
            <w:pPr>
              <w:pStyle w:val="28"/>
              <w:rPr>
                <w:color w:val="000000" w:themeColor="text1"/>
                <w14:textFill>
                  <w14:solidFill>
                    <w14:schemeClr w14:val="tx1"/>
                  </w14:solidFill>
                </w14:textFill>
              </w:rPr>
            </w:pPr>
          </w:p>
        </w:tc>
        <w:tc>
          <w:tcPr>
            <w:tcW w:w="1420" w:type="dxa"/>
            <w:vMerge w:val="continue"/>
            <w:vAlign w:val="center"/>
          </w:tcPr>
          <w:p w14:paraId="72F42F14">
            <w:pPr>
              <w:pStyle w:val="28"/>
              <w:rPr>
                <w:color w:val="000000" w:themeColor="text1"/>
                <w14:textFill>
                  <w14:solidFill>
                    <w14:schemeClr w14:val="tx1"/>
                  </w14:solidFill>
                </w14:textFill>
              </w:rPr>
            </w:pPr>
          </w:p>
        </w:tc>
        <w:tc>
          <w:tcPr>
            <w:tcW w:w="1420" w:type="dxa"/>
            <w:vAlign w:val="center"/>
          </w:tcPr>
          <w:p w14:paraId="1CBF06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420" w:type="dxa"/>
            <w:shd w:val="clear" w:color="auto" w:fill="auto"/>
            <w:vAlign w:val="center"/>
          </w:tcPr>
          <w:p w14:paraId="675CEC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1421" w:type="dxa"/>
            <w:shd w:val="clear" w:color="auto" w:fill="auto"/>
            <w:vAlign w:val="center"/>
          </w:tcPr>
          <w:p w14:paraId="72EBAE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w:t>
            </w:r>
          </w:p>
        </w:tc>
        <w:tc>
          <w:tcPr>
            <w:tcW w:w="1421" w:type="dxa"/>
            <w:shd w:val="clear" w:color="auto" w:fill="auto"/>
            <w:vAlign w:val="center"/>
          </w:tcPr>
          <w:p w14:paraId="56A160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r>
      <w:tr w14:paraId="63B2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68108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一般排放口合计</w:t>
            </w:r>
          </w:p>
        </w:tc>
        <w:tc>
          <w:tcPr>
            <w:tcW w:w="5681" w:type="dxa"/>
            <w:gridSpan w:val="4"/>
            <w:shd w:val="clear" w:color="auto" w:fill="auto"/>
            <w:vAlign w:val="center"/>
          </w:tcPr>
          <w:p w14:paraId="4F36E9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21" w:type="dxa"/>
            <w:shd w:val="clear" w:color="auto" w:fill="auto"/>
            <w:vAlign w:val="center"/>
          </w:tcPr>
          <w:p w14:paraId="08A602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r>
      <w:tr w14:paraId="0F7B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DC42DE5">
            <w:pPr>
              <w:pStyle w:val="28"/>
              <w:rPr>
                <w:color w:val="000000" w:themeColor="text1"/>
                <w14:textFill>
                  <w14:solidFill>
                    <w14:schemeClr w14:val="tx1"/>
                  </w14:solidFill>
                </w14:textFill>
              </w:rPr>
            </w:pPr>
          </w:p>
        </w:tc>
        <w:tc>
          <w:tcPr>
            <w:tcW w:w="5681" w:type="dxa"/>
            <w:gridSpan w:val="4"/>
            <w:shd w:val="clear" w:color="auto" w:fill="auto"/>
            <w:vAlign w:val="center"/>
          </w:tcPr>
          <w:p w14:paraId="4A219D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421" w:type="dxa"/>
            <w:shd w:val="clear" w:color="auto" w:fill="auto"/>
            <w:vAlign w:val="center"/>
          </w:tcPr>
          <w:p w14:paraId="06B2AB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r w14:paraId="7B7E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C6B25B7">
            <w:pPr>
              <w:pStyle w:val="28"/>
              <w:rPr>
                <w:color w:val="000000" w:themeColor="text1"/>
                <w14:textFill>
                  <w14:solidFill>
                    <w14:schemeClr w14:val="tx1"/>
                  </w14:solidFill>
                </w14:textFill>
              </w:rPr>
            </w:pPr>
          </w:p>
        </w:tc>
        <w:tc>
          <w:tcPr>
            <w:tcW w:w="5681" w:type="dxa"/>
            <w:gridSpan w:val="4"/>
            <w:shd w:val="clear" w:color="auto" w:fill="auto"/>
            <w:vAlign w:val="center"/>
          </w:tcPr>
          <w:p w14:paraId="55928F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421" w:type="dxa"/>
            <w:shd w:val="clear" w:color="auto" w:fill="auto"/>
            <w:vAlign w:val="center"/>
          </w:tcPr>
          <w:p w14:paraId="72993B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r>
    </w:tbl>
    <w:p w14:paraId="3A8E84A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表5.2-7  大气污染物无组织排放量核算表</w:t>
      </w:r>
    </w:p>
    <w:tbl>
      <w:tblPr>
        <w:tblStyle w:val="22"/>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68"/>
        <w:gridCol w:w="815"/>
        <w:gridCol w:w="660"/>
        <w:gridCol w:w="189"/>
        <w:gridCol w:w="1283"/>
        <w:gridCol w:w="2032"/>
        <w:gridCol w:w="1168"/>
        <w:gridCol w:w="1024"/>
      </w:tblGrid>
      <w:tr w14:paraId="1EFB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vAlign w:val="center"/>
          </w:tcPr>
          <w:p w14:paraId="0884FD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09" w:type="pct"/>
            <w:vMerge w:val="restart"/>
            <w:tcBorders>
              <w:tl2br w:val="nil"/>
              <w:tr2bl w:val="nil"/>
            </w:tcBorders>
            <w:vAlign w:val="center"/>
          </w:tcPr>
          <w:p w14:paraId="70FED0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tc>
        <w:tc>
          <w:tcPr>
            <w:tcW w:w="478" w:type="pct"/>
            <w:vMerge w:val="restart"/>
            <w:tcBorders>
              <w:tl2br w:val="nil"/>
              <w:tr2bl w:val="nil"/>
            </w:tcBorders>
            <w:vAlign w:val="center"/>
          </w:tcPr>
          <w:p w14:paraId="7A8807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c>
        <w:tc>
          <w:tcPr>
            <w:tcW w:w="498" w:type="pct"/>
            <w:gridSpan w:val="2"/>
            <w:vMerge w:val="restart"/>
            <w:tcBorders>
              <w:tl2br w:val="nil"/>
              <w:tr2bl w:val="nil"/>
            </w:tcBorders>
            <w:vAlign w:val="center"/>
          </w:tcPr>
          <w:p w14:paraId="4F95D5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753" w:type="pct"/>
            <w:vMerge w:val="restart"/>
            <w:tcBorders>
              <w:tl2br w:val="nil"/>
              <w:tr2bl w:val="nil"/>
            </w:tcBorders>
            <w:vAlign w:val="center"/>
          </w:tcPr>
          <w:p w14:paraId="423ED5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主要污染防治措施</w:t>
            </w:r>
          </w:p>
        </w:tc>
        <w:tc>
          <w:tcPr>
            <w:tcW w:w="1873" w:type="pct"/>
            <w:gridSpan w:val="2"/>
            <w:tcBorders>
              <w:tl2br w:val="nil"/>
              <w:tr2bl w:val="nil"/>
            </w:tcBorders>
            <w:vAlign w:val="center"/>
          </w:tcPr>
          <w:p w14:paraId="7F9074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国家或地方污染物排放标准</w:t>
            </w:r>
          </w:p>
        </w:tc>
        <w:tc>
          <w:tcPr>
            <w:tcW w:w="600" w:type="pct"/>
            <w:vMerge w:val="restart"/>
            <w:tcBorders>
              <w:tl2br w:val="nil"/>
              <w:tr2bl w:val="nil"/>
            </w:tcBorders>
            <w:vAlign w:val="center"/>
          </w:tcPr>
          <w:p w14:paraId="63C887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年排放量/（t/a）</w:t>
            </w:r>
          </w:p>
        </w:tc>
      </w:tr>
      <w:tr w14:paraId="0FEB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vAlign w:val="center"/>
          </w:tcPr>
          <w:p w14:paraId="30F35AEC">
            <w:pPr>
              <w:pStyle w:val="28"/>
              <w:rPr>
                <w:color w:val="000000" w:themeColor="text1"/>
                <w14:textFill>
                  <w14:solidFill>
                    <w14:schemeClr w14:val="tx1"/>
                  </w14:solidFill>
                </w14:textFill>
              </w:rPr>
            </w:pPr>
          </w:p>
        </w:tc>
        <w:tc>
          <w:tcPr>
            <w:tcW w:w="509" w:type="pct"/>
            <w:vMerge w:val="continue"/>
            <w:tcBorders>
              <w:tl2br w:val="nil"/>
              <w:tr2bl w:val="nil"/>
            </w:tcBorders>
            <w:vAlign w:val="center"/>
          </w:tcPr>
          <w:p w14:paraId="02F3E1A3">
            <w:pPr>
              <w:pStyle w:val="28"/>
              <w:rPr>
                <w:color w:val="000000" w:themeColor="text1"/>
                <w14:textFill>
                  <w14:solidFill>
                    <w14:schemeClr w14:val="tx1"/>
                  </w14:solidFill>
                </w14:textFill>
              </w:rPr>
            </w:pPr>
          </w:p>
        </w:tc>
        <w:tc>
          <w:tcPr>
            <w:tcW w:w="478" w:type="pct"/>
            <w:vMerge w:val="continue"/>
            <w:tcBorders>
              <w:tl2br w:val="nil"/>
              <w:tr2bl w:val="nil"/>
            </w:tcBorders>
            <w:vAlign w:val="center"/>
          </w:tcPr>
          <w:p w14:paraId="6123CBC8">
            <w:pPr>
              <w:pStyle w:val="28"/>
              <w:rPr>
                <w:color w:val="000000" w:themeColor="text1"/>
                <w14:textFill>
                  <w14:solidFill>
                    <w14:schemeClr w14:val="tx1"/>
                  </w14:solidFill>
                </w14:textFill>
              </w:rPr>
            </w:pPr>
          </w:p>
        </w:tc>
        <w:tc>
          <w:tcPr>
            <w:tcW w:w="498" w:type="pct"/>
            <w:gridSpan w:val="2"/>
            <w:vMerge w:val="continue"/>
            <w:tcBorders>
              <w:tl2br w:val="nil"/>
              <w:tr2bl w:val="nil"/>
            </w:tcBorders>
            <w:vAlign w:val="center"/>
          </w:tcPr>
          <w:p w14:paraId="354D9FE3">
            <w:pPr>
              <w:pStyle w:val="28"/>
              <w:rPr>
                <w:color w:val="000000" w:themeColor="text1"/>
                <w14:textFill>
                  <w14:solidFill>
                    <w14:schemeClr w14:val="tx1"/>
                  </w14:solidFill>
                </w14:textFill>
              </w:rPr>
            </w:pPr>
          </w:p>
        </w:tc>
        <w:tc>
          <w:tcPr>
            <w:tcW w:w="753" w:type="pct"/>
            <w:vMerge w:val="continue"/>
            <w:tcBorders>
              <w:tl2br w:val="nil"/>
              <w:tr2bl w:val="nil"/>
            </w:tcBorders>
            <w:vAlign w:val="center"/>
          </w:tcPr>
          <w:p w14:paraId="7DFB84FA">
            <w:pPr>
              <w:pStyle w:val="28"/>
              <w:rPr>
                <w:color w:val="000000" w:themeColor="text1"/>
                <w14:textFill>
                  <w14:solidFill>
                    <w14:schemeClr w14:val="tx1"/>
                  </w14:solidFill>
                </w14:textFill>
              </w:rPr>
            </w:pPr>
          </w:p>
        </w:tc>
        <w:tc>
          <w:tcPr>
            <w:tcW w:w="1192" w:type="pct"/>
            <w:tcBorders>
              <w:tl2br w:val="nil"/>
              <w:tr2bl w:val="nil"/>
            </w:tcBorders>
            <w:vAlign w:val="center"/>
          </w:tcPr>
          <w:p w14:paraId="35296F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标准名称</w:t>
            </w:r>
          </w:p>
        </w:tc>
        <w:tc>
          <w:tcPr>
            <w:tcW w:w="681" w:type="pct"/>
            <w:tcBorders>
              <w:tl2br w:val="nil"/>
              <w:tr2bl w:val="nil"/>
            </w:tcBorders>
            <w:vAlign w:val="center"/>
          </w:tcPr>
          <w:p w14:paraId="11B66E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浓度限值（m</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600" w:type="pct"/>
            <w:vMerge w:val="continue"/>
            <w:tcBorders>
              <w:tl2br w:val="nil"/>
              <w:tr2bl w:val="nil"/>
            </w:tcBorders>
            <w:vAlign w:val="center"/>
          </w:tcPr>
          <w:p w14:paraId="1EB7E57B">
            <w:pPr>
              <w:pStyle w:val="28"/>
              <w:rPr>
                <w:color w:val="000000" w:themeColor="text1"/>
                <w14:textFill>
                  <w14:solidFill>
                    <w14:schemeClr w14:val="tx1"/>
                  </w14:solidFill>
                </w14:textFill>
              </w:rPr>
            </w:pPr>
          </w:p>
        </w:tc>
      </w:tr>
      <w:tr w14:paraId="7E25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tl2br w:val="nil"/>
              <w:tr2bl w:val="nil"/>
            </w:tcBorders>
            <w:vAlign w:val="center"/>
          </w:tcPr>
          <w:p w14:paraId="53CAC7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9" w:type="pct"/>
            <w:tcBorders>
              <w:tl2br w:val="nil"/>
              <w:tr2bl w:val="nil"/>
            </w:tcBorders>
            <w:vAlign w:val="center"/>
          </w:tcPr>
          <w:p w14:paraId="25576E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78" w:type="pct"/>
            <w:tcBorders>
              <w:tl2br w:val="nil"/>
              <w:tr2bl w:val="nil"/>
            </w:tcBorders>
            <w:vAlign w:val="center"/>
          </w:tcPr>
          <w:p w14:paraId="263625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废水处理站废气</w:t>
            </w:r>
          </w:p>
        </w:tc>
        <w:tc>
          <w:tcPr>
            <w:tcW w:w="498" w:type="pct"/>
            <w:gridSpan w:val="2"/>
            <w:tcBorders>
              <w:tl2br w:val="nil"/>
              <w:tr2bl w:val="nil"/>
            </w:tcBorders>
            <w:vAlign w:val="center"/>
          </w:tcPr>
          <w:p w14:paraId="0657B6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753" w:type="pct"/>
            <w:tcBorders>
              <w:tl2br w:val="nil"/>
              <w:tr2bl w:val="nil"/>
            </w:tcBorders>
            <w:vAlign w:val="center"/>
          </w:tcPr>
          <w:p w14:paraId="6E107C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车间封闭、废水处理设施加盖封闭</w:t>
            </w:r>
          </w:p>
        </w:tc>
        <w:tc>
          <w:tcPr>
            <w:tcW w:w="1192" w:type="pct"/>
            <w:tcBorders>
              <w:tl2br w:val="nil"/>
              <w:tr2bl w:val="nil"/>
            </w:tcBorders>
            <w:vAlign w:val="center"/>
          </w:tcPr>
          <w:p w14:paraId="097411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《恶臭污染物排放标准》（GB14554-93）中表1标准值</w:t>
            </w:r>
          </w:p>
        </w:tc>
        <w:tc>
          <w:tcPr>
            <w:tcW w:w="681" w:type="pct"/>
            <w:tcBorders>
              <w:tl2br w:val="nil"/>
              <w:tr2bl w:val="nil"/>
            </w:tcBorders>
            <w:vAlign w:val="center"/>
          </w:tcPr>
          <w:p w14:paraId="44D07B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600" w:type="pct"/>
            <w:tcBorders>
              <w:tl2br w:val="nil"/>
              <w:tr2bl w:val="nil"/>
            </w:tcBorders>
            <w:vAlign w:val="center"/>
          </w:tcPr>
          <w:p w14:paraId="0D2922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r>
      <w:tr w14:paraId="68BC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14:paraId="7ED5BC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w:t>
            </w:r>
          </w:p>
        </w:tc>
      </w:tr>
      <w:tr w14:paraId="6EA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58" w:type="pct"/>
            <w:gridSpan w:val="4"/>
            <w:tcBorders>
              <w:tl2br w:val="nil"/>
              <w:tr2bl w:val="nil"/>
            </w:tcBorders>
            <w:vAlign w:val="center"/>
          </w:tcPr>
          <w:p w14:paraId="28E8E6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无组织排放总计</w:t>
            </w:r>
          </w:p>
        </w:tc>
        <w:tc>
          <w:tcPr>
            <w:tcW w:w="2741" w:type="pct"/>
            <w:gridSpan w:val="4"/>
            <w:tcBorders>
              <w:tl2br w:val="nil"/>
              <w:tr2bl w:val="nil"/>
            </w:tcBorders>
            <w:vAlign w:val="center"/>
          </w:tcPr>
          <w:p w14:paraId="09E65E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600" w:type="pct"/>
            <w:tcBorders>
              <w:tl2br w:val="nil"/>
              <w:tr2bl w:val="nil"/>
            </w:tcBorders>
            <w:vAlign w:val="center"/>
          </w:tcPr>
          <w:p w14:paraId="65CFC4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r>
    </w:tbl>
    <w:p w14:paraId="4424AE6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表5.2-8  大气污染物年排放量核算表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E87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E43D5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841" w:type="dxa"/>
          </w:tcPr>
          <w:p w14:paraId="1B59C4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2841" w:type="dxa"/>
          </w:tcPr>
          <w:p w14:paraId="5DC80C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排放量/（t/a）</w:t>
            </w:r>
          </w:p>
        </w:tc>
      </w:tr>
      <w:tr w14:paraId="670A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0288D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841" w:type="dxa"/>
            <w:shd w:val="clear" w:color="auto" w:fill="auto"/>
            <w:vAlign w:val="center"/>
          </w:tcPr>
          <w:p w14:paraId="4EBD45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2841" w:type="dxa"/>
            <w:shd w:val="clear" w:color="auto" w:fill="auto"/>
            <w:vAlign w:val="center"/>
          </w:tcPr>
          <w:p w14:paraId="4E27C7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r>
      <w:tr w14:paraId="5335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665FC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841" w:type="dxa"/>
            <w:shd w:val="clear" w:color="auto" w:fill="auto"/>
            <w:vAlign w:val="center"/>
          </w:tcPr>
          <w:p w14:paraId="61A199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2841" w:type="dxa"/>
            <w:shd w:val="clear" w:color="auto" w:fill="auto"/>
            <w:vAlign w:val="center"/>
          </w:tcPr>
          <w:p w14:paraId="0F9145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r w14:paraId="040B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3285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0" w:type="auto"/>
            <w:shd w:val="clear" w:color="auto" w:fill="auto"/>
            <w:vAlign w:val="center"/>
          </w:tcPr>
          <w:p w14:paraId="4942AB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0" w:type="auto"/>
            <w:shd w:val="clear" w:color="auto" w:fill="auto"/>
            <w:vAlign w:val="center"/>
          </w:tcPr>
          <w:p w14:paraId="1DB000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0.0055</w:t>
            </w:r>
          </w:p>
        </w:tc>
      </w:tr>
    </w:tbl>
    <w:p w14:paraId="5FBBD377">
      <w:pPr>
        <w:pStyle w:val="27"/>
        <w:rPr>
          <w:color w:val="000000" w:themeColor="text1"/>
          <w14:textFill>
            <w14:solidFill>
              <w14:schemeClr w14:val="tx1"/>
            </w14:solidFill>
          </w14:textFill>
        </w:rPr>
      </w:pPr>
    </w:p>
    <w:p w14:paraId="258C921C">
      <w:pPr>
        <w:pStyle w:val="27"/>
        <w:rPr>
          <w:color w:val="000000" w:themeColor="text1"/>
          <w14:textFill>
            <w14:solidFill>
              <w14:schemeClr w14:val="tx1"/>
            </w14:solidFill>
          </w14:textFill>
        </w:rPr>
      </w:pPr>
    </w:p>
    <w:p w14:paraId="43A9E21D">
      <w:pPr>
        <w:pStyle w:val="27"/>
        <w:rPr>
          <w:color w:val="000000" w:themeColor="text1"/>
          <w14:textFill>
            <w14:solidFill>
              <w14:schemeClr w14:val="tx1"/>
            </w14:solidFill>
          </w14:textFill>
        </w:rPr>
      </w:pPr>
    </w:p>
    <w:p w14:paraId="0A5417D3">
      <w:pPr>
        <w:pStyle w:val="27"/>
        <w:rPr>
          <w:color w:val="000000" w:themeColor="text1"/>
          <w14:textFill>
            <w14:solidFill>
              <w14:schemeClr w14:val="tx1"/>
            </w14:solidFill>
          </w14:textFill>
        </w:rPr>
      </w:pPr>
    </w:p>
    <w:p w14:paraId="602EE5D9">
      <w:pPr>
        <w:pStyle w:val="27"/>
        <w:rPr>
          <w:color w:val="000000" w:themeColor="text1"/>
          <w14:textFill>
            <w14:solidFill>
              <w14:schemeClr w14:val="tx1"/>
            </w14:solidFill>
          </w14:textFill>
        </w:rPr>
      </w:pPr>
    </w:p>
    <w:p w14:paraId="3D1A7CA1">
      <w:pPr>
        <w:pStyle w:val="27"/>
        <w:rPr>
          <w:color w:val="000000" w:themeColor="text1"/>
          <w14:textFill>
            <w14:solidFill>
              <w14:schemeClr w14:val="tx1"/>
            </w14:solidFill>
          </w14:textFill>
        </w:rPr>
      </w:pPr>
    </w:p>
    <w:p w14:paraId="3C2E83B5">
      <w:pPr>
        <w:pStyle w:val="27"/>
        <w:rPr>
          <w:color w:val="000000" w:themeColor="text1"/>
          <w14:textFill>
            <w14:solidFill>
              <w14:schemeClr w14:val="tx1"/>
            </w14:solidFill>
          </w14:textFill>
        </w:rPr>
      </w:pPr>
    </w:p>
    <w:p w14:paraId="40724FA4">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5.2-9  </w:t>
      </w:r>
      <w:r>
        <w:rPr>
          <w:color w:val="000000" w:themeColor="text1"/>
          <w14:textFill>
            <w14:solidFill>
              <w14:schemeClr w14:val="tx1"/>
            </w14:solidFill>
          </w14:textFill>
        </w:rPr>
        <w:t>污染源非正常排放量核算表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3"/>
        <w:gridCol w:w="1025"/>
        <w:gridCol w:w="537"/>
        <w:gridCol w:w="1195"/>
        <w:gridCol w:w="1010"/>
        <w:gridCol w:w="610"/>
        <w:gridCol w:w="511"/>
        <w:gridCol w:w="2365"/>
      </w:tblGrid>
      <w:tr w14:paraId="7BA0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14:paraId="7C661F24">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33" w:type="pct"/>
            <w:vAlign w:val="center"/>
          </w:tcPr>
          <w:p w14:paraId="74C59CBD">
            <w:pPr>
              <w:pStyle w:val="28"/>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629" w:type="pct"/>
            <w:vAlign w:val="center"/>
          </w:tcPr>
          <w:p w14:paraId="5C1AF7D1">
            <w:pPr>
              <w:pStyle w:val="28"/>
              <w:rPr>
                <w:color w:val="000000" w:themeColor="text1"/>
                <w14:textFill>
                  <w14:solidFill>
                    <w14:schemeClr w14:val="tx1"/>
                  </w14:solidFill>
                </w14:textFill>
              </w:rPr>
            </w:pPr>
            <w:r>
              <w:rPr>
                <w:color w:val="000000" w:themeColor="text1"/>
                <w14:textFill>
                  <w14:solidFill>
                    <w14:schemeClr w14:val="tx1"/>
                  </w14:solidFill>
                </w14:textFill>
              </w:rPr>
              <w:t>非正常排放原因</w:t>
            </w:r>
          </w:p>
        </w:tc>
        <w:tc>
          <w:tcPr>
            <w:tcW w:w="343" w:type="pct"/>
            <w:vAlign w:val="center"/>
          </w:tcPr>
          <w:p w14:paraId="11A20231">
            <w:pPr>
              <w:pStyle w:val="28"/>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582" w:type="pct"/>
            <w:vAlign w:val="center"/>
          </w:tcPr>
          <w:p w14:paraId="0F3ACF8C">
            <w:pPr>
              <w:pStyle w:val="28"/>
              <w:rPr>
                <w:color w:val="000000" w:themeColor="text1"/>
                <w14:textFill>
                  <w14:solidFill>
                    <w14:schemeClr w14:val="tx1"/>
                  </w14:solidFill>
                </w14:textFill>
              </w:rPr>
            </w:pPr>
            <w:r>
              <w:rPr>
                <w:color w:val="000000" w:themeColor="text1"/>
                <w14:textFill>
                  <w14:solidFill>
                    <w14:schemeClr w14:val="tx1"/>
                  </w14:solidFill>
                </w14:textFill>
              </w:rPr>
              <w:t>非正常排放浓度/</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513" w:type="pct"/>
            <w:vAlign w:val="center"/>
          </w:tcPr>
          <w:p w14:paraId="5E38D4BF">
            <w:pPr>
              <w:pStyle w:val="28"/>
              <w:rPr>
                <w:color w:val="000000" w:themeColor="text1"/>
                <w14:textFill>
                  <w14:solidFill>
                    <w14:schemeClr w14:val="tx1"/>
                  </w14:solidFill>
                </w14:textFill>
              </w:rPr>
            </w:pPr>
            <w:r>
              <w:rPr>
                <w:color w:val="000000" w:themeColor="text1"/>
                <w14:textFill>
                  <w14:solidFill>
                    <w14:schemeClr w14:val="tx1"/>
                  </w14:solidFill>
                </w14:textFill>
              </w:rPr>
              <w:t>非正常排放速率/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tc>
        <w:tc>
          <w:tcPr>
            <w:tcW w:w="386" w:type="pct"/>
            <w:vAlign w:val="center"/>
          </w:tcPr>
          <w:p w14:paraId="454687A4">
            <w:pPr>
              <w:pStyle w:val="28"/>
              <w:rPr>
                <w:color w:val="000000" w:themeColor="text1"/>
                <w14:textFill>
                  <w14:solidFill>
                    <w14:schemeClr w14:val="tx1"/>
                  </w14:solidFill>
                </w14:textFill>
              </w:rPr>
            </w:pPr>
            <w:r>
              <w:rPr>
                <w:color w:val="000000" w:themeColor="text1"/>
                <w14:textFill>
                  <w14:solidFill>
                    <w14:schemeClr w14:val="tx1"/>
                  </w14:solidFill>
                </w14:textFill>
              </w:rPr>
              <w:t>单次持续时间</w:t>
            </w:r>
            <w:r>
              <w:rPr>
                <w:rFonts w:hint="eastAsia"/>
                <w:color w:val="000000" w:themeColor="text1"/>
                <w14:textFill>
                  <w14:solidFill>
                    <w14:schemeClr w14:val="tx1"/>
                  </w14:solidFill>
                </w14:textFill>
              </w:rPr>
              <w:t>/h</w:t>
            </w:r>
          </w:p>
        </w:tc>
        <w:tc>
          <w:tcPr>
            <w:tcW w:w="328" w:type="pct"/>
            <w:vAlign w:val="center"/>
          </w:tcPr>
          <w:p w14:paraId="3DCE79C4">
            <w:pPr>
              <w:pStyle w:val="28"/>
              <w:rPr>
                <w:color w:val="000000" w:themeColor="text1"/>
                <w14:textFill>
                  <w14:solidFill>
                    <w14:schemeClr w14:val="tx1"/>
                  </w14:solidFill>
                </w14:textFill>
              </w:rPr>
            </w:pPr>
            <w:r>
              <w:rPr>
                <w:color w:val="000000" w:themeColor="text1"/>
                <w14:textFill>
                  <w14:solidFill>
                    <w14:schemeClr w14:val="tx1"/>
                  </w14:solidFill>
                </w14:textFill>
              </w:rPr>
              <w:t>年发生频次/次</w:t>
            </w:r>
          </w:p>
        </w:tc>
        <w:tc>
          <w:tcPr>
            <w:tcW w:w="1415" w:type="pct"/>
            <w:vAlign w:val="center"/>
          </w:tcPr>
          <w:p w14:paraId="35223037">
            <w:pPr>
              <w:pStyle w:val="28"/>
              <w:rPr>
                <w:color w:val="000000" w:themeColor="text1"/>
                <w14:textFill>
                  <w14:solidFill>
                    <w14:schemeClr w14:val="tx1"/>
                  </w14:solidFill>
                </w14:textFill>
              </w:rPr>
            </w:pPr>
            <w:r>
              <w:rPr>
                <w:color w:val="000000" w:themeColor="text1"/>
                <w14:textFill>
                  <w14:solidFill>
                    <w14:schemeClr w14:val="tx1"/>
                  </w14:solidFill>
                </w14:textFill>
              </w:rPr>
              <w:t>应对措施</w:t>
            </w:r>
          </w:p>
        </w:tc>
      </w:tr>
      <w:tr w14:paraId="0DE0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14:paraId="58D7D1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33" w:type="pct"/>
            <w:vAlign w:val="center"/>
          </w:tcPr>
          <w:p w14:paraId="6A86CF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研磨废气、干燥废气</w:t>
            </w:r>
          </w:p>
        </w:tc>
        <w:tc>
          <w:tcPr>
            <w:tcW w:w="629" w:type="pct"/>
            <w:vAlign w:val="center"/>
          </w:tcPr>
          <w:p w14:paraId="50E078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活性炭吸附饱和</w:t>
            </w:r>
          </w:p>
        </w:tc>
        <w:tc>
          <w:tcPr>
            <w:tcW w:w="343" w:type="pct"/>
            <w:vAlign w:val="center"/>
          </w:tcPr>
          <w:p w14:paraId="4E6D11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582" w:type="pct"/>
            <w:vAlign w:val="center"/>
          </w:tcPr>
          <w:p w14:paraId="493BDC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513" w:type="pct"/>
            <w:vAlign w:val="center"/>
          </w:tcPr>
          <w:p w14:paraId="187B9E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386" w:type="pct"/>
            <w:vAlign w:val="center"/>
          </w:tcPr>
          <w:p w14:paraId="59888F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28" w:type="pct"/>
            <w:vAlign w:val="center"/>
          </w:tcPr>
          <w:p w14:paraId="66EE02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15" w:type="pct"/>
            <w:vAlign w:val="center"/>
          </w:tcPr>
          <w:p w14:paraId="53D50D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①保证设备密闭性、废气收集管道的气密性。</w:t>
            </w:r>
          </w:p>
          <w:p w14:paraId="2F6EDD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②加强风机的日常检修与维护。</w:t>
            </w:r>
          </w:p>
          <w:p w14:paraId="4B3D68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③定期对活性炭装置中的活性炭进行更换，保留更换记录，留档备查</w:t>
            </w:r>
            <w:r>
              <w:rPr>
                <w:color w:val="000000" w:themeColor="text1"/>
                <w14:textFill>
                  <w14:solidFill>
                    <w14:schemeClr w14:val="tx1"/>
                  </w14:solidFill>
                </w14:textFill>
              </w:rPr>
              <w:t>。</w:t>
            </w:r>
          </w:p>
        </w:tc>
      </w:tr>
    </w:tbl>
    <w:p w14:paraId="6DBFBF4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5.2.2.7结论</w:t>
      </w:r>
    </w:p>
    <w:p w14:paraId="701A54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中的废气主要是投料粉尘、研磨废气、干燥废气、测试残渣处理废气和废水处理站废气。主要污染物为颗粒物、挥发性有机物、硫化氢。本项目采用密闭式生产装置，生产过程产生的投料粉尘、研磨废气、干燥废气通过管道接入废气处理系统，经碱喷淋+除雾+活性炭吸附处理后通过15m高的排气筒（DA0001）排放。测试残渣处理废气经通风橱收集后通过管道接入废气处理系统处理后通过DA001排气筒排放，污水处理站废气通过废水收集池封闭，池体上方设置集气罩+管道收集进入废气处理系统处理后通过DA001排气筒排放。通过采取本环评提出的污染治理措施处理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本项目有组织排放的颗粒物、非甲烷总烃排放浓度和排放速率满足《大气污染物综合排放标准》（GB16297－1996）表2新建污染源大气污染物排放二级排放标准限值，硫化氢排放速率满足《恶臭污染物排放标准》（GB 14554-93）。根据估算结果，本项目大气环境影响评价工作等级为二级。项目废气正常排放对周围大气环境及敏感点环境影响在可接受范围或程度内。本项目无需设置大气防护距离，排气筒高度设置合理。运营期排放的废气不会对周围环境产生大的影响，大气环境影响可接受，项目的建设不会改变周边环境质量。</w:t>
      </w:r>
    </w:p>
    <w:p w14:paraId="3D163170">
      <w:pPr>
        <w:pStyle w:val="4"/>
        <w:rPr>
          <w:color w:val="000000" w:themeColor="text1"/>
          <w14:textFill>
            <w14:solidFill>
              <w14:schemeClr w14:val="tx1"/>
            </w14:solidFill>
          </w14:textFill>
        </w:rPr>
      </w:pPr>
      <w:bookmarkStart w:id="95" w:name="_Toc19235"/>
      <w:r>
        <w:rPr>
          <w:rStyle w:val="34"/>
          <w:rFonts w:hint="eastAsia"/>
          <w:b/>
          <w:color w:val="000000" w:themeColor="text1"/>
          <w14:textFill>
            <w14:solidFill>
              <w14:schemeClr w14:val="tx1"/>
            </w14:solidFill>
          </w14:textFill>
        </w:rPr>
        <w:t>5.2.2</w:t>
      </w:r>
      <w:r>
        <w:rPr>
          <w:rFonts w:hint="eastAsia"/>
          <w:color w:val="000000" w:themeColor="text1"/>
          <w14:textFill>
            <w14:solidFill>
              <w14:schemeClr w14:val="tx1"/>
            </w14:solidFill>
          </w14:textFill>
        </w:rPr>
        <w:t>地表水环境影响评价</w:t>
      </w:r>
      <w:bookmarkEnd w:id="95"/>
    </w:p>
    <w:p w14:paraId="177365A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5.2.2.1废水产排情况</w:t>
      </w:r>
    </w:p>
    <w:p w14:paraId="410EF0C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废水主要是生活污水和生产废水，生产废水主要是纯水制备废水、测试器具清洗废水、车间拖把清洁废水、冷却水循环系统定期排污水。生产废水经自建一体化污水处理站处理达标后通过生产废水排放口（DW002）排入云南捷辰包装材料有限公司已建成的污水管网，与依托现有化粪池预处理后生活污水、车间拖把清洗废水一起通过云南捷辰包装材料有限公司以批复的排放口（DW001）排入市政污水管网，排入玉溪市污水处理厂</w:t>
      </w:r>
      <w:r>
        <w:rPr>
          <w:rFonts w:hint="eastAsia"/>
          <w:color w:val="000000" w:themeColor="text1"/>
          <w14:textFill>
            <w14:solidFill>
              <w14:schemeClr w14:val="tx1"/>
            </w14:solidFill>
          </w14:textFill>
        </w:rPr>
        <w:t>。</w:t>
      </w:r>
    </w:p>
    <w:p w14:paraId="75382F4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本项目用排水情况见下表。</w:t>
      </w:r>
    </w:p>
    <w:p w14:paraId="077B867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表5.2-10  本项目废水产排情况一览表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137"/>
        <w:gridCol w:w="1212"/>
        <w:gridCol w:w="4102"/>
        <w:gridCol w:w="1026"/>
      </w:tblGrid>
      <w:tr w14:paraId="590D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52B4F395">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用水环节</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0E935139">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用水量（m³/d）</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3226615D">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废水产生量（m³/d）</w:t>
            </w:r>
          </w:p>
        </w:tc>
        <w:tc>
          <w:tcPr>
            <w:tcW w:w="2406" w:type="pct"/>
            <w:tcBorders>
              <w:top w:val="single" w:color="auto" w:sz="4" w:space="0"/>
              <w:left w:val="single" w:color="auto" w:sz="4" w:space="0"/>
              <w:bottom w:val="single" w:color="auto" w:sz="4" w:space="0"/>
              <w:right w:val="single" w:color="auto" w:sz="4" w:space="0"/>
            </w:tcBorders>
            <w:shd w:val="clear" w:color="auto" w:fill="auto"/>
            <w:vAlign w:val="center"/>
          </w:tcPr>
          <w:p w14:paraId="389B4613">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处理措施</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3CD9491D">
            <w:pPr>
              <w:pStyle w:val="28"/>
              <w:rPr>
                <w:color w:val="000000" w:themeColor="text1"/>
                <w14:textFill>
                  <w14:solidFill>
                    <w14:schemeClr w14:val="tx1"/>
                  </w14:solidFill>
                </w14:textFill>
              </w:rPr>
            </w:pPr>
            <w:r>
              <w:rPr>
                <w:color w:val="000000" w:themeColor="text1"/>
                <w14:textFill>
                  <w14:solidFill>
                    <w14:schemeClr w14:val="tx1"/>
                  </w14:solidFill>
                </w14:textFill>
              </w:rPr>
              <w:t>排放量</w:t>
            </w:r>
          </w:p>
          <w:p w14:paraId="1421F4E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（m³/d）</w:t>
            </w:r>
          </w:p>
        </w:tc>
      </w:tr>
      <w:tr w14:paraId="4524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70F5B6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生活用水、车间拖把清洁用水</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6B279C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000979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1.44</w:t>
            </w:r>
          </w:p>
        </w:tc>
        <w:tc>
          <w:tcPr>
            <w:tcW w:w="2406" w:type="pct"/>
            <w:tcBorders>
              <w:top w:val="single" w:color="auto" w:sz="4" w:space="0"/>
              <w:left w:val="single" w:color="auto" w:sz="4" w:space="0"/>
              <w:bottom w:val="single" w:color="auto" w:sz="4" w:space="0"/>
              <w:right w:val="single" w:color="auto" w:sz="4" w:space="0"/>
            </w:tcBorders>
            <w:shd w:val="clear" w:color="auto" w:fill="auto"/>
            <w:vAlign w:val="center"/>
          </w:tcPr>
          <w:p w14:paraId="613E2C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租用厂房现有化粪池收集预处理后通过已批复的排放口DW001排至市政污水管网，最终进入玉溪市污水处理厂</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040A5B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1.44</w:t>
            </w:r>
          </w:p>
        </w:tc>
      </w:tr>
      <w:tr w14:paraId="447B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6EDF07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w:t>
            </w:r>
          </w:p>
        </w:tc>
        <w:tc>
          <w:tcPr>
            <w:tcW w:w="6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6FD0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0.535</w:t>
            </w:r>
          </w:p>
          <w:p w14:paraId="561A2A0B">
            <w:pPr>
              <w:pStyle w:val="28"/>
              <w:rPr>
                <w:color w:val="000000" w:themeColor="text1"/>
                <w14:textFill>
                  <w14:solidFill>
                    <w14:schemeClr w14:val="tx1"/>
                  </w14:solidFill>
                </w14:textFill>
              </w:rPr>
            </w:pP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14:paraId="01AB53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0.135</w:t>
            </w:r>
          </w:p>
        </w:tc>
        <w:tc>
          <w:tcPr>
            <w:tcW w:w="2406" w:type="pct"/>
            <w:vMerge w:val="restart"/>
            <w:tcBorders>
              <w:top w:val="single" w:color="auto" w:sz="4" w:space="0"/>
              <w:left w:val="single" w:color="auto" w:sz="4" w:space="0"/>
              <w:right w:val="single" w:color="auto" w:sz="4" w:space="0"/>
            </w:tcBorders>
            <w:shd w:val="clear" w:color="auto" w:fill="auto"/>
            <w:vAlign w:val="center"/>
          </w:tcPr>
          <w:p w14:paraId="7C1857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经自建一体化污水处理站处理达标后通过通过本项目排放口DW002排入租用厂房已建废水收集管网后通过已批复的排放口DW001排至市政污水管网，最终进入玉溪市污水处理厂</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6A1B21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0.135</w:t>
            </w:r>
          </w:p>
        </w:tc>
      </w:tr>
      <w:tr w14:paraId="3AB6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tcBorders>
              <w:left w:val="single" w:color="auto" w:sz="4" w:space="0"/>
              <w:bottom w:val="single" w:color="auto" w:sz="4" w:space="0"/>
              <w:right w:val="single" w:color="auto" w:sz="4" w:space="0"/>
            </w:tcBorders>
            <w:shd w:val="clear" w:color="auto" w:fill="auto"/>
            <w:vAlign w:val="center"/>
          </w:tcPr>
          <w:p w14:paraId="2A6CBC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测试器具清洗水</w:t>
            </w:r>
          </w:p>
        </w:tc>
        <w:tc>
          <w:tcPr>
            <w:tcW w:w="667" w:type="pct"/>
            <w:vMerge w:val="continue"/>
            <w:tcBorders>
              <w:left w:val="single" w:color="auto" w:sz="4" w:space="0"/>
              <w:bottom w:val="single" w:color="auto" w:sz="4" w:space="0"/>
              <w:right w:val="single" w:color="auto" w:sz="4" w:space="0"/>
            </w:tcBorders>
            <w:shd w:val="clear" w:color="auto" w:fill="auto"/>
            <w:vAlign w:val="center"/>
          </w:tcPr>
          <w:p w14:paraId="120A5EF9">
            <w:pPr>
              <w:pStyle w:val="28"/>
              <w:rPr>
                <w:color w:val="000000" w:themeColor="text1"/>
                <w14:textFill>
                  <w14:solidFill>
                    <w14:schemeClr w14:val="tx1"/>
                  </w14:solidFill>
                </w14:textFill>
              </w:rPr>
            </w:pPr>
          </w:p>
        </w:tc>
        <w:tc>
          <w:tcPr>
            <w:tcW w:w="711" w:type="pct"/>
            <w:tcBorders>
              <w:left w:val="single" w:color="auto" w:sz="4" w:space="0"/>
              <w:bottom w:val="single" w:color="auto" w:sz="4" w:space="0"/>
              <w:right w:val="single" w:color="auto" w:sz="4" w:space="0"/>
            </w:tcBorders>
            <w:shd w:val="clear" w:color="auto" w:fill="auto"/>
            <w:vAlign w:val="center"/>
          </w:tcPr>
          <w:p w14:paraId="30F801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0.32</w:t>
            </w:r>
          </w:p>
        </w:tc>
        <w:tc>
          <w:tcPr>
            <w:tcW w:w="2406" w:type="pct"/>
            <w:vMerge w:val="continue"/>
            <w:tcBorders>
              <w:left w:val="single" w:color="auto" w:sz="4" w:space="0"/>
              <w:bottom w:val="single" w:color="auto" w:sz="4" w:space="0"/>
              <w:right w:val="single" w:color="auto" w:sz="4" w:space="0"/>
            </w:tcBorders>
            <w:shd w:val="clear" w:color="auto" w:fill="auto"/>
            <w:vAlign w:val="center"/>
          </w:tcPr>
          <w:p w14:paraId="086C73B9">
            <w:pPr>
              <w:pStyle w:val="28"/>
              <w:rPr>
                <w:color w:val="000000" w:themeColor="text1"/>
                <w14:textFill>
                  <w14:solidFill>
                    <w14:schemeClr w14:val="tx1"/>
                  </w14:solidFill>
                </w14:textFill>
              </w:rPr>
            </w:pPr>
          </w:p>
        </w:tc>
        <w:tc>
          <w:tcPr>
            <w:tcW w:w="601" w:type="pct"/>
            <w:tcBorders>
              <w:left w:val="single" w:color="auto" w:sz="4" w:space="0"/>
              <w:bottom w:val="single" w:color="auto" w:sz="4" w:space="0"/>
              <w:right w:val="single" w:color="auto" w:sz="4" w:space="0"/>
            </w:tcBorders>
            <w:shd w:val="clear" w:color="auto" w:fill="auto"/>
            <w:vAlign w:val="center"/>
          </w:tcPr>
          <w:p w14:paraId="4E6D09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0.32</w:t>
            </w:r>
          </w:p>
        </w:tc>
      </w:tr>
      <w:tr w14:paraId="2987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747BAA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设备冷却水</w:t>
            </w:r>
          </w:p>
        </w:tc>
        <w:tc>
          <w:tcPr>
            <w:tcW w:w="667" w:type="pct"/>
            <w:shd w:val="clear" w:color="auto" w:fill="auto"/>
            <w:vAlign w:val="center"/>
          </w:tcPr>
          <w:p w14:paraId="6BF9A4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711" w:type="pct"/>
            <w:shd w:val="clear" w:color="auto" w:fill="auto"/>
            <w:vAlign w:val="center"/>
          </w:tcPr>
          <w:p w14:paraId="405435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406" w:type="pct"/>
            <w:shd w:val="clear" w:color="auto" w:fill="auto"/>
            <w:vAlign w:val="center"/>
          </w:tcPr>
          <w:p w14:paraId="709407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冷却水循环使用，定期排污水经自建污水处理站处理达标后通过本项目排放口DW002排入租用厂房已建废水收集管网后通过已批复的排放口DW001排至市政污水管网，最终进入玉溪市污水处理厂</w:t>
            </w:r>
          </w:p>
        </w:tc>
        <w:tc>
          <w:tcPr>
            <w:tcW w:w="601" w:type="pct"/>
            <w:shd w:val="clear" w:color="auto" w:fill="auto"/>
            <w:vAlign w:val="center"/>
          </w:tcPr>
          <w:p w14:paraId="329099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r>
      <w:tr w14:paraId="2286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59FCB0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喷淋用水</w:t>
            </w:r>
          </w:p>
        </w:tc>
        <w:tc>
          <w:tcPr>
            <w:tcW w:w="667" w:type="pct"/>
            <w:shd w:val="clear" w:color="auto" w:fill="auto"/>
            <w:vAlign w:val="center"/>
          </w:tcPr>
          <w:p w14:paraId="259A1C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711" w:type="pct"/>
            <w:shd w:val="clear" w:color="auto" w:fill="auto"/>
            <w:vAlign w:val="center"/>
          </w:tcPr>
          <w:p w14:paraId="35816E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06" w:type="pct"/>
            <w:shd w:val="clear" w:color="auto" w:fill="auto"/>
            <w:vAlign w:val="center"/>
          </w:tcPr>
          <w:p w14:paraId="1508F1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喷淋水循环使用</w:t>
            </w:r>
          </w:p>
        </w:tc>
        <w:tc>
          <w:tcPr>
            <w:tcW w:w="601" w:type="pct"/>
            <w:shd w:val="clear" w:color="auto" w:fill="auto"/>
            <w:vAlign w:val="center"/>
          </w:tcPr>
          <w:p w14:paraId="6848DF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2362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shd w:val="clear" w:color="auto" w:fill="auto"/>
            <w:vAlign w:val="center"/>
          </w:tcPr>
          <w:p w14:paraId="3326E9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67" w:type="pct"/>
            <w:shd w:val="clear" w:color="auto" w:fill="auto"/>
            <w:vAlign w:val="center"/>
          </w:tcPr>
          <w:p w14:paraId="7F4966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11.135</w:t>
            </w:r>
          </w:p>
        </w:tc>
        <w:tc>
          <w:tcPr>
            <w:tcW w:w="711" w:type="pct"/>
            <w:shd w:val="clear" w:color="auto" w:fill="auto"/>
            <w:vAlign w:val="center"/>
          </w:tcPr>
          <w:p w14:paraId="60C708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4.695</w:t>
            </w:r>
          </w:p>
        </w:tc>
        <w:tc>
          <w:tcPr>
            <w:tcW w:w="2406" w:type="pct"/>
            <w:shd w:val="clear" w:color="auto" w:fill="auto"/>
            <w:vAlign w:val="center"/>
          </w:tcPr>
          <w:p w14:paraId="3F3349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1" w:type="pct"/>
            <w:shd w:val="clear" w:color="auto" w:fill="auto"/>
            <w:vAlign w:val="center"/>
          </w:tcPr>
          <w:p w14:paraId="5CD1E3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3.695</w:t>
            </w:r>
          </w:p>
        </w:tc>
      </w:tr>
    </w:tbl>
    <w:p w14:paraId="41E45415">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5.2.2.2废水外排可行性分析</w:t>
      </w:r>
    </w:p>
    <w:p w14:paraId="6F7A908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1、废水排放方式可行性分析</w:t>
      </w:r>
    </w:p>
    <w:p w14:paraId="4C068DC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本项目废水分为生产废水及生活污水。项目位于玉溪高新技术产业园区，根据《玉溪高新技术产业开发区总体规划修编（2021~2035）》及《玉溪高新技术产业开发区总体规划修编（2021~2035）环境影响报告书》中园区</w:t>
      </w:r>
      <w:r>
        <w:rPr>
          <w:b/>
          <w:bCs/>
          <w:color w:val="000000" w:themeColor="text1"/>
          <w14:textFill>
            <w14:solidFill>
              <w14:schemeClr w14:val="tx1"/>
            </w14:solidFill>
          </w14:textFill>
        </w:rPr>
        <w:t>核心区排水工程规划</w:t>
      </w:r>
      <w:r>
        <w:rPr>
          <w:color w:val="000000" w:themeColor="text1"/>
          <w14:textFill>
            <w14:solidFill>
              <w14:schemeClr w14:val="tx1"/>
            </w14:solidFill>
          </w14:textFill>
        </w:rPr>
        <w:t>：</w:t>
      </w:r>
    </w:p>
    <w:p w14:paraId="32795712">
      <w:pPr>
        <w:ind w:firstLine="480"/>
        <w:rPr>
          <w:color w:val="000000" w:themeColor="text1"/>
          <w14:textFill>
            <w14:solidFill>
              <w14:schemeClr w14:val="tx1"/>
            </w14:solidFill>
          </w14:textFill>
        </w:rPr>
      </w:pPr>
      <w:r>
        <w:rPr>
          <w:color w:val="000000" w:themeColor="text1"/>
          <w14:textFill>
            <w14:solidFill>
              <w14:schemeClr w14:val="tx1"/>
            </w14:solidFill>
          </w14:textFill>
        </w:rPr>
        <w:t>污水工程规划：规划采用雨、污分流排水体制。划分排水区域，沿主要干道敷设污水干管，生活污水直接排入污水处理厂，工业生产废水应预先在厂区内部综合回收利用，并进行预处理后达标排放，排入城市管网中应符合《污水排入城镇下水道水质标准》(GB/T31962-2015)的要求。生活污水和处理达标后的工业废水最后排入玉溪市第一污水处理厂。</w:t>
      </w:r>
    </w:p>
    <w:p w14:paraId="740E103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本项目位于玉溪高新技术产业园区核心区，根据园区规划，本项目生产废水</w:t>
      </w:r>
      <w:r>
        <w:rPr>
          <w:rFonts w:hint="eastAsia"/>
          <w:color w:val="000000" w:themeColor="text1"/>
          <w14:textFill>
            <w14:solidFill>
              <w14:schemeClr w14:val="tx1"/>
            </w14:solidFill>
          </w14:textFill>
        </w:rPr>
        <w:t>收集后</w:t>
      </w:r>
      <w:r>
        <w:rPr>
          <w:color w:val="000000" w:themeColor="text1"/>
          <w14:textFill>
            <w14:solidFill>
              <w14:schemeClr w14:val="tx1"/>
            </w14:solidFill>
          </w14:textFill>
        </w:rPr>
        <w:t>经自建废水处理站处理达标，满足《电子工业水污染物排放标准》（GB39731-2020）电子专用材料间接排放标准、《污水排入城镇下水道水质标准》（GB/T31962-2015）中表1 A等级标准及《污水综合排放标准》（GB8978-1996）表4三级的要求后排入市政污水管网进城市污水处理厂处理；生活污水经化粪池处理后排入市政管网城市污水处理厂处理。项目生产废水及生活污水排放方式符合园区规划及规划环评要求，排放方式合理。</w:t>
      </w:r>
    </w:p>
    <w:p w14:paraId="5A914DD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2、废水达标排放可行性</w:t>
      </w:r>
    </w:p>
    <w:p w14:paraId="2F10D9B6">
      <w:pPr>
        <w:ind w:firstLine="480"/>
        <w:rPr>
          <w:color w:val="000000" w:themeColor="text1"/>
          <w14:textFill>
            <w14:solidFill>
              <w14:schemeClr w14:val="tx1"/>
            </w14:solidFill>
          </w14:textFill>
        </w:rPr>
      </w:pPr>
      <w:r>
        <w:rPr>
          <w:color w:val="000000" w:themeColor="text1"/>
          <w14:textFill>
            <w14:solidFill>
              <w14:schemeClr w14:val="tx1"/>
            </w14:solidFill>
          </w14:textFill>
        </w:rPr>
        <w:t>生产废水以 SS、COD、TP、盐分为主，无强毒性、难降解特征污染物，pH 调节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混凝沉淀对 SS、TP、硫化物去除效率高，对COD有稳定削减，一体化废水污水处理处理效率COD≥40%，SS≥90%，TP≥60%，硫化物≥90%，工艺选择合理可行</w:t>
      </w:r>
      <w:r>
        <w:rPr>
          <w:rFonts w:hint="eastAsia"/>
          <w:color w:val="000000" w:themeColor="text1"/>
          <w14:textFill>
            <w14:solidFill>
              <w14:schemeClr w14:val="tx1"/>
            </w14:solidFill>
          </w14:textFill>
        </w:rPr>
        <w:t>，根据源强核算结果，本项目经自建一体化污水处理站处理后的废水污染物排放浓度均可满足《电子工业水污染物排放标准》（GB39731-2020）电子专用材料间接排放标准、《污水排入城镇下水道水质标准》（GB/T31962-2015）中表1 A等级标准及《污水综合排放标准》（GB8978-1996）表4三级标准后，排入玉溪市城市污水处理厂处理。</w:t>
      </w:r>
    </w:p>
    <w:p w14:paraId="347CF0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生活污水、车间拖把清洗废水通过</w:t>
      </w:r>
      <w:r>
        <w:rPr>
          <w:color w:val="000000" w:themeColor="text1"/>
          <w14:textFill>
            <w14:solidFill>
              <w14:schemeClr w14:val="tx1"/>
            </w14:solidFill>
          </w14:textFill>
        </w:rPr>
        <w:t>化粪池通过物理沉淀和厌氧发酵分解污水中的有机物，降低污染物浓度，初步实现固液分离</w:t>
      </w:r>
      <w:r>
        <w:rPr>
          <w:rFonts w:hint="eastAsia"/>
          <w:color w:val="000000" w:themeColor="text1"/>
          <w14:textFill>
            <w14:solidFill>
              <w14:schemeClr w14:val="tx1"/>
            </w14:solidFill>
          </w14:textFill>
        </w:rPr>
        <w:t>，根据类比监测数据可知，化粪池对SS的处理效率为70%，、CODcr的处理效率为53%，BOD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的处理效率为34%，氨氮的处理效率为70%，粪大肠菌群的处理效率为27%。经化粪池处理后生活污水与车间拖把清洁废水满足《污水排入城镇下水道水质标准》（GB/T31962-2015）A等级标准及《污水综合排放标准》（GB8978-1996）三级排放标准。</w:t>
      </w:r>
    </w:p>
    <w:p w14:paraId="7DFD2AE9">
      <w:pPr>
        <w:pStyle w:val="27"/>
        <w:rPr>
          <w:rFonts w:hint="eastAsia"/>
          <w:color w:val="000000" w:themeColor="text1"/>
          <w14:textFill>
            <w14:solidFill>
              <w14:schemeClr w14:val="tx1"/>
            </w14:solidFill>
          </w14:textFill>
        </w:rPr>
      </w:pPr>
    </w:p>
    <w:p w14:paraId="6953E9D4">
      <w:pPr>
        <w:pStyle w:val="27"/>
        <w:rPr>
          <w:rFonts w:hint="eastAsia"/>
          <w:color w:val="000000" w:themeColor="text1"/>
          <w14:textFill>
            <w14:solidFill>
              <w14:schemeClr w14:val="tx1"/>
            </w14:solidFill>
          </w14:textFill>
        </w:rPr>
      </w:pPr>
    </w:p>
    <w:p w14:paraId="6E54C413">
      <w:pPr>
        <w:pStyle w:val="27"/>
        <w:rPr>
          <w:rFonts w:hint="eastAsia"/>
          <w:color w:val="000000" w:themeColor="text1"/>
          <w14:textFill>
            <w14:solidFill>
              <w14:schemeClr w14:val="tx1"/>
            </w14:solidFill>
          </w14:textFill>
        </w:rPr>
      </w:pPr>
    </w:p>
    <w:p w14:paraId="102E1A91">
      <w:pPr>
        <w:pStyle w:val="27"/>
        <w:rPr>
          <w:rFonts w:hint="eastAsia"/>
          <w:color w:val="000000" w:themeColor="text1"/>
          <w14:textFill>
            <w14:solidFill>
              <w14:schemeClr w14:val="tx1"/>
            </w14:solidFill>
          </w14:textFill>
        </w:rPr>
      </w:pPr>
    </w:p>
    <w:p w14:paraId="7FC2D735">
      <w:pPr>
        <w:pStyle w:val="27"/>
        <w:rPr>
          <w:rFonts w:hint="eastAsia"/>
          <w:color w:val="000000" w:themeColor="text1"/>
          <w14:textFill>
            <w14:solidFill>
              <w14:schemeClr w14:val="tx1"/>
            </w14:solidFill>
          </w14:textFill>
        </w:rPr>
      </w:pPr>
    </w:p>
    <w:p w14:paraId="0A78A083">
      <w:pPr>
        <w:pStyle w:val="27"/>
        <w:rPr>
          <w:rFonts w:hint="eastAsia"/>
          <w:color w:val="000000" w:themeColor="text1"/>
          <w14:textFill>
            <w14:solidFill>
              <w14:schemeClr w14:val="tx1"/>
            </w14:solidFill>
          </w14:textFill>
        </w:rPr>
      </w:pPr>
    </w:p>
    <w:p w14:paraId="382D33E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表5.2-11 本项目外排废水达标判定结果一览表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018"/>
        <w:gridCol w:w="1548"/>
        <w:gridCol w:w="1275"/>
        <w:gridCol w:w="1221"/>
        <w:gridCol w:w="1091"/>
        <w:gridCol w:w="725"/>
      </w:tblGrid>
      <w:tr w14:paraId="03DA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 w:type="pct"/>
            <w:vMerge w:val="restart"/>
            <w:shd w:val="clear" w:color="auto" w:fill="auto"/>
            <w:vAlign w:val="center"/>
          </w:tcPr>
          <w:p w14:paraId="392D98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废水种类</w:t>
            </w:r>
          </w:p>
        </w:tc>
        <w:tc>
          <w:tcPr>
            <w:tcW w:w="597" w:type="pct"/>
            <w:vMerge w:val="restart"/>
            <w:shd w:val="clear" w:color="auto" w:fill="auto"/>
            <w:vAlign w:val="center"/>
          </w:tcPr>
          <w:p w14:paraId="253AE1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2372" w:type="pct"/>
            <w:gridSpan w:val="3"/>
            <w:vAlign w:val="center"/>
          </w:tcPr>
          <w:p w14:paraId="5ED7C1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废水排放情况</w:t>
            </w:r>
          </w:p>
        </w:tc>
        <w:tc>
          <w:tcPr>
            <w:tcW w:w="640" w:type="pct"/>
            <w:vMerge w:val="restart"/>
            <w:vAlign w:val="center"/>
          </w:tcPr>
          <w:p w14:paraId="161605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标准限值（</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425" w:type="pct"/>
            <w:vMerge w:val="restart"/>
            <w:vAlign w:val="center"/>
          </w:tcPr>
          <w:p w14:paraId="65CCFB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2E4B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5F2A45D4">
            <w:pPr>
              <w:pStyle w:val="28"/>
              <w:rPr>
                <w:color w:val="000000" w:themeColor="text1"/>
                <w14:textFill>
                  <w14:solidFill>
                    <w14:schemeClr w14:val="tx1"/>
                  </w14:solidFill>
                </w14:textFill>
              </w:rPr>
            </w:pPr>
          </w:p>
        </w:tc>
        <w:tc>
          <w:tcPr>
            <w:tcW w:w="597" w:type="pct"/>
            <w:vMerge w:val="continue"/>
            <w:shd w:val="clear" w:color="auto" w:fill="auto"/>
            <w:vAlign w:val="center"/>
          </w:tcPr>
          <w:p w14:paraId="73C5ADAE">
            <w:pPr>
              <w:pStyle w:val="28"/>
              <w:rPr>
                <w:color w:val="000000" w:themeColor="text1"/>
                <w14:textFill>
                  <w14:solidFill>
                    <w14:schemeClr w14:val="tx1"/>
                  </w14:solidFill>
                </w14:textFill>
              </w:rPr>
            </w:pPr>
          </w:p>
        </w:tc>
        <w:tc>
          <w:tcPr>
            <w:tcW w:w="908" w:type="pct"/>
            <w:shd w:val="clear" w:color="auto" w:fill="auto"/>
            <w:vAlign w:val="center"/>
          </w:tcPr>
          <w:p w14:paraId="01A4D9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748" w:type="pct"/>
            <w:shd w:val="clear" w:color="auto" w:fill="auto"/>
            <w:vAlign w:val="center"/>
          </w:tcPr>
          <w:p w14:paraId="2C4B50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716" w:type="pct"/>
            <w:shd w:val="clear" w:color="auto" w:fill="auto"/>
            <w:vAlign w:val="center"/>
          </w:tcPr>
          <w:p w14:paraId="604B8C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640" w:type="pct"/>
            <w:vMerge w:val="continue"/>
            <w:vAlign w:val="center"/>
          </w:tcPr>
          <w:p w14:paraId="4D680D2E">
            <w:pPr>
              <w:pStyle w:val="28"/>
              <w:rPr>
                <w:color w:val="000000" w:themeColor="text1"/>
                <w14:textFill>
                  <w14:solidFill>
                    <w14:schemeClr w14:val="tx1"/>
                  </w14:solidFill>
                </w14:textFill>
              </w:rPr>
            </w:pPr>
          </w:p>
        </w:tc>
        <w:tc>
          <w:tcPr>
            <w:tcW w:w="425" w:type="pct"/>
            <w:vMerge w:val="continue"/>
            <w:vAlign w:val="center"/>
          </w:tcPr>
          <w:p w14:paraId="2BCE8EDB">
            <w:pPr>
              <w:pStyle w:val="28"/>
              <w:rPr>
                <w:color w:val="000000" w:themeColor="text1"/>
                <w14:textFill>
                  <w14:solidFill>
                    <w14:schemeClr w14:val="tx1"/>
                  </w14:solidFill>
                </w14:textFill>
              </w:rPr>
            </w:pPr>
          </w:p>
        </w:tc>
      </w:tr>
      <w:tr w14:paraId="6E0B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vAlign w:val="center"/>
          </w:tcPr>
          <w:p w14:paraId="13F127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纯水制备废水</w:t>
            </w:r>
          </w:p>
        </w:tc>
        <w:tc>
          <w:tcPr>
            <w:tcW w:w="597" w:type="pct"/>
            <w:shd w:val="clear" w:color="auto" w:fill="auto"/>
            <w:vAlign w:val="center"/>
          </w:tcPr>
          <w:p w14:paraId="2588286B">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08" w:type="pct"/>
            <w:shd w:val="clear" w:color="auto" w:fill="auto"/>
          </w:tcPr>
          <w:p w14:paraId="738347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9.936</w:t>
            </w:r>
          </w:p>
        </w:tc>
        <w:tc>
          <w:tcPr>
            <w:tcW w:w="748" w:type="pct"/>
            <w:shd w:val="clear" w:color="auto" w:fill="auto"/>
          </w:tcPr>
          <w:p w14:paraId="0E5D76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716" w:type="pct"/>
            <w:shd w:val="clear" w:color="auto" w:fill="auto"/>
          </w:tcPr>
          <w:p w14:paraId="3295B5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0.0002 </w:t>
            </w:r>
          </w:p>
        </w:tc>
        <w:tc>
          <w:tcPr>
            <w:tcW w:w="640" w:type="pct"/>
            <w:vAlign w:val="center"/>
          </w:tcPr>
          <w:p w14:paraId="345271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425" w:type="pct"/>
            <w:vAlign w:val="center"/>
          </w:tcPr>
          <w:p w14:paraId="59E981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D6B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restart"/>
            <w:shd w:val="clear" w:color="auto" w:fill="auto"/>
            <w:vAlign w:val="center"/>
          </w:tcPr>
          <w:p w14:paraId="3C8722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w:t>
            </w:r>
          </w:p>
        </w:tc>
        <w:tc>
          <w:tcPr>
            <w:tcW w:w="597" w:type="pct"/>
            <w:shd w:val="clear" w:color="auto" w:fill="auto"/>
            <w:vAlign w:val="center"/>
          </w:tcPr>
          <w:p w14:paraId="27548E62">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908" w:type="pct"/>
            <w:shd w:val="clear" w:color="auto" w:fill="auto"/>
          </w:tcPr>
          <w:p w14:paraId="71E711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748" w:type="pct"/>
            <w:shd w:val="clear" w:color="auto" w:fill="auto"/>
          </w:tcPr>
          <w:p w14:paraId="489FFB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420</w:t>
            </w:r>
          </w:p>
        </w:tc>
        <w:tc>
          <w:tcPr>
            <w:tcW w:w="716" w:type="pct"/>
            <w:shd w:val="clear" w:color="auto" w:fill="auto"/>
          </w:tcPr>
          <w:p w14:paraId="3C7BF7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0.0101 </w:t>
            </w:r>
          </w:p>
        </w:tc>
        <w:tc>
          <w:tcPr>
            <w:tcW w:w="640" w:type="pct"/>
            <w:vAlign w:val="center"/>
          </w:tcPr>
          <w:p w14:paraId="7AD9AB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425" w:type="pct"/>
            <w:vAlign w:val="center"/>
          </w:tcPr>
          <w:p w14:paraId="0B97E6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E1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01744542">
            <w:pPr>
              <w:pStyle w:val="28"/>
              <w:rPr>
                <w:color w:val="000000" w:themeColor="text1"/>
                <w14:textFill>
                  <w14:solidFill>
                    <w14:schemeClr w14:val="tx1"/>
                  </w14:solidFill>
                </w14:textFill>
              </w:rPr>
            </w:pPr>
          </w:p>
        </w:tc>
        <w:tc>
          <w:tcPr>
            <w:tcW w:w="597" w:type="pct"/>
            <w:shd w:val="clear" w:color="auto" w:fill="auto"/>
            <w:vAlign w:val="center"/>
          </w:tcPr>
          <w:p w14:paraId="6491B08B">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08" w:type="pct"/>
            <w:shd w:val="clear" w:color="auto" w:fill="auto"/>
          </w:tcPr>
          <w:p w14:paraId="442EAD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748" w:type="pct"/>
            <w:shd w:val="clear" w:color="auto" w:fill="auto"/>
          </w:tcPr>
          <w:p w14:paraId="4DD02B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716" w:type="pct"/>
            <w:shd w:val="clear" w:color="auto" w:fill="auto"/>
          </w:tcPr>
          <w:p w14:paraId="4625C7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0.0022 </w:t>
            </w:r>
          </w:p>
        </w:tc>
        <w:tc>
          <w:tcPr>
            <w:tcW w:w="640" w:type="pct"/>
            <w:vAlign w:val="center"/>
          </w:tcPr>
          <w:p w14:paraId="3275A6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425" w:type="pct"/>
            <w:vAlign w:val="center"/>
          </w:tcPr>
          <w:p w14:paraId="668241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10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4A99BB4D">
            <w:pPr>
              <w:pStyle w:val="28"/>
              <w:rPr>
                <w:color w:val="000000" w:themeColor="text1"/>
                <w14:textFill>
                  <w14:solidFill>
                    <w14:schemeClr w14:val="tx1"/>
                  </w14:solidFill>
                </w14:textFill>
              </w:rPr>
            </w:pPr>
          </w:p>
        </w:tc>
        <w:tc>
          <w:tcPr>
            <w:tcW w:w="597" w:type="pct"/>
            <w:shd w:val="clear" w:color="auto" w:fill="auto"/>
            <w:vAlign w:val="center"/>
          </w:tcPr>
          <w:p w14:paraId="06B35F2E">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908" w:type="pct"/>
            <w:shd w:val="clear" w:color="auto" w:fill="auto"/>
          </w:tcPr>
          <w:p w14:paraId="2A5711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748" w:type="pct"/>
            <w:shd w:val="clear" w:color="auto" w:fill="auto"/>
          </w:tcPr>
          <w:p w14:paraId="695662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716" w:type="pct"/>
            <w:shd w:val="clear" w:color="auto" w:fill="auto"/>
          </w:tcPr>
          <w:p w14:paraId="32000B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0.00001 </w:t>
            </w:r>
          </w:p>
        </w:tc>
        <w:tc>
          <w:tcPr>
            <w:tcW w:w="640" w:type="pct"/>
            <w:vAlign w:val="center"/>
          </w:tcPr>
          <w:p w14:paraId="46B76A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25" w:type="pct"/>
            <w:shd w:val="clear" w:color="auto" w:fill="auto"/>
            <w:vAlign w:val="center"/>
          </w:tcPr>
          <w:p w14:paraId="05797F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88E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564E9CC8">
            <w:pPr>
              <w:pStyle w:val="28"/>
              <w:rPr>
                <w:color w:val="000000" w:themeColor="text1"/>
                <w14:textFill>
                  <w14:solidFill>
                    <w14:schemeClr w14:val="tx1"/>
                  </w14:solidFill>
                </w14:textFill>
              </w:rPr>
            </w:pPr>
          </w:p>
        </w:tc>
        <w:tc>
          <w:tcPr>
            <w:tcW w:w="597" w:type="pct"/>
            <w:shd w:val="clear" w:color="auto" w:fill="auto"/>
            <w:vAlign w:val="center"/>
          </w:tcPr>
          <w:p w14:paraId="20E175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908" w:type="pct"/>
            <w:shd w:val="clear" w:color="auto" w:fill="auto"/>
          </w:tcPr>
          <w:p w14:paraId="04740E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748" w:type="pct"/>
            <w:shd w:val="clear" w:color="auto" w:fill="auto"/>
          </w:tcPr>
          <w:p w14:paraId="736410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16" w:type="pct"/>
            <w:shd w:val="clear" w:color="auto" w:fill="auto"/>
          </w:tcPr>
          <w:p w14:paraId="60CCE4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0.00002 </w:t>
            </w:r>
          </w:p>
        </w:tc>
        <w:tc>
          <w:tcPr>
            <w:tcW w:w="640" w:type="pct"/>
            <w:vAlign w:val="center"/>
          </w:tcPr>
          <w:p w14:paraId="2F70EE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25" w:type="pct"/>
            <w:shd w:val="clear" w:color="auto" w:fill="auto"/>
            <w:vAlign w:val="center"/>
          </w:tcPr>
          <w:p w14:paraId="1A6826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7E1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4" w:type="pct"/>
            <w:vMerge w:val="restart"/>
            <w:shd w:val="clear" w:color="auto" w:fill="auto"/>
            <w:vAlign w:val="center"/>
          </w:tcPr>
          <w:p w14:paraId="043A60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597" w:type="pct"/>
            <w:shd w:val="clear" w:color="auto" w:fill="auto"/>
            <w:vAlign w:val="center"/>
          </w:tcPr>
          <w:p w14:paraId="4EA316EA">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908" w:type="pct"/>
            <w:shd w:val="clear" w:color="auto" w:fill="auto"/>
          </w:tcPr>
          <w:p w14:paraId="61B2E8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748" w:type="pct"/>
            <w:shd w:val="clear" w:color="auto" w:fill="auto"/>
          </w:tcPr>
          <w:p w14:paraId="279E7E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83.5</w:t>
            </w:r>
          </w:p>
        </w:tc>
        <w:tc>
          <w:tcPr>
            <w:tcW w:w="716" w:type="pct"/>
            <w:shd w:val="clear" w:color="auto" w:fill="auto"/>
          </w:tcPr>
          <w:p w14:paraId="0662FE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0.0361 </w:t>
            </w:r>
          </w:p>
        </w:tc>
        <w:tc>
          <w:tcPr>
            <w:tcW w:w="640" w:type="pct"/>
            <w:vAlign w:val="center"/>
          </w:tcPr>
          <w:p w14:paraId="1EBCA0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425" w:type="pct"/>
            <w:shd w:val="clear" w:color="auto" w:fill="auto"/>
            <w:vAlign w:val="center"/>
          </w:tcPr>
          <w:p w14:paraId="45548E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9AA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734DD597">
            <w:pPr>
              <w:pStyle w:val="28"/>
              <w:rPr>
                <w:color w:val="000000" w:themeColor="text1"/>
                <w14:textFill>
                  <w14:solidFill>
                    <w14:schemeClr w14:val="tx1"/>
                  </w14:solidFill>
                </w14:textFill>
              </w:rPr>
            </w:pPr>
          </w:p>
        </w:tc>
        <w:tc>
          <w:tcPr>
            <w:tcW w:w="597" w:type="pct"/>
            <w:shd w:val="clear" w:color="auto" w:fill="auto"/>
            <w:vAlign w:val="center"/>
          </w:tcPr>
          <w:p w14:paraId="0C07EB22">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908" w:type="pct"/>
            <w:shd w:val="clear" w:color="auto" w:fill="auto"/>
          </w:tcPr>
          <w:p w14:paraId="26D432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748" w:type="pct"/>
            <w:shd w:val="clear" w:color="auto" w:fill="auto"/>
          </w:tcPr>
          <w:p w14:paraId="35AC8A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45.35</w:t>
            </w:r>
          </w:p>
        </w:tc>
        <w:tc>
          <w:tcPr>
            <w:tcW w:w="716" w:type="pct"/>
            <w:shd w:val="clear" w:color="auto" w:fill="auto"/>
          </w:tcPr>
          <w:p w14:paraId="375C89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0.0196 </w:t>
            </w:r>
          </w:p>
        </w:tc>
        <w:tc>
          <w:tcPr>
            <w:tcW w:w="640" w:type="pct"/>
            <w:vAlign w:val="center"/>
          </w:tcPr>
          <w:p w14:paraId="741CE7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425" w:type="pct"/>
            <w:shd w:val="clear" w:color="auto" w:fill="auto"/>
            <w:vAlign w:val="center"/>
          </w:tcPr>
          <w:p w14:paraId="13DFBE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DFA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0015E732">
            <w:pPr>
              <w:pStyle w:val="28"/>
              <w:rPr>
                <w:color w:val="000000" w:themeColor="text1"/>
                <w14:textFill>
                  <w14:solidFill>
                    <w14:schemeClr w14:val="tx1"/>
                  </w14:solidFill>
                </w14:textFill>
              </w:rPr>
            </w:pPr>
          </w:p>
        </w:tc>
        <w:tc>
          <w:tcPr>
            <w:tcW w:w="597" w:type="pct"/>
            <w:shd w:val="clear" w:color="auto" w:fill="auto"/>
            <w:vAlign w:val="center"/>
          </w:tcPr>
          <w:p w14:paraId="63532089">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08" w:type="pct"/>
            <w:shd w:val="clear" w:color="auto" w:fill="auto"/>
          </w:tcPr>
          <w:p w14:paraId="07140A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748" w:type="pct"/>
            <w:shd w:val="clear" w:color="auto" w:fill="auto"/>
          </w:tcPr>
          <w:p w14:paraId="26E4AD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16" w:type="pct"/>
            <w:shd w:val="clear" w:color="auto" w:fill="auto"/>
          </w:tcPr>
          <w:p w14:paraId="2DE45D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0.0030 </w:t>
            </w:r>
          </w:p>
        </w:tc>
        <w:tc>
          <w:tcPr>
            <w:tcW w:w="640" w:type="pct"/>
            <w:vAlign w:val="center"/>
          </w:tcPr>
          <w:p w14:paraId="2CEFB3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425" w:type="pct"/>
            <w:shd w:val="clear" w:color="auto" w:fill="auto"/>
            <w:vAlign w:val="center"/>
          </w:tcPr>
          <w:p w14:paraId="02D484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EF4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737AD3D5">
            <w:pPr>
              <w:pStyle w:val="28"/>
              <w:rPr>
                <w:color w:val="000000" w:themeColor="text1"/>
                <w14:textFill>
                  <w14:solidFill>
                    <w14:schemeClr w14:val="tx1"/>
                  </w14:solidFill>
                </w14:textFill>
              </w:rPr>
            </w:pPr>
          </w:p>
        </w:tc>
        <w:tc>
          <w:tcPr>
            <w:tcW w:w="597" w:type="pct"/>
            <w:shd w:val="clear" w:color="auto" w:fill="auto"/>
            <w:vAlign w:val="center"/>
          </w:tcPr>
          <w:p w14:paraId="4A1D882A">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908" w:type="pct"/>
            <w:shd w:val="clear" w:color="auto" w:fill="auto"/>
          </w:tcPr>
          <w:p w14:paraId="69FDA1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432</w:t>
            </w:r>
          </w:p>
        </w:tc>
        <w:tc>
          <w:tcPr>
            <w:tcW w:w="748" w:type="pct"/>
            <w:shd w:val="clear" w:color="auto" w:fill="auto"/>
          </w:tcPr>
          <w:p w14:paraId="4234260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14.075</w:t>
            </w:r>
          </w:p>
        </w:tc>
        <w:tc>
          <w:tcPr>
            <w:tcW w:w="716" w:type="pct"/>
            <w:shd w:val="clear" w:color="auto" w:fill="auto"/>
          </w:tcPr>
          <w:p w14:paraId="65A4F4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0.0061 </w:t>
            </w:r>
          </w:p>
        </w:tc>
        <w:tc>
          <w:tcPr>
            <w:tcW w:w="640" w:type="pct"/>
            <w:vAlign w:val="center"/>
          </w:tcPr>
          <w:p w14:paraId="043DFD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425" w:type="pct"/>
            <w:shd w:val="clear" w:color="auto" w:fill="auto"/>
            <w:vAlign w:val="center"/>
          </w:tcPr>
          <w:p w14:paraId="5921C0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E8D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vAlign w:val="center"/>
          </w:tcPr>
          <w:p w14:paraId="74964A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w:t>
            </w:r>
          </w:p>
        </w:tc>
        <w:tc>
          <w:tcPr>
            <w:tcW w:w="597" w:type="pct"/>
            <w:shd w:val="clear" w:color="auto" w:fill="auto"/>
            <w:vAlign w:val="center"/>
          </w:tcPr>
          <w:p w14:paraId="44ADE64F">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08" w:type="pct"/>
            <w:shd w:val="clear" w:color="auto" w:fill="auto"/>
            <w:vAlign w:val="center"/>
          </w:tcPr>
          <w:p w14:paraId="5E6939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48" w:type="pct"/>
            <w:shd w:val="clear" w:color="auto" w:fill="auto"/>
            <w:vAlign w:val="center"/>
          </w:tcPr>
          <w:p w14:paraId="05C7CE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16" w:type="pct"/>
            <w:shd w:val="clear" w:color="auto" w:fill="auto"/>
            <w:vAlign w:val="center"/>
          </w:tcPr>
          <w:p w14:paraId="5D5794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0.00009</w:t>
            </w:r>
          </w:p>
        </w:tc>
        <w:tc>
          <w:tcPr>
            <w:tcW w:w="640" w:type="pct"/>
            <w:vAlign w:val="center"/>
          </w:tcPr>
          <w:p w14:paraId="03F756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425" w:type="pct"/>
            <w:shd w:val="clear" w:color="auto" w:fill="auto"/>
            <w:vAlign w:val="center"/>
          </w:tcPr>
          <w:p w14:paraId="42AEFF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39A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restart"/>
            <w:shd w:val="clear" w:color="auto" w:fill="auto"/>
            <w:vAlign w:val="center"/>
          </w:tcPr>
          <w:p w14:paraId="596E07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综合废水</w:t>
            </w:r>
          </w:p>
        </w:tc>
        <w:tc>
          <w:tcPr>
            <w:tcW w:w="597" w:type="pct"/>
            <w:shd w:val="clear" w:color="auto" w:fill="auto"/>
            <w:vAlign w:val="center"/>
          </w:tcPr>
          <w:p w14:paraId="6D173007">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908" w:type="pct"/>
            <w:shd w:val="clear" w:color="auto" w:fill="auto"/>
          </w:tcPr>
          <w:p w14:paraId="2D9A6A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17E4BD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98.77</w:t>
            </w:r>
          </w:p>
        </w:tc>
        <w:tc>
          <w:tcPr>
            <w:tcW w:w="716" w:type="pct"/>
            <w:shd w:val="clear" w:color="auto" w:fill="auto"/>
            <w:vAlign w:val="center"/>
          </w:tcPr>
          <w:p w14:paraId="3D4342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0.0462</w:t>
            </w:r>
          </w:p>
        </w:tc>
        <w:tc>
          <w:tcPr>
            <w:tcW w:w="640" w:type="pct"/>
            <w:shd w:val="clear" w:color="auto" w:fill="auto"/>
            <w:vAlign w:val="center"/>
          </w:tcPr>
          <w:p w14:paraId="5866B4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425" w:type="pct"/>
            <w:shd w:val="clear" w:color="auto" w:fill="auto"/>
            <w:vAlign w:val="center"/>
          </w:tcPr>
          <w:p w14:paraId="772C25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052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021D0654">
            <w:pPr>
              <w:pStyle w:val="28"/>
              <w:rPr>
                <w:color w:val="000000" w:themeColor="text1"/>
                <w14:textFill>
                  <w14:solidFill>
                    <w14:schemeClr w14:val="tx1"/>
                  </w14:solidFill>
                </w14:textFill>
              </w:rPr>
            </w:pPr>
          </w:p>
        </w:tc>
        <w:tc>
          <w:tcPr>
            <w:tcW w:w="597" w:type="pct"/>
            <w:shd w:val="clear" w:color="auto" w:fill="auto"/>
            <w:vAlign w:val="center"/>
          </w:tcPr>
          <w:p w14:paraId="2E88887A">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908" w:type="pct"/>
            <w:shd w:val="clear" w:color="auto" w:fill="auto"/>
          </w:tcPr>
          <w:p w14:paraId="46E880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609660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41.92</w:t>
            </w:r>
          </w:p>
        </w:tc>
        <w:tc>
          <w:tcPr>
            <w:tcW w:w="716" w:type="pct"/>
            <w:shd w:val="clear" w:color="auto" w:fill="auto"/>
            <w:vAlign w:val="center"/>
          </w:tcPr>
          <w:p w14:paraId="03F768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0.0196</w:t>
            </w:r>
          </w:p>
        </w:tc>
        <w:tc>
          <w:tcPr>
            <w:tcW w:w="640" w:type="pct"/>
            <w:shd w:val="clear" w:color="auto" w:fill="auto"/>
            <w:vAlign w:val="center"/>
          </w:tcPr>
          <w:p w14:paraId="456F88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425" w:type="pct"/>
            <w:shd w:val="clear" w:color="auto" w:fill="auto"/>
            <w:vAlign w:val="center"/>
          </w:tcPr>
          <w:p w14:paraId="62DB40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33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49443E9A">
            <w:pPr>
              <w:pStyle w:val="28"/>
              <w:rPr>
                <w:color w:val="000000" w:themeColor="text1"/>
                <w14:textFill>
                  <w14:solidFill>
                    <w14:schemeClr w14:val="tx1"/>
                  </w14:solidFill>
                </w14:textFill>
              </w:rPr>
            </w:pPr>
          </w:p>
        </w:tc>
        <w:tc>
          <w:tcPr>
            <w:tcW w:w="597" w:type="pct"/>
            <w:shd w:val="clear" w:color="auto" w:fill="auto"/>
            <w:vAlign w:val="center"/>
          </w:tcPr>
          <w:p w14:paraId="5A22761B">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08" w:type="pct"/>
            <w:shd w:val="clear" w:color="auto" w:fill="auto"/>
          </w:tcPr>
          <w:p w14:paraId="7719D3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34DAAD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11.58</w:t>
            </w:r>
          </w:p>
        </w:tc>
        <w:tc>
          <w:tcPr>
            <w:tcW w:w="716" w:type="pct"/>
            <w:shd w:val="clear" w:color="auto" w:fill="auto"/>
            <w:vAlign w:val="center"/>
          </w:tcPr>
          <w:p w14:paraId="44373C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0.0054</w:t>
            </w:r>
          </w:p>
        </w:tc>
        <w:tc>
          <w:tcPr>
            <w:tcW w:w="640" w:type="pct"/>
            <w:shd w:val="clear" w:color="auto" w:fill="auto"/>
            <w:vAlign w:val="center"/>
          </w:tcPr>
          <w:p w14:paraId="1624C9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425" w:type="pct"/>
            <w:shd w:val="clear" w:color="auto" w:fill="auto"/>
            <w:vAlign w:val="center"/>
          </w:tcPr>
          <w:p w14:paraId="1C48DC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9CD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0CE4A484">
            <w:pPr>
              <w:pStyle w:val="28"/>
              <w:rPr>
                <w:color w:val="000000" w:themeColor="text1"/>
                <w14:textFill>
                  <w14:solidFill>
                    <w14:schemeClr w14:val="tx1"/>
                  </w14:solidFill>
                </w14:textFill>
              </w:rPr>
            </w:pPr>
          </w:p>
        </w:tc>
        <w:tc>
          <w:tcPr>
            <w:tcW w:w="597" w:type="pct"/>
            <w:shd w:val="clear" w:color="auto" w:fill="auto"/>
            <w:vAlign w:val="center"/>
          </w:tcPr>
          <w:p w14:paraId="3A880191">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908" w:type="pct"/>
            <w:shd w:val="clear" w:color="auto" w:fill="auto"/>
          </w:tcPr>
          <w:p w14:paraId="0EB0F8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363C5A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13.04</w:t>
            </w:r>
          </w:p>
        </w:tc>
        <w:tc>
          <w:tcPr>
            <w:tcW w:w="716" w:type="pct"/>
            <w:shd w:val="clear" w:color="auto" w:fill="auto"/>
            <w:vAlign w:val="center"/>
          </w:tcPr>
          <w:p w14:paraId="446783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0.0061</w:t>
            </w:r>
          </w:p>
        </w:tc>
        <w:tc>
          <w:tcPr>
            <w:tcW w:w="640" w:type="pct"/>
            <w:shd w:val="clear" w:color="auto" w:fill="auto"/>
            <w:vAlign w:val="center"/>
          </w:tcPr>
          <w:p w14:paraId="522286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425" w:type="pct"/>
            <w:shd w:val="clear" w:color="auto" w:fill="auto"/>
            <w:vAlign w:val="center"/>
          </w:tcPr>
          <w:p w14:paraId="1184AC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C07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3A886CA8">
            <w:pPr>
              <w:pStyle w:val="28"/>
              <w:rPr>
                <w:color w:val="000000" w:themeColor="text1"/>
                <w14:textFill>
                  <w14:solidFill>
                    <w14:schemeClr w14:val="tx1"/>
                  </w14:solidFill>
                </w14:textFill>
              </w:rPr>
            </w:pPr>
          </w:p>
        </w:tc>
        <w:tc>
          <w:tcPr>
            <w:tcW w:w="597" w:type="pct"/>
            <w:shd w:val="clear" w:color="auto" w:fill="auto"/>
            <w:vAlign w:val="center"/>
          </w:tcPr>
          <w:p w14:paraId="1EBD3802">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908" w:type="pct"/>
            <w:shd w:val="clear" w:color="auto" w:fill="auto"/>
          </w:tcPr>
          <w:p w14:paraId="5C1A69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7C4BB6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0.021</w:t>
            </w:r>
          </w:p>
        </w:tc>
        <w:tc>
          <w:tcPr>
            <w:tcW w:w="716" w:type="pct"/>
            <w:shd w:val="clear" w:color="auto" w:fill="auto"/>
            <w:vAlign w:val="center"/>
          </w:tcPr>
          <w:p w14:paraId="7FB154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c>
          <w:tcPr>
            <w:tcW w:w="640" w:type="pct"/>
            <w:vAlign w:val="center"/>
          </w:tcPr>
          <w:p w14:paraId="5105A3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25" w:type="pct"/>
            <w:shd w:val="clear" w:color="auto" w:fill="auto"/>
            <w:vAlign w:val="center"/>
          </w:tcPr>
          <w:p w14:paraId="60579B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891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shd w:val="clear" w:color="auto" w:fill="auto"/>
            <w:vAlign w:val="center"/>
          </w:tcPr>
          <w:p w14:paraId="5B4B42F1">
            <w:pPr>
              <w:pStyle w:val="28"/>
              <w:rPr>
                <w:color w:val="000000" w:themeColor="text1"/>
                <w14:textFill>
                  <w14:solidFill>
                    <w14:schemeClr w14:val="tx1"/>
                  </w14:solidFill>
                </w14:textFill>
              </w:rPr>
            </w:pPr>
          </w:p>
        </w:tc>
        <w:tc>
          <w:tcPr>
            <w:tcW w:w="597" w:type="pct"/>
            <w:shd w:val="clear" w:color="auto" w:fill="auto"/>
            <w:vAlign w:val="center"/>
          </w:tcPr>
          <w:p w14:paraId="7153F9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908" w:type="pct"/>
            <w:shd w:val="clear" w:color="auto" w:fill="auto"/>
          </w:tcPr>
          <w:p w14:paraId="3D99AC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c>
          <w:tcPr>
            <w:tcW w:w="748" w:type="pct"/>
            <w:shd w:val="clear" w:color="auto" w:fill="auto"/>
            <w:vAlign w:val="center"/>
          </w:tcPr>
          <w:p w14:paraId="4B8AFE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0.0428</w:t>
            </w:r>
          </w:p>
        </w:tc>
        <w:tc>
          <w:tcPr>
            <w:tcW w:w="716" w:type="pct"/>
            <w:shd w:val="clear" w:color="auto" w:fill="auto"/>
            <w:vAlign w:val="center"/>
          </w:tcPr>
          <w:p w14:paraId="2E5418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c>
          <w:tcPr>
            <w:tcW w:w="640" w:type="pct"/>
            <w:vAlign w:val="center"/>
          </w:tcPr>
          <w:p w14:paraId="6B3DBA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25" w:type="pct"/>
            <w:shd w:val="clear" w:color="auto" w:fill="auto"/>
            <w:vAlign w:val="center"/>
          </w:tcPr>
          <w:p w14:paraId="3A26AB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0163BA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根据上表可知，本项目各种类废水排放浓度均满足《电子工业水污染物排放标准》（GB39731-2020）电子专用材料间接排放标准、《污水排入城镇下水道水质标准》（GB/T31962-2015）中表1 A等级标准及《污水综合排放标准》（GB8978-1996）表4三级标准要求，不存在稀释排放的情况。</w:t>
      </w:r>
    </w:p>
    <w:p w14:paraId="260049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本项目外排生产废水量为35.736m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/a，单位产品基准排水量3.5736m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/t 产品，满足《电子工业水污染物排放标准》（GB39731-2020）表2单位产品基准排水量，电子专用材料中其他，单位产品基准排水量5m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/t 产品的限值。</w:t>
      </w:r>
    </w:p>
    <w:p w14:paraId="1A6CA1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综上，本项目各类废水水质简单、污染物浓度不高、处理工艺成熟可靠、预处理后浓度满足接管要求，废水达标排放可行。</w:t>
      </w:r>
    </w:p>
    <w:p w14:paraId="69E88C9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3、排入玉溪市第三污水处理厂可行性分析</w:t>
      </w:r>
    </w:p>
    <w:p w14:paraId="19660EFE">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玉溪市第三污水处理厂</w:t>
      </w:r>
      <w:r>
        <w:rPr>
          <w:color w:val="000000" w:themeColor="text1"/>
          <w14:textFill>
            <w14:solidFill>
              <w14:schemeClr w14:val="tx1"/>
            </w14:solidFill>
          </w14:textFill>
        </w:rPr>
        <w:t>采用</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A²/O + 深度处理</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工艺，污水依次经过进水提升、曝气沉砂、生化处理、二次沉淀、化学絮凝、斜管沉淀、反硝化过滤以及紫外线杀菌等工序，</w:t>
      </w:r>
      <w:r>
        <w:rPr>
          <w:rFonts w:hint="eastAsia"/>
          <w:color w:val="000000" w:themeColor="text1"/>
          <w14:textFill>
            <w14:solidFill>
              <w14:schemeClr w14:val="tx1"/>
            </w14:solidFill>
          </w14:textFill>
        </w:rPr>
        <w:t>测试器具清洗废水</w:t>
      </w:r>
      <w:r>
        <w:rPr>
          <w:color w:val="000000" w:themeColor="text1"/>
          <w14:textFill>
            <w14:solidFill>
              <w14:schemeClr w14:val="tx1"/>
            </w14:solidFill>
          </w14:textFill>
        </w:rPr>
        <w:t>通过中和、沉淀等预处理去除高浓度污染物后，剩余污染物可被污水处理厂的生化系统及深度处理单元进一步降解，不会超出工艺处理能力。生活污水水质稳定，含有有机物、悬浮物等常规污染物，与A²/O 工艺的处理对象高度匹配。</w:t>
      </w:r>
      <w:r>
        <w:rPr>
          <w:rFonts w:hint="eastAsia"/>
          <w:color w:val="000000" w:themeColor="text1"/>
          <w14:textFill>
            <w14:solidFill>
              <w14:schemeClr w14:val="tx1"/>
            </w14:solidFill>
          </w14:textFill>
        </w:rPr>
        <w:t>玉溪市污水处理厂</w:t>
      </w:r>
      <w:r>
        <w:rPr>
          <w:color w:val="000000" w:themeColor="text1"/>
          <w14:textFill>
            <w14:solidFill>
              <w14:schemeClr w14:val="tx1"/>
            </w14:solidFill>
          </w14:textFill>
        </w:rPr>
        <w:t>总设计规模为远期日处理能力15万吨，近期日处理能力5万吨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一期工程于2023年3月底正式完工并进行进水调试，</w:t>
      </w:r>
      <w:r>
        <w:rPr>
          <w:rFonts w:hint="eastAsia"/>
          <w:color w:val="000000" w:themeColor="text1"/>
          <w14:textFill>
            <w14:solidFill>
              <w14:schemeClr w14:val="tx1"/>
            </w14:solidFill>
          </w14:textFill>
        </w:rPr>
        <w:t>目前已正常运行，覆盖大营街街道、春和街道、北城街道和科教创新城片区</w:t>
      </w:r>
      <w:r>
        <w:rPr>
          <w:color w:val="000000" w:themeColor="text1"/>
          <w14:textFill>
            <w14:solidFill>
              <w14:schemeClr w14:val="tx1"/>
            </w14:solidFill>
          </w14:textFill>
        </w:rPr>
        <w:t>。</w:t>
      </w:r>
    </w:p>
    <w:p w14:paraId="7B59E390">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（1）纳管方式可行性分析</w:t>
      </w:r>
    </w:p>
    <w:p w14:paraId="427BFB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捷辰包装材料有限公司已批复的环评可知，租用场地内外排废水经化粪池处理后通过市政污水管网排入玉溪市污水处理厂。根据现场踏勘，租用场地项目工程正在建设中，厂区主体工程、雨污分流系统已经建成，厂区外废水所途径的市政排水管网已经配套建设有完善的雨水管、污水管。</w:t>
      </w:r>
    </w:p>
    <w:p w14:paraId="7BDF9D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施工图纸，租用厂区雨污管网已完善，本项目生活污水依托云南捷辰包装材料有限公司已建成的化粪池处理后通过“印刷业务改扩建项目”已批复的排放口（DW001）进行排放。本项目生产废水排放口设置于废水处理车间外，生产废水通过车间排放口（DW002）排入云南捷辰包装材料有限公司已建成的污水管网，通过已批复的排放口（DW001）接入九纬路市政污水管网，最终进入玉溪市污水处理厂。</w:t>
      </w:r>
    </w:p>
    <w:p w14:paraId="405B8341">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表5.2-12  本项目废水排放口基本信息</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28"/>
        <w:gridCol w:w="2213"/>
        <w:gridCol w:w="3294"/>
        <w:gridCol w:w="1321"/>
      </w:tblGrid>
      <w:tr w14:paraId="63F4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 w:type="pct"/>
            <w:vAlign w:val="center"/>
          </w:tcPr>
          <w:p w14:paraId="5B0751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废水类型</w:t>
            </w:r>
          </w:p>
        </w:tc>
        <w:tc>
          <w:tcPr>
            <w:tcW w:w="603" w:type="pct"/>
            <w:vAlign w:val="center"/>
          </w:tcPr>
          <w:p w14:paraId="5A6657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tc>
        <w:tc>
          <w:tcPr>
            <w:tcW w:w="1298" w:type="pct"/>
            <w:vAlign w:val="center"/>
          </w:tcPr>
          <w:p w14:paraId="48F5FF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经纬度</w:t>
            </w:r>
          </w:p>
        </w:tc>
        <w:tc>
          <w:tcPr>
            <w:tcW w:w="1932" w:type="pct"/>
            <w:vAlign w:val="center"/>
          </w:tcPr>
          <w:p w14:paraId="61CB1C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废水种类</w:t>
            </w:r>
          </w:p>
        </w:tc>
        <w:tc>
          <w:tcPr>
            <w:tcW w:w="775" w:type="pct"/>
            <w:vAlign w:val="center"/>
          </w:tcPr>
          <w:p w14:paraId="42E2CB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2E36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14:paraId="56F792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603" w:type="pct"/>
            <w:vAlign w:val="center"/>
          </w:tcPr>
          <w:p w14:paraId="47C7BE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DW002</w:t>
            </w:r>
          </w:p>
        </w:tc>
        <w:tc>
          <w:tcPr>
            <w:tcW w:w="1298" w:type="pct"/>
            <w:vAlign w:val="center"/>
          </w:tcPr>
          <w:p w14:paraId="0E645A35">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102°31′39.861″；24°26′15.310″</w:t>
            </w:r>
          </w:p>
        </w:tc>
        <w:tc>
          <w:tcPr>
            <w:tcW w:w="1932" w:type="pct"/>
            <w:vAlign w:val="center"/>
          </w:tcPr>
          <w:p w14:paraId="54EAE2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纯水制备废水、测试器具清洗废水、冷却水循环系统定期排污水</w:t>
            </w:r>
          </w:p>
        </w:tc>
        <w:tc>
          <w:tcPr>
            <w:tcW w:w="775" w:type="pct"/>
            <w:vAlign w:val="center"/>
          </w:tcPr>
          <w:p w14:paraId="34FFD3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w:t>
            </w:r>
          </w:p>
        </w:tc>
      </w:tr>
      <w:tr w14:paraId="5370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14:paraId="6A5920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603" w:type="pct"/>
            <w:vAlign w:val="center"/>
          </w:tcPr>
          <w:p w14:paraId="409B62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1298" w:type="pct"/>
            <w:vAlign w:val="center"/>
          </w:tcPr>
          <w:p w14:paraId="6931D930">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102°31′39.861″；24°26′15.310″</w:t>
            </w:r>
          </w:p>
        </w:tc>
        <w:tc>
          <w:tcPr>
            <w:tcW w:w="1932" w:type="pct"/>
            <w:vAlign w:val="center"/>
          </w:tcPr>
          <w:p w14:paraId="31E5F1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生活污水、车间拖把清洁废水</w:t>
            </w:r>
          </w:p>
        </w:tc>
        <w:tc>
          <w:tcPr>
            <w:tcW w:w="775" w:type="pct"/>
            <w:vAlign w:val="center"/>
          </w:tcPr>
          <w:p w14:paraId="163DE7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14:paraId="1E64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14:paraId="091EF0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综合废水</w:t>
            </w:r>
          </w:p>
        </w:tc>
        <w:tc>
          <w:tcPr>
            <w:tcW w:w="603" w:type="pct"/>
            <w:vAlign w:val="center"/>
          </w:tcPr>
          <w:p w14:paraId="00F882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1298" w:type="pct"/>
            <w:vAlign w:val="center"/>
          </w:tcPr>
          <w:p w14:paraId="00F7009F">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102°31′39.861″；24°26′15.310″</w:t>
            </w:r>
          </w:p>
        </w:tc>
        <w:tc>
          <w:tcPr>
            <w:tcW w:w="1932" w:type="pct"/>
            <w:vAlign w:val="center"/>
          </w:tcPr>
          <w:p w14:paraId="368BB1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纯水制备废水、测试器具清洗废水、冷却水循环系统定期排污水、生活污水、车间拖把清洁废水</w:t>
            </w:r>
          </w:p>
        </w:tc>
        <w:tc>
          <w:tcPr>
            <w:tcW w:w="775" w:type="pct"/>
            <w:vAlign w:val="center"/>
          </w:tcPr>
          <w:p w14:paraId="356FEB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bl>
    <w:p w14:paraId="1A5C66C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（2）纳管水量可行性分析</w:t>
      </w:r>
    </w:p>
    <w:p w14:paraId="65DFF3A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根据工程分析可知，本项目外排废水最大量为3.356m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/d，占玉溪市污水处理厂处理规模比例极小，不会对污水处理厂负荷造成冲击。</w:t>
      </w:r>
    </w:p>
    <w:p w14:paraId="5B9418B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（3）纳管水质可行性分析</w:t>
      </w:r>
    </w:p>
    <w:p w14:paraId="5B8477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外排废水主要是纯水制备废水、测试器具清洗废水、冷却水循环系统定期排污水、生活污水、车间拖把清洁废水，废水水质简单，废水污染物主要是COD、BOD、SS、TP、硫化物，根据工程分析，本项目废水达标排放，外排废水中无重金属、难降解有机物等非常规污染物，与城镇污水处理厂的生化处理工艺兼容性良好，不会抑制微生物活性。</w:t>
      </w:r>
    </w:p>
    <w:p w14:paraId="40EB54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已于2026年1月22日取得了《城镇污水排入排水管网许可证》，允许本项目废水达到《电子工业水污染物排放标准》（GB39731-2020）电子专用材料间接排放标准、《污水排入城镇下水道水质标准》（GB/T31962-2015）中表1 A等级标准及《污水综合排放标准》（GB8978-1996）表4三级标准后排入市政污水管网，进入玉溪市污水处理厂。</w:t>
      </w:r>
    </w:p>
    <w:p w14:paraId="03ED09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综上，本项目排放的废水量较少，水质简单，本项目建设不对玉溪市污水处理厂造成水质水量的冲击，对污水处理厂影响不大，因此本项目进入玉溪市城市污水处理厂是可行。</w:t>
      </w:r>
    </w:p>
    <w:p w14:paraId="37A50DD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5.2.2.3非正常情况下地表水环境影响分析</w:t>
      </w:r>
    </w:p>
    <w:p w14:paraId="3C74961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1、对污水处理厂的影响分析</w:t>
      </w:r>
    </w:p>
    <w:p w14:paraId="5210F6A0">
      <w:pPr>
        <w:ind w:firstLine="480"/>
        <w:rPr>
          <w:rFonts w:ascii="Segoe UI" w:hAnsi="Segoe UI" w:eastAsia="Segoe UI" w:cs="Segoe UI"/>
          <w:color w:val="000000" w:themeColor="text1"/>
          <w:shd w:val="clear" w:color="auto" w:fill="FFFFFF"/>
          <w14:textFill>
            <w14:solidFill>
              <w14:schemeClr w14:val="tx1"/>
            </w14:solidFill>
          </w14:textFill>
        </w:rPr>
      </w:pPr>
      <w:r>
        <w:rPr>
          <w:rFonts w:hint="eastAsia"/>
          <w:color w:val="000000" w:themeColor="text1"/>
          <w14:textFill>
            <w14:solidFill>
              <w14:schemeClr w14:val="tx1"/>
            </w14:solidFill>
          </w14:textFill>
        </w:rPr>
        <w:t>非正常情况下，本项目废水未经处理排入市政污水处理厂，废水中SS、COD、TP、硫化物含量较高，但本项目废水排放量为467.736m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/a，排放量较少，对市政污水处理厂的负荷贡献极低，该废水进入市政污水处理厂，对市政污水处理厂的处理效果影响不大。为避免瞬时高浓度排放，</w:t>
      </w:r>
      <w:r>
        <w:rPr>
          <w:rFonts w:ascii="Segoe UI" w:hAnsi="Segoe UI" w:eastAsia="Segoe UI" w:cs="Segoe UI"/>
          <w:color w:val="000000" w:themeColor="text1"/>
          <w:shd w:val="clear" w:color="auto" w:fill="FFFFFF"/>
          <w14:textFill>
            <w14:solidFill>
              <w14:schemeClr w14:val="tx1"/>
            </w14:solidFill>
          </w14:textFill>
        </w:rPr>
        <w:t>需确保废水污染物浓度符合市政管网接入标准，</w:t>
      </w:r>
      <w:r>
        <w:rPr>
          <w:rFonts w:hint="eastAsia"/>
          <w:color w:val="000000" w:themeColor="text1"/>
          <w14:textFill>
            <w14:solidFill>
              <w14:schemeClr w14:val="tx1"/>
            </w14:solidFill>
          </w14:textFill>
        </w:rPr>
        <w:t>本环评要求建设单位在废水处理间内设置事故空桶若干，若污水处理站设施发生故障时，立即采取措施将生产废水转移至事故空桶内，待事故解决以后，对收集废废水进行处理达标后排放，</w:t>
      </w:r>
      <w:r>
        <w:rPr>
          <w:rFonts w:hint="eastAsia" w:ascii="Segoe UI" w:hAnsi="Segoe UI" w:eastAsia="Segoe UI" w:cs="Segoe UI"/>
          <w:color w:val="000000" w:themeColor="text1"/>
          <w:shd w:val="clear" w:color="auto" w:fill="FFFFFF"/>
          <w14:textFill>
            <w14:solidFill>
              <w14:schemeClr w14:val="tx1"/>
            </w14:solidFill>
          </w14:textFill>
        </w:rPr>
        <w:t>可将潜在风险降至最低，实现</w:t>
      </w:r>
      <w:r>
        <w:rPr>
          <w:rFonts w:hint="eastAsia" w:ascii="Segoe UI" w:hAnsi="Segoe UI" w:cs="Segoe UI"/>
          <w:color w:val="000000" w:themeColor="text1"/>
          <w:shd w:val="clear" w:color="auto" w:fill="FFFFFF"/>
          <w14:textFill>
            <w14:solidFill>
              <w14:schemeClr w14:val="tx1"/>
            </w14:solidFill>
          </w14:textFill>
        </w:rPr>
        <w:t>“</w:t>
      </w:r>
      <w:r>
        <w:rPr>
          <w:rFonts w:hint="eastAsia" w:ascii="Segoe UI" w:hAnsi="Segoe UI" w:eastAsia="Segoe UI" w:cs="Segoe UI"/>
          <w:color w:val="000000" w:themeColor="text1"/>
          <w:shd w:val="clear" w:color="auto" w:fill="FFFFFF"/>
          <w14:textFill>
            <w14:solidFill>
              <w14:schemeClr w14:val="tx1"/>
            </w14:solidFill>
          </w14:textFill>
        </w:rPr>
        <w:t>少量、达标、安全</w:t>
      </w:r>
      <w:r>
        <w:rPr>
          <w:rFonts w:hint="eastAsia" w:ascii="Segoe UI" w:hAnsi="Segoe UI" w:cs="Segoe UI"/>
          <w:color w:val="000000" w:themeColor="text1"/>
          <w:shd w:val="clear" w:color="auto" w:fill="FFFFFF"/>
          <w14:textFill>
            <w14:solidFill>
              <w14:schemeClr w14:val="tx1"/>
            </w14:solidFill>
          </w14:textFill>
        </w:rPr>
        <w:t>”</w:t>
      </w:r>
      <w:r>
        <w:rPr>
          <w:rFonts w:hint="eastAsia" w:ascii="Segoe UI" w:hAnsi="Segoe UI" w:eastAsia="Segoe UI" w:cs="Segoe UI"/>
          <w:color w:val="000000" w:themeColor="text1"/>
          <w:shd w:val="clear" w:color="auto" w:fill="FFFFFF"/>
          <w14:textFill>
            <w14:solidFill>
              <w14:schemeClr w14:val="tx1"/>
            </w14:solidFill>
          </w14:textFill>
        </w:rPr>
        <w:t>排放。</w:t>
      </w:r>
    </w:p>
    <w:p w14:paraId="341958C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2、对老西河的影响分析</w:t>
      </w:r>
    </w:p>
    <w:p w14:paraId="5A1EBC9C">
      <w:pPr>
        <w:ind w:firstLine="480"/>
        <w:rPr>
          <w:rFonts w:ascii="Segoe UI" w:hAnsi="Segoe UI" w:cs="Segoe UI"/>
          <w:b/>
          <w:bCs/>
          <w:color w:val="000000" w:themeColor="text1"/>
          <w:shd w:val="clear" w:color="auto" w:fill="FFFFFF"/>
          <w14:textFill>
            <w14:solidFill>
              <w14:schemeClr w14:val="tx1"/>
            </w14:solidFill>
          </w14:textFill>
        </w:rPr>
      </w:pPr>
      <w:r>
        <w:rPr>
          <w:rFonts w:hint="eastAsia" w:ascii="宋体" w:hAnsi="宋体" w:cs="宋体"/>
          <w:color w:val="000000" w:themeColor="text1"/>
          <w14:textFill>
            <w14:solidFill>
              <w14:schemeClr w14:val="tx1"/>
            </w14:solidFill>
          </w14:textFill>
        </w:rPr>
        <w:t>项目区地表径流受纳水体为老西河，最终受纳水体为玉溪大河。</w:t>
      </w:r>
      <w:r>
        <w:rPr>
          <w:rFonts w:ascii="宋体" w:hAnsi="宋体" w:cs="宋体"/>
          <w:color w:val="000000" w:themeColor="text1"/>
          <w14:textFill>
            <w14:solidFill>
              <w14:schemeClr w14:val="tx1"/>
            </w14:solidFill>
          </w14:textFill>
        </w:rPr>
        <w:t>本项目所有用水环节产生的废水均遵循“</w:t>
      </w:r>
      <w:r>
        <w:rPr>
          <w:rStyle w:val="24"/>
          <w:rFonts w:ascii="宋体" w:hAnsi="宋体" w:cs="宋体"/>
          <w:b w:val="0"/>
          <w:color w:val="000000" w:themeColor="text1"/>
          <w14:textFill>
            <w14:solidFill>
              <w14:schemeClr w14:val="tx1"/>
            </w14:solidFill>
          </w14:textFill>
        </w:rPr>
        <w:t>项目预处理/处理→市政污水管网→玉溪市污水处理厂深度处理→达标排放</w:t>
      </w:r>
      <w:r>
        <w:rPr>
          <w:rFonts w:ascii="宋体" w:hAnsi="宋体" w:cs="宋体"/>
          <w:color w:val="000000" w:themeColor="text1"/>
          <w14:textFill>
            <w14:solidFill>
              <w14:schemeClr w14:val="tx1"/>
            </w14:solidFill>
          </w14:textFill>
        </w:rPr>
        <w:t>”的路径，</w:t>
      </w:r>
      <w:r>
        <w:rPr>
          <w:rStyle w:val="24"/>
          <w:rFonts w:ascii="宋体" w:hAnsi="宋体" w:cs="宋体"/>
          <w:b w:val="0"/>
          <w:color w:val="000000" w:themeColor="text1"/>
          <w14:textFill>
            <w14:solidFill>
              <w14:schemeClr w14:val="tx1"/>
            </w14:solidFill>
          </w14:textFill>
        </w:rPr>
        <w:t>无任何废水直接排入周边河流</w:t>
      </w:r>
      <w:r>
        <w:rPr>
          <w:rFonts w:ascii="宋体" w:hAnsi="宋体" w:cs="宋体"/>
          <w:color w:val="000000" w:themeColor="text1"/>
          <w14:textFill>
            <w14:solidFill>
              <w14:schemeClr w14:val="tx1"/>
            </w14:solidFill>
          </w14:textFill>
        </w:rPr>
        <w:t>，从排放方式上切断了废水对河流的直接污染途径</w:t>
      </w:r>
      <w:r>
        <w:rPr>
          <w:rFonts w:hint="eastAsia" w:ascii="宋体" w:hAnsi="宋体" w:cs="宋体"/>
          <w:color w:val="000000" w:themeColor="text1"/>
          <w14:textFill>
            <w14:solidFill>
              <w14:schemeClr w14:val="tx1"/>
            </w14:solidFill>
          </w14:textFill>
        </w:rPr>
        <w:t>，因此本项目废水外排对老西河无影响。</w:t>
      </w:r>
    </w:p>
    <w:p w14:paraId="01143C2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5.2.2.4本项目废水外排对飞井海水库的影响分析</w:t>
      </w:r>
    </w:p>
    <w:p w14:paraId="739494C7">
      <w:pPr>
        <w:ind w:firstLine="480"/>
        <w:rPr>
          <w:color w:val="000000" w:themeColor="text1"/>
          <w14:textFill>
            <w14:solidFill>
              <w14:schemeClr w14:val="tx1"/>
            </w14:solidFill>
          </w14:textFill>
        </w:rPr>
      </w:pPr>
      <w:r>
        <w:rPr>
          <w:rFonts w:hint="eastAsia" w:ascii="Segoe UI" w:hAnsi="Segoe UI" w:cs="Segoe UI" w:eastAsiaTheme="minorEastAsia"/>
          <w:color w:val="000000" w:themeColor="text1"/>
          <w:shd w:val="clear" w:color="auto" w:fill="FFFFFF"/>
          <w14:textFill>
            <w14:solidFill>
              <w14:schemeClr w14:val="tx1"/>
            </w14:solidFill>
          </w14:textFill>
        </w:rPr>
        <w:t>根据玉溪市生态环境局红塔分局出具的关于飞井海水库饮用水水源地保护区与玉溪高新区位置关系情况说明，飞井海水库饮用水水源地保护区范围、水库汇水区范围与最新划定的玉溪高新区规划范围不重叠，高新区规划范围不涉及飞井海水库饮用水水源地保护区、汇水区，本项目位于玉溪高新区核心区九龙地块，本项目废水经处理</w:t>
      </w:r>
      <w:r>
        <w:rPr>
          <w:rFonts w:hint="eastAsia"/>
          <w:color w:val="000000" w:themeColor="text1"/>
          <w14:textFill>
            <w14:solidFill>
              <w14:schemeClr w14:val="tx1"/>
            </w14:solidFill>
          </w14:textFill>
        </w:rPr>
        <w:t>达到《电子工业水污染物排放标准》（GB39731-2020）电子专用材料间接排放标准、《污水排入城镇下水道水质标准》（GB/T31962-2015）中表1 A等级标准及《污水综合排放标准》（GB8978-1996）表4三级标准后排入市政污水管网，进入玉溪市污水处理厂，对飞井海水库基本无影响。</w:t>
      </w:r>
    </w:p>
    <w:p w14:paraId="6FD24C30">
      <w:pPr>
        <w:pStyle w:val="5"/>
        <w:rPr>
          <w:color w:val="000000" w:themeColor="text1"/>
          <w14:textFill>
            <w14:solidFill>
              <w14:schemeClr w14:val="tx1"/>
            </w14:solidFill>
          </w14:textFill>
        </w:rPr>
      </w:pPr>
      <w:bookmarkStart w:id="96" w:name="_Toc27432"/>
      <w:r>
        <w:rPr>
          <w:rFonts w:hint="eastAsia"/>
          <w:color w:val="000000" w:themeColor="text1"/>
          <w14:textFill>
            <w14:solidFill>
              <w14:schemeClr w14:val="tx1"/>
            </w14:solidFill>
          </w14:textFill>
        </w:rPr>
        <w:t>5.2.2.4结论</w:t>
      </w:r>
      <w:bookmarkEnd w:id="96"/>
    </w:p>
    <w:p w14:paraId="4629BBD0">
      <w:pPr>
        <w:ind w:firstLine="480"/>
        <w:rPr>
          <w:rFonts w:hint="eastAsia"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本项目各废水分类收集、分质处理，生产废水、生活污水经处理后达标排放，进入市政污水处理厂可行，在认真落实本评价措施的前提下，废水对区域地表水环境影响不大。</w:t>
      </w:r>
    </w:p>
    <w:p w14:paraId="2F4EE88A">
      <w:pPr>
        <w:ind w:firstLine="48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根据《环境影响评价技术导则-地表水环境》（HJ2.3-2018）“10.2 需明确给出污染源排放量核算结果，填写建设项目污染物排放信息表。”具体信息见下表：</w:t>
      </w:r>
    </w:p>
    <w:p w14:paraId="013BD479">
      <w:pPr>
        <w:ind w:firstLine="480"/>
        <w:rPr>
          <w:rFonts w:cs="Times New Roman"/>
          <w:bCs/>
          <w:color w:val="000000" w:themeColor="text1"/>
          <w14:textFill>
            <w14:solidFill>
              <w14:schemeClr w14:val="tx1"/>
            </w14:solidFill>
          </w14:textFill>
        </w:rPr>
      </w:pPr>
    </w:p>
    <w:p w14:paraId="0BD13EA6">
      <w:pPr>
        <w:ind w:firstLine="480"/>
        <w:rPr>
          <w:rFonts w:cs="Times New Roman"/>
          <w:bCs/>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569D7DD1">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5.2-13</w:t>
      </w:r>
      <w:r>
        <w:rPr>
          <w:color w:val="000000" w:themeColor="text1"/>
          <w14:textFill>
            <w14:solidFill>
              <w14:schemeClr w14:val="tx1"/>
            </w14:solidFill>
          </w14:textFill>
        </w:rPr>
        <w:t xml:space="preserve"> 本项目废水类别、污染物及污染治理设施信息表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686"/>
        <w:gridCol w:w="1157"/>
        <w:gridCol w:w="1085"/>
        <w:gridCol w:w="1884"/>
        <w:gridCol w:w="1117"/>
        <w:gridCol w:w="1149"/>
        <w:gridCol w:w="1351"/>
        <w:gridCol w:w="1098"/>
        <w:gridCol w:w="1451"/>
        <w:gridCol w:w="1961"/>
      </w:tblGrid>
      <w:tr w14:paraId="5D0A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89" w:type="pct"/>
            <w:vMerge w:val="restart"/>
            <w:shd w:val="clear" w:color="auto" w:fill="auto"/>
            <w:vAlign w:val="center"/>
          </w:tcPr>
          <w:p w14:paraId="72F0AB3E">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55" w:type="pct"/>
            <w:vMerge w:val="restart"/>
            <w:shd w:val="clear" w:color="auto" w:fill="auto"/>
            <w:vAlign w:val="center"/>
          </w:tcPr>
          <w:p w14:paraId="15E64E15">
            <w:pPr>
              <w:pStyle w:val="28"/>
              <w:rPr>
                <w:color w:val="000000" w:themeColor="text1"/>
                <w14:textFill>
                  <w14:solidFill>
                    <w14:schemeClr w14:val="tx1"/>
                  </w14:solidFill>
                </w14:textFill>
              </w:rPr>
            </w:pPr>
            <w:r>
              <w:rPr>
                <w:color w:val="000000" w:themeColor="text1"/>
                <w14:textFill>
                  <w14:solidFill>
                    <w14:schemeClr w14:val="tx1"/>
                  </w14:solidFill>
                </w14:textFill>
              </w:rPr>
              <w:t>废水类型</w:t>
            </w:r>
          </w:p>
        </w:tc>
        <w:tc>
          <w:tcPr>
            <w:tcW w:w="430" w:type="pct"/>
            <w:vMerge w:val="restart"/>
            <w:shd w:val="clear" w:color="auto" w:fill="auto"/>
            <w:vAlign w:val="center"/>
          </w:tcPr>
          <w:p w14:paraId="3F4E261D">
            <w:pPr>
              <w:pStyle w:val="28"/>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403" w:type="pct"/>
            <w:vMerge w:val="restart"/>
            <w:shd w:val="clear" w:color="auto" w:fill="auto"/>
            <w:vAlign w:val="center"/>
          </w:tcPr>
          <w:p w14:paraId="34190000">
            <w:pPr>
              <w:pStyle w:val="28"/>
              <w:rPr>
                <w:color w:val="000000" w:themeColor="text1"/>
                <w14:textFill>
                  <w14:solidFill>
                    <w14:schemeClr w14:val="tx1"/>
                  </w14:solidFill>
                </w14:textFill>
              </w:rPr>
            </w:pPr>
            <w:r>
              <w:rPr>
                <w:color w:val="000000" w:themeColor="text1"/>
                <w14:textFill>
                  <w14:solidFill>
                    <w14:schemeClr w14:val="tx1"/>
                  </w14:solidFill>
                </w14:textFill>
              </w:rPr>
              <w:t>排放去向</w:t>
            </w:r>
          </w:p>
        </w:tc>
        <w:tc>
          <w:tcPr>
            <w:tcW w:w="700" w:type="pct"/>
            <w:vMerge w:val="restart"/>
            <w:shd w:val="clear" w:color="auto" w:fill="auto"/>
            <w:vAlign w:val="center"/>
          </w:tcPr>
          <w:p w14:paraId="3E21D532">
            <w:pPr>
              <w:pStyle w:val="28"/>
              <w:rPr>
                <w:color w:val="000000" w:themeColor="text1"/>
                <w14:textFill>
                  <w14:solidFill>
                    <w14:schemeClr w14:val="tx1"/>
                  </w14:solidFill>
                </w14:textFill>
              </w:rPr>
            </w:pPr>
            <w:r>
              <w:rPr>
                <w:color w:val="000000" w:themeColor="text1"/>
                <w14:textFill>
                  <w14:solidFill>
                    <w14:schemeClr w14:val="tx1"/>
                  </w14:solidFill>
                </w14:textFill>
              </w:rPr>
              <w:t>排放规律</w:t>
            </w:r>
          </w:p>
        </w:tc>
        <w:tc>
          <w:tcPr>
            <w:tcW w:w="1344" w:type="pct"/>
            <w:gridSpan w:val="3"/>
            <w:shd w:val="clear" w:color="auto" w:fill="auto"/>
            <w:vAlign w:val="center"/>
          </w:tcPr>
          <w:p w14:paraId="32FCA6CC">
            <w:pPr>
              <w:pStyle w:val="28"/>
              <w:rPr>
                <w:color w:val="000000" w:themeColor="text1"/>
                <w14:textFill>
                  <w14:solidFill>
                    <w14:schemeClr w14:val="tx1"/>
                  </w14:solidFill>
                </w14:textFill>
              </w:rPr>
            </w:pPr>
            <w:r>
              <w:rPr>
                <w:color w:val="000000" w:themeColor="text1"/>
                <w14:textFill>
                  <w14:solidFill>
                    <w14:schemeClr w14:val="tx1"/>
                  </w14:solidFill>
                </w14:textFill>
              </w:rPr>
              <w:t>污染治理设施</w:t>
            </w:r>
          </w:p>
        </w:tc>
        <w:tc>
          <w:tcPr>
            <w:tcW w:w="408" w:type="pct"/>
            <w:vMerge w:val="restart"/>
            <w:shd w:val="clear" w:color="auto" w:fill="auto"/>
            <w:vAlign w:val="center"/>
          </w:tcPr>
          <w:p w14:paraId="2197AC77">
            <w:pPr>
              <w:pStyle w:val="28"/>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539" w:type="pct"/>
            <w:vMerge w:val="restart"/>
            <w:shd w:val="clear" w:color="auto" w:fill="auto"/>
            <w:vAlign w:val="center"/>
          </w:tcPr>
          <w:p w14:paraId="52C0083A">
            <w:pPr>
              <w:pStyle w:val="28"/>
              <w:rPr>
                <w:color w:val="000000" w:themeColor="text1"/>
                <w14:textFill>
                  <w14:solidFill>
                    <w14:schemeClr w14:val="tx1"/>
                  </w14:solidFill>
                </w14:textFill>
              </w:rPr>
            </w:pPr>
            <w:r>
              <w:rPr>
                <w:color w:val="000000" w:themeColor="text1"/>
                <w14:textFill>
                  <w14:solidFill>
                    <w14:schemeClr w14:val="tx1"/>
                  </w14:solidFill>
                </w14:textFill>
              </w:rPr>
              <w:t>排放口设置是否符合要求</w:t>
            </w:r>
          </w:p>
        </w:tc>
        <w:tc>
          <w:tcPr>
            <w:tcW w:w="728" w:type="pct"/>
            <w:vMerge w:val="restart"/>
            <w:shd w:val="clear" w:color="auto" w:fill="auto"/>
            <w:vAlign w:val="center"/>
          </w:tcPr>
          <w:p w14:paraId="2C087F59">
            <w:pPr>
              <w:pStyle w:val="28"/>
              <w:rPr>
                <w:color w:val="000000" w:themeColor="text1"/>
                <w14:textFill>
                  <w14:solidFill>
                    <w14:schemeClr w14:val="tx1"/>
                  </w14:solidFill>
                </w14:textFill>
              </w:rPr>
            </w:pPr>
            <w:r>
              <w:rPr>
                <w:color w:val="000000" w:themeColor="text1"/>
                <w14:textFill>
                  <w14:solidFill>
                    <w14:schemeClr w14:val="tx1"/>
                  </w14:solidFill>
                </w14:textFill>
              </w:rPr>
              <w:t>排放口类型</w:t>
            </w:r>
          </w:p>
        </w:tc>
      </w:tr>
      <w:tr w14:paraId="6BFF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9" w:type="pct"/>
            <w:vMerge w:val="continue"/>
            <w:shd w:val="clear" w:color="auto" w:fill="auto"/>
            <w:vAlign w:val="center"/>
          </w:tcPr>
          <w:p w14:paraId="6FCC74AA">
            <w:pPr>
              <w:pStyle w:val="28"/>
              <w:rPr>
                <w:color w:val="000000" w:themeColor="text1"/>
                <w14:textFill>
                  <w14:solidFill>
                    <w14:schemeClr w14:val="tx1"/>
                  </w14:solidFill>
                </w14:textFill>
              </w:rPr>
            </w:pPr>
          </w:p>
        </w:tc>
        <w:tc>
          <w:tcPr>
            <w:tcW w:w="255" w:type="pct"/>
            <w:vMerge w:val="continue"/>
            <w:shd w:val="clear" w:color="auto" w:fill="auto"/>
            <w:vAlign w:val="center"/>
          </w:tcPr>
          <w:p w14:paraId="11A483D0">
            <w:pPr>
              <w:pStyle w:val="28"/>
              <w:rPr>
                <w:color w:val="000000" w:themeColor="text1"/>
                <w14:textFill>
                  <w14:solidFill>
                    <w14:schemeClr w14:val="tx1"/>
                  </w14:solidFill>
                </w14:textFill>
              </w:rPr>
            </w:pPr>
          </w:p>
        </w:tc>
        <w:tc>
          <w:tcPr>
            <w:tcW w:w="430" w:type="pct"/>
            <w:vMerge w:val="continue"/>
            <w:shd w:val="clear" w:color="auto" w:fill="auto"/>
            <w:vAlign w:val="center"/>
          </w:tcPr>
          <w:p w14:paraId="6F618552">
            <w:pPr>
              <w:pStyle w:val="28"/>
              <w:rPr>
                <w:color w:val="000000" w:themeColor="text1"/>
                <w14:textFill>
                  <w14:solidFill>
                    <w14:schemeClr w14:val="tx1"/>
                  </w14:solidFill>
                </w14:textFill>
              </w:rPr>
            </w:pPr>
          </w:p>
        </w:tc>
        <w:tc>
          <w:tcPr>
            <w:tcW w:w="403" w:type="pct"/>
            <w:vMerge w:val="continue"/>
            <w:shd w:val="clear" w:color="auto" w:fill="auto"/>
            <w:vAlign w:val="center"/>
          </w:tcPr>
          <w:p w14:paraId="0B4494ED">
            <w:pPr>
              <w:pStyle w:val="28"/>
              <w:rPr>
                <w:color w:val="000000" w:themeColor="text1"/>
                <w14:textFill>
                  <w14:solidFill>
                    <w14:schemeClr w14:val="tx1"/>
                  </w14:solidFill>
                </w14:textFill>
              </w:rPr>
            </w:pPr>
          </w:p>
        </w:tc>
        <w:tc>
          <w:tcPr>
            <w:tcW w:w="700" w:type="pct"/>
            <w:vMerge w:val="continue"/>
            <w:shd w:val="clear" w:color="auto" w:fill="auto"/>
            <w:vAlign w:val="center"/>
          </w:tcPr>
          <w:p w14:paraId="6111FE92">
            <w:pPr>
              <w:pStyle w:val="28"/>
              <w:rPr>
                <w:color w:val="000000" w:themeColor="text1"/>
                <w14:textFill>
                  <w14:solidFill>
                    <w14:schemeClr w14:val="tx1"/>
                  </w14:solidFill>
                </w14:textFill>
              </w:rPr>
            </w:pPr>
          </w:p>
        </w:tc>
        <w:tc>
          <w:tcPr>
            <w:tcW w:w="415" w:type="pct"/>
            <w:shd w:val="clear" w:color="auto" w:fill="auto"/>
            <w:vAlign w:val="center"/>
          </w:tcPr>
          <w:p w14:paraId="0A6002E8">
            <w:pPr>
              <w:pStyle w:val="28"/>
              <w:rPr>
                <w:color w:val="000000" w:themeColor="text1"/>
                <w14:textFill>
                  <w14:solidFill>
                    <w14:schemeClr w14:val="tx1"/>
                  </w14:solidFill>
                </w14:textFill>
              </w:rPr>
            </w:pPr>
            <w:r>
              <w:rPr>
                <w:color w:val="000000" w:themeColor="text1"/>
                <w14:textFill>
                  <w14:solidFill>
                    <w14:schemeClr w14:val="tx1"/>
                  </w14:solidFill>
                </w14:textFill>
              </w:rPr>
              <w:t>污染治理设施编号</w:t>
            </w:r>
          </w:p>
        </w:tc>
        <w:tc>
          <w:tcPr>
            <w:tcW w:w="427" w:type="pct"/>
            <w:shd w:val="clear" w:color="auto" w:fill="auto"/>
            <w:vAlign w:val="center"/>
          </w:tcPr>
          <w:p w14:paraId="205C25EC">
            <w:pPr>
              <w:pStyle w:val="28"/>
              <w:rPr>
                <w:color w:val="000000" w:themeColor="text1"/>
                <w14:textFill>
                  <w14:solidFill>
                    <w14:schemeClr w14:val="tx1"/>
                  </w14:solidFill>
                </w14:textFill>
              </w:rPr>
            </w:pPr>
            <w:r>
              <w:rPr>
                <w:color w:val="000000" w:themeColor="text1"/>
                <w14:textFill>
                  <w14:solidFill>
                    <w14:schemeClr w14:val="tx1"/>
                  </w14:solidFill>
                </w14:textFill>
              </w:rPr>
              <w:t>污染治理设施名称</w:t>
            </w:r>
          </w:p>
        </w:tc>
        <w:tc>
          <w:tcPr>
            <w:tcW w:w="502" w:type="pct"/>
            <w:shd w:val="clear" w:color="auto" w:fill="auto"/>
            <w:vAlign w:val="center"/>
          </w:tcPr>
          <w:p w14:paraId="0A278596">
            <w:pPr>
              <w:pStyle w:val="28"/>
              <w:rPr>
                <w:color w:val="000000" w:themeColor="text1"/>
                <w14:textFill>
                  <w14:solidFill>
                    <w14:schemeClr w14:val="tx1"/>
                  </w14:solidFill>
                </w14:textFill>
              </w:rPr>
            </w:pPr>
            <w:r>
              <w:rPr>
                <w:color w:val="000000" w:themeColor="text1"/>
                <w14:textFill>
                  <w14:solidFill>
                    <w14:schemeClr w14:val="tx1"/>
                  </w14:solidFill>
                </w14:textFill>
              </w:rPr>
              <w:t>污染治理设施工艺</w:t>
            </w:r>
          </w:p>
        </w:tc>
        <w:tc>
          <w:tcPr>
            <w:tcW w:w="408" w:type="pct"/>
            <w:vMerge w:val="continue"/>
            <w:shd w:val="clear" w:color="auto" w:fill="auto"/>
            <w:vAlign w:val="center"/>
          </w:tcPr>
          <w:p w14:paraId="293C7D79">
            <w:pPr>
              <w:pStyle w:val="28"/>
              <w:rPr>
                <w:color w:val="000000" w:themeColor="text1"/>
                <w14:textFill>
                  <w14:solidFill>
                    <w14:schemeClr w14:val="tx1"/>
                  </w14:solidFill>
                </w14:textFill>
              </w:rPr>
            </w:pPr>
          </w:p>
        </w:tc>
        <w:tc>
          <w:tcPr>
            <w:tcW w:w="539" w:type="pct"/>
            <w:vMerge w:val="continue"/>
            <w:shd w:val="clear" w:color="auto" w:fill="auto"/>
            <w:vAlign w:val="center"/>
          </w:tcPr>
          <w:p w14:paraId="10A6445B">
            <w:pPr>
              <w:pStyle w:val="28"/>
              <w:rPr>
                <w:color w:val="000000" w:themeColor="text1"/>
                <w14:textFill>
                  <w14:solidFill>
                    <w14:schemeClr w14:val="tx1"/>
                  </w14:solidFill>
                </w14:textFill>
              </w:rPr>
            </w:pPr>
          </w:p>
        </w:tc>
        <w:tc>
          <w:tcPr>
            <w:tcW w:w="728" w:type="pct"/>
            <w:vMerge w:val="continue"/>
            <w:shd w:val="clear" w:color="auto" w:fill="auto"/>
            <w:vAlign w:val="center"/>
          </w:tcPr>
          <w:p w14:paraId="55990FC7">
            <w:pPr>
              <w:pStyle w:val="28"/>
              <w:rPr>
                <w:color w:val="000000" w:themeColor="text1"/>
                <w14:textFill>
                  <w14:solidFill>
                    <w14:schemeClr w14:val="tx1"/>
                  </w14:solidFill>
                </w14:textFill>
              </w:rPr>
            </w:pPr>
          </w:p>
        </w:tc>
      </w:tr>
      <w:tr w14:paraId="410D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 w:type="pct"/>
            <w:vMerge w:val="restart"/>
            <w:shd w:val="clear" w:color="auto" w:fill="auto"/>
            <w:vAlign w:val="center"/>
          </w:tcPr>
          <w:p w14:paraId="383CEB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55" w:type="pct"/>
            <w:vMerge w:val="restart"/>
            <w:shd w:val="clear" w:color="auto" w:fill="auto"/>
            <w:vAlign w:val="center"/>
          </w:tcPr>
          <w:p w14:paraId="142E66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430" w:type="pct"/>
            <w:vMerge w:val="restart"/>
            <w:shd w:val="clear" w:color="auto" w:fill="auto"/>
            <w:vAlign w:val="center"/>
          </w:tcPr>
          <w:p w14:paraId="5320CB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SS、CODcr、TP、硫化物</w:t>
            </w:r>
          </w:p>
        </w:tc>
        <w:tc>
          <w:tcPr>
            <w:tcW w:w="403" w:type="pct"/>
            <w:vMerge w:val="restart"/>
            <w:shd w:val="clear" w:color="auto" w:fill="auto"/>
            <w:vAlign w:val="center"/>
          </w:tcPr>
          <w:p w14:paraId="2C22072E">
            <w:pPr>
              <w:pStyle w:val="28"/>
              <w:rPr>
                <w:color w:val="000000" w:themeColor="text1"/>
                <w:szCs w:val="22"/>
                <w14:textFill>
                  <w14:solidFill>
                    <w14:schemeClr w14:val="tx1"/>
                  </w14:solidFill>
                </w14:textFill>
              </w:rPr>
            </w:pPr>
            <w:r>
              <w:rPr>
                <w:color w:val="000000" w:themeColor="text1"/>
                <w14:textFill>
                  <w14:solidFill>
                    <w14:schemeClr w14:val="tx1"/>
                  </w14:solidFill>
                </w14:textFill>
              </w:rPr>
              <w:t>城市污水处理厂</w:t>
            </w:r>
          </w:p>
        </w:tc>
        <w:tc>
          <w:tcPr>
            <w:tcW w:w="700" w:type="pct"/>
            <w:vMerge w:val="restart"/>
            <w:shd w:val="clear" w:color="auto" w:fill="auto"/>
            <w:vAlign w:val="center"/>
          </w:tcPr>
          <w:p w14:paraId="307A3AA4">
            <w:pPr>
              <w:pStyle w:val="28"/>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连续排放，流量不稳定且无规律，但不属于冲击型排放</w:t>
            </w:r>
          </w:p>
        </w:tc>
        <w:tc>
          <w:tcPr>
            <w:tcW w:w="415" w:type="pct"/>
            <w:shd w:val="clear" w:color="auto" w:fill="auto"/>
            <w:vAlign w:val="center"/>
          </w:tcPr>
          <w:p w14:paraId="5C2871A1">
            <w:pPr>
              <w:pStyle w:val="28"/>
              <w:rPr>
                <w:color w:val="000000" w:themeColor="text1"/>
                <w:szCs w:val="22"/>
                <w14:textFill>
                  <w14:solidFill>
                    <w14:schemeClr w14:val="tx1"/>
                  </w14:solidFill>
                </w14:textFill>
              </w:rPr>
            </w:pPr>
            <w:r>
              <w:rPr>
                <w:color w:val="000000" w:themeColor="text1"/>
                <w14:textFill>
                  <w14:solidFill>
                    <w14:schemeClr w14:val="tx1"/>
                  </w14:solidFill>
                </w14:textFill>
              </w:rPr>
              <w:t>01</w:t>
            </w:r>
          </w:p>
        </w:tc>
        <w:tc>
          <w:tcPr>
            <w:tcW w:w="427" w:type="pct"/>
            <w:shd w:val="clear" w:color="auto" w:fill="auto"/>
            <w:vAlign w:val="center"/>
          </w:tcPr>
          <w:p w14:paraId="169C15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一体化污水处理站</w:t>
            </w:r>
          </w:p>
        </w:tc>
        <w:tc>
          <w:tcPr>
            <w:tcW w:w="502" w:type="pct"/>
            <w:shd w:val="clear" w:color="auto" w:fill="auto"/>
            <w:vAlign w:val="center"/>
          </w:tcPr>
          <w:p w14:paraId="7CEB7B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PH调节+混凝沉淀</w:t>
            </w:r>
          </w:p>
        </w:tc>
        <w:tc>
          <w:tcPr>
            <w:tcW w:w="408" w:type="pct"/>
            <w:shd w:val="clear" w:color="auto" w:fill="auto"/>
            <w:vAlign w:val="center"/>
          </w:tcPr>
          <w:p w14:paraId="70DAAB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DW002</w:t>
            </w:r>
          </w:p>
        </w:tc>
        <w:tc>
          <w:tcPr>
            <w:tcW w:w="539" w:type="pct"/>
            <w:shd w:val="clear" w:color="auto" w:fill="auto"/>
            <w:vAlign w:val="center"/>
          </w:tcPr>
          <w:p w14:paraId="0FED9629">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52"/>
            </w:r>
            <w:r>
              <w:rPr>
                <w:color w:val="000000" w:themeColor="text1"/>
                <w14:textFill>
                  <w14:solidFill>
                    <w14:schemeClr w14:val="tx1"/>
                  </w14:solidFill>
                </w14:textFill>
              </w:rPr>
              <w:t>是</w:t>
            </w:r>
          </w:p>
          <w:p w14:paraId="28A6685B">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A3"/>
            </w:r>
            <w:r>
              <w:rPr>
                <w:color w:val="000000" w:themeColor="text1"/>
                <w14:textFill>
                  <w14:solidFill>
                    <w14:schemeClr w14:val="tx1"/>
                  </w14:solidFill>
                </w14:textFill>
              </w:rPr>
              <w:t>否</w:t>
            </w:r>
          </w:p>
        </w:tc>
        <w:tc>
          <w:tcPr>
            <w:tcW w:w="728" w:type="pct"/>
            <w:shd w:val="clear" w:color="auto" w:fill="auto"/>
            <w:vAlign w:val="center"/>
          </w:tcPr>
          <w:p w14:paraId="12FE2D26">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A3"/>
            </w:r>
            <w:r>
              <w:rPr>
                <w:color w:val="000000" w:themeColor="text1"/>
                <w14:textFill>
                  <w14:solidFill>
                    <w14:schemeClr w14:val="tx1"/>
                  </w14:solidFill>
                </w14:textFill>
              </w:rPr>
              <w:t>企业总排</w:t>
            </w:r>
          </w:p>
          <w:p w14:paraId="3C16C639">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雨水排放</w:t>
            </w:r>
          </w:p>
          <w:p w14:paraId="50BF541E">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清净下水排放</w:t>
            </w:r>
          </w:p>
          <w:p w14:paraId="570AF3D0">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温排水排放</w:t>
            </w:r>
          </w:p>
          <w:p w14:paraId="5A386880">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车间或车间处理设施排放</w:t>
            </w:r>
          </w:p>
        </w:tc>
      </w:tr>
      <w:tr w14:paraId="515E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 w:type="pct"/>
            <w:vMerge w:val="continue"/>
            <w:shd w:val="clear" w:color="auto" w:fill="auto"/>
            <w:vAlign w:val="center"/>
          </w:tcPr>
          <w:p w14:paraId="743F441E">
            <w:pPr>
              <w:pStyle w:val="28"/>
              <w:rPr>
                <w:color w:val="000000" w:themeColor="text1"/>
                <w14:textFill>
                  <w14:solidFill>
                    <w14:schemeClr w14:val="tx1"/>
                  </w14:solidFill>
                </w14:textFill>
              </w:rPr>
            </w:pPr>
          </w:p>
        </w:tc>
        <w:tc>
          <w:tcPr>
            <w:tcW w:w="255" w:type="pct"/>
            <w:vMerge w:val="continue"/>
            <w:shd w:val="clear" w:color="auto" w:fill="auto"/>
            <w:vAlign w:val="center"/>
          </w:tcPr>
          <w:p w14:paraId="63A6F8E7">
            <w:pPr>
              <w:pStyle w:val="28"/>
              <w:rPr>
                <w:color w:val="000000" w:themeColor="text1"/>
                <w14:textFill>
                  <w14:solidFill>
                    <w14:schemeClr w14:val="tx1"/>
                  </w14:solidFill>
                </w14:textFill>
              </w:rPr>
            </w:pPr>
          </w:p>
        </w:tc>
        <w:tc>
          <w:tcPr>
            <w:tcW w:w="430" w:type="pct"/>
            <w:vMerge w:val="continue"/>
            <w:shd w:val="clear" w:color="auto" w:fill="auto"/>
            <w:vAlign w:val="center"/>
          </w:tcPr>
          <w:p w14:paraId="79EB8F79">
            <w:pPr>
              <w:pStyle w:val="28"/>
              <w:rPr>
                <w:color w:val="000000" w:themeColor="text1"/>
                <w14:textFill>
                  <w14:solidFill>
                    <w14:schemeClr w14:val="tx1"/>
                  </w14:solidFill>
                </w14:textFill>
              </w:rPr>
            </w:pPr>
          </w:p>
        </w:tc>
        <w:tc>
          <w:tcPr>
            <w:tcW w:w="403" w:type="pct"/>
            <w:vMerge w:val="continue"/>
            <w:shd w:val="clear" w:color="auto" w:fill="auto"/>
            <w:vAlign w:val="center"/>
          </w:tcPr>
          <w:p w14:paraId="2FEA7980">
            <w:pPr>
              <w:pStyle w:val="28"/>
              <w:rPr>
                <w:color w:val="000000" w:themeColor="text1"/>
                <w14:textFill>
                  <w14:solidFill>
                    <w14:schemeClr w14:val="tx1"/>
                  </w14:solidFill>
                </w14:textFill>
              </w:rPr>
            </w:pPr>
          </w:p>
        </w:tc>
        <w:tc>
          <w:tcPr>
            <w:tcW w:w="700" w:type="pct"/>
            <w:vMerge w:val="continue"/>
            <w:shd w:val="clear" w:color="auto" w:fill="auto"/>
            <w:vAlign w:val="center"/>
          </w:tcPr>
          <w:p w14:paraId="0E3EEFA5">
            <w:pPr>
              <w:pStyle w:val="28"/>
              <w:rPr>
                <w:color w:val="000000" w:themeColor="text1"/>
                <w14:textFill>
                  <w14:solidFill>
                    <w14:schemeClr w14:val="tx1"/>
                  </w14:solidFill>
                </w14:textFill>
              </w:rPr>
            </w:pPr>
          </w:p>
        </w:tc>
        <w:tc>
          <w:tcPr>
            <w:tcW w:w="415" w:type="pct"/>
            <w:shd w:val="clear" w:color="auto" w:fill="auto"/>
            <w:vAlign w:val="center"/>
          </w:tcPr>
          <w:p w14:paraId="58E48B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427" w:type="pct"/>
            <w:shd w:val="clear" w:color="auto" w:fill="auto"/>
            <w:vAlign w:val="center"/>
          </w:tcPr>
          <w:p w14:paraId="5B9A92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02" w:type="pct"/>
            <w:shd w:val="clear" w:color="auto" w:fill="auto"/>
            <w:vAlign w:val="center"/>
          </w:tcPr>
          <w:p w14:paraId="1EB3D0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8" w:type="pct"/>
            <w:shd w:val="clear" w:color="auto" w:fill="auto"/>
            <w:vAlign w:val="center"/>
          </w:tcPr>
          <w:p w14:paraId="0E91F3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539" w:type="pct"/>
            <w:shd w:val="clear" w:color="auto" w:fill="auto"/>
            <w:vAlign w:val="center"/>
          </w:tcPr>
          <w:p w14:paraId="082631C1">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52"/>
            </w:r>
            <w:r>
              <w:rPr>
                <w:color w:val="000000" w:themeColor="text1"/>
                <w14:textFill>
                  <w14:solidFill>
                    <w14:schemeClr w14:val="tx1"/>
                  </w14:solidFill>
                </w14:textFill>
              </w:rPr>
              <w:t>是</w:t>
            </w:r>
          </w:p>
          <w:p w14:paraId="144CE6F3">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A3"/>
            </w:r>
            <w:r>
              <w:rPr>
                <w:color w:val="000000" w:themeColor="text1"/>
                <w14:textFill>
                  <w14:solidFill>
                    <w14:schemeClr w14:val="tx1"/>
                  </w14:solidFill>
                </w14:textFill>
              </w:rPr>
              <w:t>否</w:t>
            </w:r>
          </w:p>
        </w:tc>
        <w:tc>
          <w:tcPr>
            <w:tcW w:w="728" w:type="pct"/>
            <w:shd w:val="clear" w:color="auto" w:fill="auto"/>
            <w:vAlign w:val="center"/>
          </w:tcPr>
          <w:p w14:paraId="2FDB8EC0">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52"/>
            </w:r>
            <w:r>
              <w:rPr>
                <w:color w:val="000000" w:themeColor="text1"/>
                <w14:textFill>
                  <w14:solidFill>
                    <w14:schemeClr w14:val="tx1"/>
                  </w14:solidFill>
                </w14:textFill>
              </w:rPr>
              <w:t>企业总排</w:t>
            </w:r>
          </w:p>
          <w:p w14:paraId="2909D60E">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雨水排放</w:t>
            </w:r>
          </w:p>
          <w:p w14:paraId="3C63AB6D">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清净下水排放</w:t>
            </w:r>
          </w:p>
          <w:p w14:paraId="3302DCEA">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温排水排放</w:t>
            </w:r>
          </w:p>
          <w:p w14:paraId="348D2774">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车间或车间处理设施排放</w:t>
            </w:r>
          </w:p>
        </w:tc>
      </w:tr>
      <w:tr w14:paraId="1DA4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 w:type="pct"/>
            <w:shd w:val="clear" w:color="auto" w:fill="auto"/>
            <w:vAlign w:val="center"/>
          </w:tcPr>
          <w:p w14:paraId="496EB1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55" w:type="pct"/>
            <w:shd w:val="clear" w:color="auto" w:fill="auto"/>
            <w:vAlign w:val="center"/>
          </w:tcPr>
          <w:p w14:paraId="36A5AD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430" w:type="pct"/>
            <w:shd w:val="clear" w:color="auto" w:fill="auto"/>
            <w:vAlign w:val="center"/>
          </w:tcPr>
          <w:p w14:paraId="0D039B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、COD、SS、NH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403" w:type="pct"/>
            <w:shd w:val="clear" w:color="auto" w:fill="auto"/>
            <w:vAlign w:val="center"/>
          </w:tcPr>
          <w:p w14:paraId="5E645646">
            <w:pPr>
              <w:pStyle w:val="28"/>
              <w:rPr>
                <w:color w:val="000000" w:themeColor="text1"/>
                <w14:textFill>
                  <w14:solidFill>
                    <w14:schemeClr w14:val="tx1"/>
                  </w14:solidFill>
                </w14:textFill>
              </w:rPr>
            </w:pPr>
            <w:r>
              <w:rPr>
                <w:color w:val="000000" w:themeColor="text1"/>
                <w14:textFill>
                  <w14:solidFill>
                    <w14:schemeClr w14:val="tx1"/>
                  </w14:solidFill>
                </w14:textFill>
              </w:rPr>
              <w:t>城市污水处理厂</w:t>
            </w:r>
          </w:p>
        </w:tc>
        <w:tc>
          <w:tcPr>
            <w:tcW w:w="700" w:type="pct"/>
            <w:shd w:val="clear" w:color="auto" w:fill="auto"/>
            <w:vAlign w:val="center"/>
          </w:tcPr>
          <w:p w14:paraId="4A4EA8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连续排放，流量不稳定且无规律，但不属于冲击型排放</w:t>
            </w:r>
          </w:p>
        </w:tc>
        <w:tc>
          <w:tcPr>
            <w:tcW w:w="415" w:type="pct"/>
            <w:shd w:val="clear" w:color="auto" w:fill="auto"/>
            <w:vAlign w:val="center"/>
          </w:tcPr>
          <w:p w14:paraId="46988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427" w:type="pct"/>
            <w:shd w:val="clear" w:color="auto" w:fill="auto"/>
            <w:vAlign w:val="center"/>
          </w:tcPr>
          <w:p w14:paraId="64CD57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化粪池</w:t>
            </w:r>
          </w:p>
        </w:tc>
        <w:tc>
          <w:tcPr>
            <w:tcW w:w="502" w:type="pct"/>
            <w:shd w:val="clear" w:color="auto" w:fill="auto"/>
            <w:vAlign w:val="center"/>
          </w:tcPr>
          <w:p w14:paraId="349E51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8" w:type="pct"/>
            <w:shd w:val="clear" w:color="auto" w:fill="auto"/>
            <w:vAlign w:val="center"/>
          </w:tcPr>
          <w:p w14:paraId="389FC7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539" w:type="pct"/>
            <w:shd w:val="clear" w:color="auto" w:fill="auto"/>
            <w:vAlign w:val="center"/>
          </w:tcPr>
          <w:p w14:paraId="64B0F136">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52"/>
            </w:r>
            <w:r>
              <w:rPr>
                <w:color w:val="000000" w:themeColor="text1"/>
                <w14:textFill>
                  <w14:solidFill>
                    <w14:schemeClr w14:val="tx1"/>
                  </w14:solidFill>
                </w14:textFill>
              </w:rPr>
              <w:t>是</w:t>
            </w:r>
          </w:p>
          <w:p w14:paraId="7322930F">
            <w:pPr>
              <w:pStyle w:val="28"/>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A3"/>
            </w:r>
            <w:r>
              <w:rPr>
                <w:color w:val="000000" w:themeColor="text1"/>
                <w14:textFill>
                  <w14:solidFill>
                    <w14:schemeClr w14:val="tx1"/>
                  </w14:solidFill>
                </w14:textFill>
              </w:rPr>
              <w:t>否</w:t>
            </w:r>
          </w:p>
        </w:tc>
        <w:tc>
          <w:tcPr>
            <w:tcW w:w="728" w:type="pct"/>
            <w:shd w:val="clear" w:color="auto" w:fill="auto"/>
            <w:vAlign w:val="center"/>
          </w:tcPr>
          <w:p w14:paraId="10709C9D">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sym w:font="Wingdings 2" w:char="0052"/>
            </w:r>
            <w:r>
              <w:rPr>
                <w:color w:val="000000" w:themeColor="text1"/>
                <w14:textFill>
                  <w14:solidFill>
                    <w14:schemeClr w14:val="tx1"/>
                  </w14:solidFill>
                </w14:textFill>
              </w:rPr>
              <w:t>企业总排</w:t>
            </w:r>
          </w:p>
          <w:p w14:paraId="4B34F7BE">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雨水排放</w:t>
            </w:r>
          </w:p>
          <w:p w14:paraId="4A112384">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清净下水排放</w:t>
            </w:r>
          </w:p>
          <w:p w14:paraId="0E8C6396">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温排水排放</w:t>
            </w:r>
          </w:p>
          <w:p w14:paraId="3AD522CC">
            <w:pPr>
              <w:pStyle w:val="28"/>
              <w:jc w:val="left"/>
              <w:rPr>
                <w:color w:val="000000" w:themeColor="text1"/>
                <w14:textFill>
                  <w14:solidFill>
                    <w14:schemeClr w14:val="tx1"/>
                  </w14:solidFill>
                </w14:textFill>
              </w:rPr>
            </w:pPr>
            <w:r>
              <w:rPr>
                <w:rFonts w:hint="eastAsia" w:cs="Times New Roman"/>
                <w:color w:val="000000" w:themeColor="text1"/>
                <w:sz w:val="18"/>
                <w:szCs w:val="18"/>
                <w14:textFill>
                  <w14:solidFill>
                    <w14:schemeClr w14:val="tx1"/>
                  </w14:solidFill>
                </w14:textFill>
              </w:rPr>
              <w:t>□</w:t>
            </w:r>
            <w:r>
              <w:rPr>
                <w:color w:val="000000" w:themeColor="text1"/>
                <w14:textFill>
                  <w14:solidFill>
                    <w14:schemeClr w14:val="tx1"/>
                  </w14:solidFill>
                </w14:textFill>
              </w:rPr>
              <w:t>车间或车间处理设施排放</w:t>
            </w:r>
          </w:p>
        </w:tc>
      </w:tr>
    </w:tbl>
    <w:p w14:paraId="04FEDF78">
      <w:pPr>
        <w:pStyle w:val="27"/>
        <w:rPr>
          <w:color w:val="000000" w:themeColor="text1"/>
          <w14:textFill>
            <w14:solidFill>
              <w14:schemeClr w14:val="tx1"/>
            </w14:solidFill>
          </w14:textFill>
        </w:rPr>
      </w:pPr>
    </w:p>
    <w:p w14:paraId="40CFBA50">
      <w:pPr>
        <w:pStyle w:val="27"/>
        <w:rPr>
          <w:color w:val="000000" w:themeColor="text1"/>
          <w14:textFill>
            <w14:solidFill>
              <w14:schemeClr w14:val="tx1"/>
            </w14:solidFill>
          </w14:textFill>
        </w:rPr>
      </w:pPr>
    </w:p>
    <w:p w14:paraId="65A2A209">
      <w:pPr>
        <w:ind w:firstLine="480"/>
        <w:rPr>
          <w:color w:val="000000" w:themeColor="text1"/>
          <w14:textFill>
            <w14:solidFill>
              <w14:schemeClr w14:val="tx1"/>
            </w14:solidFill>
          </w14:textFill>
        </w:rPr>
      </w:pPr>
    </w:p>
    <w:p w14:paraId="75F47EF3">
      <w:pPr>
        <w:ind w:firstLine="480"/>
        <w:rPr>
          <w:color w:val="000000" w:themeColor="text1"/>
          <w14:textFill>
            <w14:solidFill>
              <w14:schemeClr w14:val="tx1"/>
            </w14:solidFill>
          </w14:textFill>
        </w:rPr>
      </w:pPr>
    </w:p>
    <w:p w14:paraId="270E26FB">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5.2-14</w:t>
      </w:r>
      <w:r>
        <w:rPr>
          <w:color w:val="000000" w:themeColor="text1"/>
          <w14:textFill>
            <w14:solidFill>
              <w14:schemeClr w14:val="tx1"/>
            </w14:solidFill>
          </w14:textFill>
        </w:rPr>
        <w:t xml:space="preserve">  本项目废水间接排放口基本情况表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52"/>
        <w:gridCol w:w="1537"/>
        <w:gridCol w:w="1432"/>
        <w:gridCol w:w="1209"/>
        <w:gridCol w:w="824"/>
        <w:gridCol w:w="1276"/>
        <w:gridCol w:w="751"/>
        <w:gridCol w:w="1042"/>
        <w:gridCol w:w="1367"/>
        <w:gridCol w:w="1314"/>
        <w:gridCol w:w="1287"/>
      </w:tblGrid>
      <w:tr w14:paraId="4F82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 w:type="pct"/>
            <w:vMerge w:val="restart"/>
            <w:shd w:val="clear" w:color="auto" w:fill="auto"/>
            <w:vAlign w:val="center"/>
          </w:tcPr>
          <w:p w14:paraId="64FA3C54">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54" w:type="pct"/>
            <w:vMerge w:val="restart"/>
            <w:shd w:val="clear" w:color="auto" w:fill="auto"/>
            <w:vAlign w:val="center"/>
          </w:tcPr>
          <w:p w14:paraId="6EE957DA">
            <w:pPr>
              <w:pStyle w:val="28"/>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1103" w:type="pct"/>
            <w:gridSpan w:val="2"/>
            <w:shd w:val="clear" w:color="auto" w:fill="auto"/>
            <w:vAlign w:val="center"/>
          </w:tcPr>
          <w:p w14:paraId="08DC3146">
            <w:pPr>
              <w:pStyle w:val="28"/>
              <w:rPr>
                <w:color w:val="000000" w:themeColor="text1"/>
                <w14:textFill>
                  <w14:solidFill>
                    <w14:schemeClr w14:val="tx1"/>
                  </w14:solidFill>
                </w14:textFill>
              </w:rPr>
            </w:pPr>
            <w:r>
              <w:rPr>
                <w:color w:val="000000" w:themeColor="text1"/>
                <w14:textFill>
                  <w14:solidFill>
                    <w14:schemeClr w14:val="tx1"/>
                  </w14:solidFill>
                </w14:textFill>
              </w:rPr>
              <w:t>排放口地理坐标</w:t>
            </w:r>
          </w:p>
        </w:tc>
        <w:tc>
          <w:tcPr>
            <w:tcW w:w="449" w:type="pct"/>
            <w:vMerge w:val="restart"/>
            <w:shd w:val="clear" w:color="auto" w:fill="auto"/>
            <w:vAlign w:val="center"/>
          </w:tcPr>
          <w:p w14:paraId="025AED47">
            <w:pPr>
              <w:pStyle w:val="28"/>
              <w:rPr>
                <w:color w:val="000000" w:themeColor="text1"/>
                <w14:textFill>
                  <w14:solidFill>
                    <w14:schemeClr w14:val="tx1"/>
                  </w14:solidFill>
                </w14:textFill>
              </w:rPr>
            </w:pPr>
            <w:r>
              <w:rPr>
                <w:color w:val="000000" w:themeColor="text1"/>
                <w14:textFill>
                  <w14:solidFill>
                    <w14:schemeClr w14:val="tx1"/>
                  </w14:solidFill>
                </w14:textFill>
              </w:rPr>
              <w:t>废水排放量（万t/a）</w:t>
            </w:r>
          </w:p>
        </w:tc>
        <w:tc>
          <w:tcPr>
            <w:tcW w:w="306" w:type="pct"/>
            <w:vMerge w:val="restart"/>
            <w:shd w:val="clear" w:color="auto" w:fill="auto"/>
            <w:vAlign w:val="center"/>
          </w:tcPr>
          <w:p w14:paraId="754D5BA9">
            <w:pPr>
              <w:pStyle w:val="28"/>
              <w:rPr>
                <w:color w:val="000000" w:themeColor="text1"/>
                <w14:textFill>
                  <w14:solidFill>
                    <w14:schemeClr w14:val="tx1"/>
                  </w14:solidFill>
                </w14:textFill>
              </w:rPr>
            </w:pPr>
            <w:r>
              <w:rPr>
                <w:color w:val="000000" w:themeColor="text1"/>
                <w14:textFill>
                  <w14:solidFill>
                    <w14:schemeClr w14:val="tx1"/>
                  </w14:solidFill>
                </w14:textFill>
              </w:rPr>
              <w:t>排放去向</w:t>
            </w:r>
          </w:p>
        </w:tc>
        <w:tc>
          <w:tcPr>
            <w:tcW w:w="474" w:type="pct"/>
            <w:vMerge w:val="restart"/>
            <w:shd w:val="clear" w:color="auto" w:fill="auto"/>
            <w:vAlign w:val="center"/>
          </w:tcPr>
          <w:p w14:paraId="33C25C4E">
            <w:pPr>
              <w:pStyle w:val="28"/>
              <w:rPr>
                <w:color w:val="000000" w:themeColor="text1"/>
                <w14:textFill>
                  <w14:solidFill>
                    <w14:schemeClr w14:val="tx1"/>
                  </w14:solidFill>
                </w14:textFill>
              </w:rPr>
            </w:pPr>
            <w:r>
              <w:rPr>
                <w:color w:val="000000" w:themeColor="text1"/>
                <w14:textFill>
                  <w14:solidFill>
                    <w14:schemeClr w14:val="tx1"/>
                  </w14:solidFill>
                </w14:textFill>
              </w:rPr>
              <w:t>排放规律</w:t>
            </w:r>
          </w:p>
        </w:tc>
        <w:tc>
          <w:tcPr>
            <w:tcW w:w="279" w:type="pct"/>
            <w:vMerge w:val="restart"/>
            <w:shd w:val="clear" w:color="auto" w:fill="auto"/>
            <w:vAlign w:val="center"/>
          </w:tcPr>
          <w:p w14:paraId="425BFB1F">
            <w:pPr>
              <w:pStyle w:val="28"/>
              <w:rPr>
                <w:color w:val="000000" w:themeColor="text1"/>
                <w14:textFill>
                  <w14:solidFill>
                    <w14:schemeClr w14:val="tx1"/>
                  </w14:solidFill>
                </w14:textFill>
              </w:rPr>
            </w:pPr>
            <w:r>
              <w:rPr>
                <w:color w:val="000000" w:themeColor="text1"/>
                <w14:textFill>
                  <w14:solidFill>
                    <w14:schemeClr w14:val="tx1"/>
                  </w14:solidFill>
                </w14:textFill>
              </w:rPr>
              <w:t>间歇排放时段</w:t>
            </w:r>
          </w:p>
        </w:tc>
        <w:tc>
          <w:tcPr>
            <w:tcW w:w="1861" w:type="pct"/>
            <w:gridSpan w:val="4"/>
            <w:shd w:val="clear" w:color="auto" w:fill="auto"/>
            <w:vAlign w:val="center"/>
          </w:tcPr>
          <w:p w14:paraId="5DBDA57C">
            <w:pPr>
              <w:pStyle w:val="28"/>
              <w:rPr>
                <w:color w:val="000000" w:themeColor="text1"/>
                <w14:textFill>
                  <w14:solidFill>
                    <w14:schemeClr w14:val="tx1"/>
                  </w14:solidFill>
                </w14:textFill>
              </w:rPr>
            </w:pPr>
            <w:r>
              <w:rPr>
                <w:color w:val="000000" w:themeColor="text1"/>
                <w14:textFill>
                  <w14:solidFill>
                    <w14:schemeClr w14:val="tx1"/>
                  </w14:solidFill>
                </w14:textFill>
              </w:rPr>
              <w:t>受纳污水厂信息</w:t>
            </w:r>
          </w:p>
        </w:tc>
      </w:tr>
      <w:tr w14:paraId="4932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 w:type="pct"/>
            <w:vMerge w:val="continue"/>
            <w:shd w:val="clear" w:color="auto" w:fill="auto"/>
            <w:vAlign w:val="center"/>
          </w:tcPr>
          <w:p w14:paraId="570FDFDC">
            <w:pPr>
              <w:pStyle w:val="28"/>
              <w:rPr>
                <w:color w:val="000000" w:themeColor="text1"/>
                <w14:textFill>
                  <w14:solidFill>
                    <w14:schemeClr w14:val="tx1"/>
                  </w14:solidFill>
                </w14:textFill>
              </w:rPr>
            </w:pPr>
          </w:p>
        </w:tc>
        <w:tc>
          <w:tcPr>
            <w:tcW w:w="354" w:type="pct"/>
            <w:vMerge w:val="continue"/>
            <w:shd w:val="clear" w:color="auto" w:fill="auto"/>
            <w:vAlign w:val="center"/>
          </w:tcPr>
          <w:p w14:paraId="170BEACB">
            <w:pPr>
              <w:pStyle w:val="28"/>
              <w:rPr>
                <w:color w:val="000000" w:themeColor="text1"/>
                <w14:textFill>
                  <w14:solidFill>
                    <w14:schemeClr w14:val="tx1"/>
                  </w14:solidFill>
                </w14:textFill>
              </w:rPr>
            </w:pPr>
          </w:p>
        </w:tc>
        <w:tc>
          <w:tcPr>
            <w:tcW w:w="571" w:type="pct"/>
            <w:shd w:val="clear" w:color="auto" w:fill="auto"/>
            <w:vAlign w:val="center"/>
          </w:tcPr>
          <w:p w14:paraId="3F3B287E">
            <w:pPr>
              <w:pStyle w:val="28"/>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532" w:type="pct"/>
            <w:shd w:val="clear" w:color="auto" w:fill="auto"/>
            <w:vAlign w:val="center"/>
          </w:tcPr>
          <w:p w14:paraId="5B8D2CD5">
            <w:pPr>
              <w:pStyle w:val="28"/>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449" w:type="pct"/>
            <w:vMerge w:val="continue"/>
            <w:shd w:val="clear" w:color="auto" w:fill="auto"/>
            <w:vAlign w:val="center"/>
          </w:tcPr>
          <w:p w14:paraId="51FDD705">
            <w:pPr>
              <w:pStyle w:val="28"/>
              <w:rPr>
                <w:color w:val="000000" w:themeColor="text1"/>
                <w14:textFill>
                  <w14:solidFill>
                    <w14:schemeClr w14:val="tx1"/>
                  </w14:solidFill>
                </w14:textFill>
              </w:rPr>
            </w:pPr>
          </w:p>
        </w:tc>
        <w:tc>
          <w:tcPr>
            <w:tcW w:w="306" w:type="pct"/>
            <w:vMerge w:val="continue"/>
            <w:shd w:val="clear" w:color="auto" w:fill="auto"/>
            <w:vAlign w:val="center"/>
          </w:tcPr>
          <w:p w14:paraId="122ECD63">
            <w:pPr>
              <w:pStyle w:val="28"/>
              <w:rPr>
                <w:color w:val="000000" w:themeColor="text1"/>
                <w14:textFill>
                  <w14:solidFill>
                    <w14:schemeClr w14:val="tx1"/>
                  </w14:solidFill>
                </w14:textFill>
              </w:rPr>
            </w:pPr>
          </w:p>
        </w:tc>
        <w:tc>
          <w:tcPr>
            <w:tcW w:w="474" w:type="pct"/>
            <w:vMerge w:val="continue"/>
            <w:shd w:val="clear" w:color="auto" w:fill="auto"/>
            <w:vAlign w:val="center"/>
          </w:tcPr>
          <w:p w14:paraId="2889F807">
            <w:pPr>
              <w:pStyle w:val="28"/>
              <w:rPr>
                <w:color w:val="000000" w:themeColor="text1"/>
                <w14:textFill>
                  <w14:solidFill>
                    <w14:schemeClr w14:val="tx1"/>
                  </w14:solidFill>
                </w14:textFill>
              </w:rPr>
            </w:pPr>
          </w:p>
        </w:tc>
        <w:tc>
          <w:tcPr>
            <w:tcW w:w="279" w:type="pct"/>
            <w:vMerge w:val="continue"/>
            <w:shd w:val="clear" w:color="auto" w:fill="auto"/>
            <w:vAlign w:val="center"/>
          </w:tcPr>
          <w:p w14:paraId="4FFCECB3">
            <w:pPr>
              <w:pStyle w:val="28"/>
              <w:rPr>
                <w:color w:val="000000" w:themeColor="text1"/>
                <w14:textFill>
                  <w14:solidFill>
                    <w14:schemeClr w14:val="tx1"/>
                  </w14:solidFill>
                </w14:textFill>
              </w:rPr>
            </w:pPr>
          </w:p>
        </w:tc>
        <w:tc>
          <w:tcPr>
            <w:tcW w:w="387" w:type="pct"/>
            <w:shd w:val="clear" w:color="auto" w:fill="auto"/>
            <w:vAlign w:val="center"/>
          </w:tcPr>
          <w:p w14:paraId="351165CC">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508" w:type="pct"/>
            <w:shd w:val="clear" w:color="auto" w:fill="auto"/>
            <w:vAlign w:val="center"/>
          </w:tcPr>
          <w:p w14:paraId="777B039F">
            <w:pPr>
              <w:pStyle w:val="28"/>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965" w:type="pct"/>
            <w:gridSpan w:val="2"/>
            <w:shd w:val="clear" w:color="auto" w:fill="auto"/>
            <w:vAlign w:val="center"/>
          </w:tcPr>
          <w:p w14:paraId="4546D3A9">
            <w:pPr>
              <w:pStyle w:val="28"/>
              <w:rPr>
                <w:color w:val="000000" w:themeColor="text1"/>
                <w14:textFill>
                  <w14:solidFill>
                    <w14:schemeClr w14:val="tx1"/>
                  </w14:solidFill>
                </w14:textFill>
              </w:rPr>
            </w:pPr>
            <w:r>
              <w:rPr>
                <w:color w:val="000000" w:themeColor="text1"/>
                <w14:textFill>
                  <w14:solidFill>
                    <w14:schemeClr w14:val="tx1"/>
                  </w14:solidFill>
                </w14:textFill>
              </w:rPr>
              <w:t>国家或地方污染物排放标准标准浓度限值（mg/L）</w:t>
            </w:r>
          </w:p>
        </w:tc>
      </w:tr>
      <w:tr w14:paraId="1DDB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70" w:type="pct"/>
            <w:shd w:val="clear" w:color="auto" w:fill="auto"/>
            <w:vAlign w:val="center"/>
          </w:tcPr>
          <w:p w14:paraId="3FB9BFD0">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4" w:type="pct"/>
            <w:vMerge w:val="restart"/>
            <w:shd w:val="clear" w:color="auto" w:fill="auto"/>
            <w:vAlign w:val="center"/>
          </w:tcPr>
          <w:p w14:paraId="54005B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DW002</w:t>
            </w:r>
          </w:p>
        </w:tc>
        <w:tc>
          <w:tcPr>
            <w:tcW w:w="571" w:type="pct"/>
            <w:vMerge w:val="restart"/>
            <w:shd w:val="clear" w:color="auto" w:fill="auto"/>
            <w:vAlign w:val="center"/>
          </w:tcPr>
          <w:p w14:paraId="2CBDDF98">
            <w:pPr>
              <w:pStyle w:val="28"/>
              <w:rPr>
                <w:color w:val="000000" w:themeColor="text1"/>
                <w14:textFill>
                  <w14:solidFill>
                    <w14:schemeClr w14:val="tx1"/>
                  </w14:solidFill>
                </w14:textFill>
              </w:rPr>
            </w:pPr>
            <w:r>
              <w:rPr>
                <w:rFonts w:cs="Times New Roman"/>
                <w:color w:val="000000" w:themeColor="text1"/>
                <w14:textFill>
                  <w14:solidFill>
                    <w14:schemeClr w14:val="tx1"/>
                  </w14:solidFill>
                </w14:textFill>
              </w:rPr>
              <w:t>102°31′39.861″</w:t>
            </w:r>
          </w:p>
        </w:tc>
        <w:tc>
          <w:tcPr>
            <w:tcW w:w="532" w:type="pct"/>
            <w:vMerge w:val="restart"/>
            <w:shd w:val="clear" w:color="auto" w:fill="auto"/>
            <w:vAlign w:val="center"/>
          </w:tcPr>
          <w:p w14:paraId="0B3797C6">
            <w:pPr>
              <w:pStyle w:val="28"/>
              <w:rPr>
                <w:color w:val="000000" w:themeColor="text1"/>
                <w14:textFill>
                  <w14:solidFill>
                    <w14:schemeClr w14:val="tx1"/>
                  </w14:solidFill>
                </w14:textFill>
              </w:rPr>
            </w:pPr>
            <w:r>
              <w:rPr>
                <w:rFonts w:cs="Times New Roman"/>
                <w:color w:val="000000" w:themeColor="text1"/>
                <w14:textFill>
                  <w14:solidFill>
                    <w14:schemeClr w14:val="tx1"/>
                  </w14:solidFill>
                </w14:textFill>
              </w:rPr>
              <w:t>24°26′15.310″</w:t>
            </w:r>
          </w:p>
        </w:tc>
        <w:tc>
          <w:tcPr>
            <w:tcW w:w="449" w:type="pct"/>
            <w:vMerge w:val="restart"/>
            <w:shd w:val="clear" w:color="auto" w:fill="auto"/>
            <w:vAlign w:val="center"/>
          </w:tcPr>
          <w:p w14:paraId="6EC63A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0.0047</w:t>
            </w:r>
          </w:p>
        </w:tc>
        <w:tc>
          <w:tcPr>
            <w:tcW w:w="306" w:type="pct"/>
            <w:vMerge w:val="restart"/>
            <w:shd w:val="clear" w:color="auto" w:fill="auto"/>
            <w:vAlign w:val="center"/>
          </w:tcPr>
          <w:p w14:paraId="45B89995">
            <w:pPr>
              <w:pStyle w:val="28"/>
              <w:rPr>
                <w:color w:val="000000" w:themeColor="text1"/>
                <w14:textFill>
                  <w14:solidFill>
                    <w14:schemeClr w14:val="tx1"/>
                  </w14:solidFill>
                </w14:textFill>
              </w:rPr>
            </w:pPr>
            <w:r>
              <w:rPr>
                <w:color w:val="000000" w:themeColor="text1"/>
                <w14:textFill>
                  <w14:solidFill>
                    <w14:schemeClr w14:val="tx1"/>
                  </w14:solidFill>
                </w14:textFill>
              </w:rPr>
              <w:t>城市污水处理厂</w:t>
            </w:r>
          </w:p>
        </w:tc>
        <w:tc>
          <w:tcPr>
            <w:tcW w:w="474" w:type="pct"/>
            <w:vMerge w:val="restart"/>
            <w:shd w:val="clear" w:color="auto" w:fill="auto"/>
            <w:vAlign w:val="center"/>
          </w:tcPr>
          <w:p w14:paraId="55E8C6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连续排放，流量不稳定且无规律，但不属于冲击型排放</w:t>
            </w:r>
          </w:p>
        </w:tc>
        <w:tc>
          <w:tcPr>
            <w:tcW w:w="279" w:type="pct"/>
            <w:vMerge w:val="restart"/>
            <w:shd w:val="clear" w:color="auto" w:fill="auto"/>
            <w:vAlign w:val="center"/>
          </w:tcPr>
          <w:p w14:paraId="5E1C2F4C">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387" w:type="pct"/>
            <w:vMerge w:val="restart"/>
            <w:shd w:val="clear" w:color="auto" w:fill="auto"/>
            <w:vAlign w:val="center"/>
          </w:tcPr>
          <w:p w14:paraId="7A4F68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玉溪市城市污水处理厂</w:t>
            </w:r>
          </w:p>
        </w:tc>
        <w:tc>
          <w:tcPr>
            <w:tcW w:w="508" w:type="pct"/>
            <w:vMerge w:val="restart"/>
            <w:shd w:val="clear" w:color="auto" w:fill="auto"/>
            <w:vAlign w:val="center"/>
          </w:tcPr>
          <w:p w14:paraId="535A74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CODcr、SS、</w:t>
            </w:r>
          </w:p>
          <w:p w14:paraId="503753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-N、TP、硫化物</w:t>
            </w:r>
          </w:p>
        </w:tc>
        <w:tc>
          <w:tcPr>
            <w:tcW w:w="488" w:type="pct"/>
            <w:shd w:val="clear" w:color="auto" w:fill="auto"/>
            <w:vAlign w:val="center"/>
          </w:tcPr>
          <w:p w14:paraId="759565A9">
            <w:pPr>
              <w:pStyle w:val="28"/>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77" w:type="pct"/>
            <w:shd w:val="clear" w:color="auto" w:fill="auto"/>
            <w:vAlign w:val="center"/>
          </w:tcPr>
          <w:p w14:paraId="7F69ED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14:paraId="2F28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 w:type="pct"/>
            <w:shd w:val="clear" w:color="auto" w:fill="auto"/>
            <w:vAlign w:val="center"/>
          </w:tcPr>
          <w:p w14:paraId="799012F7">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354" w:type="pct"/>
            <w:vMerge w:val="continue"/>
            <w:shd w:val="clear" w:color="auto" w:fill="auto"/>
            <w:vAlign w:val="center"/>
          </w:tcPr>
          <w:p w14:paraId="2734871E">
            <w:pPr>
              <w:pStyle w:val="28"/>
              <w:rPr>
                <w:color w:val="000000" w:themeColor="text1"/>
                <w14:textFill>
                  <w14:solidFill>
                    <w14:schemeClr w14:val="tx1"/>
                  </w14:solidFill>
                </w14:textFill>
              </w:rPr>
            </w:pPr>
          </w:p>
        </w:tc>
        <w:tc>
          <w:tcPr>
            <w:tcW w:w="571" w:type="pct"/>
            <w:vMerge w:val="continue"/>
            <w:shd w:val="clear" w:color="auto" w:fill="auto"/>
            <w:vAlign w:val="center"/>
          </w:tcPr>
          <w:p w14:paraId="25304744">
            <w:pPr>
              <w:pStyle w:val="28"/>
              <w:rPr>
                <w:color w:val="000000" w:themeColor="text1"/>
                <w14:textFill>
                  <w14:solidFill>
                    <w14:schemeClr w14:val="tx1"/>
                  </w14:solidFill>
                </w14:textFill>
              </w:rPr>
            </w:pPr>
          </w:p>
        </w:tc>
        <w:tc>
          <w:tcPr>
            <w:tcW w:w="532" w:type="pct"/>
            <w:vMerge w:val="continue"/>
            <w:shd w:val="clear" w:color="auto" w:fill="auto"/>
            <w:vAlign w:val="center"/>
          </w:tcPr>
          <w:p w14:paraId="482ACC7A">
            <w:pPr>
              <w:pStyle w:val="28"/>
              <w:rPr>
                <w:color w:val="000000" w:themeColor="text1"/>
                <w14:textFill>
                  <w14:solidFill>
                    <w14:schemeClr w14:val="tx1"/>
                  </w14:solidFill>
                </w14:textFill>
              </w:rPr>
            </w:pPr>
          </w:p>
        </w:tc>
        <w:tc>
          <w:tcPr>
            <w:tcW w:w="449" w:type="pct"/>
            <w:vMerge w:val="continue"/>
            <w:shd w:val="clear" w:color="auto" w:fill="auto"/>
            <w:vAlign w:val="center"/>
          </w:tcPr>
          <w:p w14:paraId="2CF336D1">
            <w:pPr>
              <w:pStyle w:val="28"/>
              <w:rPr>
                <w:color w:val="000000" w:themeColor="text1"/>
                <w14:textFill>
                  <w14:solidFill>
                    <w14:schemeClr w14:val="tx1"/>
                  </w14:solidFill>
                </w14:textFill>
              </w:rPr>
            </w:pPr>
          </w:p>
        </w:tc>
        <w:tc>
          <w:tcPr>
            <w:tcW w:w="306" w:type="pct"/>
            <w:vMerge w:val="continue"/>
            <w:shd w:val="clear" w:color="auto" w:fill="auto"/>
            <w:vAlign w:val="center"/>
          </w:tcPr>
          <w:p w14:paraId="098AC93E">
            <w:pPr>
              <w:pStyle w:val="28"/>
              <w:rPr>
                <w:color w:val="000000" w:themeColor="text1"/>
                <w14:textFill>
                  <w14:solidFill>
                    <w14:schemeClr w14:val="tx1"/>
                  </w14:solidFill>
                </w14:textFill>
              </w:rPr>
            </w:pPr>
          </w:p>
        </w:tc>
        <w:tc>
          <w:tcPr>
            <w:tcW w:w="474" w:type="pct"/>
            <w:vMerge w:val="continue"/>
            <w:shd w:val="clear" w:color="auto" w:fill="auto"/>
            <w:vAlign w:val="center"/>
          </w:tcPr>
          <w:p w14:paraId="2C5716C8">
            <w:pPr>
              <w:pStyle w:val="28"/>
              <w:rPr>
                <w:color w:val="000000" w:themeColor="text1"/>
                <w14:textFill>
                  <w14:solidFill>
                    <w14:schemeClr w14:val="tx1"/>
                  </w14:solidFill>
                </w14:textFill>
              </w:rPr>
            </w:pPr>
          </w:p>
        </w:tc>
        <w:tc>
          <w:tcPr>
            <w:tcW w:w="279" w:type="pct"/>
            <w:vMerge w:val="continue"/>
            <w:shd w:val="clear" w:color="auto" w:fill="auto"/>
            <w:vAlign w:val="center"/>
          </w:tcPr>
          <w:p w14:paraId="2411C688">
            <w:pPr>
              <w:pStyle w:val="28"/>
              <w:rPr>
                <w:color w:val="000000" w:themeColor="text1"/>
                <w14:textFill>
                  <w14:solidFill>
                    <w14:schemeClr w14:val="tx1"/>
                  </w14:solidFill>
                </w14:textFill>
              </w:rPr>
            </w:pPr>
          </w:p>
        </w:tc>
        <w:tc>
          <w:tcPr>
            <w:tcW w:w="387" w:type="pct"/>
            <w:vMerge w:val="continue"/>
            <w:shd w:val="clear" w:color="auto" w:fill="auto"/>
            <w:vAlign w:val="center"/>
          </w:tcPr>
          <w:p w14:paraId="58FA1B02">
            <w:pPr>
              <w:pStyle w:val="28"/>
              <w:rPr>
                <w:color w:val="000000" w:themeColor="text1"/>
                <w14:textFill>
                  <w14:solidFill>
                    <w14:schemeClr w14:val="tx1"/>
                  </w14:solidFill>
                </w14:textFill>
              </w:rPr>
            </w:pPr>
          </w:p>
        </w:tc>
        <w:tc>
          <w:tcPr>
            <w:tcW w:w="508" w:type="pct"/>
            <w:vMerge w:val="continue"/>
            <w:shd w:val="clear" w:color="auto" w:fill="auto"/>
            <w:vAlign w:val="center"/>
          </w:tcPr>
          <w:p w14:paraId="0DEB0022">
            <w:pPr>
              <w:pStyle w:val="28"/>
              <w:rPr>
                <w:color w:val="000000" w:themeColor="text1"/>
                <w14:textFill>
                  <w14:solidFill>
                    <w14:schemeClr w14:val="tx1"/>
                  </w14:solidFill>
                </w14:textFill>
              </w:rPr>
            </w:pPr>
          </w:p>
        </w:tc>
        <w:tc>
          <w:tcPr>
            <w:tcW w:w="488" w:type="pct"/>
            <w:shd w:val="clear" w:color="auto" w:fill="auto"/>
            <w:vAlign w:val="center"/>
          </w:tcPr>
          <w:p w14:paraId="0B70DB1E">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77" w:type="pct"/>
            <w:shd w:val="clear" w:color="auto" w:fill="auto"/>
            <w:vAlign w:val="center"/>
          </w:tcPr>
          <w:p w14:paraId="0392BB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14:paraId="72DC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 w:type="pct"/>
            <w:shd w:val="clear" w:color="auto" w:fill="auto"/>
            <w:vAlign w:val="center"/>
          </w:tcPr>
          <w:p w14:paraId="3F2AC01B">
            <w:pPr>
              <w:pStyle w:val="28"/>
              <w:rPr>
                <w:color w:val="000000" w:themeColor="text1"/>
                <w14:textFill>
                  <w14:solidFill>
                    <w14:schemeClr w14:val="tx1"/>
                  </w14:solidFill>
                </w14:textFill>
              </w:rPr>
            </w:pPr>
            <w:r>
              <w:rPr>
                <w:color w:val="000000" w:themeColor="text1"/>
                <w14:textFill>
                  <w14:solidFill>
                    <w14:schemeClr w14:val="tx1"/>
                  </w14:solidFill>
                </w14:textFill>
              </w:rPr>
              <w:t>3</w:t>
            </w:r>
          </w:p>
        </w:tc>
        <w:tc>
          <w:tcPr>
            <w:tcW w:w="354" w:type="pct"/>
            <w:vMerge w:val="continue"/>
            <w:shd w:val="clear" w:color="auto" w:fill="auto"/>
            <w:vAlign w:val="center"/>
          </w:tcPr>
          <w:p w14:paraId="6618A20D">
            <w:pPr>
              <w:pStyle w:val="28"/>
              <w:rPr>
                <w:color w:val="000000" w:themeColor="text1"/>
                <w14:textFill>
                  <w14:solidFill>
                    <w14:schemeClr w14:val="tx1"/>
                  </w14:solidFill>
                </w14:textFill>
              </w:rPr>
            </w:pPr>
          </w:p>
        </w:tc>
        <w:tc>
          <w:tcPr>
            <w:tcW w:w="571" w:type="pct"/>
            <w:vMerge w:val="continue"/>
            <w:shd w:val="clear" w:color="auto" w:fill="auto"/>
            <w:vAlign w:val="center"/>
          </w:tcPr>
          <w:p w14:paraId="5A0DA92F">
            <w:pPr>
              <w:pStyle w:val="28"/>
              <w:rPr>
                <w:color w:val="000000" w:themeColor="text1"/>
                <w14:textFill>
                  <w14:solidFill>
                    <w14:schemeClr w14:val="tx1"/>
                  </w14:solidFill>
                </w14:textFill>
              </w:rPr>
            </w:pPr>
          </w:p>
        </w:tc>
        <w:tc>
          <w:tcPr>
            <w:tcW w:w="532" w:type="pct"/>
            <w:vMerge w:val="continue"/>
            <w:shd w:val="clear" w:color="auto" w:fill="auto"/>
            <w:vAlign w:val="center"/>
          </w:tcPr>
          <w:p w14:paraId="59204F75">
            <w:pPr>
              <w:pStyle w:val="28"/>
              <w:rPr>
                <w:color w:val="000000" w:themeColor="text1"/>
                <w14:textFill>
                  <w14:solidFill>
                    <w14:schemeClr w14:val="tx1"/>
                  </w14:solidFill>
                </w14:textFill>
              </w:rPr>
            </w:pPr>
          </w:p>
        </w:tc>
        <w:tc>
          <w:tcPr>
            <w:tcW w:w="449" w:type="pct"/>
            <w:vMerge w:val="continue"/>
            <w:shd w:val="clear" w:color="auto" w:fill="auto"/>
            <w:vAlign w:val="center"/>
          </w:tcPr>
          <w:p w14:paraId="47951E1C">
            <w:pPr>
              <w:pStyle w:val="28"/>
              <w:rPr>
                <w:color w:val="000000" w:themeColor="text1"/>
                <w14:textFill>
                  <w14:solidFill>
                    <w14:schemeClr w14:val="tx1"/>
                  </w14:solidFill>
                </w14:textFill>
              </w:rPr>
            </w:pPr>
          </w:p>
        </w:tc>
        <w:tc>
          <w:tcPr>
            <w:tcW w:w="306" w:type="pct"/>
            <w:vMerge w:val="continue"/>
            <w:shd w:val="clear" w:color="auto" w:fill="auto"/>
            <w:vAlign w:val="center"/>
          </w:tcPr>
          <w:p w14:paraId="3EB0F383">
            <w:pPr>
              <w:pStyle w:val="28"/>
              <w:rPr>
                <w:color w:val="000000" w:themeColor="text1"/>
                <w14:textFill>
                  <w14:solidFill>
                    <w14:schemeClr w14:val="tx1"/>
                  </w14:solidFill>
                </w14:textFill>
              </w:rPr>
            </w:pPr>
          </w:p>
        </w:tc>
        <w:tc>
          <w:tcPr>
            <w:tcW w:w="474" w:type="pct"/>
            <w:vMerge w:val="continue"/>
            <w:shd w:val="clear" w:color="auto" w:fill="auto"/>
            <w:vAlign w:val="center"/>
          </w:tcPr>
          <w:p w14:paraId="257AAC2D">
            <w:pPr>
              <w:pStyle w:val="28"/>
              <w:rPr>
                <w:color w:val="000000" w:themeColor="text1"/>
                <w14:textFill>
                  <w14:solidFill>
                    <w14:schemeClr w14:val="tx1"/>
                  </w14:solidFill>
                </w14:textFill>
              </w:rPr>
            </w:pPr>
          </w:p>
        </w:tc>
        <w:tc>
          <w:tcPr>
            <w:tcW w:w="279" w:type="pct"/>
            <w:vMerge w:val="continue"/>
            <w:shd w:val="clear" w:color="auto" w:fill="auto"/>
            <w:vAlign w:val="center"/>
          </w:tcPr>
          <w:p w14:paraId="6E2C0E0A">
            <w:pPr>
              <w:pStyle w:val="28"/>
              <w:rPr>
                <w:color w:val="000000" w:themeColor="text1"/>
                <w14:textFill>
                  <w14:solidFill>
                    <w14:schemeClr w14:val="tx1"/>
                  </w14:solidFill>
                </w14:textFill>
              </w:rPr>
            </w:pPr>
          </w:p>
        </w:tc>
        <w:tc>
          <w:tcPr>
            <w:tcW w:w="387" w:type="pct"/>
            <w:vMerge w:val="continue"/>
            <w:shd w:val="clear" w:color="auto" w:fill="auto"/>
            <w:vAlign w:val="center"/>
          </w:tcPr>
          <w:p w14:paraId="2B2391B7">
            <w:pPr>
              <w:pStyle w:val="28"/>
              <w:rPr>
                <w:color w:val="000000" w:themeColor="text1"/>
                <w14:textFill>
                  <w14:solidFill>
                    <w14:schemeClr w14:val="tx1"/>
                  </w14:solidFill>
                </w14:textFill>
              </w:rPr>
            </w:pPr>
          </w:p>
        </w:tc>
        <w:tc>
          <w:tcPr>
            <w:tcW w:w="508" w:type="pct"/>
            <w:vMerge w:val="continue"/>
            <w:shd w:val="clear" w:color="auto" w:fill="auto"/>
            <w:vAlign w:val="center"/>
          </w:tcPr>
          <w:p w14:paraId="0E99EB88">
            <w:pPr>
              <w:pStyle w:val="28"/>
              <w:rPr>
                <w:color w:val="000000" w:themeColor="text1"/>
                <w14:textFill>
                  <w14:solidFill>
                    <w14:schemeClr w14:val="tx1"/>
                  </w14:solidFill>
                </w14:textFill>
              </w:rPr>
            </w:pPr>
          </w:p>
        </w:tc>
        <w:tc>
          <w:tcPr>
            <w:tcW w:w="488" w:type="pct"/>
            <w:shd w:val="clear" w:color="auto" w:fill="auto"/>
            <w:vAlign w:val="center"/>
          </w:tcPr>
          <w:p w14:paraId="41ED6FE9">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477" w:type="pct"/>
            <w:shd w:val="clear" w:color="auto" w:fill="auto"/>
            <w:vAlign w:val="center"/>
          </w:tcPr>
          <w:p w14:paraId="4CEB1D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r>
      <w:tr w14:paraId="7BD0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 w:type="pct"/>
            <w:shd w:val="clear" w:color="auto" w:fill="auto"/>
            <w:vAlign w:val="center"/>
          </w:tcPr>
          <w:p w14:paraId="0ED274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54" w:type="pct"/>
            <w:vMerge w:val="continue"/>
            <w:shd w:val="clear" w:color="auto" w:fill="auto"/>
            <w:vAlign w:val="center"/>
          </w:tcPr>
          <w:p w14:paraId="3AC341B9">
            <w:pPr>
              <w:pStyle w:val="28"/>
              <w:rPr>
                <w:color w:val="000000" w:themeColor="text1"/>
                <w14:textFill>
                  <w14:solidFill>
                    <w14:schemeClr w14:val="tx1"/>
                  </w14:solidFill>
                </w14:textFill>
              </w:rPr>
            </w:pPr>
          </w:p>
        </w:tc>
        <w:tc>
          <w:tcPr>
            <w:tcW w:w="571" w:type="pct"/>
            <w:vMerge w:val="continue"/>
            <w:shd w:val="clear" w:color="auto" w:fill="auto"/>
            <w:vAlign w:val="center"/>
          </w:tcPr>
          <w:p w14:paraId="6FBD3B0F">
            <w:pPr>
              <w:pStyle w:val="28"/>
              <w:rPr>
                <w:color w:val="000000" w:themeColor="text1"/>
                <w14:textFill>
                  <w14:solidFill>
                    <w14:schemeClr w14:val="tx1"/>
                  </w14:solidFill>
                </w14:textFill>
              </w:rPr>
            </w:pPr>
          </w:p>
        </w:tc>
        <w:tc>
          <w:tcPr>
            <w:tcW w:w="532" w:type="pct"/>
            <w:vMerge w:val="continue"/>
            <w:shd w:val="clear" w:color="auto" w:fill="auto"/>
            <w:vAlign w:val="center"/>
          </w:tcPr>
          <w:p w14:paraId="498F9B05">
            <w:pPr>
              <w:pStyle w:val="28"/>
              <w:rPr>
                <w:color w:val="000000" w:themeColor="text1"/>
                <w14:textFill>
                  <w14:solidFill>
                    <w14:schemeClr w14:val="tx1"/>
                  </w14:solidFill>
                </w14:textFill>
              </w:rPr>
            </w:pPr>
          </w:p>
        </w:tc>
        <w:tc>
          <w:tcPr>
            <w:tcW w:w="449" w:type="pct"/>
            <w:vMerge w:val="continue"/>
            <w:shd w:val="clear" w:color="auto" w:fill="auto"/>
            <w:vAlign w:val="center"/>
          </w:tcPr>
          <w:p w14:paraId="253AF04D">
            <w:pPr>
              <w:pStyle w:val="28"/>
              <w:rPr>
                <w:color w:val="000000" w:themeColor="text1"/>
                <w14:textFill>
                  <w14:solidFill>
                    <w14:schemeClr w14:val="tx1"/>
                  </w14:solidFill>
                </w14:textFill>
              </w:rPr>
            </w:pPr>
          </w:p>
        </w:tc>
        <w:tc>
          <w:tcPr>
            <w:tcW w:w="306" w:type="pct"/>
            <w:vMerge w:val="continue"/>
            <w:shd w:val="clear" w:color="auto" w:fill="auto"/>
            <w:vAlign w:val="center"/>
          </w:tcPr>
          <w:p w14:paraId="61217983">
            <w:pPr>
              <w:pStyle w:val="28"/>
              <w:rPr>
                <w:color w:val="000000" w:themeColor="text1"/>
                <w14:textFill>
                  <w14:solidFill>
                    <w14:schemeClr w14:val="tx1"/>
                  </w14:solidFill>
                </w14:textFill>
              </w:rPr>
            </w:pPr>
          </w:p>
        </w:tc>
        <w:tc>
          <w:tcPr>
            <w:tcW w:w="474" w:type="pct"/>
            <w:vMerge w:val="continue"/>
            <w:shd w:val="clear" w:color="auto" w:fill="auto"/>
            <w:vAlign w:val="center"/>
          </w:tcPr>
          <w:p w14:paraId="5C3F71A0">
            <w:pPr>
              <w:pStyle w:val="28"/>
              <w:rPr>
                <w:color w:val="000000" w:themeColor="text1"/>
                <w14:textFill>
                  <w14:solidFill>
                    <w14:schemeClr w14:val="tx1"/>
                  </w14:solidFill>
                </w14:textFill>
              </w:rPr>
            </w:pPr>
          </w:p>
        </w:tc>
        <w:tc>
          <w:tcPr>
            <w:tcW w:w="279" w:type="pct"/>
            <w:vMerge w:val="continue"/>
            <w:shd w:val="clear" w:color="auto" w:fill="auto"/>
            <w:vAlign w:val="center"/>
          </w:tcPr>
          <w:p w14:paraId="08F6FB91">
            <w:pPr>
              <w:pStyle w:val="28"/>
              <w:rPr>
                <w:color w:val="000000" w:themeColor="text1"/>
                <w14:textFill>
                  <w14:solidFill>
                    <w14:schemeClr w14:val="tx1"/>
                  </w14:solidFill>
                </w14:textFill>
              </w:rPr>
            </w:pPr>
          </w:p>
        </w:tc>
        <w:tc>
          <w:tcPr>
            <w:tcW w:w="387" w:type="pct"/>
            <w:vMerge w:val="continue"/>
            <w:shd w:val="clear" w:color="auto" w:fill="auto"/>
            <w:vAlign w:val="center"/>
          </w:tcPr>
          <w:p w14:paraId="061DA77F">
            <w:pPr>
              <w:pStyle w:val="28"/>
              <w:rPr>
                <w:color w:val="000000" w:themeColor="text1"/>
                <w14:textFill>
                  <w14:solidFill>
                    <w14:schemeClr w14:val="tx1"/>
                  </w14:solidFill>
                </w14:textFill>
              </w:rPr>
            </w:pPr>
          </w:p>
        </w:tc>
        <w:tc>
          <w:tcPr>
            <w:tcW w:w="508" w:type="pct"/>
            <w:vMerge w:val="continue"/>
            <w:shd w:val="clear" w:color="auto" w:fill="auto"/>
            <w:vAlign w:val="center"/>
          </w:tcPr>
          <w:p w14:paraId="3AAF60FE">
            <w:pPr>
              <w:pStyle w:val="28"/>
              <w:rPr>
                <w:color w:val="000000" w:themeColor="text1"/>
                <w14:textFill>
                  <w14:solidFill>
                    <w14:schemeClr w14:val="tx1"/>
                  </w14:solidFill>
                </w14:textFill>
              </w:rPr>
            </w:pPr>
          </w:p>
        </w:tc>
        <w:tc>
          <w:tcPr>
            <w:tcW w:w="488" w:type="pct"/>
            <w:shd w:val="clear" w:color="auto" w:fill="auto"/>
            <w:vAlign w:val="center"/>
          </w:tcPr>
          <w:p w14:paraId="7528D0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477" w:type="pct"/>
            <w:shd w:val="clear" w:color="auto" w:fill="auto"/>
            <w:vAlign w:val="center"/>
          </w:tcPr>
          <w:p w14:paraId="39D001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r>
      <w:tr w14:paraId="5361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tcPr>
          <w:p w14:paraId="04D6E6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54" w:type="pct"/>
            <w:vMerge w:val="continue"/>
          </w:tcPr>
          <w:p w14:paraId="43667A4D">
            <w:pPr>
              <w:pStyle w:val="28"/>
              <w:rPr>
                <w:color w:val="000000" w:themeColor="text1"/>
                <w14:textFill>
                  <w14:solidFill>
                    <w14:schemeClr w14:val="tx1"/>
                  </w14:solidFill>
                </w14:textFill>
              </w:rPr>
            </w:pPr>
          </w:p>
        </w:tc>
        <w:tc>
          <w:tcPr>
            <w:tcW w:w="571" w:type="pct"/>
            <w:vMerge w:val="continue"/>
          </w:tcPr>
          <w:p w14:paraId="4D6EB224">
            <w:pPr>
              <w:pStyle w:val="28"/>
              <w:rPr>
                <w:color w:val="000000" w:themeColor="text1"/>
                <w14:textFill>
                  <w14:solidFill>
                    <w14:schemeClr w14:val="tx1"/>
                  </w14:solidFill>
                </w14:textFill>
              </w:rPr>
            </w:pPr>
          </w:p>
        </w:tc>
        <w:tc>
          <w:tcPr>
            <w:tcW w:w="532" w:type="pct"/>
            <w:vMerge w:val="continue"/>
          </w:tcPr>
          <w:p w14:paraId="2AB4E493">
            <w:pPr>
              <w:pStyle w:val="28"/>
              <w:rPr>
                <w:color w:val="000000" w:themeColor="text1"/>
                <w14:textFill>
                  <w14:solidFill>
                    <w14:schemeClr w14:val="tx1"/>
                  </w14:solidFill>
                </w14:textFill>
              </w:rPr>
            </w:pPr>
          </w:p>
        </w:tc>
        <w:tc>
          <w:tcPr>
            <w:tcW w:w="449" w:type="pct"/>
            <w:vMerge w:val="continue"/>
          </w:tcPr>
          <w:p w14:paraId="78B1988A">
            <w:pPr>
              <w:pStyle w:val="28"/>
              <w:rPr>
                <w:color w:val="000000" w:themeColor="text1"/>
                <w14:textFill>
                  <w14:solidFill>
                    <w14:schemeClr w14:val="tx1"/>
                  </w14:solidFill>
                </w14:textFill>
              </w:rPr>
            </w:pPr>
          </w:p>
        </w:tc>
        <w:tc>
          <w:tcPr>
            <w:tcW w:w="306" w:type="pct"/>
            <w:vMerge w:val="continue"/>
          </w:tcPr>
          <w:p w14:paraId="5035EEBA">
            <w:pPr>
              <w:pStyle w:val="28"/>
              <w:rPr>
                <w:color w:val="000000" w:themeColor="text1"/>
                <w14:textFill>
                  <w14:solidFill>
                    <w14:schemeClr w14:val="tx1"/>
                  </w14:solidFill>
                </w14:textFill>
              </w:rPr>
            </w:pPr>
          </w:p>
        </w:tc>
        <w:tc>
          <w:tcPr>
            <w:tcW w:w="474" w:type="pct"/>
            <w:vMerge w:val="continue"/>
          </w:tcPr>
          <w:p w14:paraId="40143481">
            <w:pPr>
              <w:pStyle w:val="28"/>
              <w:rPr>
                <w:color w:val="000000" w:themeColor="text1"/>
                <w14:textFill>
                  <w14:solidFill>
                    <w14:schemeClr w14:val="tx1"/>
                  </w14:solidFill>
                </w14:textFill>
              </w:rPr>
            </w:pPr>
          </w:p>
        </w:tc>
        <w:tc>
          <w:tcPr>
            <w:tcW w:w="279" w:type="pct"/>
            <w:vMerge w:val="continue"/>
          </w:tcPr>
          <w:p w14:paraId="622F1805">
            <w:pPr>
              <w:pStyle w:val="28"/>
              <w:rPr>
                <w:color w:val="000000" w:themeColor="text1"/>
                <w14:textFill>
                  <w14:solidFill>
                    <w14:schemeClr w14:val="tx1"/>
                  </w14:solidFill>
                </w14:textFill>
              </w:rPr>
            </w:pPr>
          </w:p>
        </w:tc>
        <w:tc>
          <w:tcPr>
            <w:tcW w:w="387" w:type="pct"/>
            <w:vMerge w:val="continue"/>
          </w:tcPr>
          <w:p w14:paraId="43B96BE1">
            <w:pPr>
              <w:pStyle w:val="28"/>
              <w:rPr>
                <w:color w:val="000000" w:themeColor="text1"/>
                <w14:textFill>
                  <w14:solidFill>
                    <w14:schemeClr w14:val="tx1"/>
                  </w14:solidFill>
                </w14:textFill>
              </w:rPr>
            </w:pPr>
          </w:p>
        </w:tc>
        <w:tc>
          <w:tcPr>
            <w:tcW w:w="508" w:type="pct"/>
            <w:vMerge w:val="continue"/>
          </w:tcPr>
          <w:p w14:paraId="3B6C7E71">
            <w:pPr>
              <w:pStyle w:val="28"/>
              <w:rPr>
                <w:color w:val="000000" w:themeColor="text1"/>
                <w14:textFill>
                  <w14:solidFill>
                    <w14:schemeClr w14:val="tx1"/>
                  </w14:solidFill>
                </w14:textFill>
              </w:rPr>
            </w:pPr>
          </w:p>
        </w:tc>
        <w:tc>
          <w:tcPr>
            <w:tcW w:w="488" w:type="pct"/>
            <w:shd w:val="clear" w:color="auto" w:fill="auto"/>
            <w:vAlign w:val="center"/>
          </w:tcPr>
          <w:p w14:paraId="4C3B77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477" w:type="pct"/>
            <w:shd w:val="clear" w:color="auto" w:fill="auto"/>
            <w:vAlign w:val="center"/>
          </w:tcPr>
          <w:p w14:paraId="2064BA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0A6B23AC">
      <w:pPr>
        <w:ind w:firstLine="480"/>
        <w:rPr>
          <w:rFonts w:cs="Times New Roman"/>
          <w:bCs/>
          <w:color w:val="000000" w:themeColor="text1"/>
          <w14:textFill>
            <w14:solidFill>
              <w14:schemeClr w14:val="tx1"/>
            </w14:solidFill>
          </w14:textFill>
        </w:rPr>
        <w:sectPr>
          <w:pgSz w:w="16838" w:h="11906" w:orient="landscape"/>
          <w:pgMar w:top="1440" w:right="1803" w:bottom="1440" w:left="1803" w:header="907" w:footer="992" w:gutter="0"/>
          <w:cols w:space="425" w:num="1"/>
          <w:docGrid w:type="lines" w:linePitch="312" w:charSpace="0"/>
        </w:sectPr>
      </w:pPr>
      <w:r>
        <w:rPr>
          <w:rFonts w:hint="eastAsia" w:cs="Times New Roman"/>
          <w:bCs/>
          <w:color w:val="000000" w:themeColor="text1"/>
          <w14:textFill>
            <w14:solidFill>
              <w14:schemeClr w14:val="tx1"/>
            </w14:solidFill>
          </w14:textFill>
        </w:rPr>
        <w:t>注：括号外数值为水温</w:t>
      </w:r>
      <w:r>
        <w:rPr>
          <w:rFonts w:cs="Times New Roman"/>
          <w:bCs/>
          <w:color w:val="000000" w:themeColor="text1"/>
          <w14:textFill>
            <w14:solidFill>
              <w14:schemeClr w14:val="tx1"/>
            </w14:solidFill>
          </w14:textFill>
        </w:rPr>
        <w:t>&gt;</w:t>
      </w:r>
      <w:r>
        <w:rPr>
          <w:rFonts w:hint="eastAsia" w:cs="Times New Roman"/>
          <w:bCs/>
          <w:color w:val="000000" w:themeColor="text1"/>
          <w14:textFill>
            <w14:solidFill>
              <w14:schemeClr w14:val="tx1"/>
            </w14:solidFill>
          </w14:textFill>
        </w:rPr>
        <w:t>12℃时的控制指标，括号内数值为水温</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12℃时的控制指标。</w:t>
      </w:r>
    </w:p>
    <w:p w14:paraId="6DEB37B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5.2-15</w:t>
      </w:r>
      <w:r>
        <w:rPr>
          <w:color w:val="000000" w:themeColor="text1"/>
          <w14:textFill>
            <w14:solidFill>
              <w14:schemeClr w14:val="tx1"/>
            </w14:solidFill>
          </w14:textFill>
        </w:rPr>
        <w:t xml:space="preserve">  废水污染物排放执行标准表</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037"/>
        <w:gridCol w:w="1366"/>
        <w:gridCol w:w="3208"/>
        <w:gridCol w:w="1214"/>
        <w:gridCol w:w="914"/>
      </w:tblGrid>
      <w:tr w14:paraId="17D7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54" w:type="pct"/>
            <w:vMerge w:val="restart"/>
            <w:vAlign w:val="center"/>
          </w:tcPr>
          <w:p w14:paraId="73C52345">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09" w:type="pct"/>
            <w:vMerge w:val="restart"/>
            <w:vAlign w:val="center"/>
          </w:tcPr>
          <w:p w14:paraId="6CE70C78">
            <w:pPr>
              <w:pStyle w:val="28"/>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802" w:type="pct"/>
            <w:vMerge w:val="restart"/>
            <w:vAlign w:val="center"/>
          </w:tcPr>
          <w:p w14:paraId="76D641EA">
            <w:pPr>
              <w:pStyle w:val="28"/>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3134" w:type="pct"/>
            <w:gridSpan w:val="3"/>
            <w:vAlign w:val="center"/>
          </w:tcPr>
          <w:p w14:paraId="14ABA49F">
            <w:pPr>
              <w:pStyle w:val="2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城镇污水排入排水管网许可证</w:t>
            </w:r>
          </w:p>
        </w:tc>
      </w:tr>
      <w:tr w14:paraId="3B06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35562124">
            <w:pPr>
              <w:pStyle w:val="28"/>
              <w:rPr>
                <w:color w:val="000000" w:themeColor="text1"/>
                <w14:textFill>
                  <w14:solidFill>
                    <w14:schemeClr w14:val="tx1"/>
                  </w14:solidFill>
                </w14:textFill>
              </w:rPr>
            </w:pPr>
          </w:p>
        </w:tc>
        <w:tc>
          <w:tcPr>
            <w:tcW w:w="609" w:type="pct"/>
            <w:vMerge w:val="continue"/>
            <w:vAlign w:val="center"/>
          </w:tcPr>
          <w:p w14:paraId="44422297">
            <w:pPr>
              <w:pStyle w:val="28"/>
              <w:rPr>
                <w:color w:val="000000" w:themeColor="text1"/>
                <w14:textFill>
                  <w14:solidFill>
                    <w14:schemeClr w14:val="tx1"/>
                  </w14:solidFill>
                </w14:textFill>
              </w:rPr>
            </w:pPr>
          </w:p>
        </w:tc>
        <w:tc>
          <w:tcPr>
            <w:tcW w:w="802" w:type="pct"/>
            <w:vMerge w:val="continue"/>
            <w:vAlign w:val="center"/>
          </w:tcPr>
          <w:p w14:paraId="3835E3C2">
            <w:pPr>
              <w:pStyle w:val="28"/>
              <w:rPr>
                <w:color w:val="000000" w:themeColor="text1"/>
                <w14:textFill>
                  <w14:solidFill>
                    <w14:schemeClr w14:val="tx1"/>
                  </w14:solidFill>
                </w14:textFill>
              </w:rPr>
            </w:pPr>
          </w:p>
        </w:tc>
        <w:tc>
          <w:tcPr>
            <w:tcW w:w="1884" w:type="pct"/>
            <w:vAlign w:val="center"/>
          </w:tcPr>
          <w:p w14:paraId="066F4858">
            <w:pPr>
              <w:pStyle w:val="2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250" w:type="pct"/>
            <w:gridSpan w:val="2"/>
            <w:vAlign w:val="center"/>
          </w:tcPr>
          <w:p w14:paraId="76371AA7">
            <w:pPr>
              <w:pStyle w:val="28"/>
              <w:rPr>
                <w:color w:val="000000" w:themeColor="text1"/>
                <w14:textFill>
                  <w14:solidFill>
                    <w14:schemeClr w14:val="tx1"/>
                  </w14:solidFill>
                </w14:textFill>
              </w:rPr>
            </w:pPr>
            <w:r>
              <w:rPr>
                <w:color w:val="000000" w:themeColor="text1"/>
                <w14:textFill>
                  <w14:solidFill>
                    <w14:schemeClr w14:val="tx1"/>
                  </w14:solidFill>
                </w14:textFill>
              </w:rPr>
              <w:t>浓度限值（mg/L）</w:t>
            </w:r>
          </w:p>
        </w:tc>
      </w:tr>
      <w:tr w14:paraId="6C1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restart"/>
            <w:vAlign w:val="center"/>
          </w:tcPr>
          <w:p w14:paraId="0063AB44">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9" w:type="pct"/>
            <w:vMerge w:val="restart"/>
            <w:vAlign w:val="center"/>
          </w:tcPr>
          <w:p w14:paraId="0AADFD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DW002</w:t>
            </w:r>
          </w:p>
        </w:tc>
        <w:tc>
          <w:tcPr>
            <w:tcW w:w="802" w:type="pct"/>
            <w:vMerge w:val="restart"/>
            <w:vAlign w:val="center"/>
          </w:tcPr>
          <w:p w14:paraId="4FF0B6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CODcr、SS、</w:t>
            </w:r>
          </w:p>
          <w:p w14:paraId="6098B2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-N、TP、硫化物</w:t>
            </w:r>
          </w:p>
        </w:tc>
        <w:tc>
          <w:tcPr>
            <w:tcW w:w="1884" w:type="pct"/>
            <w:vMerge w:val="restart"/>
            <w:vAlign w:val="center"/>
          </w:tcPr>
          <w:p w14:paraId="5CF688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玉溪市城市污水处理厂</w:t>
            </w:r>
          </w:p>
        </w:tc>
        <w:tc>
          <w:tcPr>
            <w:tcW w:w="713" w:type="pct"/>
            <w:shd w:val="clear" w:color="auto" w:fill="auto"/>
            <w:vAlign w:val="center"/>
          </w:tcPr>
          <w:p w14:paraId="78D637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536" w:type="pct"/>
            <w:shd w:val="clear" w:color="auto" w:fill="auto"/>
            <w:vAlign w:val="center"/>
          </w:tcPr>
          <w:p w14:paraId="4D2A55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6.5-9.5</w:t>
            </w:r>
          </w:p>
        </w:tc>
      </w:tr>
      <w:tr w14:paraId="1EB0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36E141FA">
            <w:pPr>
              <w:pStyle w:val="28"/>
              <w:rPr>
                <w:color w:val="000000" w:themeColor="text1"/>
                <w14:textFill>
                  <w14:solidFill>
                    <w14:schemeClr w14:val="tx1"/>
                  </w14:solidFill>
                </w14:textFill>
              </w:rPr>
            </w:pPr>
          </w:p>
        </w:tc>
        <w:tc>
          <w:tcPr>
            <w:tcW w:w="609" w:type="pct"/>
            <w:vMerge w:val="continue"/>
            <w:vAlign w:val="center"/>
          </w:tcPr>
          <w:p w14:paraId="4200BE2B">
            <w:pPr>
              <w:pStyle w:val="28"/>
              <w:rPr>
                <w:color w:val="000000" w:themeColor="text1"/>
                <w14:textFill>
                  <w14:solidFill>
                    <w14:schemeClr w14:val="tx1"/>
                  </w14:solidFill>
                </w14:textFill>
              </w:rPr>
            </w:pPr>
          </w:p>
        </w:tc>
        <w:tc>
          <w:tcPr>
            <w:tcW w:w="802" w:type="pct"/>
            <w:vMerge w:val="continue"/>
            <w:vAlign w:val="center"/>
          </w:tcPr>
          <w:p w14:paraId="1BC6ADF9">
            <w:pPr>
              <w:pStyle w:val="28"/>
              <w:rPr>
                <w:color w:val="000000" w:themeColor="text1"/>
                <w14:textFill>
                  <w14:solidFill>
                    <w14:schemeClr w14:val="tx1"/>
                  </w14:solidFill>
                </w14:textFill>
              </w:rPr>
            </w:pPr>
          </w:p>
        </w:tc>
        <w:tc>
          <w:tcPr>
            <w:tcW w:w="1884" w:type="pct"/>
            <w:vMerge w:val="continue"/>
            <w:vAlign w:val="center"/>
          </w:tcPr>
          <w:p w14:paraId="1A5E93A4">
            <w:pPr>
              <w:pStyle w:val="28"/>
              <w:rPr>
                <w:color w:val="000000" w:themeColor="text1"/>
                <w14:textFill>
                  <w14:solidFill>
                    <w14:schemeClr w14:val="tx1"/>
                  </w14:solidFill>
                </w14:textFill>
              </w:rPr>
            </w:pPr>
          </w:p>
        </w:tc>
        <w:tc>
          <w:tcPr>
            <w:tcW w:w="713" w:type="pct"/>
            <w:shd w:val="clear" w:color="auto" w:fill="auto"/>
            <w:vAlign w:val="center"/>
          </w:tcPr>
          <w:p w14:paraId="7FB957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536" w:type="pct"/>
            <w:shd w:val="clear" w:color="auto" w:fill="auto"/>
            <w:vAlign w:val="center"/>
          </w:tcPr>
          <w:p w14:paraId="673E44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350</w:t>
            </w:r>
          </w:p>
        </w:tc>
      </w:tr>
      <w:tr w14:paraId="66EB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1C9CC5C4">
            <w:pPr>
              <w:pStyle w:val="28"/>
              <w:rPr>
                <w:color w:val="000000" w:themeColor="text1"/>
                <w14:textFill>
                  <w14:solidFill>
                    <w14:schemeClr w14:val="tx1"/>
                  </w14:solidFill>
                </w14:textFill>
              </w:rPr>
            </w:pPr>
          </w:p>
        </w:tc>
        <w:tc>
          <w:tcPr>
            <w:tcW w:w="609" w:type="pct"/>
            <w:vMerge w:val="continue"/>
            <w:vAlign w:val="center"/>
          </w:tcPr>
          <w:p w14:paraId="56B16F4B">
            <w:pPr>
              <w:pStyle w:val="28"/>
              <w:rPr>
                <w:color w:val="000000" w:themeColor="text1"/>
                <w14:textFill>
                  <w14:solidFill>
                    <w14:schemeClr w14:val="tx1"/>
                  </w14:solidFill>
                </w14:textFill>
              </w:rPr>
            </w:pPr>
          </w:p>
        </w:tc>
        <w:tc>
          <w:tcPr>
            <w:tcW w:w="802" w:type="pct"/>
            <w:vMerge w:val="continue"/>
            <w:vAlign w:val="center"/>
          </w:tcPr>
          <w:p w14:paraId="70077FE3">
            <w:pPr>
              <w:pStyle w:val="28"/>
              <w:rPr>
                <w:color w:val="000000" w:themeColor="text1"/>
                <w14:textFill>
                  <w14:solidFill>
                    <w14:schemeClr w14:val="tx1"/>
                  </w14:solidFill>
                </w14:textFill>
              </w:rPr>
            </w:pPr>
          </w:p>
        </w:tc>
        <w:tc>
          <w:tcPr>
            <w:tcW w:w="1884" w:type="pct"/>
            <w:vMerge w:val="continue"/>
            <w:vAlign w:val="center"/>
          </w:tcPr>
          <w:p w14:paraId="6AC21A07">
            <w:pPr>
              <w:pStyle w:val="28"/>
              <w:rPr>
                <w:color w:val="000000" w:themeColor="text1"/>
                <w14:textFill>
                  <w14:solidFill>
                    <w14:schemeClr w14:val="tx1"/>
                  </w14:solidFill>
                </w14:textFill>
              </w:rPr>
            </w:pPr>
          </w:p>
        </w:tc>
        <w:tc>
          <w:tcPr>
            <w:tcW w:w="713" w:type="pct"/>
            <w:shd w:val="clear" w:color="auto" w:fill="auto"/>
            <w:vAlign w:val="center"/>
          </w:tcPr>
          <w:p w14:paraId="336D7468">
            <w:pPr>
              <w:pStyle w:val="28"/>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36" w:type="pct"/>
            <w:shd w:val="clear" w:color="auto" w:fill="auto"/>
            <w:vAlign w:val="center"/>
          </w:tcPr>
          <w:p w14:paraId="091788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r>
      <w:tr w14:paraId="0387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069FB15A">
            <w:pPr>
              <w:pStyle w:val="28"/>
              <w:rPr>
                <w:color w:val="000000" w:themeColor="text1"/>
                <w14:textFill>
                  <w14:solidFill>
                    <w14:schemeClr w14:val="tx1"/>
                  </w14:solidFill>
                </w14:textFill>
              </w:rPr>
            </w:pPr>
          </w:p>
        </w:tc>
        <w:tc>
          <w:tcPr>
            <w:tcW w:w="609" w:type="pct"/>
            <w:vMerge w:val="continue"/>
            <w:vAlign w:val="center"/>
          </w:tcPr>
          <w:p w14:paraId="376388B6">
            <w:pPr>
              <w:pStyle w:val="28"/>
              <w:rPr>
                <w:color w:val="000000" w:themeColor="text1"/>
                <w14:textFill>
                  <w14:solidFill>
                    <w14:schemeClr w14:val="tx1"/>
                  </w14:solidFill>
                </w14:textFill>
              </w:rPr>
            </w:pPr>
          </w:p>
        </w:tc>
        <w:tc>
          <w:tcPr>
            <w:tcW w:w="802" w:type="pct"/>
            <w:vMerge w:val="continue"/>
            <w:vAlign w:val="center"/>
          </w:tcPr>
          <w:p w14:paraId="00807EBF">
            <w:pPr>
              <w:pStyle w:val="28"/>
              <w:rPr>
                <w:color w:val="000000" w:themeColor="text1"/>
                <w14:textFill>
                  <w14:solidFill>
                    <w14:schemeClr w14:val="tx1"/>
                  </w14:solidFill>
                </w14:textFill>
              </w:rPr>
            </w:pPr>
          </w:p>
        </w:tc>
        <w:tc>
          <w:tcPr>
            <w:tcW w:w="1884" w:type="pct"/>
            <w:vMerge w:val="continue"/>
            <w:vAlign w:val="center"/>
          </w:tcPr>
          <w:p w14:paraId="5C8B0395">
            <w:pPr>
              <w:pStyle w:val="28"/>
              <w:rPr>
                <w:color w:val="000000" w:themeColor="text1"/>
                <w14:textFill>
                  <w14:solidFill>
                    <w14:schemeClr w14:val="tx1"/>
                  </w14:solidFill>
                </w14:textFill>
              </w:rPr>
            </w:pPr>
          </w:p>
        </w:tc>
        <w:tc>
          <w:tcPr>
            <w:tcW w:w="713" w:type="pct"/>
            <w:shd w:val="clear" w:color="auto" w:fill="auto"/>
            <w:vAlign w:val="center"/>
          </w:tcPr>
          <w:p w14:paraId="5C154CAF">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536" w:type="pct"/>
            <w:shd w:val="clear" w:color="auto" w:fill="auto"/>
            <w:vAlign w:val="center"/>
          </w:tcPr>
          <w:p w14:paraId="382BCD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14:paraId="31B1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74AAE299">
            <w:pPr>
              <w:pStyle w:val="28"/>
              <w:rPr>
                <w:color w:val="000000" w:themeColor="text1"/>
                <w14:textFill>
                  <w14:solidFill>
                    <w14:schemeClr w14:val="tx1"/>
                  </w14:solidFill>
                </w14:textFill>
              </w:rPr>
            </w:pPr>
          </w:p>
        </w:tc>
        <w:tc>
          <w:tcPr>
            <w:tcW w:w="609" w:type="pct"/>
            <w:vMerge w:val="continue"/>
            <w:vAlign w:val="center"/>
          </w:tcPr>
          <w:p w14:paraId="5AC3FB32">
            <w:pPr>
              <w:pStyle w:val="28"/>
              <w:rPr>
                <w:color w:val="000000" w:themeColor="text1"/>
                <w14:textFill>
                  <w14:solidFill>
                    <w14:schemeClr w14:val="tx1"/>
                  </w14:solidFill>
                </w14:textFill>
              </w:rPr>
            </w:pPr>
          </w:p>
        </w:tc>
        <w:tc>
          <w:tcPr>
            <w:tcW w:w="802" w:type="pct"/>
            <w:vMerge w:val="continue"/>
            <w:vAlign w:val="center"/>
          </w:tcPr>
          <w:p w14:paraId="2B88917F">
            <w:pPr>
              <w:pStyle w:val="28"/>
              <w:rPr>
                <w:color w:val="000000" w:themeColor="text1"/>
                <w14:textFill>
                  <w14:solidFill>
                    <w14:schemeClr w14:val="tx1"/>
                  </w14:solidFill>
                </w14:textFill>
              </w:rPr>
            </w:pPr>
          </w:p>
        </w:tc>
        <w:tc>
          <w:tcPr>
            <w:tcW w:w="1884" w:type="pct"/>
            <w:vMerge w:val="continue"/>
            <w:vAlign w:val="center"/>
          </w:tcPr>
          <w:p w14:paraId="314270EE">
            <w:pPr>
              <w:pStyle w:val="28"/>
              <w:rPr>
                <w:color w:val="000000" w:themeColor="text1"/>
                <w14:textFill>
                  <w14:solidFill>
                    <w14:schemeClr w14:val="tx1"/>
                  </w14:solidFill>
                </w14:textFill>
              </w:rPr>
            </w:pPr>
          </w:p>
        </w:tc>
        <w:tc>
          <w:tcPr>
            <w:tcW w:w="713" w:type="pct"/>
            <w:shd w:val="clear" w:color="auto" w:fill="auto"/>
            <w:vAlign w:val="center"/>
          </w:tcPr>
          <w:p w14:paraId="5CF332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536" w:type="pct"/>
            <w:shd w:val="clear" w:color="auto" w:fill="auto"/>
            <w:vAlign w:val="center"/>
          </w:tcPr>
          <w:p w14:paraId="78DF83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14:paraId="0B66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4" w:type="pct"/>
            <w:vMerge w:val="continue"/>
            <w:vAlign w:val="center"/>
          </w:tcPr>
          <w:p w14:paraId="7BB63F24">
            <w:pPr>
              <w:pStyle w:val="28"/>
              <w:rPr>
                <w:color w:val="000000" w:themeColor="text1"/>
                <w14:textFill>
                  <w14:solidFill>
                    <w14:schemeClr w14:val="tx1"/>
                  </w14:solidFill>
                </w14:textFill>
              </w:rPr>
            </w:pPr>
          </w:p>
        </w:tc>
        <w:tc>
          <w:tcPr>
            <w:tcW w:w="609" w:type="pct"/>
            <w:vMerge w:val="continue"/>
            <w:vAlign w:val="center"/>
          </w:tcPr>
          <w:p w14:paraId="01944AE7">
            <w:pPr>
              <w:pStyle w:val="28"/>
              <w:rPr>
                <w:color w:val="000000" w:themeColor="text1"/>
                <w14:textFill>
                  <w14:solidFill>
                    <w14:schemeClr w14:val="tx1"/>
                  </w14:solidFill>
                </w14:textFill>
              </w:rPr>
            </w:pPr>
          </w:p>
        </w:tc>
        <w:tc>
          <w:tcPr>
            <w:tcW w:w="802" w:type="pct"/>
            <w:vMerge w:val="continue"/>
            <w:vAlign w:val="center"/>
          </w:tcPr>
          <w:p w14:paraId="286EA8DF">
            <w:pPr>
              <w:pStyle w:val="28"/>
              <w:rPr>
                <w:color w:val="000000" w:themeColor="text1"/>
                <w14:textFill>
                  <w14:solidFill>
                    <w14:schemeClr w14:val="tx1"/>
                  </w14:solidFill>
                </w14:textFill>
              </w:rPr>
            </w:pPr>
          </w:p>
        </w:tc>
        <w:tc>
          <w:tcPr>
            <w:tcW w:w="1884" w:type="pct"/>
            <w:vMerge w:val="continue"/>
            <w:vAlign w:val="center"/>
          </w:tcPr>
          <w:p w14:paraId="41EC9365">
            <w:pPr>
              <w:pStyle w:val="28"/>
              <w:rPr>
                <w:color w:val="000000" w:themeColor="text1"/>
                <w14:textFill>
                  <w14:solidFill>
                    <w14:schemeClr w14:val="tx1"/>
                  </w14:solidFill>
                </w14:textFill>
              </w:rPr>
            </w:pPr>
          </w:p>
        </w:tc>
        <w:tc>
          <w:tcPr>
            <w:tcW w:w="713" w:type="pct"/>
            <w:shd w:val="clear" w:color="auto" w:fill="auto"/>
            <w:vAlign w:val="center"/>
          </w:tcPr>
          <w:p w14:paraId="79F59F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536" w:type="pct"/>
            <w:shd w:val="clear" w:color="auto" w:fill="auto"/>
            <w:vAlign w:val="center"/>
          </w:tcPr>
          <w:p w14:paraId="3F550A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3F99782F">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5.2-16</w:t>
      </w:r>
      <w:r>
        <w:rPr>
          <w:color w:val="000000" w:themeColor="text1"/>
          <w14:textFill>
            <w14:solidFill>
              <w14:schemeClr w14:val="tx1"/>
            </w14:solidFill>
          </w14:textFill>
        </w:rPr>
        <w:t xml:space="preserve">  废水污染物排放信息表</w:t>
      </w:r>
    </w:p>
    <w:tbl>
      <w:tblPr>
        <w:tblStyle w:val="32"/>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433"/>
        <w:gridCol w:w="1528"/>
        <w:gridCol w:w="1380"/>
        <w:gridCol w:w="1687"/>
        <w:gridCol w:w="1793"/>
      </w:tblGrid>
      <w:tr w14:paraId="1408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7DA46D06">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42" w:type="pct"/>
            <w:vAlign w:val="center"/>
          </w:tcPr>
          <w:p w14:paraId="27F78A19">
            <w:pPr>
              <w:pStyle w:val="28"/>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898" w:type="pct"/>
            <w:vAlign w:val="center"/>
          </w:tcPr>
          <w:p w14:paraId="5E79B1EE">
            <w:pPr>
              <w:pStyle w:val="28"/>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811" w:type="pct"/>
            <w:vAlign w:val="center"/>
          </w:tcPr>
          <w:p w14:paraId="7DABD0EC">
            <w:pPr>
              <w:pStyle w:val="28"/>
              <w:rPr>
                <w:color w:val="000000" w:themeColor="text1"/>
                <w14:textFill>
                  <w14:solidFill>
                    <w14:schemeClr w14:val="tx1"/>
                  </w14:solidFill>
                </w14:textFill>
              </w:rPr>
            </w:pPr>
            <w:r>
              <w:rPr>
                <w:color w:val="000000" w:themeColor="text1"/>
                <w14:textFill>
                  <w14:solidFill>
                    <w14:schemeClr w14:val="tx1"/>
                  </w14:solidFill>
                </w14:textFill>
              </w:rPr>
              <w:t>排放浓度（mg/L）</w:t>
            </w:r>
          </w:p>
        </w:tc>
        <w:tc>
          <w:tcPr>
            <w:tcW w:w="991" w:type="pct"/>
            <w:vAlign w:val="center"/>
          </w:tcPr>
          <w:p w14:paraId="437AE94B">
            <w:pPr>
              <w:pStyle w:val="28"/>
              <w:rPr>
                <w:color w:val="000000" w:themeColor="text1"/>
                <w14:textFill>
                  <w14:solidFill>
                    <w14:schemeClr w14:val="tx1"/>
                  </w14:solidFill>
                </w14:textFill>
              </w:rPr>
            </w:pPr>
            <w:r>
              <w:rPr>
                <w:color w:val="000000" w:themeColor="text1"/>
                <w14:textFill>
                  <w14:solidFill>
                    <w14:schemeClr w14:val="tx1"/>
                  </w14:solidFill>
                </w14:textFill>
              </w:rPr>
              <w:t>全厂日排放量（t/d）</w:t>
            </w:r>
          </w:p>
        </w:tc>
        <w:tc>
          <w:tcPr>
            <w:tcW w:w="1053" w:type="pct"/>
            <w:vAlign w:val="center"/>
          </w:tcPr>
          <w:p w14:paraId="5D54A9F3">
            <w:pPr>
              <w:pStyle w:val="28"/>
              <w:rPr>
                <w:color w:val="000000" w:themeColor="text1"/>
                <w14:textFill>
                  <w14:solidFill>
                    <w14:schemeClr w14:val="tx1"/>
                  </w14:solidFill>
                </w14:textFill>
              </w:rPr>
            </w:pPr>
            <w:r>
              <w:rPr>
                <w:color w:val="000000" w:themeColor="text1"/>
                <w14:textFill>
                  <w14:solidFill>
                    <w14:schemeClr w14:val="tx1"/>
                  </w14:solidFill>
                </w14:textFill>
              </w:rPr>
              <w:t>全厂年排放量（t/a）</w:t>
            </w:r>
          </w:p>
        </w:tc>
      </w:tr>
      <w:tr w14:paraId="24DF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0125E9C">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842" w:type="pct"/>
            <w:vMerge w:val="restart"/>
            <w:vAlign w:val="center"/>
          </w:tcPr>
          <w:p w14:paraId="4BC446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DW002</w:t>
            </w:r>
          </w:p>
        </w:tc>
        <w:tc>
          <w:tcPr>
            <w:tcW w:w="898" w:type="pct"/>
            <w:vAlign w:val="center"/>
          </w:tcPr>
          <w:p w14:paraId="43E31F5D">
            <w:pPr>
              <w:pStyle w:val="28"/>
              <w:rPr>
                <w:color w:val="000000" w:themeColor="text1"/>
                <w14:textFill>
                  <w14:solidFill>
                    <w14:schemeClr w14:val="tx1"/>
                  </w14:solidFill>
                </w14:textFill>
              </w:rPr>
            </w:pPr>
            <w:r>
              <w:rPr>
                <w:color w:val="000000" w:themeColor="text1"/>
                <w14:textFill>
                  <w14:solidFill>
                    <w14:schemeClr w14:val="tx1"/>
                  </w14:solidFill>
                </w14:textFill>
              </w:rPr>
              <w:t>水量</w:t>
            </w:r>
          </w:p>
        </w:tc>
        <w:tc>
          <w:tcPr>
            <w:tcW w:w="811" w:type="pct"/>
          </w:tcPr>
          <w:p w14:paraId="7B36FE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1" w:type="pct"/>
          </w:tcPr>
          <w:p w14:paraId="07BBA1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1.559</w:t>
            </w:r>
          </w:p>
        </w:tc>
        <w:tc>
          <w:tcPr>
            <w:tcW w:w="1053" w:type="pct"/>
            <w:vAlign w:val="center"/>
          </w:tcPr>
          <w:p w14:paraId="441CED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467.736</w:t>
            </w:r>
          </w:p>
        </w:tc>
      </w:tr>
      <w:tr w14:paraId="45C5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241C5A43">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842" w:type="pct"/>
            <w:vMerge w:val="continue"/>
            <w:vAlign w:val="center"/>
          </w:tcPr>
          <w:p w14:paraId="6EBF7E93">
            <w:pPr>
              <w:pStyle w:val="28"/>
              <w:rPr>
                <w:color w:val="000000" w:themeColor="text1"/>
                <w14:textFill>
                  <w14:solidFill>
                    <w14:schemeClr w14:val="tx1"/>
                  </w14:solidFill>
                </w14:textFill>
              </w:rPr>
            </w:pPr>
          </w:p>
        </w:tc>
        <w:tc>
          <w:tcPr>
            <w:tcW w:w="898" w:type="pct"/>
            <w:shd w:val="clear" w:color="auto" w:fill="auto"/>
          </w:tcPr>
          <w:p w14:paraId="4367BD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CODcr</w:t>
            </w:r>
          </w:p>
        </w:tc>
        <w:tc>
          <w:tcPr>
            <w:tcW w:w="811" w:type="pct"/>
            <w:shd w:val="clear" w:color="auto" w:fill="auto"/>
          </w:tcPr>
          <w:p w14:paraId="7DCF21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98.77 </w:t>
            </w:r>
          </w:p>
        </w:tc>
        <w:tc>
          <w:tcPr>
            <w:tcW w:w="991" w:type="pct"/>
            <w:shd w:val="clear" w:color="auto" w:fill="auto"/>
          </w:tcPr>
          <w:p w14:paraId="0E454A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0.000154</w:t>
            </w:r>
          </w:p>
        </w:tc>
        <w:tc>
          <w:tcPr>
            <w:tcW w:w="1053" w:type="pct"/>
            <w:shd w:val="clear" w:color="auto" w:fill="auto"/>
          </w:tcPr>
          <w:p w14:paraId="1347D5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0.0462</w:t>
            </w:r>
          </w:p>
        </w:tc>
      </w:tr>
      <w:tr w14:paraId="397A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5194D3C">
            <w:pPr>
              <w:pStyle w:val="28"/>
              <w:rPr>
                <w:color w:val="000000" w:themeColor="text1"/>
                <w14:textFill>
                  <w14:solidFill>
                    <w14:schemeClr w14:val="tx1"/>
                  </w14:solidFill>
                </w14:textFill>
              </w:rPr>
            </w:pPr>
            <w:r>
              <w:rPr>
                <w:color w:val="000000" w:themeColor="text1"/>
                <w14:textFill>
                  <w14:solidFill>
                    <w14:schemeClr w14:val="tx1"/>
                  </w14:solidFill>
                </w14:textFill>
              </w:rPr>
              <w:t>3</w:t>
            </w:r>
          </w:p>
        </w:tc>
        <w:tc>
          <w:tcPr>
            <w:tcW w:w="842" w:type="pct"/>
            <w:vMerge w:val="continue"/>
            <w:vAlign w:val="center"/>
          </w:tcPr>
          <w:p w14:paraId="76B4CDB6">
            <w:pPr>
              <w:pStyle w:val="28"/>
              <w:rPr>
                <w:color w:val="000000" w:themeColor="text1"/>
                <w14:textFill>
                  <w14:solidFill>
                    <w14:schemeClr w14:val="tx1"/>
                  </w14:solidFill>
                </w14:textFill>
              </w:rPr>
            </w:pPr>
          </w:p>
        </w:tc>
        <w:tc>
          <w:tcPr>
            <w:tcW w:w="898" w:type="pct"/>
            <w:shd w:val="clear" w:color="auto" w:fill="auto"/>
          </w:tcPr>
          <w:p w14:paraId="1144B3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811" w:type="pct"/>
            <w:shd w:val="clear" w:color="auto" w:fill="auto"/>
          </w:tcPr>
          <w:p w14:paraId="13B792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11.58</w:t>
            </w:r>
          </w:p>
        </w:tc>
        <w:tc>
          <w:tcPr>
            <w:tcW w:w="991" w:type="pct"/>
            <w:shd w:val="clear" w:color="auto" w:fill="auto"/>
          </w:tcPr>
          <w:p w14:paraId="04704E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0.000018</w:t>
            </w:r>
          </w:p>
        </w:tc>
        <w:tc>
          <w:tcPr>
            <w:tcW w:w="1053" w:type="pct"/>
            <w:shd w:val="clear" w:color="auto" w:fill="auto"/>
          </w:tcPr>
          <w:p w14:paraId="6389D3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0.0054</w:t>
            </w:r>
          </w:p>
        </w:tc>
      </w:tr>
      <w:tr w14:paraId="0351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03" w:type="pct"/>
            <w:vAlign w:val="center"/>
          </w:tcPr>
          <w:p w14:paraId="3C266982">
            <w:pPr>
              <w:pStyle w:val="28"/>
              <w:rPr>
                <w:color w:val="000000" w:themeColor="text1"/>
                <w14:textFill>
                  <w14:solidFill>
                    <w14:schemeClr w14:val="tx1"/>
                  </w14:solidFill>
                </w14:textFill>
              </w:rPr>
            </w:pPr>
            <w:r>
              <w:rPr>
                <w:color w:val="000000" w:themeColor="text1"/>
                <w14:textFill>
                  <w14:solidFill>
                    <w14:schemeClr w14:val="tx1"/>
                  </w14:solidFill>
                </w14:textFill>
              </w:rPr>
              <w:t>4</w:t>
            </w:r>
          </w:p>
        </w:tc>
        <w:tc>
          <w:tcPr>
            <w:tcW w:w="842" w:type="pct"/>
            <w:vMerge w:val="continue"/>
            <w:vAlign w:val="center"/>
          </w:tcPr>
          <w:p w14:paraId="28AA82AF">
            <w:pPr>
              <w:pStyle w:val="28"/>
              <w:rPr>
                <w:color w:val="000000" w:themeColor="text1"/>
                <w14:textFill>
                  <w14:solidFill>
                    <w14:schemeClr w14:val="tx1"/>
                  </w14:solidFill>
                </w14:textFill>
              </w:rPr>
            </w:pPr>
          </w:p>
        </w:tc>
        <w:tc>
          <w:tcPr>
            <w:tcW w:w="898" w:type="pct"/>
            <w:shd w:val="clear" w:color="auto" w:fill="auto"/>
          </w:tcPr>
          <w:p w14:paraId="306440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811" w:type="pct"/>
            <w:shd w:val="clear" w:color="auto" w:fill="auto"/>
          </w:tcPr>
          <w:p w14:paraId="111D82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0.0021 </w:t>
            </w:r>
          </w:p>
        </w:tc>
        <w:tc>
          <w:tcPr>
            <w:tcW w:w="991" w:type="pct"/>
            <w:shd w:val="clear" w:color="auto" w:fill="auto"/>
          </w:tcPr>
          <w:p w14:paraId="3429ED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3.33×10</w:t>
            </w:r>
            <w:r>
              <w:rPr>
                <w:rFonts w:hint="eastAsia"/>
                <w:color w:val="000000" w:themeColor="text1"/>
                <w:vertAlign w:val="superscript"/>
                <w14:textFill>
                  <w14:solidFill>
                    <w14:schemeClr w14:val="tx1"/>
                  </w14:solidFill>
                </w14:textFill>
              </w:rPr>
              <w:t>-8</w:t>
            </w:r>
          </w:p>
        </w:tc>
        <w:tc>
          <w:tcPr>
            <w:tcW w:w="1053" w:type="pct"/>
            <w:shd w:val="clear" w:color="auto" w:fill="auto"/>
          </w:tcPr>
          <w:p w14:paraId="477F8D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r>
      <w:tr w14:paraId="75CF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68CE15AB">
            <w:pPr>
              <w:pStyle w:val="28"/>
              <w:rPr>
                <w:color w:val="000000" w:themeColor="text1"/>
                <w14:textFill>
                  <w14:solidFill>
                    <w14:schemeClr w14:val="tx1"/>
                  </w14:solidFill>
                </w14:textFill>
              </w:rPr>
            </w:pPr>
            <w:r>
              <w:rPr>
                <w:color w:val="000000" w:themeColor="text1"/>
                <w14:textFill>
                  <w14:solidFill>
                    <w14:schemeClr w14:val="tx1"/>
                  </w14:solidFill>
                </w14:textFill>
              </w:rPr>
              <w:t>5</w:t>
            </w:r>
          </w:p>
        </w:tc>
        <w:tc>
          <w:tcPr>
            <w:tcW w:w="842" w:type="pct"/>
            <w:vMerge w:val="continue"/>
            <w:vAlign w:val="center"/>
          </w:tcPr>
          <w:p w14:paraId="45221DF6">
            <w:pPr>
              <w:pStyle w:val="28"/>
              <w:rPr>
                <w:color w:val="000000" w:themeColor="text1"/>
                <w14:textFill>
                  <w14:solidFill>
                    <w14:schemeClr w14:val="tx1"/>
                  </w14:solidFill>
                </w14:textFill>
              </w:rPr>
            </w:pPr>
          </w:p>
        </w:tc>
        <w:tc>
          <w:tcPr>
            <w:tcW w:w="898" w:type="pct"/>
            <w:shd w:val="clear" w:color="auto" w:fill="auto"/>
          </w:tcPr>
          <w:p w14:paraId="48E432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811" w:type="pct"/>
            <w:shd w:val="clear" w:color="auto" w:fill="auto"/>
          </w:tcPr>
          <w:p w14:paraId="758059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0.0428</w:t>
            </w:r>
          </w:p>
        </w:tc>
        <w:tc>
          <w:tcPr>
            <w:tcW w:w="991" w:type="pct"/>
            <w:shd w:val="clear" w:color="auto" w:fill="auto"/>
          </w:tcPr>
          <w:p w14:paraId="580776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6.67×10</w:t>
            </w:r>
            <w:r>
              <w:rPr>
                <w:rFonts w:hint="eastAsia"/>
                <w:color w:val="000000" w:themeColor="text1"/>
                <w:vertAlign w:val="superscript"/>
                <w14:textFill>
                  <w14:solidFill>
                    <w14:schemeClr w14:val="tx1"/>
                  </w14:solidFill>
                </w14:textFill>
              </w:rPr>
              <w:t>-8</w:t>
            </w:r>
          </w:p>
        </w:tc>
        <w:tc>
          <w:tcPr>
            <w:tcW w:w="1053" w:type="pct"/>
            <w:shd w:val="clear" w:color="auto" w:fill="auto"/>
          </w:tcPr>
          <w:p w14:paraId="316B20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r>
      <w:tr w14:paraId="46C6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280436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42" w:type="pct"/>
            <w:vMerge w:val="restart"/>
            <w:vAlign w:val="center"/>
          </w:tcPr>
          <w:p w14:paraId="44B012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依托排放口DW001</w:t>
            </w:r>
          </w:p>
        </w:tc>
        <w:tc>
          <w:tcPr>
            <w:tcW w:w="898" w:type="pct"/>
            <w:shd w:val="clear" w:color="auto" w:fill="auto"/>
            <w:vAlign w:val="center"/>
          </w:tcPr>
          <w:p w14:paraId="31B747AF">
            <w:pPr>
              <w:pStyle w:val="28"/>
              <w:rPr>
                <w:color w:val="000000" w:themeColor="text1"/>
                <w14:textFill>
                  <w14:solidFill>
                    <w14:schemeClr w14:val="tx1"/>
                  </w14:solidFill>
                </w14:textFill>
              </w:rPr>
            </w:pPr>
            <w:r>
              <w:rPr>
                <w:color w:val="000000" w:themeColor="text1"/>
                <w14:textFill>
                  <w14:solidFill>
                    <w14:schemeClr w14:val="tx1"/>
                  </w14:solidFill>
                </w14:textFill>
              </w:rPr>
              <w:t>水量</w:t>
            </w:r>
          </w:p>
        </w:tc>
        <w:tc>
          <w:tcPr>
            <w:tcW w:w="811" w:type="pct"/>
            <w:shd w:val="clear" w:color="auto" w:fill="auto"/>
            <w:vAlign w:val="center"/>
          </w:tcPr>
          <w:p w14:paraId="5F45C2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1" w:type="pct"/>
            <w:shd w:val="clear" w:color="auto" w:fill="auto"/>
          </w:tcPr>
          <w:p w14:paraId="12450A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0.816</w:t>
            </w:r>
          </w:p>
        </w:tc>
        <w:tc>
          <w:tcPr>
            <w:tcW w:w="1053" w:type="pct"/>
            <w:shd w:val="clear" w:color="auto" w:fill="auto"/>
            <w:vAlign w:val="center"/>
          </w:tcPr>
          <w:p w14:paraId="7DA890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244.8</w:t>
            </w:r>
          </w:p>
        </w:tc>
      </w:tr>
      <w:tr w14:paraId="20BC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56293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42" w:type="pct"/>
            <w:vMerge w:val="continue"/>
            <w:vAlign w:val="center"/>
          </w:tcPr>
          <w:p w14:paraId="41D37BF1">
            <w:pPr>
              <w:pStyle w:val="28"/>
              <w:rPr>
                <w:color w:val="000000" w:themeColor="text1"/>
                <w14:textFill>
                  <w14:solidFill>
                    <w14:schemeClr w14:val="tx1"/>
                  </w14:solidFill>
                </w14:textFill>
              </w:rPr>
            </w:pPr>
          </w:p>
        </w:tc>
        <w:tc>
          <w:tcPr>
            <w:tcW w:w="898" w:type="pct"/>
            <w:shd w:val="clear" w:color="auto" w:fill="auto"/>
            <w:vAlign w:val="center"/>
          </w:tcPr>
          <w:p w14:paraId="6946A723">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811" w:type="pct"/>
            <w:shd w:val="clear" w:color="auto" w:fill="auto"/>
            <w:vAlign w:val="center"/>
          </w:tcPr>
          <w:p w14:paraId="5686DAB5">
            <w:pPr>
              <w:pStyle w:val="28"/>
              <w:rPr>
                <w:color w:val="000000" w:themeColor="text1"/>
                <w14:textFill>
                  <w14:solidFill>
                    <w14:schemeClr w14:val="tx1"/>
                  </w14:solidFill>
                </w14:textFill>
              </w:rPr>
            </w:pPr>
            <w:r>
              <w:rPr>
                <w:color w:val="000000" w:themeColor="text1"/>
                <w14:textFill>
                  <w14:solidFill>
                    <w14:schemeClr w14:val="tx1"/>
                  </w14:solidFill>
                </w14:textFill>
              </w:rPr>
              <w:t>83.5</w:t>
            </w:r>
          </w:p>
        </w:tc>
        <w:tc>
          <w:tcPr>
            <w:tcW w:w="991" w:type="pct"/>
            <w:shd w:val="clear" w:color="auto" w:fill="auto"/>
          </w:tcPr>
          <w:p w14:paraId="0E8128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0.000068</w:t>
            </w:r>
          </w:p>
        </w:tc>
        <w:tc>
          <w:tcPr>
            <w:tcW w:w="1053" w:type="pct"/>
            <w:shd w:val="clear" w:color="auto" w:fill="auto"/>
            <w:vAlign w:val="center"/>
          </w:tcPr>
          <w:p w14:paraId="0BF3BD96">
            <w:pPr>
              <w:pStyle w:val="28"/>
              <w:rPr>
                <w:color w:val="000000" w:themeColor="text1"/>
                <w14:textFill>
                  <w14:solidFill>
                    <w14:schemeClr w14:val="tx1"/>
                  </w14:solidFill>
                </w14:textFill>
              </w:rPr>
            </w:pPr>
            <w:r>
              <w:rPr>
                <w:color w:val="000000" w:themeColor="text1"/>
                <w14:textFill>
                  <w14:solidFill>
                    <w14:schemeClr w14:val="tx1"/>
                  </w14:solidFill>
                </w14:textFill>
              </w:rPr>
              <w:t>0.0204</w:t>
            </w:r>
          </w:p>
        </w:tc>
      </w:tr>
      <w:tr w14:paraId="231A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05EC0C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42" w:type="pct"/>
            <w:vMerge w:val="continue"/>
            <w:vAlign w:val="center"/>
          </w:tcPr>
          <w:p w14:paraId="4BAE098E">
            <w:pPr>
              <w:pStyle w:val="28"/>
              <w:rPr>
                <w:color w:val="000000" w:themeColor="text1"/>
                <w14:textFill>
                  <w14:solidFill>
                    <w14:schemeClr w14:val="tx1"/>
                  </w14:solidFill>
                </w14:textFill>
              </w:rPr>
            </w:pPr>
          </w:p>
        </w:tc>
        <w:tc>
          <w:tcPr>
            <w:tcW w:w="898" w:type="pct"/>
            <w:shd w:val="clear" w:color="auto" w:fill="auto"/>
            <w:vAlign w:val="center"/>
          </w:tcPr>
          <w:p w14:paraId="6EB170D6">
            <w:pPr>
              <w:pStyle w:val="2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811" w:type="pct"/>
            <w:shd w:val="clear" w:color="auto" w:fill="auto"/>
            <w:vAlign w:val="center"/>
          </w:tcPr>
          <w:p w14:paraId="2842C34C">
            <w:pPr>
              <w:pStyle w:val="28"/>
              <w:rPr>
                <w:color w:val="000000" w:themeColor="text1"/>
                <w14:textFill>
                  <w14:solidFill>
                    <w14:schemeClr w14:val="tx1"/>
                  </w14:solidFill>
                </w14:textFill>
              </w:rPr>
            </w:pPr>
            <w:r>
              <w:rPr>
                <w:color w:val="000000" w:themeColor="text1"/>
                <w14:textFill>
                  <w14:solidFill>
                    <w14:schemeClr w14:val="tx1"/>
                  </w14:solidFill>
                </w14:textFill>
              </w:rPr>
              <w:t>45.35</w:t>
            </w:r>
          </w:p>
        </w:tc>
        <w:tc>
          <w:tcPr>
            <w:tcW w:w="991" w:type="pct"/>
            <w:shd w:val="clear" w:color="auto" w:fill="auto"/>
          </w:tcPr>
          <w:p w14:paraId="244AF0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0.000037</w:t>
            </w:r>
          </w:p>
        </w:tc>
        <w:tc>
          <w:tcPr>
            <w:tcW w:w="1053" w:type="pct"/>
            <w:shd w:val="clear" w:color="auto" w:fill="auto"/>
            <w:vAlign w:val="center"/>
          </w:tcPr>
          <w:p w14:paraId="69F2CFC8">
            <w:pPr>
              <w:pStyle w:val="28"/>
              <w:rPr>
                <w:color w:val="000000" w:themeColor="text1"/>
                <w14:textFill>
                  <w14:solidFill>
                    <w14:schemeClr w14:val="tx1"/>
                  </w14:solidFill>
                </w14:textFill>
              </w:rPr>
            </w:pPr>
            <w:r>
              <w:rPr>
                <w:color w:val="000000" w:themeColor="text1"/>
                <w14:textFill>
                  <w14:solidFill>
                    <w14:schemeClr w14:val="tx1"/>
                  </w14:solidFill>
                </w14:textFill>
              </w:rPr>
              <w:t>0.0111</w:t>
            </w:r>
          </w:p>
        </w:tc>
      </w:tr>
      <w:tr w14:paraId="4945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CB878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842" w:type="pct"/>
            <w:vMerge w:val="continue"/>
            <w:vAlign w:val="center"/>
          </w:tcPr>
          <w:p w14:paraId="0BE4C5BB">
            <w:pPr>
              <w:pStyle w:val="28"/>
              <w:rPr>
                <w:color w:val="000000" w:themeColor="text1"/>
                <w14:textFill>
                  <w14:solidFill>
                    <w14:schemeClr w14:val="tx1"/>
                  </w14:solidFill>
                </w14:textFill>
              </w:rPr>
            </w:pPr>
          </w:p>
        </w:tc>
        <w:tc>
          <w:tcPr>
            <w:tcW w:w="898" w:type="pct"/>
            <w:shd w:val="clear" w:color="auto" w:fill="auto"/>
            <w:vAlign w:val="center"/>
          </w:tcPr>
          <w:p w14:paraId="62825E90">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811" w:type="pct"/>
            <w:shd w:val="clear" w:color="auto" w:fill="auto"/>
            <w:vAlign w:val="center"/>
          </w:tcPr>
          <w:p w14:paraId="3E72AD07">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c>
          <w:tcPr>
            <w:tcW w:w="991" w:type="pct"/>
            <w:shd w:val="clear" w:color="auto" w:fill="auto"/>
          </w:tcPr>
          <w:p w14:paraId="5064C2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0.000006</w:t>
            </w:r>
          </w:p>
        </w:tc>
        <w:tc>
          <w:tcPr>
            <w:tcW w:w="1053" w:type="pct"/>
            <w:shd w:val="clear" w:color="auto" w:fill="auto"/>
            <w:vAlign w:val="center"/>
          </w:tcPr>
          <w:p w14:paraId="4495FE32">
            <w:pPr>
              <w:pStyle w:val="28"/>
              <w:rPr>
                <w:color w:val="000000" w:themeColor="text1"/>
                <w14:textFill>
                  <w14:solidFill>
                    <w14:schemeClr w14:val="tx1"/>
                  </w14:solidFill>
                </w14:textFill>
              </w:rPr>
            </w:pPr>
            <w:r>
              <w:rPr>
                <w:color w:val="000000" w:themeColor="text1"/>
                <w14:textFill>
                  <w14:solidFill>
                    <w14:schemeClr w14:val="tx1"/>
                  </w14:solidFill>
                </w14:textFill>
              </w:rPr>
              <w:t>0.0017</w:t>
            </w:r>
          </w:p>
        </w:tc>
      </w:tr>
      <w:tr w14:paraId="6B0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0E7242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42" w:type="pct"/>
            <w:vMerge w:val="continue"/>
            <w:vAlign w:val="center"/>
          </w:tcPr>
          <w:p w14:paraId="505C860C">
            <w:pPr>
              <w:pStyle w:val="28"/>
              <w:rPr>
                <w:color w:val="000000" w:themeColor="text1"/>
                <w14:textFill>
                  <w14:solidFill>
                    <w14:schemeClr w14:val="tx1"/>
                  </w14:solidFill>
                </w14:textFill>
              </w:rPr>
            </w:pPr>
          </w:p>
        </w:tc>
        <w:tc>
          <w:tcPr>
            <w:tcW w:w="898" w:type="pct"/>
            <w:shd w:val="clear" w:color="auto" w:fill="auto"/>
            <w:vAlign w:val="center"/>
          </w:tcPr>
          <w:p w14:paraId="088F6356">
            <w:pPr>
              <w:pStyle w:val="28"/>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811" w:type="pct"/>
            <w:shd w:val="clear" w:color="auto" w:fill="auto"/>
            <w:vAlign w:val="center"/>
          </w:tcPr>
          <w:p w14:paraId="7FE2A012">
            <w:pPr>
              <w:pStyle w:val="28"/>
              <w:rPr>
                <w:color w:val="000000" w:themeColor="text1"/>
                <w14:textFill>
                  <w14:solidFill>
                    <w14:schemeClr w14:val="tx1"/>
                  </w14:solidFill>
                </w14:textFill>
              </w:rPr>
            </w:pPr>
            <w:r>
              <w:rPr>
                <w:color w:val="000000" w:themeColor="text1"/>
                <w14:textFill>
                  <w14:solidFill>
                    <w14:schemeClr w14:val="tx1"/>
                  </w14:solidFill>
                </w14:textFill>
              </w:rPr>
              <w:t>14.075</w:t>
            </w:r>
          </w:p>
        </w:tc>
        <w:tc>
          <w:tcPr>
            <w:tcW w:w="991" w:type="pct"/>
            <w:shd w:val="clear" w:color="auto" w:fill="auto"/>
          </w:tcPr>
          <w:p w14:paraId="3423DD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0.000011</w:t>
            </w:r>
          </w:p>
        </w:tc>
        <w:tc>
          <w:tcPr>
            <w:tcW w:w="1053" w:type="pct"/>
            <w:shd w:val="clear" w:color="auto" w:fill="auto"/>
            <w:vAlign w:val="center"/>
          </w:tcPr>
          <w:p w14:paraId="5F0201A1">
            <w:pPr>
              <w:pStyle w:val="28"/>
              <w:rPr>
                <w:color w:val="000000" w:themeColor="text1"/>
                <w14:textFill>
                  <w14:solidFill>
                    <w14:schemeClr w14:val="tx1"/>
                  </w14:solidFill>
                </w14:textFill>
              </w:rPr>
            </w:pPr>
            <w:r>
              <w:rPr>
                <w:color w:val="000000" w:themeColor="text1"/>
                <w14:textFill>
                  <w14:solidFill>
                    <w14:schemeClr w14:val="tx1"/>
                  </w14:solidFill>
                </w14:textFill>
              </w:rPr>
              <w:t>0.0034</w:t>
            </w:r>
          </w:p>
        </w:tc>
      </w:tr>
      <w:tr w14:paraId="21EE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restart"/>
            <w:vAlign w:val="center"/>
          </w:tcPr>
          <w:p w14:paraId="48839136">
            <w:pPr>
              <w:pStyle w:val="28"/>
              <w:rPr>
                <w:color w:val="000000" w:themeColor="text1"/>
                <w14:textFill>
                  <w14:solidFill>
                    <w14:schemeClr w14:val="tx1"/>
                  </w14:solidFill>
                </w14:textFill>
              </w:rPr>
            </w:pPr>
            <w:r>
              <w:rPr>
                <w:color w:val="000000" w:themeColor="text1"/>
                <w14:textFill>
                  <w14:solidFill>
                    <w14:schemeClr w14:val="tx1"/>
                  </w14:solidFill>
                </w14:textFill>
              </w:rPr>
              <w:t>全厂排放合计</w:t>
            </w:r>
          </w:p>
        </w:tc>
        <w:tc>
          <w:tcPr>
            <w:tcW w:w="2700" w:type="pct"/>
            <w:gridSpan w:val="3"/>
            <w:shd w:val="clear" w:color="auto" w:fill="auto"/>
            <w:vAlign w:val="center"/>
          </w:tcPr>
          <w:p w14:paraId="7A66A0B3">
            <w:pPr>
              <w:pStyle w:val="28"/>
              <w:rPr>
                <w:color w:val="000000" w:themeColor="text1"/>
                <w14:textFill>
                  <w14:solidFill>
                    <w14:schemeClr w14:val="tx1"/>
                  </w14:solidFill>
                </w14:textFill>
              </w:rPr>
            </w:pPr>
            <w:r>
              <w:rPr>
                <w:color w:val="000000" w:themeColor="text1"/>
                <w14:textFill>
                  <w14:solidFill>
                    <w14:schemeClr w14:val="tx1"/>
                  </w14:solidFill>
                </w14:textFill>
              </w:rPr>
              <w:t>水量</w:t>
            </w:r>
          </w:p>
        </w:tc>
        <w:tc>
          <w:tcPr>
            <w:tcW w:w="1053" w:type="pct"/>
            <w:shd w:val="clear" w:color="auto" w:fill="auto"/>
            <w:vAlign w:val="center"/>
          </w:tcPr>
          <w:p w14:paraId="4E2FFC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712.536</w:t>
            </w:r>
          </w:p>
        </w:tc>
      </w:tr>
      <w:tr w14:paraId="7BCF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5F5A21F7">
            <w:pPr>
              <w:pStyle w:val="28"/>
              <w:rPr>
                <w:color w:val="000000" w:themeColor="text1"/>
                <w14:textFill>
                  <w14:solidFill>
                    <w14:schemeClr w14:val="tx1"/>
                  </w14:solidFill>
                </w14:textFill>
              </w:rPr>
            </w:pPr>
          </w:p>
        </w:tc>
        <w:tc>
          <w:tcPr>
            <w:tcW w:w="2700" w:type="pct"/>
            <w:gridSpan w:val="3"/>
            <w:shd w:val="clear" w:color="auto" w:fill="auto"/>
          </w:tcPr>
          <w:p w14:paraId="1FD5FC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CODcr</w:t>
            </w:r>
          </w:p>
        </w:tc>
        <w:tc>
          <w:tcPr>
            <w:tcW w:w="1053" w:type="pct"/>
            <w:shd w:val="clear" w:color="auto" w:fill="auto"/>
          </w:tcPr>
          <w:p w14:paraId="6F3C6A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0.0666</w:t>
            </w:r>
          </w:p>
        </w:tc>
      </w:tr>
      <w:tr w14:paraId="3B32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52978BC5">
            <w:pPr>
              <w:pStyle w:val="28"/>
              <w:rPr>
                <w:color w:val="000000" w:themeColor="text1"/>
                <w14:textFill>
                  <w14:solidFill>
                    <w14:schemeClr w14:val="tx1"/>
                  </w14:solidFill>
                </w14:textFill>
              </w:rPr>
            </w:pPr>
          </w:p>
        </w:tc>
        <w:tc>
          <w:tcPr>
            <w:tcW w:w="2700" w:type="pct"/>
            <w:gridSpan w:val="3"/>
            <w:shd w:val="clear" w:color="auto" w:fill="auto"/>
          </w:tcPr>
          <w:p w14:paraId="1AD9F1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1053" w:type="pct"/>
            <w:shd w:val="clear" w:color="auto" w:fill="auto"/>
          </w:tcPr>
          <w:p w14:paraId="36216B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0.0111</w:t>
            </w:r>
          </w:p>
        </w:tc>
      </w:tr>
      <w:tr w14:paraId="3CE9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1B69485A">
            <w:pPr>
              <w:pStyle w:val="28"/>
              <w:rPr>
                <w:color w:val="000000" w:themeColor="text1"/>
                <w14:textFill>
                  <w14:solidFill>
                    <w14:schemeClr w14:val="tx1"/>
                  </w14:solidFill>
                </w14:textFill>
              </w:rPr>
            </w:pPr>
          </w:p>
        </w:tc>
        <w:tc>
          <w:tcPr>
            <w:tcW w:w="2700" w:type="pct"/>
            <w:gridSpan w:val="3"/>
            <w:shd w:val="clear" w:color="auto" w:fill="auto"/>
          </w:tcPr>
          <w:p w14:paraId="310975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1053" w:type="pct"/>
            <w:shd w:val="clear" w:color="auto" w:fill="auto"/>
          </w:tcPr>
          <w:p w14:paraId="52EF2E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0.0078</w:t>
            </w:r>
          </w:p>
        </w:tc>
      </w:tr>
      <w:tr w14:paraId="6402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615D23F1">
            <w:pPr>
              <w:pStyle w:val="28"/>
              <w:rPr>
                <w:color w:val="000000" w:themeColor="text1"/>
                <w14:textFill>
                  <w14:solidFill>
                    <w14:schemeClr w14:val="tx1"/>
                  </w14:solidFill>
                </w14:textFill>
              </w:rPr>
            </w:pPr>
          </w:p>
        </w:tc>
        <w:tc>
          <w:tcPr>
            <w:tcW w:w="2700" w:type="pct"/>
            <w:gridSpan w:val="3"/>
            <w:shd w:val="clear" w:color="auto" w:fill="auto"/>
          </w:tcPr>
          <w:p w14:paraId="4D38C7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-N</w:t>
            </w:r>
          </w:p>
        </w:tc>
        <w:tc>
          <w:tcPr>
            <w:tcW w:w="1053" w:type="pct"/>
            <w:shd w:val="clear" w:color="auto" w:fill="auto"/>
          </w:tcPr>
          <w:p w14:paraId="164159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0.0034</w:t>
            </w:r>
          </w:p>
        </w:tc>
      </w:tr>
      <w:tr w14:paraId="2CEA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53EAC6DF">
            <w:pPr>
              <w:pStyle w:val="28"/>
              <w:rPr>
                <w:color w:val="000000" w:themeColor="text1"/>
                <w14:textFill>
                  <w14:solidFill>
                    <w14:schemeClr w14:val="tx1"/>
                  </w14:solidFill>
                </w14:textFill>
              </w:rPr>
            </w:pPr>
          </w:p>
        </w:tc>
        <w:tc>
          <w:tcPr>
            <w:tcW w:w="2700" w:type="pct"/>
            <w:gridSpan w:val="3"/>
            <w:shd w:val="clear" w:color="auto" w:fill="auto"/>
          </w:tcPr>
          <w:p w14:paraId="70DC38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1053" w:type="pct"/>
            <w:shd w:val="clear" w:color="auto" w:fill="auto"/>
          </w:tcPr>
          <w:p w14:paraId="4B7D9C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r>
      <w:tr w14:paraId="41A4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pct"/>
            <w:gridSpan w:val="2"/>
            <w:vMerge w:val="continue"/>
            <w:vAlign w:val="center"/>
          </w:tcPr>
          <w:p w14:paraId="3BC159D2">
            <w:pPr>
              <w:pStyle w:val="28"/>
              <w:rPr>
                <w:color w:val="000000" w:themeColor="text1"/>
                <w14:textFill>
                  <w14:solidFill>
                    <w14:schemeClr w14:val="tx1"/>
                  </w14:solidFill>
                </w14:textFill>
              </w:rPr>
            </w:pPr>
          </w:p>
        </w:tc>
        <w:tc>
          <w:tcPr>
            <w:tcW w:w="2700" w:type="pct"/>
            <w:gridSpan w:val="3"/>
            <w:shd w:val="clear" w:color="auto" w:fill="auto"/>
          </w:tcPr>
          <w:p w14:paraId="039FA9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1053" w:type="pct"/>
            <w:shd w:val="clear" w:color="auto" w:fill="auto"/>
          </w:tcPr>
          <w:p w14:paraId="1F48A9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r>
    </w:tbl>
    <w:p w14:paraId="6C642EF3">
      <w:pPr>
        <w:pStyle w:val="4"/>
        <w:rPr>
          <w:color w:val="000000" w:themeColor="text1"/>
          <w14:textFill>
            <w14:solidFill>
              <w14:schemeClr w14:val="tx1"/>
            </w14:solidFill>
          </w14:textFill>
        </w:rPr>
      </w:pPr>
      <w:bookmarkStart w:id="97" w:name="_Toc2624"/>
      <w:r>
        <w:rPr>
          <w:rFonts w:hint="eastAsia"/>
          <w:color w:val="000000" w:themeColor="text1"/>
          <w14:textFill>
            <w14:solidFill>
              <w14:schemeClr w14:val="tx1"/>
            </w14:solidFill>
          </w14:textFill>
        </w:rPr>
        <w:t>5.2.3声环境影响预测与评价</w:t>
      </w:r>
      <w:bookmarkEnd w:id="97"/>
    </w:p>
    <w:p w14:paraId="5A69FFA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5.2.3.1源强分析</w:t>
      </w:r>
    </w:p>
    <w:p w14:paraId="2F81D914">
      <w:pPr>
        <w:ind w:firstLine="480"/>
        <w:rPr>
          <w:rFonts w:ascii="宋体" w:hAnsi="宋体" w:cs="宋体"/>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本项目噪声源主要是</w:t>
      </w:r>
      <w:bookmarkStart w:id="98" w:name="_Hlk226621060"/>
      <w:r>
        <w:rPr>
          <w:rFonts w:hint="eastAsia" w:cs="Times New Roman"/>
          <w:bCs/>
          <w:color w:val="000000" w:themeColor="text1"/>
          <w14:textFill>
            <w14:solidFill>
              <w14:schemeClr w14:val="tx1"/>
            </w14:solidFill>
          </w14:textFill>
        </w:rPr>
        <w:t>高混机、气流粉碎机、砂磨机、离心机</w:t>
      </w:r>
      <w:bookmarkEnd w:id="98"/>
      <w:r>
        <w:rPr>
          <w:rFonts w:hint="eastAsia" w:cs="Times New Roman"/>
          <w:bCs/>
          <w:color w:val="000000" w:themeColor="text1"/>
          <w14:textFill>
            <w14:solidFill>
              <w14:schemeClr w14:val="tx1"/>
            </w14:solidFill>
          </w14:textFill>
        </w:rPr>
        <w:t>、干燥塔、除湿机组、空压机、风机、水泵等机械设备噪声。</w:t>
      </w:r>
      <w:r>
        <w:rPr>
          <w:rFonts w:cs="Times New Roman"/>
          <w:color w:val="000000" w:themeColor="text1"/>
          <w14:textFill>
            <w14:solidFill>
              <w14:schemeClr w14:val="tx1"/>
            </w14:solidFill>
          </w14:textFill>
        </w:rPr>
        <w:t>本环评取</w:t>
      </w:r>
      <w:r>
        <w:rPr>
          <w:rFonts w:hint="eastAsia" w:cs="Times New Roman"/>
          <w:color w:val="000000" w:themeColor="text1"/>
          <w14:textFill>
            <w14:solidFill>
              <w14:schemeClr w14:val="tx1"/>
            </w14:solidFill>
          </w14:textFill>
        </w:rPr>
        <w:t>车间南角</w:t>
      </w:r>
      <w:r>
        <w:rPr>
          <w:rFonts w:cs="Times New Roman"/>
          <w:color w:val="000000" w:themeColor="text1"/>
          <w14:textFill>
            <w14:solidFill>
              <w14:schemeClr w14:val="tx1"/>
            </w14:solidFill>
          </w14:textFill>
        </w:rPr>
        <w:t>作为坐标原点(</w:t>
      </w:r>
      <w:r>
        <w:rPr>
          <w:rFonts w:hint="eastAsia" w:cs="Times New Roman"/>
          <w:color w:val="000000" w:themeColor="text1"/>
          <w14:textFill>
            <w14:solidFill>
              <w14:schemeClr w14:val="tx1"/>
            </w14:solidFill>
          </w14:textFill>
        </w:rPr>
        <w:t>0，0，</w:t>
      </w:r>
      <w:r>
        <w:rPr>
          <w:rFonts w:cs="Times New Roman"/>
          <w:color w:val="000000" w:themeColor="text1"/>
          <w14:textFill>
            <w14:solidFill>
              <w14:schemeClr w14:val="tx1"/>
            </w14:solidFill>
          </w14:textFill>
        </w:rPr>
        <w:t>0)。</w:t>
      </w:r>
      <w:r>
        <w:rPr>
          <w:rFonts w:ascii="宋体" w:hAnsi="宋体" w:cs="宋体"/>
          <w:color w:val="000000" w:themeColor="text1"/>
          <w14:textFill>
            <w14:solidFill>
              <w14:schemeClr w14:val="tx1"/>
            </w14:solidFill>
          </w14:textFill>
        </w:rPr>
        <w:t>建设项目主要设备噪声源强情况</w:t>
      </w:r>
      <w:r>
        <w:rPr>
          <w:rFonts w:hint="eastAsia" w:ascii="宋体" w:hAnsi="宋体" w:cs="宋体"/>
          <w:color w:val="000000" w:themeColor="text1"/>
          <w14:textFill>
            <w14:solidFill>
              <w14:schemeClr w14:val="tx1"/>
            </w14:solidFill>
          </w14:textFill>
        </w:rPr>
        <w:t>见下表：</w:t>
      </w:r>
    </w:p>
    <w:p w14:paraId="23719036">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5.2-17  噪声源强调查清单（室外声源）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572"/>
        <w:gridCol w:w="2031"/>
        <w:gridCol w:w="1165"/>
        <w:gridCol w:w="2416"/>
        <w:gridCol w:w="720"/>
      </w:tblGrid>
      <w:tr w14:paraId="3A0F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3" w:type="pct"/>
            <w:vAlign w:val="center"/>
          </w:tcPr>
          <w:p w14:paraId="56B62715">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序号</w:t>
            </w:r>
          </w:p>
        </w:tc>
        <w:tc>
          <w:tcPr>
            <w:tcW w:w="922" w:type="pct"/>
            <w:vAlign w:val="center"/>
          </w:tcPr>
          <w:p w14:paraId="250624B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声源名称</w:t>
            </w:r>
          </w:p>
        </w:tc>
        <w:tc>
          <w:tcPr>
            <w:tcW w:w="1191" w:type="pct"/>
            <w:vAlign w:val="center"/>
          </w:tcPr>
          <w:p w14:paraId="77BAB93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空间相对位置（XYZ）</w:t>
            </w:r>
          </w:p>
        </w:tc>
        <w:tc>
          <w:tcPr>
            <w:tcW w:w="683" w:type="pct"/>
            <w:vAlign w:val="center"/>
          </w:tcPr>
          <w:p w14:paraId="5160A383">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声功率级dB（A）</w:t>
            </w:r>
          </w:p>
        </w:tc>
        <w:tc>
          <w:tcPr>
            <w:tcW w:w="1417" w:type="pct"/>
            <w:vAlign w:val="center"/>
          </w:tcPr>
          <w:p w14:paraId="036DB05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声源控制措施</w:t>
            </w:r>
          </w:p>
        </w:tc>
        <w:tc>
          <w:tcPr>
            <w:tcW w:w="422" w:type="pct"/>
            <w:vAlign w:val="center"/>
          </w:tcPr>
          <w:p w14:paraId="22127B4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运行时段</w:t>
            </w:r>
          </w:p>
        </w:tc>
      </w:tr>
      <w:tr w14:paraId="1270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3" w:type="pct"/>
            <w:vAlign w:val="center"/>
          </w:tcPr>
          <w:p w14:paraId="7708E21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922" w:type="pct"/>
            <w:vAlign w:val="center"/>
          </w:tcPr>
          <w:p w14:paraId="2AD5AE2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风机</w:t>
            </w:r>
          </w:p>
        </w:tc>
        <w:tc>
          <w:tcPr>
            <w:tcW w:w="1191" w:type="pct"/>
            <w:shd w:val="clear" w:color="auto" w:fill="auto"/>
          </w:tcPr>
          <w:p w14:paraId="62879B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{-17.85,15.17,1}</w:t>
            </w:r>
          </w:p>
        </w:tc>
        <w:tc>
          <w:tcPr>
            <w:tcW w:w="683" w:type="pct"/>
            <w:vAlign w:val="center"/>
          </w:tcPr>
          <w:p w14:paraId="0766B08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100</w:t>
            </w:r>
          </w:p>
        </w:tc>
        <w:tc>
          <w:tcPr>
            <w:tcW w:w="1417" w:type="pct"/>
            <w:vAlign w:val="center"/>
          </w:tcPr>
          <w:p w14:paraId="098F427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固定减振、安装消声器</w:t>
            </w:r>
          </w:p>
        </w:tc>
        <w:tc>
          <w:tcPr>
            <w:tcW w:w="422" w:type="pct"/>
            <w:vAlign w:val="center"/>
          </w:tcPr>
          <w:p w14:paraId="57F5F9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昼夜</w:t>
            </w:r>
          </w:p>
        </w:tc>
      </w:tr>
      <w:tr w14:paraId="22BF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3" w:type="pct"/>
            <w:vAlign w:val="center"/>
          </w:tcPr>
          <w:p w14:paraId="77186AAF">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922" w:type="pct"/>
            <w:vAlign w:val="center"/>
          </w:tcPr>
          <w:p w14:paraId="7EC1C284">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喷淋循环泵</w:t>
            </w:r>
          </w:p>
        </w:tc>
        <w:tc>
          <w:tcPr>
            <w:tcW w:w="1191" w:type="pct"/>
            <w:shd w:val="clear" w:color="auto" w:fill="auto"/>
          </w:tcPr>
          <w:p w14:paraId="6A5047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{-15.53,15.98,1}</w:t>
            </w:r>
          </w:p>
        </w:tc>
        <w:tc>
          <w:tcPr>
            <w:tcW w:w="683" w:type="pct"/>
            <w:vAlign w:val="center"/>
          </w:tcPr>
          <w:p w14:paraId="24D0013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80</w:t>
            </w:r>
          </w:p>
        </w:tc>
        <w:tc>
          <w:tcPr>
            <w:tcW w:w="1417" w:type="pct"/>
            <w:vAlign w:val="center"/>
          </w:tcPr>
          <w:p w14:paraId="5ACBDA7F">
            <w:pPr>
              <w:pStyle w:val="28"/>
              <w:rPr>
                <w:rFonts w:cs="黑体"/>
                <w:bCs/>
                <w:color w:val="000000" w:themeColor="text1"/>
                <w:szCs w:val="22"/>
                <w14:textFill>
                  <w14:solidFill>
                    <w14:schemeClr w14:val="tx1"/>
                  </w14:solidFill>
                </w14:textFill>
              </w:rPr>
            </w:pPr>
            <w:r>
              <w:rPr>
                <w:rFonts w:hint="eastAsia"/>
                <w:bCs/>
                <w:color w:val="000000" w:themeColor="text1"/>
                <w14:textFill>
                  <w14:solidFill>
                    <w14:schemeClr w14:val="tx1"/>
                  </w14:solidFill>
                </w14:textFill>
              </w:rPr>
              <w:t>固定减振、安装消声器</w:t>
            </w:r>
          </w:p>
        </w:tc>
        <w:tc>
          <w:tcPr>
            <w:tcW w:w="422" w:type="pct"/>
            <w:vAlign w:val="center"/>
          </w:tcPr>
          <w:p w14:paraId="598A1E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昼夜</w:t>
            </w:r>
          </w:p>
        </w:tc>
      </w:tr>
    </w:tbl>
    <w:p w14:paraId="704F9706">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7244CBD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14:textFill>
            <w14:solidFill>
              <w14:schemeClr w14:val="tx1"/>
            </w14:solidFill>
          </w14:textFill>
        </w:rPr>
        <w:t xml:space="preserve">5.2-18 </w:t>
      </w:r>
      <w:r>
        <w:rPr>
          <w:rFonts w:cs="Times New Roman"/>
          <w:b/>
          <w:bCs/>
          <w:color w:val="000000" w:themeColor="text1"/>
          <w:sz w:val="21"/>
          <w:szCs w:val="21"/>
          <w14:textFill>
            <w14:solidFill>
              <w14:schemeClr w14:val="tx1"/>
            </w14:solidFill>
          </w14:textFill>
        </w:rPr>
        <w:t xml:space="preserve"> 噪声源强调查清单（室</w:t>
      </w:r>
      <w:r>
        <w:rPr>
          <w:rFonts w:hint="eastAsia" w:cs="Times New Roman"/>
          <w:b/>
          <w:bCs/>
          <w:color w:val="000000" w:themeColor="text1"/>
          <w:sz w:val="21"/>
          <w:szCs w:val="21"/>
          <w14:textFill>
            <w14:solidFill>
              <w14:schemeClr w14:val="tx1"/>
            </w14:solidFill>
          </w14:textFill>
        </w:rPr>
        <w:t>内</w:t>
      </w:r>
      <w:r>
        <w:rPr>
          <w:rFonts w:cs="Times New Roman"/>
          <w:b/>
          <w:bCs/>
          <w:color w:val="000000" w:themeColor="text1"/>
          <w:sz w:val="21"/>
          <w:szCs w:val="21"/>
          <w14:textFill>
            <w14:solidFill>
              <w14:schemeClr w14:val="tx1"/>
            </w14:solidFill>
          </w14:textFill>
        </w:rPr>
        <w:t>声源）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871"/>
        <w:gridCol w:w="1070"/>
        <w:gridCol w:w="2247"/>
        <w:gridCol w:w="1796"/>
        <w:gridCol w:w="1230"/>
        <w:gridCol w:w="1365"/>
        <w:gridCol w:w="715"/>
        <w:gridCol w:w="967"/>
        <w:gridCol w:w="914"/>
        <w:gridCol w:w="1188"/>
      </w:tblGrid>
      <w:tr w14:paraId="5599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2" w:type="pct"/>
            <w:vMerge w:val="restart"/>
            <w:vAlign w:val="center"/>
          </w:tcPr>
          <w:p w14:paraId="544DFB75">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76" w:type="pct"/>
            <w:vMerge w:val="restart"/>
            <w:vAlign w:val="center"/>
          </w:tcPr>
          <w:p w14:paraId="4EB4A2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声源</w:t>
            </w:r>
            <w:r>
              <w:rPr>
                <w:color w:val="000000" w:themeColor="text1"/>
                <w14:textFill>
                  <w14:solidFill>
                    <w14:schemeClr w14:val="tx1"/>
                  </w14:solidFill>
                </w14:textFill>
              </w:rPr>
              <w:t>名称</w:t>
            </w:r>
          </w:p>
        </w:tc>
        <w:tc>
          <w:tcPr>
            <w:tcW w:w="387" w:type="pct"/>
            <w:vMerge w:val="restart"/>
            <w:vAlign w:val="center"/>
          </w:tcPr>
          <w:p w14:paraId="02C81129">
            <w:pPr>
              <w:pStyle w:val="28"/>
              <w:rPr>
                <w:color w:val="000000" w:themeColor="text1"/>
                <w14:textFill>
                  <w14:solidFill>
                    <w14:schemeClr w14:val="tx1"/>
                  </w14:solidFill>
                </w14:textFill>
              </w:rPr>
            </w:pPr>
            <w:r>
              <w:rPr>
                <w:color w:val="000000" w:themeColor="text1"/>
                <w14:textFill>
                  <w14:solidFill>
                    <w14:schemeClr w14:val="tx1"/>
                  </w14:solidFill>
                </w14:textFill>
              </w:rPr>
              <w:t>声功率级</w:t>
            </w:r>
          </w:p>
          <w:p w14:paraId="5046F20A">
            <w:pPr>
              <w:pStyle w:val="28"/>
              <w:rPr>
                <w:color w:val="000000" w:themeColor="text1"/>
                <w14:textFill>
                  <w14:solidFill>
                    <w14:schemeClr w14:val="tx1"/>
                  </w14:solidFill>
                </w14:textFill>
              </w:rPr>
            </w:pPr>
            <w:r>
              <w:rPr>
                <w:color w:val="000000" w:themeColor="text1"/>
                <w14:textFill>
                  <w14:solidFill>
                    <w14:schemeClr w14:val="tx1"/>
                  </w14:solidFill>
                </w14:textFill>
              </w:rPr>
              <w:t>dB（A）</w:t>
            </w:r>
          </w:p>
        </w:tc>
        <w:tc>
          <w:tcPr>
            <w:tcW w:w="812" w:type="pct"/>
            <w:vMerge w:val="restart"/>
            <w:vAlign w:val="center"/>
          </w:tcPr>
          <w:p w14:paraId="4CC0408D">
            <w:pPr>
              <w:pStyle w:val="28"/>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649" w:type="pct"/>
            <w:vMerge w:val="restart"/>
            <w:vAlign w:val="center"/>
          </w:tcPr>
          <w:p w14:paraId="067946AE">
            <w:pPr>
              <w:pStyle w:val="28"/>
              <w:rPr>
                <w:color w:val="000000" w:themeColor="text1"/>
                <w14:textFill>
                  <w14:solidFill>
                    <w14:schemeClr w14:val="tx1"/>
                  </w14:solidFill>
                </w14:textFill>
              </w:rPr>
            </w:pPr>
            <w:r>
              <w:rPr>
                <w:color w:val="000000" w:themeColor="text1"/>
                <w14:textFill>
                  <w14:solidFill>
                    <w14:schemeClr w14:val="tx1"/>
                  </w14:solidFill>
                </w14:textFill>
              </w:rPr>
              <w:t>空间相对位置/m</w:t>
            </w:r>
          </w:p>
          <w:p w14:paraId="75993270">
            <w:pPr>
              <w:pStyle w:val="28"/>
              <w:rPr>
                <w:color w:val="000000" w:themeColor="text1"/>
                <w14:textFill>
                  <w14:solidFill>
                    <w14:schemeClr w14:val="tx1"/>
                  </w14:solidFill>
                </w14:textFill>
              </w:rPr>
            </w:pPr>
            <w:r>
              <w:rPr>
                <w:color w:val="000000" w:themeColor="text1"/>
                <w14:textFill>
                  <w14:solidFill>
                    <w14:schemeClr w14:val="tx1"/>
                  </w14:solidFill>
                </w14:textFill>
              </w:rPr>
              <w:t>（XYZ）</w:t>
            </w:r>
          </w:p>
        </w:tc>
        <w:tc>
          <w:tcPr>
            <w:tcW w:w="445" w:type="pct"/>
            <w:vMerge w:val="restart"/>
            <w:vAlign w:val="center"/>
          </w:tcPr>
          <w:p w14:paraId="1130D97E">
            <w:pPr>
              <w:pStyle w:val="28"/>
              <w:rPr>
                <w:color w:val="000000" w:themeColor="text1"/>
                <w14:textFill>
                  <w14:solidFill>
                    <w14:schemeClr w14:val="tx1"/>
                  </w14:solidFill>
                </w14:textFill>
              </w:rPr>
            </w:pPr>
            <w:r>
              <w:rPr>
                <w:color w:val="000000" w:themeColor="text1"/>
                <w14:textFill>
                  <w14:solidFill>
                    <w14:schemeClr w14:val="tx1"/>
                  </w14:solidFill>
                </w14:textFill>
              </w:rPr>
              <w:t>距室内边界距离（m）</w:t>
            </w:r>
          </w:p>
        </w:tc>
        <w:tc>
          <w:tcPr>
            <w:tcW w:w="494" w:type="pct"/>
            <w:vMerge w:val="restart"/>
            <w:vAlign w:val="center"/>
          </w:tcPr>
          <w:p w14:paraId="1A147258">
            <w:pPr>
              <w:pStyle w:val="28"/>
              <w:rPr>
                <w:color w:val="000000" w:themeColor="text1"/>
                <w14:textFill>
                  <w14:solidFill>
                    <w14:schemeClr w14:val="tx1"/>
                  </w14:solidFill>
                </w14:textFill>
              </w:rPr>
            </w:pPr>
            <w:r>
              <w:rPr>
                <w:color w:val="000000" w:themeColor="text1"/>
                <w14:textFill>
                  <w14:solidFill>
                    <w14:schemeClr w14:val="tx1"/>
                  </w14:solidFill>
                </w14:textFill>
              </w:rPr>
              <w:t>室内边界声级dB（A）</w:t>
            </w:r>
          </w:p>
        </w:tc>
        <w:tc>
          <w:tcPr>
            <w:tcW w:w="259" w:type="pct"/>
            <w:vMerge w:val="restart"/>
            <w:vAlign w:val="center"/>
          </w:tcPr>
          <w:p w14:paraId="1D735CF5">
            <w:pPr>
              <w:pStyle w:val="28"/>
              <w:rPr>
                <w:color w:val="000000" w:themeColor="text1"/>
                <w14:textFill>
                  <w14:solidFill>
                    <w14:schemeClr w14:val="tx1"/>
                  </w14:solidFill>
                </w14:textFill>
              </w:rPr>
            </w:pPr>
            <w:r>
              <w:rPr>
                <w:color w:val="000000" w:themeColor="text1"/>
                <w14:textFill>
                  <w14:solidFill>
                    <w14:schemeClr w14:val="tx1"/>
                  </w14:solidFill>
                </w14:textFill>
              </w:rPr>
              <w:t>运行时段</w:t>
            </w:r>
          </w:p>
        </w:tc>
        <w:tc>
          <w:tcPr>
            <w:tcW w:w="350" w:type="pct"/>
            <w:vMerge w:val="restart"/>
            <w:vAlign w:val="center"/>
          </w:tcPr>
          <w:p w14:paraId="6DC1E550">
            <w:pPr>
              <w:pStyle w:val="28"/>
              <w:rPr>
                <w:color w:val="000000" w:themeColor="text1"/>
                <w14:textFill>
                  <w14:solidFill>
                    <w14:schemeClr w14:val="tx1"/>
                  </w14:solidFill>
                </w14:textFill>
              </w:rPr>
            </w:pPr>
            <w:r>
              <w:rPr>
                <w:color w:val="000000" w:themeColor="text1"/>
                <w14:textFill>
                  <w14:solidFill>
                    <w14:schemeClr w14:val="tx1"/>
                  </w14:solidFill>
                </w14:textFill>
              </w:rPr>
              <w:t>建筑物插入损失dB（A）</w:t>
            </w:r>
          </w:p>
        </w:tc>
        <w:tc>
          <w:tcPr>
            <w:tcW w:w="761" w:type="pct"/>
            <w:gridSpan w:val="2"/>
            <w:vAlign w:val="center"/>
          </w:tcPr>
          <w:p w14:paraId="428724C0">
            <w:pPr>
              <w:pStyle w:val="28"/>
              <w:rPr>
                <w:color w:val="000000" w:themeColor="text1"/>
                <w14:textFill>
                  <w14:solidFill>
                    <w14:schemeClr w14:val="tx1"/>
                  </w14:solidFill>
                </w14:textFill>
              </w:rPr>
            </w:pPr>
            <w:r>
              <w:rPr>
                <w:color w:val="000000" w:themeColor="text1"/>
                <w14:textFill>
                  <w14:solidFill>
                    <w14:schemeClr w14:val="tx1"/>
                  </w14:solidFill>
                </w14:textFill>
              </w:rPr>
              <w:t>建筑物外噪声</w:t>
            </w:r>
          </w:p>
        </w:tc>
      </w:tr>
      <w:tr w14:paraId="7CFE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62" w:type="pct"/>
            <w:vMerge w:val="continue"/>
            <w:vAlign w:val="center"/>
          </w:tcPr>
          <w:p w14:paraId="02ED8C27">
            <w:pPr>
              <w:pStyle w:val="28"/>
              <w:rPr>
                <w:color w:val="000000" w:themeColor="text1"/>
                <w14:textFill>
                  <w14:solidFill>
                    <w14:schemeClr w14:val="tx1"/>
                  </w14:solidFill>
                </w14:textFill>
              </w:rPr>
            </w:pPr>
          </w:p>
        </w:tc>
        <w:tc>
          <w:tcPr>
            <w:tcW w:w="676" w:type="pct"/>
            <w:vMerge w:val="continue"/>
            <w:vAlign w:val="center"/>
          </w:tcPr>
          <w:p w14:paraId="6E26792D">
            <w:pPr>
              <w:pStyle w:val="28"/>
              <w:rPr>
                <w:color w:val="000000" w:themeColor="text1"/>
                <w14:textFill>
                  <w14:solidFill>
                    <w14:schemeClr w14:val="tx1"/>
                  </w14:solidFill>
                </w14:textFill>
              </w:rPr>
            </w:pPr>
          </w:p>
        </w:tc>
        <w:tc>
          <w:tcPr>
            <w:tcW w:w="387" w:type="pct"/>
            <w:vMerge w:val="continue"/>
            <w:vAlign w:val="center"/>
          </w:tcPr>
          <w:p w14:paraId="5503985A">
            <w:pPr>
              <w:pStyle w:val="28"/>
              <w:rPr>
                <w:color w:val="000000" w:themeColor="text1"/>
                <w14:textFill>
                  <w14:solidFill>
                    <w14:schemeClr w14:val="tx1"/>
                  </w14:solidFill>
                </w14:textFill>
              </w:rPr>
            </w:pPr>
          </w:p>
        </w:tc>
        <w:tc>
          <w:tcPr>
            <w:tcW w:w="812" w:type="pct"/>
            <w:vMerge w:val="continue"/>
            <w:vAlign w:val="center"/>
          </w:tcPr>
          <w:p w14:paraId="05F89FEC">
            <w:pPr>
              <w:pStyle w:val="28"/>
              <w:rPr>
                <w:color w:val="000000" w:themeColor="text1"/>
                <w14:textFill>
                  <w14:solidFill>
                    <w14:schemeClr w14:val="tx1"/>
                  </w14:solidFill>
                </w14:textFill>
              </w:rPr>
            </w:pPr>
          </w:p>
        </w:tc>
        <w:tc>
          <w:tcPr>
            <w:tcW w:w="649" w:type="pct"/>
            <w:vMerge w:val="continue"/>
            <w:vAlign w:val="center"/>
          </w:tcPr>
          <w:p w14:paraId="2E1BD170">
            <w:pPr>
              <w:pStyle w:val="28"/>
              <w:rPr>
                <w:color w:val="000000" w:themeColor="text1"/>
                <w14:textFill>
                  <w14:solidFill>
                    <w14:schemeClr w14:val="tx1"/>
                  </w14:solidFill>
                </w14:textFill>
              </w:rPr>
            </w:pPr>
          </w:p>
        </w:tc>
        <w:tc>
          <w:tcPr>
            <w:tcW w:w="445" w:type="pct"/>
            <w:vMerge w:val="continue"/>
            <w:vAlign w:val="center"/>
          </w:tcPr>
          <w:p w14:paraId="7C3E9212">
            <w:pPr>
              <w:pStyle w:val="28"/>
              <w:rPr>
                <w:color w:val="000000" w:themeColor="text1"/>
                <w14:textFill>
                  <w14:solidFill>
                    <w14:schemeClr w14:val="tx1"/>
                  </w14:solidFill>
                </w14:textFill>
              </w:rPr>
            </w:pPr>
          </w:p>
        </w:tc>
        <w:tc>
          <w:tcPr>
            <w:tcW w:w="494" w:type="pct"/>
            <w:vMerge w:val="continue"/>
            <w:vAlign w:val="center"/>
          </w:tcPr>
          <w:p w14:paraId="0776BB52">
            <w:pPr>
              <w:pStyle w:val="28"/>
              <w:rPr>
                <w:color w:val="000000" w:themeColor="text1"/>
                <w14:textFill>
                  <w14:solidFill>
                    <w14:schemeClr w14:val="tx1"/>
                  </w14:solidFill>
                </w14:textFill>
              </w:rPr>
            </w:pPr>
          </w:p>
        </w:tc>
        <w:tc>
          <w:tcPr>
            <w:tcW w:w="259" w:type="pct"/>
            <w:vMerge w:val="continue"/>
            <w:vAlign w:val="center"/>
          </w:tcPr>
          <w:p w14:paraId="70FCF926">
            <w:pPr>
              <w:pStyle w:val="28"/>
              <w:rPr>
                <w:color w:val="000000" w:themeColor="text1"/>
                <w14:textFill>
                  <w14:solidFill>
                    <w14:schemeClr w14:val="tx1"/>
                  </w14:solidFill>
                </w14:textFill>
              </w:rPr>
            </w:pPr>
          </w:p>
        </w:tc>
        <w:tc>
          <w:tcPr>
            <w:tcW w:w="350" w:type="pct"/>
            <w:vMerge w:val="continue"/>
            <w:vAlign w:val="center"/>
          </w:tcPr>
          <w:p w14:paraId="33EF2822">
            <w:pPr>
              <w:pStyle w:val="28"/>
              <w:rPr>
                <w:color w:val="000000" w:themeColor="text1"/>
                <w14:textFill>
                  <w14:solidFill>
                    <w14:schemeClr w14:val="tx1"/>
                  </w14:solidFill>
                </w14:textFill>
              </w:rPr>
            </w:pPr>
          </w:p>
        </w:tc>
        <w:tc>
          <w:tcPr>
            <w:tcW w:w="331" w:type="pct"/>
            <w:vAlign w:val="center"/>
          </w:tcPr>
          <w:p w14:paraId="78E3679B">
            <w:pPr>
              <w:pStyle w:val="28"/>
              <w:rPr>
                <w:color w:val="000000" w:themeColor="text1"/>
                <w14:textFill>
                  <w14:solidFill>
                    <w14:schemeClr w14:val="tx1"/>
                  </w14:solidFill>
                </w14:textFill>
              </w:rPr>
            </w:pPr>
            <w:r>
              <w:rPr>
                <w:color w:val="000000" w:themeColor="text1"/>
                <w14:textFill>
                  <w14:solidFill>
                    <w14:schemeClr w14:val="tx1"/>
                  </w14:solidFill>
                </w14:textFill>
              </w:rPr>
              <w:t>声压级dB（A）</w:t>
            </w:r>
          </w:p>
        </w:tc>
        <w:tc>
          <w:tcPr>
            <w:tcW w:w="430" w:type="pct"/>
            <w:vAlign w:val="center"/>
          </w:tcPr>
          <w:p w14:paraId="470A9B8C">
            <w:pPr>
              <w:pStyle w:val="28"/>
              <w:rPr>
                <w:color w:val="000000" w:themeColor="text1"/>
                <w14:textFill>
                  <w14:solidFill>
                    <w14:schemeClr w14:val="tx1"/>
                  </w14:solidFill>
                </w14:textFill>
              </w:rPr>
            </w:pPr>
            <w:r>
              <w:rPr>
                <w:color w:val="000000" w:themeColor="text1"/>
                <w14:textFill>
                  <w14:solidFill>
                    <w14:schemeClr w14:val="tx1"/>
                  </w14:solidFill>
                </w14:textFill>
              </w:rPr>
              <w:t>建筑物外距离（m）</w:t>
            </w:r>
          </w:p>
        </w:tc>
      </w:tr>
      <w:tr w14:paraId="38FB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vAlign w:val="center"/>
          </w:tcPr>
          <w:p w14:paraId="3A8FF4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6" w:type="pct"/>
            <w:shd w:val="clear" w:color="auto" w:fill="auto"/>
            <w:vAlign w:val="center"/>
          </w:tcPr>
          <w:p w14:paraId="3F90F8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高混机</w:t>
            </w:r>
          </w:p>
        </w:tc>
        <w:tc>
          <w:tcPr>
            <w:tcW w:w="387" w:type="pct"/>
            <w:shd w:val="clear" w:color="auto" w:fill="auto"/>
            <w:vAlign w:val="center"/>
          </w:tcPr>
          <w:p w14:paraId="378B9F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812" w:type="pct"/>
            <w:vAlign w:val="center"/>
          </w:tcPr>
          <w:p w14:paraId="027B23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4903F3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{-9.85,11.92,1}</w:t>
            </w:r>
          </w:p>
        </w:tc>
        <w:tc>
          <w:tcPr>
            <w:tcW w:w="445" w:type="pct"/>
            <w:vAlign w:val="center"/>
          </w:tcPr>
          <w:p w14:paraId="37A986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4" w:type="pct"/>
            <w:shd w:val="clear" w:color="auto" w:fill="auto"/>
            <w:vAlign w:val="center"/>
          </w:tcPr>
          <w:p w14:paraId="7D96F75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80</w:t>
            </w:r>
          </w:p>
        </w:tc>
        <w:tc>
          <w:tcPr>
            <w:tcW w:w="259" w:type="pct"/>
            <w:vAlign w:val="center"/>
          </w:tcPr>
          <w:p w14:paraId="239C76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447F37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5F9374F1">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60</w:t>
            </w:r>
          </w:p>
        </w:tc>
        <w:tc>
          <w:tcPr>
            <w:tcW w:w="430" w:type="pct"/>
            <w:vAlign w:val="center"/>
          </w:tcPr>
          <w:p w14:paraId="36FA3C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1C97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vAlign w:val="center"/>
          </w:tcPr>
          <w:p w14:paraId="28B55D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6" w:type="pct"/>
            <w:shd w:val="clear" w:color="auto" w:fill="auto"/>
            <w:vAlign w:val="center"/>
          </w:tcPr>
          <w:p w14:paraId="50D59E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气流粉碎机</w:t>
            </w:r>
          </w:p>
        </w:tc>
        <w:tc>
          <w:tcPr>
            <w:tcW w:w="387" w:type="pct"/>
            <w:shd w:val="clear" w:color="auto" w:fill="auto"/>
            <w:vAlign w:val="center"/>
          </w:tcPr>
          <w:p w14:paraId="2E411D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812" w:type="pct"/>
            <w:vAlign w:val="center"/>
          </w:tcPr>
          <w:p w14:paraId="132550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199BB9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{6.04,16.91,1}</w:t>
            </w:r>
          </w:p>
        </w:tc>
        <w:tc>
          <w:tcPr>
            <w:tcW w:w="445" w:type="pct"/>
            <w:vAlign w:val="center"/>
          </w:tcPr>
          <w:p w14:paraId="06378C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94" w:type="pct"/>
            <w:shd w:val="clear" w:color="auto" w:fill="auto"/>
            <w:vAlign w:val="center"/>
          </w:tcPr>
          <w:p w14:paraId="1C0EB82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vAlign w:val="center"/>
          </w:tcPr>
          <w:p w14:paraId="7BBB50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5C0D83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0D7E2062">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vAlign w:val="center"/>
          </w:tcPr>
          <w:p w14:paraId="3AAD11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2DA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vAlign w:val="center"/>
          </w:tcPr>
          <w:p w14:paraId="0B9A0BD3">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3</w:t>
            </w:r>
          </w:p>
        </w:tc>
        <w:tc>
          <w:tcPr>
            <w:tcW w:w="676" w:type="pct"/>
            <w:shd w:val="clear" w:color="auto" w:fill="auto"/>
            <w:vAlign w:val="center"/>
          </w:tcPr>
          <w:p w14:paraId="2FC443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1#砂磨机</w:t>
            </w:r>
          </w:p>
        </w:tc>
        <w:tc>
          <w:tcPr>
            <w:tcW w:w="387" w:type="pct"/>
            <w:shd w:val="clear" w:color="auto" w:fill="auto"/>
            <w:vAlign w:val="center"/>
          </w:tcPr>
          <w:p w14:paraId="175848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812" w:type="pct"/>
            <w:vAlign w:val="center"/>
          </w:tcPr>
          <w:p w14:paraId="30E080E7">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2FBDF3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{7.66,18.88,1}</w:t>
            </w:r>
          </w:p>
        </w:tc>
        <w:tc>
          <w:tcPr>
            <w:tcW w:w="445" w:type="pct"/>
            <w:vAlign w:val="center"/>
          </w:tcPr>
          <w:p w14:paraId="254405BF">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1</w:t>
            </w:r>
          </w:p>
        </w:tc>
        <w:tc>
          <w:tcPr>
            <w:tcW w:w="494" w:type="pct"/>
            <w:shd w:val="clear" w:color="auto" w:fill="auto"/>
            <w:vAlign w:val="center"/>
          </w:tcPr>
          <w:p w14:paraId="3D9D35C5">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vAlign w:val="center"/>
          </w:tcPr>
          <w:p w14:paraId="5324A8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404FBA43">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4DA97761">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vAlign w:val="center"/>
          </w:tcPr>
          <w:p w14:paraId="795592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C10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vAlign w:val="center"/>
          </w:tcPr>
          <w:p w14:paraId="037F7D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76" w:type="pct"/>
            <w:shd w:val="clear" w:color="auto" w:fill="auto"/>
            <w:vAlign w:val="center"/>
          </w:tcPr>
          <w:p w14:paraId="4D0AA2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2#砂磨机</w:t>
            </w:r>
          </w:p>
        </w:tc>
        <w:tc>
          <w:tcPr>
            <w:tcW w:w="387" w:type="pct"/>
            <w:shd w:val="clear" w:color="auto" w:fill="auto"/>
            <w:vAlign w:val="center"/>
          </w:tcPr>
          <w:p w14:paraId="2BF6BDF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812" w:type="pct"/>
            <w:shd w:val="clear" w:color="auto" w:fill="auto"/>
            <w:vAlign w:val="center"/>
          </w:tcPr>
          <w:p w14:paraId="33E3456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30EAB7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{5.66,18.88,1}</w:t>
            </w:r>
          </w:p>
        </w:tc>
        <w:tc>
          <w:tcPr>
            <w:tcW w:w="445" w:type="pct"/>
            <w:vAlign w:val="center"/>
          </w:tcPr>
          <w:p w14:paraId="37878707">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1</w:t>
            </w:r>
          </w:p>
        </w:tc>
        <w:tc>
          <w:tcPr>
            <w:tcW w:w="494" w:type="pct"/>
            <w:shd w:val="clear" w:color="auto" w:fill="auto"/>
            <w:vAlign w:val="center"/>
          </w:tcPr>
          <w:p w14:paraId="6553E0E5">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shd w:val="clear" w:color="auto" w:fill="auto"/>
            <w:vAlign w:val="center"/>
          </w:tcPr>
          <w:p w14:paraId="5DE7AAB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昼间</w:t>
            </w:r>
          </w:p>
        </w:tc>
        <w:tc>
          <w:tcPr>
            <w:tcW w:w="350" w:type="pct"/>
            <w:shd w:val="clear" w:color="auto" w:fill="auto"/>
            <w:vAlign w:val="center"/>
          </w:tcPr>
          <w:p w14:paraId="1B8D6CE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1" w:type="pct"/>
            <w:shd w:val="clear" w:color="auto" w:fill="auto"/>
            <w:vAlign w:val="center"/>
          </w:tcPr>
          <w:p w14:paraId="1B9695E8">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shd w:val="clear" w:color="auto" w:fill="auto"/>
            <w:vAlign w:val="center"/>
          </w:tcPr>
          <w:p w14:paraId="7B01B88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w:t>
            </w:r>
          </w:p>
        </w:tc>
      </w:tr>
      <w:tr w14:paraId="2527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7F3A18F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5</w:t>
            </w:r>
          </w:p>
        </w:tc>
        <w:tc>
          <w:tcPr>
            <w:tcW w:w="676" w:type="pct"/>
            <w:shd w:val="clear" w:color="auto" w:fill="auto"/>
            <w:vAlign w:val="center"/>
          </w:tcPr>
          <w:p w14:paraId="72DD5D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离心机</w:t>
            </w:r>
          </w:p>
        </w:tc>
        <w:tc>
          <w:tcPr>
            <w:tcW w:w="387" w:type="pct"/>
            <w:shd w:val="clear" w:color="auto" w:fill="auto"/>
            <w:vAlign w:val="center"/>
          </w:tcPr>
          <w:p w14:paraId="31499B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812" w:type="pct"/>
            <w:shd w:val="clear" w:color="auto" w:fill="auto"/>
            <w:vAlign w:val="center"/>
          </w:tcPr>
          <w:p w14:paraId="6FDE0928">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341237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{6.66,18.88,1}</w:t>
            </w:r>
          </w:p>
        </w:tc>
        <w:tc>
          <w:tcPr>
            <w:tcW w:w="445" w:type="pct"/>
            <w:shd w:val="clear" w:color="auto" w:fill="auto"/>
            <w:vAlign w:val="center"/>
          </w:tcPr>
          <w:p w14:paraId="39D78AFA">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1</w:t>
            </w:r>
          </w:p>
        </w:tc>
        <w:tc>
          <w:tcPr>
            <w:tcW w:w="494" w:type="pct"/>
            <w:shd w:val="clear" w:color="auto" w:fill="auto"/>
            <w:vAlign w:val="center"/>
          </w:tcPr>
          <w:p w14:paraId="1CFB5FB4">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shd w:val="clear" w:color="auto" w:fill="auto"/>
            <w:vAlign w:val="center"/>
          </w:tcPr>
          <w:p w14:paraId="72934FC8">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昼间</w:t>
            </w:r>
          </w:p>
        </w:tc>
        <w:tc>
          <w:tcPr>
            <w:tcW w:w="350" w:type="pct"/>
            <w:shd w:val="clear" w:color="auto" w:fill="auto"/>
            <w:vAlign w:val="center"/>
          </w:tcPr>
          <w:p w14:paraId="1868B23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1" w:type="pct"/>
            <w:shd w:val="clear" w:color="auto" w:fill="auto"/>
            <w:vAlign w:val="center"/>
          </w:tcPr>
          <w:p w14:paraId="038A3D9B">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shd w:val="clear" w:color="auto" w:fill="auto"/>
            <w:vAlign w:val="center"/>
          </w:tcPr>
          <w:p w14:paraId="696A115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w:t>
            </w:r>
          </w:p>
        </w:tc>
      </w:tr>
      <w:tr w14:paraId="4F20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67D5A3A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6</w:t>
            </w:r>
          </w:p>
        </w:tc>
        <w:tc>
          <w:tcPr>
            <w:tcW w:w="676" w:type="pct"/>
            <w:shd w:val="clear" w:color="auto" w:fill="auto"/>
            <w:vAlign w:val="center"/>
          </w:tcPr>
          <w:p w14:paraId="09F4D6BA">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吸附式干燥塔</w:t>
            </w:r>
          </w:p>
        </w:tc>
        <w:tc>
          <w:tcPr>
            <w:tcW w:w="387" w:type="pct"/>
            <w:shd w:val="clear" w:color="auto" w:fill="auto"/>
            <w:vAlign w:val="center"/>
          </w:tcPr>
          <w:p w14:paraId="10DE5D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812" w:type="pct"/>
            <w:vAlign w:val="center"/>
          </w:tcPr>
          <w:p w14:paraId="3DC394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1334C6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{3.02,17.14,1}</w:t>
            </w:r>
          </w:p>
        </w:tc>
        <w:tc>
          <w:tcPr>
            <w:tcW w:w="445" w:type="pct"/>
            <w:vAlign w:val="center"/>
          </w:tcPr>
          <w:p w14:paraId="6AB3C3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4" w:type="pct"/>
            <w:shd w:val="clear" w:color="auto" w:fill="auto"/>
            <w:vAlign w:val="center"/>
          </w:tcPr>
          <w:p w14:paraId="0D60299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80</w:t>
            </w:r>
          </w:p>
        </w:tc>
        <w:tc>
          <w:tcPr>
            <w:tcW w:w="259" w:type="pct"/>
            <w:vAlign w:val="center"/>
          </w:tcPr>
          <w:p w14:paraId="3D287E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557B0C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6CA8093D">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60</w:t>
            </w:r>
          </w:p>
        </w:tc>
        <w:tc>
          <w:tcPr>
            <w:tcW w:w="430" w:type="pct"/>
            <w:vAlign w:val="center"/>
          </w:tcPr>
          <w:p w14:paraId="05775C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014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3133208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7</w:t>
            </w:r>
          </w:p>
        </w:tc>
        <w:tc>
          <w:tcPr>
            <w:tcW w:w="676" w:type="pct"/>
            <w:shd w:val="clear" w:color="auto" w:fill="auto"/>
            <w:vAlign w:val="center"/>
          </w:tcPr>
          <w:p w14:paraId="1174931F">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真空干燥机</w:t>
            </w:r>
          </w:p>
        </w:tc>
        <w:tc>
          <w:tcPr>
            <w:tcW w:w="387" w:type="pct"/>
            <w:shd w:val="clear" w:color="auto" w:fill="auto"/>
            <w:vAlign w:val="center"/>
          </w:tcPr>
          <w:p w14:paraId="403CD4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812" w:type="pct"/>
            <w:shd w:val="clear" w:color="auto" w:fill="auto"/>
            <w:vAlign w:val="center"/>
          </w:tcPr>
          <w:p w14:paraId="78A5440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772F8D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{3.27,10.36,1}</w:t>
            </w:r>
          </w:p>
        </w:tc>
        <w:tc>
          <w:tcPr>
            <w:tcW w:w="445" w:type="pct"/>
            <w:vAlign w:val="center"/>
          </w:tcPr>
          <w:p w14:paraId="765129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94" w:type="pct"/>
            <w:shd w:val="clear" w:color="auto" w:fill="auto"/>
            <w:vAlign w:val="center"/>
          </w:tcPr>
          <w:p w14:paraId="22BD4E8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shd w:val="clear" w:color="auto" w:fill="auto"/>
            <w:vAlign w:val="center"/>
          </w:tcPr>
          <w:p w14:paraId="537B502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昼间</w:t>
            </w:r>
          </w:p>
        </w:tc>
        <w:tc>
          <w:tcPr>
            <w:tcW w:w="350" w:type="pct"/>
            <w:shd w:val="clear" w:color="auto" w:fill="auto"/>
            <w:vAlign w:val="center"/>
          </w:tcPr>
          <w:p w14:paraId="3CBF260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1" w:type="pct"/>
            <w:shd w:val="clear" w:color="auto" w:fill="auto"/>
            <w:vAlign w:val="center"/>
          </w:tcPr>
          <w:p w14:paraId="0C230BC0">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shd w:val="clear" w:color="auto" w:fill="auto"/>
            <w:vAlign w:val="center"/>
          </w:tcPr>
          <w:p w14:paraId="37868E7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w:t>
            </w:r>
          </w:p>
        </w:tc>
      </w:tr>
      <w:tr w14:paraId="2DAF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7A229DF0">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w:t>
            </w:r>
          </w:p>
        </w:tc>
        <w:tc>
          <w:tcPr>
            <w:tcW w:w="676" w:type="pct"/>
            <w:shd w:val="clear" w:color="auto" w:fill="auto"/>
            <w:vAlign w:val="center"/>
          </w:tcPr>
          <w:p w14:paraId="1D11F0F5">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耙式干燥机</w:t>
            </w:r>
          </w:p>
        </w:tc>
        <w:tc>
          <w:tcPr>
            <w:tcW w:w="387" w:type="pct"/>
            <w:shd w:val="clear" w:color="auto" w:fill="auto"/>
            <w:vAlign w:val="center"/>
          </w:tcPr>
          <w:p w14:paraId="5455A8B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812" w:type="pct"/>
            <w:shd w:val="clear" w:color="auto" w:fill="auto"/>
            <w:vAlign w:val="center"/>
          </w:tcPr>
          <w:p w14:paraId="753659C8">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411F3D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{1.55,0.14,1}</w:t>
            </w:r>
          </w:p>
        </w:tc>
        <w:tc>
          <w:tcPr>
            <w:tcW w:w="445" w:type="pct"/>
            <w:vAlign w:val="center"/>
          </w:tcPr>
          <w:p w14:paraId="668DDE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94" w:type="pct"/>
            <w:shd w:val="clear" w:color="auto" w:fill="auto"/>
            <w:vAlign w:val="center"/>
          </w:tcPr>
          <w:p w14:paraId="6BA1A218">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85</w:t>
            </w:r>
          </w:p>
        </w:tc>
        <w:tc>
          <w:tcPr>
            <w:tcW w:w="259" w:type="pct"/>
            <w:shd w:val="clear" w:color="auto" w:fill="auto"/>
            <w:vAlign w:val="center"/>
          </w:tcPr>
          <w:p w14:paraId="32D45EF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昼间</w:t>
            </w:r>
          </w:p>
        </w:tc>
        <w:tc>
          <w:tcPr>
            <w:tcW w:w="350" w:type="pct"/>
            <w:shd w:val="clear" w:color="auto" w:fill="auto"/>
            <w:vAlign w:val="center"/>
          </w:tcPr>
          <w:p w14:paraId="184CFBE2">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20</w:t>
            </w:r>
          </w:p>
        </w:tc>
        <w:tc>
          <w:tcPr>
            <w:tcW w:w="331" w:type="pct"/>
            <w:shd w:val="clear" w:color="auto" w:fill="auto"/>
            <w:vAlign w:val="center"/>
          </w:tcPr>
          <w:p w14:paraId="5C67DD20">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65</w:t>
            </w:r>
          </w:p>
        </w:tc>
        <w:tc>
          <w:tcPr>
            <w:tcW w:w="430" w:type="pct"/>
            <w:shd w:val="clear" w:color="auto" w:fill="auto"/>
            <w:vAlign w:val="center"/>
          </w:tcPr>
          <w:p w14:paraId="179AEE2B">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w:t>
            </w:r>
          </w:p>
        </w:tc>
      </w:tr>
      <w:tr w14:paraId="358A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4536FBBF">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9</w:t>
            </w:r>
          </w:p>
        </w:tc>
        <w:tc>
          <w:tcPr>
            <w:tcW w:w="676" w:type="pct"/>
            <w:shd w:val="clear" w:color="auto" w:fill="auto"/>
            <w:vAlign w:val="center"/>
          </w:tcPr>
          <w:p w14:paraId="69649B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除湿机组</w:t>
            </w:r>
          </w:p>
        </w:tc>
        <w:tc>
          <w:tcPr>
            <w:tcW w:w="387" w:type="pct"/>
            <w:shd w:val="clear" w:color="auto" w:fill="auto"/>
            <w:vAlign w:val="center"/>
          </w:tcPr>
          <w:p w14:paraId="539F81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110</w:t>
            </w:r>
          </w:p>
        </w:tc>
        <w:tc>
          <w:tcPr>
            <w:tcW w:w="812" w:type="pct"/>
            <w:vAlign w:val="center"/>
          </w:tcPr>
          <w:p w14:paraId="293311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273501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{-27.36,1.6,1}</w:t>
            </w:r>
          </w:p>
        </w:tc>
        <w:tc>
          <w:tcPr>
            <w:tcW w:w="445" w:type="pct"/>
            <w:vAlign w:val="center"/>
          </w:tcPr>
          <w:p w14:paraId="377DC2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4" w:type="pct"/>
            <w:shd w:val="clear" w:color="auto" w:fill="auto"/>
            <w:vAlign w:val="center"/>
          </w:tcPr>
          <w:p w14:paraId="6E9A8E12">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110</w:t>
            </w:r>
          </w:p>
        </w:tc>
        <w:tc>
          <w:tcPr>
            <w:tcW w:w="259" w:type="pct"/>
            <w:vAlign w:val="center"/>
          </w:tcPr>
          <w:p w14:paraId="3A493A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2664AA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7EF82A05">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90</w:t>
            </w:r>
          </w:p>
        </w:tc>
        <w:tc>
          <w:tcPr>
            <w:tcW w:w="430" w:type="pct"/>
            <w:vAlign w:val="center"/>
          </w:tcPr>
          <w:p w14:paraId="1170F5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32F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shd w:val="clear" w:color="auto" w:fill="auto"/>
            <w:vAlign w:val="center"/>
          </w:tcPr>
          <w:p w14:paraId="0F2209D3">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10</w:t>
            </w:r>
          </w:p>
        </w:tc>
        <w:tc>
          <w:tcPr>
            <w:tcW w:w="676" w:type="pct"/>
            <w:shd w:val="clear" w:color="auto" w:fill="auto"/>
            <w:vAlign w:val="center"/>
          </w:tcPr>
          <w:p w14:paraId="27DF95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空压机</w:t>
            </w:r>
          </w:p>
        </w:tc>
        <w:tc>
          <w:tcPr>
            <w:tcW w:w="387" w:type="pct"/>
            <w:shd w:val="clear" w:color="auto" w:fill="auto"/>
            <w:vAlign w:val="center"/>
          </w:tcPr>
          <w:p w14:paraId="4787A0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12" w:type="pct"/>
            <w:vAlign w:val="center"/>
          </w:tcPr>
          <w:p w14:paraId="392DF4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clear" w:color="auto" w:fill="auto"/>
          </w:tcPr>
          <w:p w14:paraId="330AF4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{-6.6,6.71,1}</w:t>
            </w:r>
          </w:p>
        </w:tc>
        <w:tc>
          <w:tcPr>
            <w:tcW w:w="445" w:type="pct"/>
            <w:vAlign w:val="center"/>
          </w:tcPr>
          <w:p w14:paraId="463F81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4" w:type="pct"/>
            <w:shd w:val="clear" w:color="auto" w:fill="auto"/>
            <w:vAlign w:val="center"/>
          </w:tcPr>
          <w:p w14:paraId="0D60EC0E">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100</w:t>
            </w:r>
          </w:p>
        </w:tc>
        <w:tc>
          <w:tcPr>
            <w:tcW w:w="259" w:type="pct"/>
            <w:vAlign w:val="center"/>
          </w:tcPr>
          <w:p w14:paraId="5A4C97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476FF3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2CD74B6A">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90</w:t>
            </w:r>
          </w:p>
        </w:tc>
        <w:tc>
          <w:tcPr>
            <w:tcW w:w="430" w:type="pct"/>
            <w:vAlign w:val="center"/>
          </w:tcPr>
          <w:p w14:paraId="5A74F0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CF9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 w:type="pct"/>
            <w:vAlign w:val="center"/>
          </w:tcPr>
          <w:p w14:paraId="4EA9F90B">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11</w:t>
            </w:r>
          </w:p>
        </w:tc>
        <w:tc>
          <w:tcPr>
            <w:tcW w:w="676" w:type="pct"/>
            <w:shd w:val="solid" w:color="FFFFFF" w:fill="auto"/>
            <w:vAlign w:val="center"/>
          </w:tcPr>
          <w:p w14:paraId="69C3FE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污水泵</w:t>
            </w:r>
          </w:p>
        </w:tc>
        <w:tc>
          <w:tcPr>
            <w:tcW w:w="387" w:type="pct"/>
            <w:shd w:val="solid" w:color="FFFFFF" w:fill="auto"/>
            <w:vAlign w:val="center"/>
          </w:tcPr>
          <w:p w14:paraId="1EF8F7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812" w:type="pct"/>
            <w:vAlign w:val="center"/>
          </w:tcPr>
          <w:p w14:paraId="503711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基础减振、厂房隔声</w:t>
            </w:r>
          </w:p>
        </w:tc>
        <w:tc>
          <w:tcPr>
            <w:tcW w:w="649" w:type="pct"/>
            <w:shd w:val="solid" w:color="FFFFFF" w:fill="auto"/>
          </w:tcPr>
          <w:p w14:paraId="6BA10C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{-18.08,29.09,1}</w:t>
            </w:r>
          </w:p>
        </w:tc>
        <w:tc>
          <w:tcPr>
            <w:tcW w:w="445" w:type="pct"/>
            <w:vAlign w:val="center"/>
          </w:tcPr>
          <w:p w14:paraId="1C799D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94" w:type="pct"/>
            <w:shd w:val="solid" w:color="FFFFFF" w:fill="auto"/>
            <w:vAlign w:val="center"/>
          </w:tcPr>
          <w:p w14:paraId="008F2F9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70</w:t>
            </w:r>
          </w:p>
        </w:tc>
        <w:tc>
          <w:tcPr>
            <w:tcW w:w="259" w:type="pct"/>
            <w:vAlign w:val="center"/>
          </w:tcPr>
          <w:p w14:paraId="1021C4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350" w:type="pct"/>
            <w:vAlign w:val="center"/>
          </w:tcPr>
          <w:p w14:paraId="7A6F79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1" w:type="pct"/>
            <w:vAlign w:val="center"/>
          </w:tcPr>
          <w:p w14:paraId="218DF9A6">
            <w:pPr>
              <w:pStyle w:val="28"/>
              <w:rPr>
                <w:rFonts w:cs="黑体"/>
                <w:color w:val="000000" w:themeColor="text1"/>
                <w:szCs w:val="22"/>
                <w14:textFill>
                  <w14:solidFill>
                    <w14:schemeClr w14:val="tx1"/>
                  </w14:solidFill>
                </w14:textFill>
              </w:rPr>
            </w:pPr>
            <w:r>
              <w:rPr>
                <w:rFonts w:hint="eastAsia" w:cs="黑体"/>
                <w:color w:val="000000" w:themeColor="text1"/>
                <w:szCs w:val="22"/>
                <w14:textFill>
                  <w14:solidFill>
                    <w14:schemeClr w14:val="tx1"/>
                  </w14:solidFill>
                </w14:textFill>
              </w:rPr>
              <w:t>60</w:t>
            </w:r>
          </w:p>
        </w:tc>
        <w:tc>
          <w:tcPr>
            <w:tcW w:w="430" w:type="pct"/>
            <w:vAlign w:val="center"/>
          </w:tcPr>
          <w:p w14:paraId="5EAF0F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6487D03F">
      <w:pPr>
        <w:rPr>
          <w:i/>
          <w:iCs/>
          <w:color w:val="000000" w:themeColor="text1"/>
          <w:sz w:val="21"/>
          <w:szCs w:val="21"/>
          <w14:textFill>
            <w14:solidFill>
              <w14:schemeClr w14:val="tx1"/>
            </w14:solidFill>
          </w14:textFill>
        </w:rPr>
        <w:sectPr>
          <w:pgSz w:w="16838" w:h="11906" w:orient="landscape"/>
          <w:pgMar w:top="1440" w:right="1440" w:bottom="1440" w:left="1803" w:header="907" w:footer="992" w:gutter="0"/>
          <w:cols w:space="425" w:num="1"/>
          <w:docGrid w:type="lines" w:linePitch="312" w:charSpace="0"/>
        </w:sectPr>
      </w:pPr>
      <w:r>
        <w:rPr>
          <w:rFonts w:hint="eastAsia"/>
          <w:i/>
          <w:iCs/>
          <w:color w:val="000000" w:themeColor="text1"/>
          <w:sz w:val="21"/>
          <w:szCs w:val="21"/>
          <w14:textFill>
            <w14:solidFill>
              <w14:schemeClr w14:val="tx1"/>
            </w14:solidFill>
          </w14:textFill>
        </w:rPr>
        <w:t>【注】本项目租用已建的厂房为彩钢板封闭厂房，租用厂房内采用双层彩钢瓦新建全封闭生产车间，厂房的外层彩钢瓦与新增的内层封闭彩钢瓦还留有过道，形成“外层彩钢瓦→空气层→内层彩钢瓦”的隔声结构，因此建筑物插入损失按20dB（A）考虑。</w:t>
      </w:r>
    </w:p>
    <w:p w14:paraId="3AB97A3D">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5.2.3.2噪声预测分析</w:t>
      </w:r>
    </w:p>
    <w:p w14:paraId="789337DF">
      <w:pPr>
        <w:keepNext/>
        <w:keepLines/>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1、评价等级及范围</w:t>
      </w:r>
    </w:p>
    <w:p w14:paraId="42D34B51">
      <w:pPr>
        <w:ind w:firstLine="48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本项目声环境影响评价工作等级为三级。评价范围为项目边界外延200m。</w:t>
      </w:r>
    </w:p>
    <w:p w14:paraId="1190EA5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2、预测范围和预测点</w:t>
      </w:r>
    </w:p>
    <w:p w14:paraId="7F79B9E1">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本项目预测范围为项目边界</w:t>
      </w:r>
      <w:r>
        <w:rPr>
          <w:rFonts w:hint="eastAsia" w:cs="Times New Roman"/>
          <w:bCs/>
          <w:color w:val="000000" w:themeColor="text1"/>
          <w14:textFill>
            <w14:solidFill>
              <w14:schemeClr w14:val="tx1"/>
            </w14:solidFill>
          </w14:textFill>
        </w:rPr>
        <w:t>外延200m</w:t>
      </w:r>
      <w:r>
        <w:rPr>
          <w:rFonts w:hint="eastAsia"/>
          <w:color w:val="000000" w:themeColor="text1"/>
          <w14:textFill>
            <w14:solidFill>
              <w14:schemeClr w14:val="tx1"/>
            </w14:solidFill>
          </w14:textFill>
        </w:rPr>
        <w:t>的范围，预测范围内关心点为项目区东北面的大莲池村、</w:t>
      </w:r>
      <w:bookmarkStart w:id="99" w:name="_Hlk226621140"/>
      <w:r>
        <w:rPr>
          <w:rFonts w:hint="eastAsia"/>
          <w:color w:val="000000" w:themeColor="text1"/>
          <w14:textFill>
            <w14:solidFill>
              <w14:schemeClr w14:val="tx1"/>
            </w14:solidFill>
          </w14:textFill>
        </w:rPr>
        <w:t>莲池村</w:t>
      </w:r>
      <w:bookmarkEnd w:id="99"/>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由于本项目为厂中厂项目，因此本环评噪声预测还需考虑本项目租用的云南捷辰包装材料有限公司厂界噪声及关心点。</w:t>
      </w:r>
      <w:r>
        <w:rPr>
          <w:rFonts w:hint="eastAsia"/>
          <w:color w:val="000000" w:themeColor="text1"/>
          <w14:textFill>
            <w14:solidFill>
              <w14:schemeClr w14:val="tx1"/>
            </w14:solidFill>
          </w14:textFill>
        </w:rPr>
        <w:t>本环评对项目厂界噪声、关心点进行预测。</w:t>
      </w:r>
    </w:p>
    <w:p w14:paraId="7BDCDD2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3、噪声影响预测模式</w:t>
      </w:r>
    </w:p>
    <w:p w14:paraId="631C268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（1）室内声源</w:t>
      </w:r>
    </w:p>
    <w:p w14:paraId="49FE3C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如果已知声源的声压级 </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r0</w:t>
      </w:r>
      <w:r>
        <w:rPr>
          <w:rFonts w:hint="eastAsia"/>
          <w:color w:val="000000" w:themeColor="text1"/>
          <w14:textFill>
            <w14:solidFill>
              <w14:schemeClr w14:val="tx1"/>
            </w14:solidFill>
          </w14:textFill>
        </w:rPr>
        <w:t xml:space="preserve">），且声源位于地面上，则： </w:t>
      </w:r>
    </w:p>
    <w:p w14:paraId="3959E965">
      <w:pPr>
        <w:ind w:firstLine="48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29" o:spt="75" type="#_x0000_t75" style="height:21.45pt;width:108pt;" o:ole="t" filled="f" o:preferrelative="t" stroked="f" coordsize="21600,21600">
            <v:path/>
            <v:fill on="f" focussize="0,0"/>
            <v:stroke on="f" joinstyle="miter"/>
            <v:imagedata r:id="rId41" o:title=""/>
            <o:lock v:ext="edit" aspectratio="t"/>
            <w10:wrap type="none"/>
            <w10:anchorlock/>
          </v:shape>
          <o:OLEObject Type="Embed" ProgID="Equation.3" ShapeID="_x0000_i1029" DrawAspect="Content" ObjectID="_1468075729" r:id="rId40">
            <o:LockedField>false</o:LockedField>
          </o:OLEObject>
        </w:object>
      </w:r>
    </w:p>
    <w:p w14:paraId="495B9D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计算出某个室内声源靠近围护结构处的声压级： </w:t>
      </w:r>
    </w:p>
    <w:p w14:paraId="5AB5770F">
      <w:pPr>
        <w:ind w:firstLine="480"/>
        <w:rPr>
          <w:color w:val="000000" w:themeColor="text1"/>
          <w14:textFill>
            <w14:solidFill>
              <w14:schemeClr w14:val="tx1"/>
            </w14:solidFill>
          </w14:textFill>
        </w:rPr>
      </w:pPr>
      <w:r>
        <w:rPr>
          <w:rFonts w:hint="eastAsia"/>
          <w:color w:val="000000" w:themeColor="text1"/>
          <w:position w:val="-28"/>
          <w14:textFill>
            <w14:solidFill>
              <w14:schemeClr w14:val="tx1"/>
            </w14:solidFill>
          </w14:textFill>
        </w:rPr>
        <w:object>
          <v:shape id="_x0000_i1030" o:spt="75" type="#_x0000_t75" style="height:29.1pt;width:114.9pt;" o:ole="t" filled="f" o:preferrelative="t" stroked="f" coordsize="21600,21600">
            <v:path/>
            <v:fill on="f" focussize="0,0"/>
            <v:stroke on="f" joinstyle="miter"/>
            <v:imagedata r:id="rId43" o:title=""/>
            <o:lock v:ext="edit" aspectratio="t"/>
            <w10:wrap type="none"/>
            <w10:anchorlock/>
          </v:shape>
          <o:OLEObject Type="Embed" ProgID="Equation.3" ShapeID="_x0000_i1030" DrawAspect="Content" ObjectID="_1468075730" r:id="rId42">
            <o:LockedField>false</o:LockedField>
          </o:OLEObject>
        </w:object>
      </w:r>
    </w:p>
    <w:p w14:paraId="7EA572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式中： </w:t>
      </w:r>
    </w:p>
    <w:p w14:paraId="2C28B84F">
      <w:pPr>
        <w:ind w:firstLine="480"/>
        <w:rPr>
          <w:color w:val="000000" w:themeColor="text1"/>
          <w14:textFill>
            <w14:solidFill>
              <w14:schemeClr w14:val="tx1"/>
            </w14:solidFill>
          </w14:textFill>
        </w:rPr>
      </w:pPr>
      <w:r>
        <w:rPr>
          <w:color w:val="000000" w:themeColor="text1"/>
          <w14:textFill>
            <w14:solidFill>
              <w14:schemeClr w14:val="tx1"/>
            </w14:solidFill>
          </w14:textFill>
        </w:rPr>
        <w:t>Lp1——</w:t>
      </w:r>
      <w:r>
        <w:rPr>
          <w:rFonts w:hint="eastAsia"/>
          <w:color w:val="000000" w:themeColor="text1"/>
          <w14:textFill>
            <w14:solidFill>
              <w14:schemeClr w14:val="tx1"/>
            </w14:solidFill>
          </w14:textFill>
        </w:rPr>
        <w:t xml:space="preserve">某个室内声源靠近维护结构处的声压级。 </w:t>
      </w:r>
    </w:p>
    <w:p w14:paraId="313378F4">
      <w:pPr>
        <w:ind w:firstLine="480"/>
        <w:rPr>
          <w:color w:val="000000" w:themeColor="text1"/>
          <w14:textFill>
            <w14:solidFill>
              <w14:schemeClr w14:val="tx1"/>
            </w14:solidFill>
          </w14:textFill>
        </w:rPr>
      </w:pPr>
      <w:r>
        <w:rPr>
          <w:color w:val="000000" w:themeColor="text1"/>
          <w14:textFill>
            <w14:solidFill>
              <w14:schemeClr w14:val="tx1"/>
            </w14:solidFill>
          </w14:textFill>
        </w:rPr>
        <w:t>Lw——</w:t>
      </w:r>
      <w:r>
        <w:rPr>
          <w:rFonts w:hint="eastAsia"/>
          <w:color w:val="000000" w:themeColor="text1"/>
          <w14:textFill>
            <w14:solidFill>
              <w14:schemeClr w14:val="tx1"/>
            </w14:solidFill>
          </w14:textFill>
        </w:rPr>
        <w:t xml:space="preserve">某个室内声源靠近维护结构处产生的声功率级。 </w:t>
      </w:r>
    </w:p>
    <w:p w14:paraId="1EB402B5">
      <w:pPr>
        <w:ind w:firstLine="480"/>
        <w:rPr>
          <w:color w:val="000000" w:themeColor="text1"/>
          <w14:textFill>
            <w14:solidFill>
              <w14:schemeClr w14:val="tx1"/>
            </w14:solidFill>
          </w14:textFill>
        </w:rPr>
      </w:pPr>
      <w:r>
        <w:rPr>
          <w:color w:val="000000" w:themeColor="text1"/>
          <w14:textFill>
            <w14:solidFill>
              <w14:schemeClr w14:val="tx1"/>
            </w14:solidFill>
          </w14:textFill>
        </w:rPr>
        <w:t>Q——</w:t>
      </w:r>
      <w:r>
        <w:rPr>
          <w:rFonts w:hint="eastAsia"/>
          <w:color w:val="000000" w:themeColor="text1"/>
          <w14:textFill>
            <w14:solidFill>
              <w14:schemeClr w14:val="tx1"/>
            </w14:solidFill>
          </w14:textFill>
        </w:rPr>
        <w:t>指向性因数；通常对无指向性声源，当声源放在房间中心时，</w:t>
      </w:r>
      <w:r>
        <w:rPr>
          <w:color w:val="000000" w:themeColor="text1"/>
          <w14:textFill>
            <w14:solidFill>
              <w14:schemeClr w14:val="tx1"/>
            </w14:solidFill>
          </w14:textFill>
        </w:rPr>
        <w:t>Q=1</w:t>
      </w:r>
      <w:r>
        <w:rPr>
          <w:rFonts w:hint="eastAsia"/>
          <w:color w:val="000000" w:themeColor="text1"/>
          <w14:textFill>
            <w14:solidFill>
              <w14:schemeClr w14:val="tx1"/>
            </w14:solidFill>
          </w14:textFill>
        </w:rPr>
        <w:t>；当放在一面墙的中心时，</w:t>
      </w:r>
      <w:r>
        <w:rPr>
          <w:color w:val="000000" w:themeColor="text1"/>
          <w14:textFill>
            <w14:solidFill>
              <w14:schemeClr w14:val="tx1"/>
            </w14:solidFill>
          </w14:textFill>
        </w:rPr>
        <w:t>Q=2</w:t>
      </w:r>
      <w:r>
        <w:rPr>
          <w:rFonts w:hint="eastAsia"/>
          <w:color w:val="000000" w:themeColor="text1"/>
          <w14:textFill>
            <w14:solidFill>
              <w14:schemeClr w14:val="tx1"/>
            </w14:solidFill>
          </w14:textFill>
        </w:rPr>
        <w:t>；当放在两面墙夹角处时，</w:t>
      </w:r>
      <w:r>
        <w:rPr>
          <w:color w:val="000000" w:themeColor="text1"/>
          <w14:textFill>
            <w14:solidFill>
              <w14:schemeClr w14:val="tx1"/>
            </w14:solidFill>
          </w14:textFill>
        </w:rPr>
        <w:t>Q=4</w:t>
      </w:r>
      <w:r>
        <w:rPr>
          <w:rFonts w:hint="eastAsia"/>
          <w:color w:val="000000" w:themeColor="text1"/>
          <w14:textFill>
            <w14:solidFill>
              <w14:schemeClr w14:val="tx1"/>
            </w14:solidFill>
          </w14:textFill>
        </w:rPr>
        <w:t>；当放在三面墙夹角处时，</w:t>
      </w:r>
      <w:r>
        <w:rPr>
          <w:color w:val="000000" w:themeColor="text1"/>
          <w14:textFill>
            <w14:solidFill>
              <w14:schemeClr w14:val="tx1"/>
            </w14:solidFill>
          </w14:textFill>
        </w:rPr>
        <w:t>Q=8</w:t>
      </w:r>
      <w:r>
        <w:rPr>
          <w:rFonts w:hint="eastAsia"/>
          <w:color w:val="000000" w:themeColor="text1"/>
          <w14:textFill>
            <w14:solidFill>
              <w14:schemeClr w14:val="tx1"/>
            </w14:solidFill>
          </w14:textFill>
        </w:rPr>
        <w:t xml:space="preserve">。 </w:t>
      </w:r>
    </w:p>
    <w:p w14:paraId="7AD899F7">
      <w:pPr>
        <w:ind w:firstLine="480"/>
        <w:rPr>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房间常数；</w:t>
      </w:r>
      <w:r>
        <w:rPr>
          <w:color w:val="000000" w:themeColor="text1"/>
          <w14:textFill>
            <w14:solidFill>
              <w14:schemeClr w14:val="tx1"/>
            </w14:solidFill>
          </w14:textFill>
        </w:rPr>
        <w:t>R=Sa/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为房间内表面面积，㎡；</w:t>
      </w:r>
      <w:r>
        <w:rPr>
          <w:color w:val="000000" w:themeColor="text1"/>
          <w14:textFill>
            <w14:solidFill>
              <w14:schemeClr w14:val="tx1"/>
            </w14:solidFill>
          </w14:textFill>
        </w:rPr>
        <w:t xml:space="preserve">a </w:t>
      </w:r>
      <w:r>
        <w:rPr>
          <w:rFonts w:hint="eastAsia"/>
          <w:color w:val="000000" w:themeColor="text1"/>
          <w14:textFill>
            <w14:solidFill>
              <w14:schemeClr w14:val="tx1"/>
            </w14:solidFill>
          </w14:textFill>
        </w:rPr>
        <w:t xml:space="preserve">为平均吸声系数，本评价 </w:t>
      </w:r>
      <w:r>
        <w:rPr>
          <w:color w:val="000000" w:themeColor="text1"/>
          <w14:textFill>
            <w14:solidFill>
              <w14:schemeClr w14:val="tx1"/>
            </w14:solidFill>
          </w14:textFill>
        </w:rPr>
        <w:t xml:space="preserve">a </w:t>
      </w:r>
      <w:r>
        <w:rPr>
          <w:rFonts w:hint="eastAsia"/>
          <w:color w:val="000000" w:themeColor="text1"/>
          <w14:textFill>
            <w14:solidFill>
              <w14:schemeClr w14:val="tx1"/>
            </w14:solidFill>
          </w14:textFill>
        </w:rPr>
        <w:t xml:space="preserve">取 </w:t>
      </w:r>
      <w:r>
        <w:rPr>
          <w:color w:val="000000" w:themeColor="text1"/>
          <w14:textFill>
            <w14:solidFill>
              <w14:schemeClr w14:val="tx1"/>
            </w14:solidFill>
          </w14:textFill>
        </w:rPr>
        <w:t>0.15</w:t>
      </w:r>
      <w:r>
        <w:rPr>
          <w:rFonts w:hint="eastAsia"/>
          <w:color w:val="000000" w:themeColor="text1"/>
          <w14:textFill>
            <w14:solidFill>
              <w14:schemeClr w14:val="tx1"/>
            </w14:solidFill>
          </w14:textFill>
        </w:rPr>
        <w:t xml:space="preserve">。 </w:t>
      </w:r>
    </w:p>
    <w:p w14:paraId="62978C1E">
      <w:pPr>
        <w:ind w:firstLine="480"/>
        <w:rPr>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声源到靠近围护结构某点处的距离，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 xml:space="preserve">。 </w:t>
      </w:r>
    </w:p>
    <w:p w14:paraId="6AE750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计算出所有室内声源在靠近围护结构处产生的总声压级： </w:t>
      </w:r>
    </w:p>
    <w:p w14:paraId="470C5839">
      <w:pPr>
        <w:ind w:firstLine="480"/>
        <w:rPr>
          <w:color w:val="000000" w:themeColor="text1"/>
          <w14:textFill>
            <w14:solidFill>
              <w14:schemeClr w14:val="tx1"/>
            </w14:solidFill>
          </w14:textFill>
        </w:rPr>
      </w:pPr>
      <w:r>
        <w:rPr>
          <w:rFonts w:hint="eastAsia"/>
          <w:color w:val="000000" w:themeColor="text1"/>
          <w:position w:val="-30"/>
          <w14:textFill>
            <w14:solidFill>
              <w14:schemeClr w14:val="tx1"/>
            </w14:solidFill>
          </w14:textFill>
        </w:rPr>
        <w:object>
          <v:shape id="_x0000_i1031" o:spt="75" type="#_x0000_t75" style="height:36pt;width:137.1pt;" o:ole="t" filled="f" o:preferrelative="t" stroked="f" coordsize="21600,21600">
            <v:path/>
            <v:fill on="f" focussize="0,0"/>
            <v:stroke on="f" joinstyle="miter"/>
            <v:imagedata r:id="rId45" o:title=""/>
            <o:lock v:ext="edit" aspectratio="t"/>
            <w10:wrap type="none"/>
            <w10:anchorlock/>
          </v:shape>
          <o:OLEObject Type="Embed" ProgID="Equation.3" ShapeID="_x0000_i1031" DrawAspect="Content" ObjectID="_1468075731" r:id="rId44">
            <o:LockedField>false</o:LockedField>
          </o:OLEObject>
        </w:object>
      </w:r>
    </w:p>
    <w:p w14:paraId="3FA15DB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式中： </w:t>
      </w:r>
    </w:p>
    <w:p w14:paraId="2C963677">
      <w:pPr>
        <w:ind w:firstLine="48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32" o:spt="75" type="#_x0000_t75" style="height:21.45pt;width:21.45pt;" o:ole="t" filled="f" o:preferrelative="t" stroked="f" coordsize="21600,21600">
            <v:path/>
            <v:fill on="f" focussize="0,0"/>
            <v:stroke on="f" joinstyle="miter"/>
            <v:imagedata r:id="rId47" o:title=""/>
            <o:lock v:ext="edit" aspectratio="t"/>
            <w10:wrap type="none"/>
            <w10:anchorlock/>
          </v:shape>
          <o:OLEObject Type="Embed" ProgID="Equation.3" ShapeID="_x0000_i1032" DrawAspect="Content" ObjectID="_1468075732" r:id="rId46">
            <o:LockedField>false</o:LockedField>
          </o:OLEObject>
        </w:object>
      </w:r>
      <w:r>
        <w:rPr>
          <w:color w:val="000000" w:themeColor="text1"/>
          <w14:textFill>
            <w14:solidFill>
              <w14:schemeClr w14:val="tx1"/>
            </w14:solidFill>
          </w14:textFill>
        </w:rPr>
        <w:t xml:space="preserve">——j </w:t>
      </w:r>
      <w:r>
        <w:rPr>
          <w:rFonts w:hint="eastAsia"/>
          <w:color w:val="000000" w:themeColor="text1"/>
          <w14:textFill>
            <w14:solidFill>
              <w14:schemeClr w14:val="tx1"/>
            </w14:solidFill>
          </w14:textFill>
        </w:rPr>
        <w:t>声源的声压级，</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19B4310D">
      <w:pPr>
        <w:ind w:firstLine="480"/>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 xml:space="preserve">室内声源总数。 </w:t>
      </w:r>
    </w:p>
    <w:p w14:paraId="30CA6D94">
      <w:pPr>
        <w:ind w:firstLine="480"/>
        <w:rPr>
          <w:color w:val="000000" w:themeColor="text1"/>
          <w14:textFill>
            <w14:solidFill>
              <w14:schemeClr w14:val="tx1"/>
            </w14:solidFill>
          </w14:textFill>
        </w:rPr>
      </w:pPr>
      <w:r>
        <w:rPr>
          <w:color w:val="000000" w:themeColor="text1"/>
          <w14:textFill>
            <w14:solidFill>
              <w14:schemeClr w14:val="tx1"/>
            </w14:solidFill>
          </w14:textFill>
        </w:rPr>
        <w:t>Lp1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靠近围护结构处室内 </w:t>
      </w:r>
      <w:r>
        <w:rPr>
          <w:color w:val="000000" w:themeColor="text1"/>
          <w14:textFill>
            <w14:solidFill>
              <w14:schemeClr w14:val="tx1"/>
            </w14:solidFill>
          </w14:textFill>
        </w:rPr>
        <w:t xml:space="preserve">N </w:t>
      </w:r>
      <w:r>
        <w:rPr>
          <w:rFonts w:hint="eastAsia"/>
          <w:color w:val="000000" w:themeColor="text1"/>
          <w14:textFill>
            <w14:solidFill>
              <w14:schemeClr w14:val="tx1"/>
            </w14:solidFill>
          </w14:textFill>
        </w:rPr>
        <w:t>个声源的叠加声压级，</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60DAA6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计算出室外靠近围护结构处的声压级：</w:t>
      </w:r>
    </w:p>
    <w:p w14:paraId="3F41A11E">
      <w:pPr>
        <w:ind w:firstLine="48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33" o:spt="75" type="#_x0000_t75" style="height:21.45pt;width:122.55pt;" o:ole="t" filled="f" o:preferrelative="t" stroked="f" coordsize="21600,21600">
            <v:path/>
            <v:fill on="f" focussize="0,0"/>
            <v:stroke on="f" joinstyle="miter"/>
            <v:imagedata r:id="rId49" o:title=""/>
            <o:lock v:ext="edit" aspectratio="t"/>
            <w10:wrap type="none"/>
            <w10:anchorlock/>
          </v:shape>
          <o:OLEObject Type="Embed" ProgID="Equation.3" ShapeID="_x0000_i1033" DrawAspect="Content" ObjectID="_1468075733" r:id="rId48">
            <o:LockedField>false</o:LockedField>
          </o:OLEObject>
        </w:object>
      </w:r>
    </w:p>
    <w:p w14:paraId="53CED4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式中： </w:t>
      </w:r>
    </w:p>
    <w:p w14:paraId="40B6C7A9">
      <w:pPr>
        <w:ind w:firstLine="480"/>
        <w:rPr>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34" o:spt="75" type="#_x0000_t75" style="height:14.55pt;width:36pt;" o:ole="t" filled="f" o:preferrelative="t" stroked="f" coordsize="21600,21600">
            <v:path/>
            <v:fill on="f" focussize="0,0"/>
            <v:stroke on="f" joinstyle="miter"/>
            <v:imagedata r:id="rId51" o:title=""/>
            <o:lock v:ext="edit" aspectratio="t"/>
            <w10:wrap type="none"/>
            <w10:anchorlock/>
          </v:shape>
          <o:OLEObject Type="Embed" ProgID="Equation.3" ShapeID="_x0000_i1034" DrawAspect="Content" ObjectID="_1468075734" r:id="rId50">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靠近围护结构处室外 </w:t>
      </w:r>
      <w:r>
        <w:rPr>
          <w:color w:val="000000" w:themeColor="text1"/>
          <w14:textFill>
            <w14:solidFill>
              <w14:schemeClr w14:val="tx1"/>
            </w14:solidFill>
          </w14:textFill>
        </w:rPr>
        <w:t xml:space="preserve">N </w:t>
      </w:r>
      <w:r>
        <w:rPr>
          <w:rFonts w:hint="eastAsia"/>
          <w:color w:val="000000" w:themeColor="text1"/>
          <w14:textFill>
            <w14:solidFill>
              <w14:schemeClr w14:val="tx1"/>
            </w14:solidFill>
          </w14:textFill>
        </w:rPr>
        <w:t>个声源的叠加声压级，</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3F16753D">
      <w:pPr>
        <w:ind w:firstLine="480"/>
        <w:rPr>
          <w:color w:val="000000" w:themeColor="text1"/>
          <w14:textFill>
            <w14:solidFill>
              <w14:schemeClr w14:val="tx1"/>
            </w14:solidFill>
          </w14:textFill>
        </w:rPr>
      </w:pPr>
      <w:r>
        <w:rPr>
          <w:color w:val="000000" w:themeColor="text1"/>
          <w14:textFill>
            <w14:solidFill>
              <w14:schemeClr w14:val="tx1"/>
            </w14:solidFill>
          </w14:textFill>
        </w:rPr>
        <w:t>TL——</w:t>
      </w:r>
      <w:r>
        <w:rPr>
          <w:rFonts w:hint="eastAsia"/>
          <w:color w:val="000000" w:themeColor="text1"/>
          <w14:textFill>
            <w14:solidFill>
              <w14:schemeClr w14:val="tx1"/>
            </w14:solidFill>
          </w14:textFill>
        </w:rPr>
        <w:t>围护结构的隔声量，</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5B9C6C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将室外声级 </w:t>
      </w:r>
      <w:r>
        <w:rPr>
          <w:color w:val="000000" w:themeColor="text1"/>
          <w14:textFill>
            <w14:solidFill>
              <w14:schemeClr w14:val="tx1"/>
            </w14:solidFill>
          </w14:textFill>
        </w:rPr>
        <w:t>Lp2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 xml:space="preserve">）和透声面积换算成等效的室外声源，计算出等效声源的 声功率级 </w:t>
      </w:r>
      <w:r>
        <w:rPr>
          <w:color w:val="000000" w:themeColor="text1"/>
          <w14:textFill>
            <w14:solidFill>
              <w14:schemeClr w14:val="tx1"/>
            </w14:solidFill>
          </w14:textFill>
        </w:rPr>
        <w:t>LW</w:t>
      </w:r>
      <w:r>
        <w:rPr>
          <w:rFonts w:hint="eastAsia"/>
          <w:color w:val="000000" w:themeColor="text1"/>
          <w14:textFill>
            <w14:solidFill>
              <w14:schemeClr w14:val="tx1"/>
            </w14:solidFill>
          </w14:textFill>
        </w:rPr>
        <w:t xml:space="preserve">。 </w:t>
      </w:r>
    </w:p>
    <w:p w14:paraId="1B00B4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等效室外声源的位置为围护结构的位置，其声功率级为 </w:t>
      </w:r>
      <w:r>
        <w:rPr>
          <w:color w:val="000000" w:themeColor="text1"/>
          <w14:textFill>
            <w14:solidFill>
              <w14:schemeClr w14:val="tx1"/>
            </w14:solidFill>
          </w14:textFill>
        </w:rPr>
        <w:t>LW</w:t>
      </w:r>
      <w:r>
        <w:rPr>
          <w:rFonts w:hint="eastAsia"/>
          <w:color w:val="000000" w:themeColor="text1"/>
          <w14:textFill>
            <w14:solidFill>
              <w14:schemeClr w14:val="tx1"/>
            </w14:solidFill>
          </w14:textFill>
        </w:rPr>
        <w:t xml:space="preserve">，由此按室外声源方法计算等效室外声源在预测点产生的 </w:t>
      </w:r>
      <w:r>
        <w:rPr>
          <w:color w:val="000000" w:themeColor="text1"/>
          <w14:textFill>
            <w14:solidFill>
              <w14:schemeClr w14:val="tx1"/>
            </w14:solidFill>
          </w14:textFill>
        </w:rPr>
        <w:t xml:space="preserve">A </w:t>
      </w:r>
      <w:r>
        <w:rPr>
          <w:rFonts w:hint="eastAsia"/>
          <w:color w:val="000000" w:themeColor="text1"/>
          <w14:textFill>
            <w14:solidFill>
              <w14:schemeClr w14:val="tx1"/>
            </w14:solidFill>
          </w14:textFill>
        </w:rPr>
        <w:t xml:space="preserve">声级。 </w:t>
      </w:r>
    </w:p>
    <w:p w14:paraId="0513ECA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（2）室外声源 </w:t>
      </w:r>
    </w:p>
    <w:p w14:paraId="686AF4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计算某个声源在预测点的声压级</w:t>
      </w:r>
    </w:p>
    <w:p w14:paraId="6A42E04B">
      <w:pPr>
        <w:ind w:firstLine="48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5" o:spt="75" type="#_x0000_t75" style="height:21.45pt;width:78.9pt;" o:ole="t" filled="f" o:preferrelative="t" stroked="f" coordsize="21600,21600">
            <v:path/>
            <v:fill on="f" focussize="0,0"/>
            <v:stroke on="f" joinstyle="miter"/>
            <v:imagedata r:id="rId53" o:title=""/>
            <o:lock v:ext="edit" aspectratio="t"/>
            <w10:wrap type="none"/>
            <w10:anchorlock/>
          </v:shape>
          <o:OLEObject Type="Embed" ProgID="Equation.3" ShapeID="_x0000_i1035" DrawAspect="Content" ObjectID="_1468075735" r:id="rId52">
            <o:LockedField>false</o:LockedField>
          </o:OLEObject>
        </w:object>
      </w:r>
    </w:p>
    <w:p w14:paraId="22A37FE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式中： </w:t>
      </w:r>
    </w:p>
    <w:p w14:paraId="756F8967">
      <w:pPr>
        <w:ind w:firstLine="480"/>
        <w:rPr>
          <w:color w:val="000000" w:themeColor="text1"/>
          <w14:textFill>
            <w14:solidFill>
              <w14:schemeClr w14:val="tx1"/>
            </w14:solidFill>
          </w14:textFill>
        </w:rPr>
      </w:pPr>
      <w:r>
        <w:rPr>
          <w:color w:val="000000" w:themeColor="text1"/>
          <w:position w:val="-10"/>
          <w14:textFill>
            <w14:solidFill>
              <w14:schemeClr w14:val="tx1"/>
            </w14:solidFill>
          </w14:textFill>
        </w:rPr>
        <w:object>
          <v:shape id="_x0000_i1036" o:spt="75" type="#_x0000_t75" style="height:14.55pt;width:21.45pt;" o:ole="t" filled="f" o:preferrelative="t" stroked="f" coordsize="21600,21600">
            <v:path/>
            <v:fill on="f" focussize="0,0"/>
            <v:stroke on="f" joinstyle="miter"/>
            <v:imagedata r:id="rId55" o:title=""/>
            <o:lock v:ext="edit" aspectratio="t"/>
            <w10:wrap type="none"/>
            <w10:anchorlock/>
          </v:shape>
          <o:OLEObject Type="Embed" ProgID="Equation.3" ShapeID="_x0000_i1036" DrawAspect="Content" ObjectID="_1468075736" r:id="rId54">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点声源在预测点产生的声压级，</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52F71A3F">
      <w:pPr>
        <w:ind w:firstLine="48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7" o:spt="75" type="#_x0000_t75" style="height:21.45pt;width:29.1pt;" o:ole="t" filled="f" o:preferrelative="t" stroked="f" coordsize="21600,21600">
            <v:path/>
            <v:fill on="f" focussize="0,0"/>
            <v:stroke on="f" joinstyle="miter"/>
            <v:imagedata r:id="rId57" o:title=""/>
            <o:lock v:ext="edit" aspectratio="t"/>
            <w10:wrap type="none"/>
            <w10:anchorlock/>
          </v:shape>
          <o:OLEObject Type="Embed" ProgID="Equation.3" ShapeID="_x0000_i1037" DrawAspect="Content" ObjectID="_1468075737" r:id="rId56">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参考位置 </w:t>
      </w:r>
      <w:r>
        <w:rPr>
          <w:color w:val="000000" w:themeColor="text1"/>
          <w14:textFill>
            <w14:solidFill>
              <w14:schemeClr w14:val="tx1"/>
            </w14:solidFill>
          </w14:textFill>
        </w:rPr>
        <w:t xml:space="preserve">r0 </w:t>
      </w:r>
      <w:r>
        <w:rPr>
          <w:rFonts w:hint="eastAsia"/>
          <w:color w:val="000000" w:themeColor="text1"/>
          <w14:textFill>
            <w14:solidFill>
              <w14:schemeClr w14:val="tx1"/>
            </w14:solidFill>
          </w14:textFill>
        </w:rPr>
        <w:t>处的声压级，</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p>
    <w:p w14:paraId="6CB6B707">
      <w:pPr>
        <w:ind w:firstLine="480"/>
        <w:rPr>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 xml:space="preserve">； </w:t>
      </w:r>
    </w:p>
    <w:p w14:paraId="38988712">
      <w:pPr>
        <w:ind w:firstLine="48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8" o:spt="75" type="#_x0000_t75" style="height:21.45pt;width:14.55pt;" o:ole="t" filled="f" o:preferrelative="t" stroked="f" coordsize="21600,21600">
            <v:path/>
            <v:fill on="f" focussize="0,0"/>
            <v:stroke on="f" joinstyle="miter"/>
            <v:imagedata r:id="rId59" o:title=""/>
            <o:lock v:ext="edit" aspectratio="t"/>
            <w10:wrap type="none"/>
            <w10:anchorlock/>
          </v:shape>
          <o:OLEObject Type="Embed" ProgID="Equation.3" ShapeID="_x0000_i1038" DrawAspect="Content" ObjectID="_1468075738" r:id="rId58">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 xml:space="preserve">； </w:t>
      </w:r>
    </w:p>
    <w:p w14:paraId="4E829D5F">
      <w:pPr>
        <w:ind w:firstLine="48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各种因素引起的衰减量（包括几何发散衰减、声屏障衰减，其计算方法详见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导则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正文）。 </w:t>
      </w:r>
    </w:p>
    <w:p w14:paraId="03DC2B9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（3）噪声贡献值</w:t>
      </w:r>
    </w:p>
    <w:p w14:paraId="30801C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LAi</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ti</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个等效室外声源在预测点产生的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LAj</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tj</w:t>
      </w:r>
      <w:r>
        <w:rPr>
          <w:rFonts w:hint="eastAsia"/>
          <w:color w:val="000000" w:themeColor="text1"/>
          <w14:textFill>
            <w14:solidFill>
              <w14:schemeClr w14:val="tx1"/>
            </w14:solidFill>
          </w14:textFill>
        </w:rPr>
        <w:t>，则项目声源对预测点产生的贡献值（</w:t>
      </w:r>
      <w:r>
        <w:rPr>
          <w:color w:val="000000" w:themeColor="text1"/>
          <w14:textFill>
            <w14:solidFill>
              <w14:schemeClr w14:val="tx1"/>
            </w14:solidFill>
          </w14:textFill>
        </w:rPr>
        <w:t>Leqg</w:t>
      </w:r>
      <w:r>
        <w:rPr>
          <w:rFonts w:hint="eastAsia"/>
          <w:color w:val="000000" w:themeColor="text1"/>
          <w14:textFill>
            <w14:solidFill>
              <w14:schemeClr w14:val="tx1"/>
            </w14:solidFill>
          </w14:textFill>
        </w:rPr>
        <w:t xml:space="preserve">）为： </w:t>
      </w:r>
    </w:p>
    <w:p w14:paraId="3DCA08B7">
      <w:pPr>
        <w:ind w:firstLine="480"/>
        <w:rPr>
          <w:color w:val="000000" w:themeColor="text1"/>
          <w14:textFill>
            <w14:solidFill>
              <w14:schemeClr w14:val="tx1"/>
            </w14:solidFill>
          </w14:textFill>
        </w:rPr>
      </w:pPr>
      <w:r>
        <w:rPr>
          <w:rFonts w:hint="eastAsia"/>
          <w:color w:val="000000" w:themeColor="text1"/>
          <w:position w:val="-34"/>
          <w14:textFill>
            <w14:solidFill>
              <w14:schemeClr w14:val="tx1"/>
            </w14:solidFill>
          </w14:textFill>
        </w:rPr>
        <w:object>
          <v:shape id="_x0000_i1039" o:spt="75" type="#_x0000_t75" style="height:36pt;width:201.45pt;" o:ole="t" filled="f" o:preferrelative="t" stroked="f" coordsize="21600,21600">
            <v:path/>
            <v:fill on="f" focussize="0,0"/>
            <v:stroke on="f" joinstyle="miter"/>
            <v:imagedata r:id="rId61" o:title=""/>
            <o:lock v:ext="edit" aspectratio="t"/>
            <w10:wrap type="none"/>
            <w10:anchorlock/>
          </v:shape>
          <o:OLEObject Type="Embed" ProgID="Equation.3" ShapeID="_x0000_i1039" DrawAspect="Content" ObjectID="_1468075739" r:id="rId60">
            <o:LockedField>false</o:LockedField>
          </o:OLEObject>
        </w:object>
      </w:r>
    </w:p>
    <w:p w14:paraId="0ABD396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tj——</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声源工作时间，</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 xml:space="preserve">； </w:t>
      </w:r>
    </w:p>
    <w:p w14:paraId="18503E53">
      <w:pPr>
        <w:ind w:firstLine="480"/>
        <w:rPr>
          <w:color w:val="000000" w:themeColor="text1"/>
          <w14:textFill>
            <w14:solidFill>
              <w14:schemeClr w14:val="tx1"/>
            </w14:solidFill>
          </w14:textFill>
        </w:rPr>
      </w:pPr>
      <w:r>
        <w:rPr>
          <w:color w:val="000000" w:themeColor="text1"/>
          <w14:textFill>
            <w14:solidFill>
              <w14:schemeClr w14:val="tx1"/>
            </w14:solidFill>
          </w14:textFill>
        </w:rPr>
        <w:t>ti——</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声源工作时间，</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 xml:space="preserve">； </w:t>
      </w:r>
    </w:p>
    <w:p w14:paraId="5973AD13">
      <w:pPr>
        <w:ind w:firstLine="480"/>
        <w:rPr>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用于计算等效声级的时间，</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 xml:space="preserve">； </w:t>
      </w:r>
    </w:p>
    <w:p w14:paraId="45C39136">
      <w:pPr>
        <w:ind w:firstLine="480"/>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 xml:space="preserve">室外声源个数； </w:t>
      </w:r>
    </w:p>
    <w:p w14:paraId="7AA6A040">
      <w:pPr>
        <w:ind w:firstLine="480"/>
        <w:rPr>
          <w:color w:val="000000" w:themeColor="text1"/>
          <w14:textFill>
            <w14:solidFill>
              <w14:schemeClr w14:val="tx1"/>
            </w14:solidFill>
          </w14:textFill>
        </w:rPr>
      </w:pPr>
      <w:r>
        <w:rPr>
          <w:color w:val="000000" w:themeColor="text1"/>
          <w14:textFill>
            <w14:solidFill>
              <w14:schemeClr w14:val="tx1"/>
            </w14:solidFill>
          </w14:textFill>
        </w:rPr>
        <w:t>M——</w:t>
      </w:r>
      <w:r>
        <w:rPr>
          <w:rFonts w:hint="eastAsia"/>
          <w:color w:val="000000" w:themeColor="text1"/>
          <w14:textFill>
            <w14:solidFill>
              <w14:schemeClr w14:val="tx1"/>
            </w14:solidFill>
          </w14:textFill>
        </w:rPr>
        <w:t>等效室外声源个数。</w:t>
      </w:r>
    </w:p>
    <w:p w14:paraId="655EBD1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4、预测结果</w:t>
      </w:r>
    </w:p>
    <w:p w14:paraId="7E8845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根据本项目噪声源有关参数及减噪措施，考虑各项减噪措施、厂房阻隔和距离衰减后得到各噪声到达厂界的衰减值，项目噪声影响预测结果见下表。</w:t>
      </w:r>
    </w:p>
    <w:p w14:paraId="4CD6007E">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5.2-19</w:t>
      </w:r>
      <w:r>
        <w:rPr>
          <w:color w:val="000000" w:themeColor="text1"/>
          <w14:textFill>
            <w14:solidFill>
              <w14:schemeClr w14:val="tx1"/>
            </w14:solidFill>
          </w14:textFill>
        </w:rPr>
        <w:t xml:space="preserve">  项目</w:t>
      </w:r>
      <w:r>
        <w:rPr>
          <w:rFonts w:hint="eastAsia"/>
          <w:color w:val="000000" w:themeColor="text1"/>
          <w14:textFill>
            <w14:solidFill>
              <w14:schemeClr w14:val="tx1"/>
            </w14:solidFill>
          </w14:textFill>
        </w:rPr>
        <w:t>厂界</w:t>
      </w:r>
      <w:r>
        <w:rPr>
          <w:color w:val="000000" w:themeColor="text1"/>
          <w14:textFill>
            <w14:solidFill>
              <w14:schemeClr w14:val="tx1"/>
            </w14:solidFill>
          </w14:textFill>
        </w:rPr>
        <w:t>噪声影响预测</w:t>
      </w:r>
      <w:r>
        <w:rPr>
          <w:rFonts w:hint="eastAsia"/>
          <w:color w:val="000000" w:themeColor="text1"/>
          <w14:textFill>
            <w14:solidFill>
              <w14:schemeClr w14:val="tx1"/>
            </w14:solidFill>
          </w14:textFill>
        </w:rPr>
        <w:t>结果与达标分析表</w:t>
      </w:r>
      <w:r>
        <w:rPr>
          <w:color w:val="000000" w:themeColor="text1"/>
          <w14:textFill>
            <w14:solidFill>
              <w14:schemeClr w14:val="tx1"/>
            </w14:solidFill>
          </w14:textFill>
        </w:rPr>
        <w:t xml:space="preserve"> 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333"/>
        <w:gridCol w:w="1086"/>
        <w:gridCol w:w="1088"/>
        <w:gridCol w:w="1002"/>
        <w:gridCol w:w="1002"/>
        <w:gridCol w:w="1003"/>
        <w:gridCol w:w="1003"/>
      </w:tblGrid>
      <w:tr w14:paraId="1202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Merge w:val="restart"/>
            <w:vAlign w:val="center"/>
          </w:tcPr>
          <w:p w14:paraId="48DDC401">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82" w:type="pct"/>
            <w:vMerge w:val="restart"/>
            <w:vAlign w:val="center"/>
          </w:tcPr>
          <w:p w14:paraId="7EB53938">
            <w:pPr>
              <w:pStyle w:val="28"/>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1275" w:type="pct"/>
            <w:gridSpan w:val="2"/>
            <w:vAlign w:val="center"/>
          </w:tcPr>
          <w:p w14:paraId="6CDEA473">
            <w:pPr>
              <w:pStyle w:val="28"/>
              <w:rPr>
                <w:color w:val="000000" w:themeColor="text1"/>
                <w14:textFill>
                  <w14:solidFill>
                    <w14:schemeClr w14:val="tx1"/>
                  </w14:solidFill>
                </w14:textFill>
              </w:rPr>
            </w:pPr>
            <w:r>
              <w:rPr>
                <w:color w:val="000000" w:themeColor="text1"/>
                <w14:textFill>
                  <w14:solidFill>
                    <w14:schemeClr w14:val="tx1"/>
                  </w14:solidFill>
                </w14:textFill>
              </w:rPr>
              <w:t>噪声贡献值</w:t>
            </w:r>
          </w:p>
        </w:tc>
        <w:tc>
          <w:tcPr>
            <w:tcW w:w="1176" w:type="pct"/>
            <w:gridSpan w:val="2"/>
            <w:vAlign w:val="center"/>
          </w:tcPr>
          <w:p w14:paraId="2523A0C4">
            <w:pPr>
              <w:pStyle w:val="28"/>
              <w:rPr>
                <w:color w:val="000000" w:themeColor="text1"/>
                <w14:textFill>
                  <w14:solidFill>
                    <w14:schemeClr w14:val="tx1"/>
                  </w14:solidFill>
                </w14:textFill>
              </w:rPr>
            </w:pPr>
            <w:r>
              <w:rPr>
                <w:color w:val="000000" w:themeColor="text1"/>
                <w14:textFill>
                  <w14:solidFill>
                    <w14:schemeClr w14:val="tx1"/>
                  </w14:solidFill>
                </w14:textFill>
              </w:rPr>
              <w:t>噪声标准值</w:t>
            </w:r>
          </w:p>
        </w:tc>
        <w:tc>
          <w:tcPr>
            <w:tcW w:w="1176" w:type="pct"/>
            <w:gridSpan w:val="2"/>
            <w:vAlign w:val="center"/>
          </w:tcPr>
          <w:p w14:paraId="62DB4C14">
            <w:pPr>
              <w:pStyle w:val="28"/>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5A37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Merge w:val="continue"/>
            <w:vAlign w:val="center"/>
          </w:tcPr>
          <w:p w14:paraId="056A066E">
            <w:pPr>
              <w:pStyle w:val="28"/>
              <w:rPr>
                <w:color w:val="000000" w:themeColor="text1"/>
                <w14:textFill>
                  <w14:solidFill>
                    <w14:schemeClr w14:val="tx1"/>
                  </w14:solidFill>
                </w14:textFill>
              </w:rPr>
            </w:pPr>
          </w:p>
        </w:tc>
        <w:tc>
          <w:tcPr>
            <w:tcW w:w="782" w:type="pct"/>
            <w:vMerge w:val="continue"/>
            <w:vAlign w:val="center"/>
          </w:tcPr>
          <w:p w14:paraId="4F855DBC">
            <w:pPr>
              <w:pStyle w:val="28"/>
              <w:rPr>
                <w:color w:val="000000" w:themeColor="text1"/>
                <w14:textFill>
                  <w14:solidFill>
                    <w14:schemeClr w14:val="tx1"/>
                  </w14:solidFill>
                </w14:textFill>
              </w:rPr>
            </w:pPr>
          </w:p>
        </w:tc>
        <w:tc>
          <w:tcPr>
            <w:tcW w:w="637" w:type="pct"/>
            <w:shd w:val="clear" w:color="auto" w:fill="auto"/>
            <w:vAlign w:val="center"/>
          </w:tcPr>
          <w:p w14:paraId="6548CF99">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637" w:type="pct"/>
            <w:shd w:val="clear" w:color="auto" w:fill="auto"/>
            <w:vAlign w:val="center"/>
          </w:tcPr>
          <w:p w14:paraId="355104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588" w:type="pct"/>
            <w:vAlign w:val="center"/>
          </w:tcPr>
          <w:p w14:paraId="5BF51B49">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588" w:type="pct"/>
            <w:vAlign w:val="center"/>
          </w:tcPr>
          <w:p w14:paraId="6524AD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588" w:type="pct"/>
            <w:shd w:val="clear" w:color="auto" w:fill="auto"/>
            <w:vAlign w:val="center"/>
          </w:tcPr>
          <w:p w14:paraId="4B1E1A6B">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588" w:type="pct"/>
            <w:shd w:val="clear" w:color="auto" w:fill="auto"/>
            <w:vAlign w:val="center"/>
          </w:tcPr>
          <w:p w14:paraId="5CE863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1ECC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10361674">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782" w:type="pct"/>
            <w:vAlign w:val="center"/>
          </w:tcPr>
          <w:p w14:paraId="06082AB3">
            <w:pPr>
              <w:pStyle w:val="28"/>
              <w:rPr>
                <w:color w:val="000000" w:themeColor="text1"/>
                <w14:textFill>
                  <w14:solidFill>
                    <w14:schemeClr w14:val="tx1"/>
                  </w14:solidFill>
                </w14:textFill>
              </w:rPr>
            </w:pPr>
            <w:r>
              <w:rPr>
                <w:color w:val="000000" w:themeColor="text1"/>
                <w14:textFill>
                  <w14:solidFill>
                    <w14:schemeClr w14:val="tx1"/>
                  </w14:solidFill>
                </w14:textFill>
              </w:rPr>
              <w:t>厂界东</w:t>
            </w:r>
          </w:p>
        </w:tc>
        <w:tc>
          <w:tcPr>
            <w:tcW w:w="637" w:type="pct"/>
            <w:shd w:val="clear" w:color="auto" w:fill="auto"/>
            <w:vAlign w:val="center"/>
          </w:tcPr>
          <w:p w14:paraId="4EB38C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30.36</w:t>
            </w:r>
          </w:p>
        </w:tc>
        <w:tc>
          <w:tcPr>
            <w:tcW w:w="637" w:type="pct"/>
            <w:shd w:val="clear" w:color="auto" w:fill="auto"/>
            <w:vAlign w:val="center"/>
          </w:tcPr>
          <w:p w14:paraId="591419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30.36</w:t>
            </w:r>
          </w:p>
        </w:tc>
        <w:tc>
          <w:tcPr>
            <w:tcW w:w="588" w:type="pct"/>
            <w:vAlign w:val="center"/>
          </w:tcPr>
          <w:p w14:paraId="3A5416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588" w:type="pct"/>
            <w:vAlign w:val="center"/>
          </w:tcPr>
          <w:p w14:paraId="46E4E2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588" w:type="pct"/>
            <w:vAlign w:val="center"/>
          </w:tcPr>
          <w:p w14:paraId="55C0A4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8" w:type="pct"/>
            <w:shd w:val="clear" w:color="auto" w:fill="auto"/>
            <w:vAlign w:val="center"/>
          </w:tcPr>
          <w:p w14:paraId="5A6CE6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73A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1C3D49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82" w:type="pct"/>
            <w:vAlign w:val="center"/>
          </w:tcPr>
          <w:p w14:paraId="762CC811">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南</w:t>
            </w:r>
          </w:p>
        </w:tc>
        <w:tc>
          <w:tcPr>
            <w:tcW w:w="637" w:type="pct"/>
            <w:shd w:val="clear" w:color="auto" w:fill="auto"/>
            <w:vAlign w:val="center"/>
          </w:tcPr>
          <w:p w14:paraId="0FCE26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19.96</w:t>
            </w:r>
          </w:p>
        </w:tc>
        <w:tc>
          <w:tcPr>
            <w:tcW w:w="637" w:type="pct"/>
            <w:shd w:val="clear" w:color="auto" w:fill="auto"/>
            <w:vAlign w:val="center"/>
          </w:tcPr>
          <w:p w14:paraId="72B893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19.96</w:t>
            </w:r>
          </w:p>
        </w:tc>
        <w:tc>
          <w:tcPr>
            <w:tcW w:w="588" w:type="pct"/>
            <w:vAlign w:val="center"/>
          </w:tcPr>
          <w:p w14:paraId="3AE28F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588" w:type="pct"/>
            <w:vAlign w:val="center"/>
          </w:tcPr>
          <w:p w14:paraId="20A865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588" w:type="pct"/>
            <w:vAlign w:val="center"/>
          </w:tcPr>
          <w:p w14:paraId="774E12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8" w:type="pct"/>
            <w:shd w:val="clear" w:color="auto" w:fill="auto"/>
            <w:vAlign w:val="center"/>
          </w:tcPr>
          <w:p w14:paraId="0937A8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D0F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54E452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82" w:type="pct"/>
            <w:vAlign w:val="center"/>
          </w:tcPr>
          <w:p w14:paraId="564A8BC5">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西</w:t>
            </w:r>
          </w:p>
        </w:tc>
        <w:tc>
          <w:tcPr>
            <w:tcW w:w="637" w:type="pct"/>
            <w:shd w:val="clear" w:color="auto" w:fill="auto"/>
            <w:vAlign w:val="center"/>
          </w:tcPr>
          <w:p w14:paraId="58F75E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48.35</w:t>
            </w:r>
          </w:p>
        </w:tc>
        <w:tc>
          <w:tcPr>
            <w:tcW w:w="637" w:type="pct"/>
            <w:shd w:val="clear" w:color="auto" w:fill="auto"/>
            <w:vAlign w:val="center"/>
          </w:tcPr>
          <w:p w14:paraId="24EC10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48.35</w:t>
            </w:r>
          </w:p>
        </w:tc>
        <w:tc>
          <w:tcPr>
            <w:tcW w:w="588" w:type="pct"/>
            <w:vAlign w:val="center"/>
          </w:tcPr>
          <w:p w14:paraId="076F228A">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588" w:type="pct"/>
            <w:vAlign w:val="center"/>
          </w:tcPr>
          <w:p w14:paraId="4D8CCB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588" w:type="pct"/>
            <w:vAlign w:val="center"/>
          </w:tcPr>
          <w:p w14:paraId="2D78C5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8" w:type="pct"/>
            <w:shd w:val="clear" w:color="auto" w:fill="auto"/>
            <w:vAlign w:val="center"/>
          </w:tcPr>
          <w:p w14:paraId="0D3032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49E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162CA3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82" w:type="pct"/>
            <w:vAlign w:val="center"/>
          </w:tcPr>
          <w:p w14:paraId="49892E08">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北</w:t>
            </w:r>
          </w:p>
        </w:tc>
        <w:tc>
          <w:tcPr>
            <w:tcW w:w="637" w:type="pct"/>
            <w:shd w:val="clear" w:color="auto" w:fill="auto"/>
            <w:vAlign w:val="center"/>
          </w:tcPr>
          <w:p w14:paraId="4E3011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42.46</w:t>
            </w:r>
          </w:p>
        </w:tc>
        <w:tc>
          <w:tcPr>
            <w:tcW w:w="637" w:type="pct"/>
            <w:shd w:val="clear" w:color="auto" w:fill="auto"/>
            <w:vAlign w:val="center"/>
          </w:tcPr>
          <w:p w14:paraId="251AAF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42.46</w:t>
            </w:r>
          </w:p>
        </w:tc>
        <w:tc>
          <w:tcPr>
            <w:tcW w:w="588" w:type="pct"/>
            <w:vAlign w:val="center"/>
          </w:tcPr>
          <w:p w14:paraId="1C192F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588" w:type="pct"/>
            <w:vAlign w:val="center"/>
          </w:tcPr>
          <w:p w14:paraId="0D38A6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588" w:type="pct"/>
            <w:vAlign w:val="center"/>
          </w:tcPr>
          <w:p w14:paraId="516568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8" w:type="pct"/>
            <w:shd w:val="clear" w:color="auto" w:fill="auto"/>
            <w:vAlign w:val="center"/>
          </w:tcPr>
          <w:p w14:paraId="3A608A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55D54E6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表5.2-20  项目租用厂区边界噪声影响预测结果与达标分析表 单位：dB（A）</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905"/>
        <w:gridCol w:w="679"/>
        <w:gridCol w:w="680"/>
        <w:gridCol w:w="736"/>
        <w:gridCol w:w="738"/>
        <w:gridCol w:w="689"/>
        <w:gridCol w:w="690"/>
        <w:gridCol w:w="679"/>
        <w:gridCol w:w="682"/>
        <w:gridCol w:w="679"/>
        <w:gridCol w:w="682"/>
      </w:tblGrid>
      <w:tr w14:paraId="0AE2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14:paraId="7A4EEF51">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31" w:type="pct"/>
            <w:vMerge w:val="restart"/>
            <w:vAlign w:val="center"/>
          </w:tcPr>
          <w:p w14:paraId="7040300F">
            <w:pPr>
              <w:pStyle w:val="28"/>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797" w:type="pct"/>
            <w:gridSpan w:val="2"/>
            <w:vAlign w:val="center"/>
          </w:tcPr>
          <w:p w14:paraId="2C00E4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噪声背景值</w:t>
            </w:r>
          </w:p>
        </w:tc>
        <w:tc>
          <w:tcPr>
            <w:tcW w:w="865" w:type="pct"/>
            <w:gridSpan w:val="2"/>
            <w:vAlign w:val="center"/>
          </w:tcPr>
          <w:p w14:paraId="34AE7D29">
            <w:pPr>
              <w:pStyle w:val="28"/>
              <w:rPr>
                <w:color w:val="000000" w:themeColor="text1"/>
                <w14:textFill>
                  <w14:solidFill>
                    <w14:schemeClr w14:val="tx1"/>
                  </w14:solidFill>
                </w14:textFill>
              </w:rPr>
            </w:pPr>
            <w:r>
              <w:rPr>
                <w:color w:val="000000" w:themeColor="text1"/>
                <w14:textFill>
                  <w14:solidFill>
                    <w14:schemeClr w14:val="tx1"/>
                  </w14:solidFill>
                </w14:textFill>
              </w:rPr>
              <w:t>噪声贡献值</w:t>
            </w:r>
          </w:p>
        </w:tc>
        <w:tc>
          <w:tcPr>
            <w:tcW w:w="809" w:type="pct"/>
            <w:gridSpan w:val="2"/>
            <w:shd w:val="clear" w:color="auto" w:fill="auto"/>
            <w:vAlign w:val="center"/>
          </w:tcPr>
          <w:p w14:paraId="5BD5E0E2">
            <w:pPr>
              <w:pStyle w:val="28"/>
              <w:rPr>
                <w:color w:val="000000" w:themeColor="text1"/>
                <w14:textFill>
                  <w14:solidFill>
                    <w14:schemeClr w14:val="tx1"/>
                  </w14:solidFill>
                </w14:textFill>
              </w:rPr>
            </w:pP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预测</w:t>
            </w:r>
            <w:r>
              <w:rPr>
                <w:color w:val="000000" w:themeColor="text1"/>
                <w14:textFill>
                  <w14:solidFill>
                    <w14:schemeClr w14:val="tx1"/>
                  </w14:solidFill>
                </w14:textFill>
              </w:rPr>
              <w:t>值</w:t>
            </w:r>
          </w:p>
        </w:tc>
        <w:tc>
          <w:tcPr>
            <w:tcW w:w="798" w:type="pct"/>
            <w:gridSpan w:val="2"/>
            <w:vAlign w:val="center"/>
          </w:tcPr>
          <w:p w14:paraId="60BDD5B4">
            <w:pPr>
              <w:pStyle w:val="28"/>
              <w:rPr>
                <w:color w:val="000000" w:themeColor="text1"/>
                <w14:textFill>
                  <w14:solidFill>
                    <w14:schemeClr w14:val="tx1"/>
                  </w14:solidFill>
                </w14:textFill>
              </w:rPr>
            </w:pPr>
            <w:r>
              <w:rPr>
                <w:color w:val="000000" w:themeColor="text1"/>
                <w14:textFill>
                  <w14:solidFill>
                    <w14:schemeClr w14:val="tx1"/>
                  </w14:solidFill>
                </w14:textFill>
              </w:rPr>
              <w:t>噪声标准值</w:t>
            </w:r>
          </w:p>
        </w:tc>
        <w:tc>
          <w:tcPr>
            <w:tcW w:w="798" w:type="pct"/>
            <w:gridSpan w:val="2"/>
            <w:vAlign w:val="center"/>
          </w:tcPr>
          <w:p w14:paraId="56E05208">
            <w:pPr>
              <w:pStyle w:val="28"/>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536B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14:paraId="70123C27">
            <w:pPr>
              <w:pStyle w:val="28"/>
              <w:rPr>
                <w:color w:val="000000" w:themeColor="text1"/>
                <w14:textFill>
                  <w14:solidFill>
                    <w14:schemeClr w14:val="tx1"/>
                  </w14:solidFill>
                </w14:textFill>
              </w:rPr>
            </w:pPr>
          </w:p>
        </w:tc>
        <w:tc>
          <w:tcPr>
            <w:tcW w:w="531" w:type="pct"/>
            <w:vMerge w:val="continue"/>
            <w:vAlign w:val="center"/>
          </w:tcPr>
          <w:p w14:paraId="71C6FE42">
            <w:pPr>
              <w:pStyle w:val="28"/>
              <w:rPr>
                <w:color w:val="000000" w:themeColor="text1"/>
                <w14:textFill>
                  <w14:solidFill>
                    <w14:schemeClr w14:val="tx1"/>
                  </w14:solidFill>
                </w14:textFill>
              </w:rPr>
            </w:pPr>
          </w:p>
        </w:tc>
        <w:tc>
          <w:tcPr>
            <w:tcW w:w="398" w:type="pct"/>
            <w:shd w:val="clear" w:color="auto" w:fill="auto"/>
            <w:vAlign w:val="center"/>
          </w:tcPr>
          <w:p w14:paraId="11A3BC2F">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99" w:type="pct"/>
            <w:shd w:val="clear" w:color="auto" w:fill="auto"/>
            <w:vAlign w:val="center"/>
          </w:tcPr>
          <w:p w14:paraId="358FB8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432" w:type="pct"/>
            <w:shd w:val="clear" w:color="auto" w:fill="auto"/>
            <w:vAlign w:val="center"/>
          </w:tcPr>
          <w:p w14:paraId="4F1DB301">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33" w:type="pct"/>
            <w:shd w:val="clear" w:color="auto" w:fill="auto"/>
            <w:vAlign w:val="center"/>
          </w:tcPr>
          <w:p w14:paraId="69E52E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404" w:type="pct"/>
            <w:shd w:val="clear" w:color="auto" w:fill="auto"/>
            <w:vAlign w:val="center"/>
          </w:tcPr>
          <w:p w14:paraId="5FEBB5DD">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05" w:type="pct"/>
            <w:shd w:val="clear" w:color="auto" w:fill="auto"/>
            <w:vAlign w:val="center"/>
          </w:tcPr>
          <w:p w14:paraId="7DD77B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398" w:type="pct"/>
            <w:vAlign w:val="center"/>
          </w:tcPr>
          <w:p w14:paraId="45DE5E39">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00" w:type="pct"/>
            <w:vAlign w:val="center"/>
          </w:tcPr>
          <w:p w14:paraId="67B135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398" w:type="pct"/>
            <w:shd w:val="clear" w:color="auto" w:fill="auto"/>
            <w:vAlign w:val="center"/>
          </w:tcPr>
          <w:p w14:paraId="31690A9D">
            <w:pPr>
              <w:pStyle w:val="2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00" w:type="pct"/>
            <w:shd w:val="clear" w:color="auto" w:fill="auto"/>
            <w:vAlign w:val="center"/>
          </w:tcPr>
          <w:p w14:paraId="406CE0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6472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575CE943">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531" w:type="pct"/>
            <w:vAlign w:val="center"/>
          </w:tcPr>
          <w:p w14:paraId="7E696BDE">
            <w:pPr>
              <w:pStyle w:val="28"/>
              <w:rPr>
                <w:color w:val="000000" w:themeColor="text1"/>
                <w14:textFill>
                  <w14:solidFill>
                    <w14:schemeClr w14:val="tx1"/>
                  </w14:solidFill>
                </w14:textFill>
              </w:rPr>
            </w:pPr>
            <w:r>
              <w:rPr>
                <w:color w:val="000000" w:themeColor="text1"/>
                <w14:textFill>
                  <w14:solidFill>
                    <w14:schemeClr w14:val="tx1"/>
                  </w14:solidFill>
                </w14:textFill>
              </w:rPr>
              <w:t>厂界东</w:t>
            </w:r>
          </w:p>
        </w:tc>
        <w:tc>
          <w:tcPr>
            <w:tcW w:w="398" w:type="pct"/>
            <w:shd w:val="clear" w:color="auto" w:fill="auto"/>
            <w:vAlign w:val="center"/>
          </w:tcPr>
          <w:p w14:paraId="12C401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399" w:type="pct"/>
            <w:shd w:val="clear" w:color="auto" w:fill="auto"/>
            <w:vAlign w:val="center"/>
          </w:tcPr>
          <w:p w14:paraId="2F1F69C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432" w:type="pct"/>
            <w:shd w:val="clear" w:color="auto" w:fill="auto"/>
            <w:vAlign w:val="center"/>
          </w:tcPr>
          <w:p w14:paraId="364375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27.4</w:t>
            </w:r>
          </w:p>
        </w:tc>
        <w:tc>
          <w:tcPr>
            <w:tcW w:w="433" w:type="pct"/>
            <w:shd w:val="clear" w:color="auto" w:fill="auto"/>
            <w:vAlign w:val="center"/>
          </w:tcPr>
          <w:p w14:paraId="7719E8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27.4</w:t>
            </w:r>
          </w:p>
        </w:tc>
        <w:tc>
          <w:tcPr>
            <w:tcW w:w="404" w:type="pct"/>
            <w:vAlign w:val="center"/>
          </w:tcPr>
          <w:p w14:paraId="168546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45.3</w:t>
            </w:r>
          </w:p>
        </w:tc>
        <w:tc>
          <w:tcPr>
            <w:tcW w:w="405" w:type="pct"/>
            <w:vAlign w:val="center"/>
          </w:tcPr>
          <w:p w14:paraId="247F57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33.2</w:t>
            </w:r>
          </w:p>
        </w:tc>
        <w:tc>
          <w:tcPr>
            <w:tcW w:w="398" w:type="pct"/>
            <w:vAlign w:val="center"/>
          </w:tcPr>
          <w:p w14:paraId="080400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400" w:type="pct"/>
            <w:vAlign w:val="center"/>
          </w:tcPr>
          <w:p w14:paraId="04719A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398" w:type="pct"/>
            <w:vAlign w:val="center"/>
          </w:tcPr>
          <w:p w14:paraId="003D8E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00" w:type="pct"/>
            <w:shd w:val="clear" w:color="auto" w:fill="auto"/>
            <w:vAlign w:val="center"/>
          </w:tcPr>
          <w:p w14:paraId="4C60C9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380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3DA0AB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31" w:type="pct"/>
            <w:vAlign w:val="center"/>
          </w:tcPr>
          <w:p w14:paraId="0923A98F">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南</w:t>
            </w:r>
          </w:p>
        </w:tc>
        <w:tc>
          <w:tcPr>
            <w:tcW w:w="398" w:type="pct"/>
            <w:shd w:val="clear" w:color="auto" w:fill="auto"/>
            <w:vAlign w:val="center"/>
          </w:tcPr>
          <w:p w14:paraId="5319CC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399" w:type="pct"/>
            <w:shd w:val="clear" w:color="auto" w:fill="auto"/>
            <w:vAlign w:val="center"/>
          </w:tcPr>
          <w:p w14:paraId="4BC5FB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432" w:type="pct"/>
            <w:shd w:val="clear" w:color="auto" w:fill="auto"/>
            <w:vAlign w:val="center"/>
          </w:tcPr>
          <w:p w14:paraId="609268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19.93</w:t>
            </w:r>
          </w:p>
        </w:tc>
        <w:tc>
          <w:tcPr>
            <w:tcW w:w="433" w:type="pct"/>
            <w:shd w:val="clear" w:color="auto" w:fill="auto"/>
            <w:vAlign w:val="center"/>
          </w:tcPr>
          <w:p w14:paraId="4D17A3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19.93</w:t>
            </w:r>
          </w:p>
        </w:tc>
        <w:tc>
          <w:tcPr>
            <w:tcW w:w="404" w:type="pct"/>
            <w:vAlign w:val="center"/>
          </w:tcPr>
          <w:p w14:paraId="5CDC68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41.3</w:t>
            </w:r>
          </w:p>
        </w:tc>
        <w:tc>
          <w:tcPr>
            <w:tcW w:w="405" w:type="pct"/>
            <w:vAlign w:val="center"/>
          </w:tcPr>
          <w:p w14:paraId="603954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33.2</w:t>
            </w:r>
          </w:p>
        </w:tc>
        <w:tc>
          <w:tcPr>
            <w:tcW w:w="398" w:type="pct"/>
            <w:vAlign w:val="center"/>
          </w:tcPr>
          <w:p w14:paraId="447956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400" w:type="pct"/>
            <w:vAlign w:val="center"/>
          </w:tcPr>
          <w:p w14:paraId="3C5A04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398" w:type="pct"/>
            <w:vAlign w:val="center"/>
          </w:tcPr>
          <w:p w14:paraId="138D26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00" w:type="pct"/>
            <w:shd w:val="clear" w:color="auto" w:fill="auto"/>
            <w:vAlign w:val="center"/>
          </w:tcPr>
          <w:p w14:paraId="2468A1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077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07B010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31" w:type="pct"/>
            <w:vAlign w:val="center"/>
          </w:tcPr>
          <w:p w14:paraId="05A7BB83">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西</w:t>
            </w:r>
          </w:p>
        </w:tc>
        <w:tc>
          <w:tcPr>
            <w:tcW w:w="398" w:type="pct"/>
            <w:shd w:val="clear" w:color="auto" w:fill="auto"/>
            <w:vAlign w:val="center"/>
          </w:tcPr>
          <w:p w14:paraId="4336C5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55.5</w:t>
            </w:r>
          </w:p>
        </w:tc>
        <w:tc>
          <w:tcPr>
            <w:tcW w:w="399" w:type="pct"/>
            <w:shd w:val="clear" w:color="auto" w:fill="auto"/>
            <w:vAlign w:val="center"/>
          </w:tcPr>
          <w:p w14:paraId="464569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432" w:type="pct"/>
            <w:shd w:val="clear" w:color="auto" w:fill="auto"/>
            <w:vAlign w:val="center"/>
          </w:tcPr>
          <w:p w14:paraId="38E21D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49.16</w:t>
            </w:r>
          </w:p>
        </w:tc>
        <w:tc>
          <w:tcPr>
            <w:tcW w:w="433" w:type="pct"/>
            <w:shd w:val="clear" w:color="auto" w:fill="auto"/>
            <w:vAlign w:val="center"/>
          </w:tcPr>
          <w:p w14:paraId="4627C9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49.16</w:t>
            </w:r>
          </w:p>
        </w:tc>
        <w:tc>
          <w:tcPr>
            <w:tcW w:w="404" w:type="pct"/>
            <w:vAlign w:val="center"/>
          </w:tcPr>
          <w:p w14:paraId="38AE6F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56.5</w:t>
            </w:r>
          </w:p>
        </w:tc>
        <w:tc>
          <w:tcPr>
            <w:tcW w:w="405" w:type="pct"/>
            <w:vAlign w:val="center"/>
          </w:tcPr>
          <w:p w14:paraId="1A2577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50.5</w:t>
            </w:r>
          </w:p>
        </w:tc>
        <w:tc>
          <w:tcPr>
            <w:tcW w:w="398" w:type="pct"/>
            <w:vAlign w:val="center"/>
          </w:tcPr>
          <w:p w14:paraId="35AA8D2F">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400" w:type="pct"/>
            <w:vAlign w:val="center"/>
          </w:tcPr>
          <w:p w14:paraId="2EB1DE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398" w:type="pct"/>
            <w:vAlign w:val="center"/>
          </w:tcPr>
          <w:p w14:paraId="6A3A23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00" w:type="pct"/>
            <w:shd w:val="clear" w:color="auto" w:fill="auto"/>
            <w:vAlign w:val="center"/>
          </w:tcPr>
          <w:p w14:paraId="773812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61B7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354C38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31" w:type="pct"/>
            <w:vAlign w:val="center"/>
          </w:tcPr>
          <w:p w14:paraId="21796A3A">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北</w:t>
            </w:r>
          </w:p>
        </w:tc>
        <w:tc>
          <w:tcPr>
            <w:tcW w:w="398" w:type="pct"/>
            <w:shd w:val="clear" w:color="auto" w:fill="auto"/>
            <w:vAlign w:val="center"/>
          </w:tcPr>
          <w:p w14:paraId="104857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399" w:type="pct"/>
            <w:shd w:val="clear" w:color="auto" w:fill="auto"/>
            <w:vAlign w:val="center"/>
          </w:tcPr>
          <w:p w14:paraId="4C8B12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432" w:type="pct"/>
            <w:shd w:val="clear" w:color="auto" w:fill="auto"/>
            <w:vAlign w:val="center"/>
          </w:tcPr>
          <w:p w14:paraId="4ED7A6E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30.42</w:t>
            </w:r>
          </w:p>
        </w:tc>
        <w:tc>
          <w:tcPr>
            <w:tcW w:w="433" w:type="pct"/>
            <w:shd w:val="clear" w:color="auto" w:fill="auto"/>
            <w:vAlign w:val="center"/>
          </w:tcPr>
          <w:p w14:paraId="74334E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30.42</w:t>
            </w:r>
          </w:p>
        </w:tc>
        <w:tc>
          <w:tcPr>
            <w:tcW w:w="404" w:type="pct"/>
            <w:vAlign w:val="center"/>
          </w:tcPr>
          <w:p w14:paraId="4DD471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405" w:type="pct"/>
            <w:vAlign w:val="center"/>
          </w:tcPr>
          <w:p w14:paraId="3C4621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55.1</w:t>
            </w:r>
          </w:p>
        </w:tc>
        <w:tc>
          <w:tcPr>
            <w:tcW w:w="398" w:type="pct"/>
            <w:vAlign w:val="center"/>
          </w:tcPr>
          <w:p w14:paraId="7D1972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400" w:type="pct"/>
            <w:vAlign w:val="center"/>
          </w:tcPr>
          <w:p w14:paraId="75F1B5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398" w:type="pct"/>
            <w:vAlign w:val="center"/>
          </w:tcPr>
          <w:p w14:paraId="4177DC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00" w:type="pct"/>
            <w:shd w:val="clear" w:color="auto" w:fill="auto"/>
            <w:vAlign w:val="center"/>
          </w:tcPr>
          <w:p w14:paraId="447E9D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78D8CA8C">
      <w:pPr>
        <w:pStyle w:val="27"/>
        <w:rPr>
          <w:rFonts w:hint="eastAsia"/>
          <w:color w:val="000000" w:themeColor="text1"/>
          <w14:textFill>
            <w14:solidFill>
              <w14:schemeClr w14:val="tx1"/>
            </w14:solidFill>
          </w14:textFill>
        </w:rPr>
        <w:sectPr>
          <w:footerReference r:id="rId14" w:type="default"/>
          <w:pgSz w:w="11906" w:h="16838"/>
          <w:pgMar w:top="1440" w:right="1800" w:bottom="1440" w:left="1800" w:header="907" w:footer="992" w:gutter="0"/>
          <w:cols w:space="425" w:num="1"/>
          <w:docGrid w:type="lines" w:linePitch="312" w:charSpace="0"/>
        </w:sectPr>
      </w:pPr>
      <w:r>
        <w:rPr>
          <w:rFonts w:hint="eastAsia"/>
          <w:color w:val="000000" w:themeColor="text1"/>
          <w14:textFill>
            <w14:solidFill>
              <w14:schemeClr w14:val="tx1"/>
            </w14:solidFill>
          </w14:textFill>
        </w:rPr>
        <w:br w:type="textWrapping"/>
      </w:r>
    </w:p>
    <w:p w14:paraId="488724E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表5.2-21  敏感点噪声影响预测结果与达标分析表 单位：dB（A）</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544"/>
        <w:gridCol w:w="775"/>
        <w:gridCol w:w="777"/>
        <w:gridCol w:w="775"/>
        <w:gridCol w:w="777"/>
        <w:gridCol w:w="775"/>
        <w:gridCol w:w="777"/>
        <w:gridCol w:w="839"/>
        <w:gridCol w:w="842"/>
        <w:gridCol w:w="839"/>
        <w:gridCol w:w="842"/>
        <w:gridCol w:w="775"/>
        <w:gridCol w:w="777"/>
        <w:gridCol w:w="775"/>
        <w:gridCol w:w="777"/>
      </w:tblGrid>
      <w:tr w14:paraId="335E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restart"/>
            <w:vAlign w:val="center"/>
          </w:tcPr>
          <w:p w14:paraId="11DC4CC9">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74" w:type="pct"/>
            <w:vMerge w:val="restart"/>
            <w:vAlign w:val="center"/>
          </w:tcPr>
          <w:p w14:paraId="52F7D0EF">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577" w:type="pct"/>
            <w:gridSpan w:val="2"/>
            <w:vAlign w:val="center"/>
          </w:tcPr>
          <w:p w14:paraId="7EF47713">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噪声背景值</w:t>
            </w:r>
          </w:p>
        </w:tc>
        <w:tc>
          <w:tcPr>
            <w:tcW w:w="577" w:type="pct"/>
            <w:gridSpan w:val="2"/>
            <w:shd w:val="clear" w:color="auto" w:fill="auto"/>
            <w:vAlign w:val="center"/>
          </w:tcPr>
          <w:p w14:paraId="2CE341C2">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噪声现状值</w:t>
            </w:r>
          </w:p>
        </w:tc>
        <w:tc>
          <w:tcPr>
            <w:tcW w:w="577" w:type="pct"/>
            <w:gridSpan w:val="2"/>
            <w:shd w:val="clear" w:color="auto" w:fill="auto"/>
            <w:vAlign w:val="center"/>
          </w:tcPr>
          <w:p w14:paraId="083D78DC">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噪声标准值</w:t>
            </w:r>
          </w:p>
        </w:tc>
        <w:tc>
          <w:tcPr>
            <w:tcW w:w="625" w:type="pct"/>
            <w:gridSpan w:val="2"/>
            <w:shd w:val="clear" w:color="auto" w:fill="auto"/>
            <w:vAlign w:val="center"/>
          </w:tcPr>
          <w:p w14:paraId="66FA4F72">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噪声贡献值</w:t>
            </w:r>
          </w:p>
        </w:tc>
        <w:tc>
          <w:tcPr>
            <w:tcW w:w="625" w:type="pct"/>
            <w:gridSpan w:val="2"/>
            <w:shd w:val="clear" w:color="auto" w:fill="auto"/>
            <w:vAlign w:val="center"/>
          </w:tcPr>
          <w:p w14:paraId="71137CF6">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预测</w:t>
            </w:r>
            <w:r>
              <w:rPr>
                <w:color w:val="000000" w:themeColor="text1"/>
                <w14:textFill>
                  <w14:solidFill>
                    <w14:schemeClr w14:val="tx1"/>
                  </w14:solidFill>
                </w14:textFill>
              </w:rPr>
              <w:t>值</w:t>
            </w:r>
          </w:p>
        </w:tc>
        <w:tc>
          <w:tcPr>
            <w:tcW w:w="577" w:type="pct"/>
            <w:gridSpan w:val="2"/>
            <w:vAlign w:val="center"/>
          </w:tcPr>
          <w:p w14:paraId="715034D3">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较现状增量</w:t>
            </w:r>
          </w:p>
        </w:tc>
        <w:tc>
          <w:tcPr>
            <w:tcW w:w="577" w:type="pct"/>
            <w:gridSpan w:val="2"/>
            <w:shd w:val="clear" w:color="auto" w:fill="auto"/>
            <w:vAlign w:val="center"/>
          </w:tcPr>
          <w:p w14:paraId="650285EF">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5892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14:paraId="1DA83C70">
            <w:pPr>
              <w:pStyle w:val="28"/>
              <w:jc w:val="center"/>
              <w:rPr>
                <w:color w:val="000000" w:themeColor="text1"/>
                <w14:textFill>
                  <w14:solidFill>
                    <w14:schemeClr w14:val="tx1"/>
                  </w14:solidFill>
                </w14:textFill>
              </w:rPr>
            </w:pPr>
          </w:p>
        </w:tc>
        <w:tc>
          <w:tcPr>
            <w:tcW w:w="574" w:type="pct"/>
            <w:vMerge w:val="continue"/>
            <w:vAlign w:val="center"/>
          </w:tcPr>
          <w:p w14:paraId="19DF968A">
            <w:pPr>
              <w:pStyle w:val="28"/>
              <w:jc w:val="center"/>
              <w:rPr>
                <w:color w:val="000000" w:themeColor="text1"/>
                <w14:textFill>
                  <w14:solidFill>
                    <w14:schemeClr w14:val="tx1"/>
                  </w14:solidFill>
                </w14:textFill>
              </w:rPr>
            </w:pPr>
          </w:p>
        </w:tc>
        <w:tc>
          <w:tcPr>
            <w:tcW w:w="288" w:type="pct"/>
            <w:shd w:val="clear" w:color="auto" w:fill="auto"/>
            <w:vAlign w:val="center"/>
          </w:tcPr>
          <w:p w14:paraId="76F64B04">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9" w:type="pct"/>
            <w:shd w:val="clear" w:color="auto" w:fill="auto"/>
            <w:vAlign w:val="center"/>
          </w:tcPr>
          <w:p w14:paraId="5D802054">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288" w:type="pct"/>
            <w:shd w:val="clear" w:color="auto" w:fill="auto"/>
            <w:vAlign w:val="center"/>
          </w:tcPr>
          <w:p w14:paraId="0435C040">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9" w:type="pct"/>
            <w:shd w:val="clear" w:color="auto" w:fill="auto"/>
            <w:vAlign w:val="center"/>
          </w:tcPr>
          <w:p w14:paraId="1C18E1B2">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288" w:type="pct"/>
            <w:shd w:val="clear" w:color="auto" w:fill="auto"/>
            <w:vAlign w:val="center"/>
          </w:tcPr>
          <w:p w14:paraId="27B9C740">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9" w:type="pct"/>
            <w:shd w:val="clear" w:color="auto" w:fill="auto"/>
            <w:vAlign w:val="center"/>
          </w:tcPr>
          <w:p w14:paraId="5547D36F">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312" w:type="pct"/>
            <w:shd w:val="clear" w:color="auto" w:fill="auto"/>
            <w:vAlign w:val="center"/>
          </w:tcPr>
          <w:p w14:paraId="6F69D158">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13" w:type="pct"/>
            <w:shd w:val="clear" w:color="auto" w:fill="auto"/>
            <w:vAlign w:val="center"/>
          </w:tcPr>
          <w:p w14:paraId="076F33C8">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312" w:type="pct"/>
            <w:shd w:val="clear" w:color="auto" w:fill="auto"/>
            <w:vAlign w:val="center"/>
          </w:tcPr>
          <w:p w14:paraId="002FB06B">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13" w:type="pct"/>
            <w:shd w:val="clear" w:color="auto" w:fill="auto"/>
            <w:vAlign w:val="center"/>
          </w:tcPr>
          <w:p w14:paraId="622B1EE6">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288" w:type="pct"/>
            <w:shd w:val="clear" w:color="auto" w:fill="auto"/>
            <w:vAlign w:val="center"/>
          </w:tcPr>
          <w:p w14:paraId="6B22DB07">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9" w:type="pct"/>
            <w:shd w:val="clear" w:color="auto" w:fill="auto"/>
            <w:vAlign w:val="center"/>
          </w:tcPr>
          <w:p w14:paraId="15623984">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288" w:type="pct"/>
            <w:shd w:val="clear" w:color="auto" w:fill="auto"/>
            <w:vAlign w:val="center"/>
          </w:tcPr>
          <w:p w14:paraId="2B7B9C2E">
            <w:pPr>
              <w:pStyle w:val="28"/>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9" w:type="pct"/>
            <w:shd w:val="clear" w:color="auto" w:fill="auto"/>
            <w:vAlign w:val="center"/>
          </w:tcPr>
          <w:p w14:paraId="0DC129D3">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14:paraId="5F91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shd w:val="clear" w:color="auto" w:fill="auto"/>
            <w:vAlign w:val="center"/>
          </w:tcPr>
          <w:p w14:paraId="01685562">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4" w:type="pct"/>
            <w:shd w:val="clear" w:color="auto" w:fill="auto"/>
            <w:vAlign w:val="center"/>
          </w:tcPr>
          <w:p w14:paraId="2E59C82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大莲池</w:t>
            </w:r>
          </w:p>
        </w:tc>
        <w:tc>
          <w:tcPr>
            <w:tcW w:w="288" w:type="pct"/>
            <w:shd w:val="clear" w:color="auto" w:fill="auto"/>
            <w:vAlign w:val="center"/>
          </w:tcPr>
          <w:p w14:paraId="5545C8E1">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46426221">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1C0D0B5D">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52792A00">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019E7859">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66D95174">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312" w:type="pct"/>
            <w:shd w:val="clear" w:color="auto" w:fill="auto"/>
            <w:vAlign w:val="center"/>
          </w:tcPr>
          <w:p w14:paraId="2D6FDB9D">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20.02</w:t>
            </w:r>
          </w:p>
        </w:tc>
        <w:tc>
          <w:tcPr>
            <w:tcW w:w="313" w:type="pct"/>
            <w:shd w:val="clear" w:color="auto" w:fill="auto"/>
            <w:vAlign w:val="center"/>
          </w:tcPr>
          <w:p w14:paraId="71BE4321">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20.02</w:t>
            </w:r>
          </w:p>
        </w:tc>
        <w:tc>
          <w:tcPr>
            <w:tcW w:w="312" w:type="pct"/>
            <w:shd w:val="clear" w:color="auto" w:fill="auto"/>
            <w:vAlign w:val="center"/>
          </w:tcPr>
          <w:p w14:paraId="0ED65371">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52.50</w:t>
            </w:r>
          </w:p>
        </w:tc>
        <w:tc>
          <w:tcPr>
            <w:tcW w:w="313" w:type="pct"/>
            <w:shd w:val="clear" w:color="auto" w:fill="auto"/>
            <w:vAlign w:val="center"/>
          </w:tcPr>
          <w:p w14:paraId="7C05B64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2CB504DF">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1E99695B">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4E2A90A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258BDCF5">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3F9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shd w:val="clear" w:color="auto" w:fill="auto"/>
            <w:vAlign w:val="center"/>
          </w:tcPr>
          <w:p w14:paraId="39CE5D84">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74" w:type="pct"/>
            <w:shd w:val="clear" w:color="auto" w:fill="auto"/>
            <w:vAlign w:val="center"/>
          </w:tcPr>
          <w:p w14:paraId="650019D0">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莲池村</w:t>
            </w:r>
          </w:p>
        </w:tc>
        <w:tc>
          <w:tcPr>
            <w:tcW w:w="288" w:type="pct"/>
            <w:shd w:val="clear" w:color="auto" w:fill="auto"/>
            <w:vAlign w:val="center"/>
          </w:tcPr>
          <w:p w14:paraId="54BF915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5D1466D1">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410C77A5">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7B6B86BE">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71DDAD7D">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433848B8">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312" w:type="pct"/>
            <w:shd w:val="clear" w:color="auto" w:fill="auto"/>
            <w:vAlign w:val="center"/>
          </w:tcPr>
          <w:p w14:paraId="33D2F41E">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17.53</w:t>
            </w:r>
          </w:p>
        </w:tc>
        <w:tc>
          <w:tcPr>
            <w:tcW w:w="313" w:type="pct"/>
            <w:shd w:val="clear" w:color="auto" w:fill="auto"/>
            <w:vAlign w:val="center"/>
          </w:tcPr>
          <w:p w14:paraId="164BEA0C">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17.53</w:t>
            </w:r>
          </w:p>
        </w:tc>
        <w:tc>
          <w:tcPr>
            <w:tcW w:w="312" w:type="pct"/>
            <w:shd w:val="clear" w:color="auto" w:fill="auto"/>
            <w:vAlign w:val="center"/>
          </w:tcPr>
          <w:p w14:paraId="0929B65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52.50</w:t>
            </w:r>
          </w:p>
        </w:tc>
        <w:tc>
          <w:tcPr>
            <w:tcW w:w="313" w:type="pct"/>
            <w:shd w:val="clear" w:color="auto" w:fill="auto"/>
            <w:vAlign w:val="center"/>
          </w:tcPr>
          <w:p w14:paraId="3D1B0623">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1678268A">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734251D7">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38C22D72">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32D7D0D5">
            <w:pPr>
              <w:pStyle w:val="2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7FC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14:paraId="7EAFE60E">
            <w:pPr>
              <w:pStyle w:val="28"/>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74" w:type="pct"/>
            <w:shd w:val="clear" w:color="auto" w:fill="auto"/>
            <w:vAlign w:val="center"/>
          </w:tcPr>
          <w:p w14:paraId="42450BEB">
            <w:pPr>
              <w:pStyle w:val="28"/>
              <w:spacing w:beforeLines="0" w:afterLines="0"/>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14:textFill>
                  <w14:solidFill>
                    <w14:schemeClr w14:val="tx1"/>
                  </w14:solidFill>
                </w14:textFill>
              </w:rPr>
              <w:t>高家屯</w:t>
            </w:r>
          </w:p>
        </w:tc>
        <w:tc>
          <w:tcPr>
            <w:tcW w:w="288" w:type="pct"/>
            <w:shd w:val="clear" w:color="auto" w:fill="auto"/>
            <w:vAlign w:val="center"/>
          </w:tcPr>
          <w:p w14:paraId="59E23E12">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74080417">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6B8C582C">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220CBBEE">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3FCA017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3B37CB11">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50</w:t>
            </w:r>
          </w:p>
        </w:tc>
        <w:tc>
          <w:tcPr>
            <w:tcW w:w="312" w:type="pct"/>
            <w:vAlign w:val="center"/>
          </w:tcPr>
          <w:p w14:paraId="666CC729">
            <w:pPr>
              <w:pStyle w:val="28"/>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15.11</w:t>
            </w:r>
          </w:p>
        </w:tc>
        <w:tc>
          <w:tcPr>
            <w:tcW w:w="313" w:type="pct"/>
            <w:shd w:val="clear" w:color="auto" w:fill="auto"/>
            <w:vAlign w:val="center"/>
          </w:tcPr>
          <w:p w14:paraId="514FCD61">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15.11</w:t>
            </w:r>
          </w:p>
        </w:tc>
        <w:tc>
          <w:tcPr>
            <w:tcW w:w="312" w:type="pct"/>
            <w:vAlign w:val="center"/>
          </w:tcPr>
          <w:p w14:paraId="2F6219C2">
            <w:pPr>
              <w:pStyle w:val="28"/>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52.5</w:t>
            </w:r>
            <w:r>
              <w:rPr>
                <w:rFonts w:hint="eastAsia"/>
                <w:color w:val="000000" w:themeColor="text1"/>
                <w14:textFill>
                  <w14:solidFill>
                    <w14:schemeClr w14:val="tx1"/>
                  </w14:solidFill>
                </w14:textFill>
              </w:rPr>
              <w:t>0</w:t>
            </w:r>
          </w:p>
        </w:tc>
        <w:tc>
          <w:tcPr>
            <w:tcW w:w="313" w:type="pct"/>
            <w:shd w:val="clear" w:color="auto" w:fill="auto"/>
            <w:vAlign w:val="center"/>
          </w:tcPr>
          <w:p w14:paraId="00A71F06">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12B5960C">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67BEB62F">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35D318BA">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6CFF6158">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r>
      <w:tr w14:paraId="2ACA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14:paraId="57D472EE">
            <w:pPr>
              <w:pStyle w:val="28"/>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74" w:type="pct"/>
            <w:shd w:val="clear" w:color="auto" w:fill="auto"/>
            <w:vAlign w:val="center"/>
          </w:tcPr>
          <w:p w14:paraId="7DD4C46B">
            <w:pPr>
              <w:pStyle w:val="28"/>
              <w:spacing w:beforeLines="0" w:afterLines="0"/>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14:textFill>
                  <w14:solidFill>
                    <w14:schemeClr w14:val="tx1"/>
                  </w14:solidFill>
                </w14:textFill>
              </w:rPr>
              <w:t>陆家屯</w:t>
            </w:r>
          </w:p>
        </w:tc>
        <w:tc>
          <w:tcPr>
            <w:tcW w:w="288" w:type="pct"/>
            <w:shd w:val="clear" w:color="auto" w:fill="auto"/>
            <w:vAlign w:val="center"/>
          </w:tcPr>
          <w:p w14:paraId="2C251C6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26D3A1C9">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5156ADEC">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01BC58A7">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644258BE">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377C815D">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50</w:t>
            </w:r>
          </w:p>
        </w:tc>
        <w:tc>
          <w:tcPr>
            <w:tcW w:w="312" w:type="pct"/>
            <w:vAlign w:val="center"/>
          </w:tcPr>
          <w:p w14:paraId="438F6DBA">
            <w:pPr>
              <w:pStyle w:val="28"/>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13.25</w:t>
            </w:r>
          </w:p>
        </w:tc>
        <w:tc>
          <w:tcPr>
            <w:tcW w:w="313" w:type="pct"/>
            <w:shd w:val="clear" w:color="auto" w:fill="auto"/>
            <w:vAlign w:val="center"/>
          </w:tcPr>
          <w:p w14:paraId="1C097EA4">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13.25</w:t>
            </w:r>
          </w:p>
        </w:tc>
        <w:tc>
          <w:tcPr>
            <w:tcW w:w="312" w:type="pct"/>
            <w:vAlign w:val="center"/>
          </w:tcPr>
          <w:p w14:paraId="3195DAB0">
            <w:pPr>
              <w:pStyle w:val="28"/>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52.5</w:t>
            </w:r>
            <w:r>
              <w:rPr>
                <w:rFonts w:hint="eastAsia"/>
                <w:color w:val="000000" w:themeColor="text1"/>
                <w14:textFill>
                  <w14:solidFill>
                    <w14:schemeClr w14:val="tx1"/>
                  </w14:solidFill>
                </w14:textFill>
              </w:rPr>
              <w:t>0</w:t>
            </w:r>
          </w:p>
        </w:tc>
        <w:tc>
          <w:tcPr>
            <w:tcW w:w="313" w:type="pct"/>
            <w:shd w:val="clear" w:color="auto" w:fill="auto"/>
            <w:vAlign w:val="center"/>
          </w:tcPr>
          <w:p w14:paraId="27344318">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395C765E">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4D8A49DE">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7BD48AE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016FD0B7">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r>
      <w:tr w14:paraId="275C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14:paraId="4E648461">
            <w:pPr>
              <w:pStyle w:val="28"/>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574" w:type="pct"/>
            <w:shd w:val="clear" w:color="auto" w:fill="auto"/>
            <w:vAlign w:val="center"/>
          </w:tcPr>
          <w:p w14:paraId="44AC1168">
            <w:pPr>
              <w:pStyle w:val="28"/>
              <w:spacing w:beforeLines="0" w:afterLines="0"/>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14:textFill>
                  <w14:solidFill>
                    <w14:schemeClr w14:val="tx1"/>
                  </w14:solidFill>
                </w14:textFill>
              </w:rPr>
              <w:t>南莲幼儿园</w:t>
            </w:r>
          </w:p>
        </w:tc>
        <w:tc>
          <w:tcPr>
            <w:tcW w:w="288" w:type="pct"/>
            <w:shd w:val="clear" w:color="auto" w:fill="auto"/>
            <w:vAlign w:val="center"/>
          </w:tcPr>
          <w:p w14:paraId="2980E79D">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4FDB0D97">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4C4582B2">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0E33B882">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4D91E0E4">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00A569BC">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50</w:t>
            </w:r>
          </w:p>
        </w:tc>
        <w:tc>
          <w:tcPr>
            <w:tcW w:w="312" w:type="pct"/>
            <w:vAlign w:val="center"/>
          </w:tcPr>
          <w:p w14:paraId="3E979142">
            <w:pPr>
              <w:pStyle w:val="28"/>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12.55</w:t>
            </w:r>
          </w:p>
        </w:tc>
        <w:tc>
          <w:tcPr>
            <w:tcW w:w="313" w:type="pct"/>
            <w:shd w:val="clear" w:color="auto" w:fill="auto"/>
            <w:vAlign w:val="center"/>
          </w:tcPr>
          <w:p w14:paraId="31E56728">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12.55</w:t>
            </w:r>
          </w:p>
        </w:tc>
        <w:tc>
          <w:tcPr>
            <w:tcW w:w="312" w:type="pct"/>
            <w:vAlign w:val="center"/>
          </w:tcPr>
          <w:p w14:paraId="2AB13E59">
            <w:pPr>
              <w:pStyle w:val="28"/>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52.5</w:t>
            </w:r>
            <w:r>
              <w:rPr>
                <w:rFonts w:hint="eastAsia"/>
                <w:color w:val="000000" w:themeColor="text1"/>
                <w14:textFill>
                  <w14:solidFill>
                    <w14:schemeClr w14:val="tx1"/>
                  </w14:solidFill>
                </w14:textFill>
              </w:rPr>
              <w:t>0</w:t>
            </w:r>
          </w:p>
        </w:tc>
        <w:tc>
          <w:tcPr>
            <w:tcW w:w="313" w:type="pct"/>
            <w:shd w:val="clear" w:color="auto" w:fill="auto"/>
            <w:vAlign w:val="center"/>
          </w:tcPr>
          <w:p w14:paraId="4048084F">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5B4BF6E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73CCF5AC">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19427C99">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22118821">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r>
      <w:tr w14:paraId="405A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14:paraId="7B659148">
            <w:pPr>
              <w:pStyle w:val="28"/>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74" w:type="pct"/>
            <w:shd w:val="clear" w:color="auto" w:fill="auto"/>
            <w:vAlign w:val="center"/>
          </w:tcPr>
          <w:p w14:paraId="5F64DB44">
            <w:pPr>
              <w:pStyle w:val="28"/>
              <w:spacing w:beforeLines="0" w:afterLines="0"/>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14:textFill>
                  <w14:solidFill>
                    <w14:schemeClr w14:val="tx1"/>
                  </w14:solidFill>
                </w14:textFill>
              </w:rPr>
              <w:t>麻线屯</w:t>
            </w:r>
          </w:p>
        </w:tc>
        <w:tc>
          <w:tcPr>
            <w:tcW w:w="288" w:type="pct"/>
            <w:shd w:val="clear" w:color="auto" w:fill="auto"/>
            <w:vAlign w:val="center"/>
          </w:tcPr>
          <w:p w14:paraId="6F5EBAE9">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57FD033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74A0D79F">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52.5</w:t>
            </w:r>
          </w:p>
        </w:tc>
        <w:tc>
          <w:tcPr>
            <w:tcW w:w="289" w:type="pct"/>
            <w:shd w:val="clear" w:color="auto" w:fill="auto"/>
            <w:vAlign w:val="center"/>
          </w:tcPr>
          <w:p w14:paraId="293AAC73">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w:t>
            </w:r>
          </w:p>
        </w:tc>
        <w:tc>
          <w:tcPr>
            <w:tcW w:w="288" w:type="pct"/>
            <w:shd w:val="clear" w:color="auto" w:fill="auto"/>
            <w:vAlign w:val="center"/>
          </w:tcPr>
          <w:p w14:paraId="156ECFE6">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60</w:t>
            </w:r>
          </w:p>
        </w:tc>
        <w:tc>
          <w:tcPr>
            <w:tcW w:w="289" w:type="pct"/>
            <w:shd w:val="clear" w:color="auto" w:fill="auto"/>
            <w:vAlign w:val="center"/>
          </w:tcPr>
          <w:p w14:paraId="42BF63D1">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50</w:t>
            </w:r>
          </w:p>
        </w:tc>
        <w:tc>
          <w:tcPr>
            <w:tcW w:w="312" w:type="pct"/>
            <w:vAlign w:val="center"/>
          </w:tcPr>
          <w:p w14:paraId="75BD9D3C">
            <w:pPr>
              <w:pStyle w:val="28"/>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9.82</w:t>
            </w:r>
          </w:p>
        </w:tc>
        <w:tc>
          <w:tcPr>
            <w:tcW w:w="313" w:type="pct"/>
            <w:shd w:val="clear" w:color="auto" w:fill="auto"/>
            <w:vAlign w:val="center"/>
          </w:tcPr>
          <w:p w14:paraId="7A97507A">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9.82</w:t>
            </w:r>
          </w:p>
        </w:tc>
        <w:tc>
          <w:tcPr>
            <w:tcW w:w="312" w:type="pct"/>
            <w:vAlign w:val="center"/>
          </w:tcPr>
          <w:p w14:paraId="52419EDA">
            <w:pPr>
              <w:pStyle w:val="28"/>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52.5</w:t>
            </w:r>
            <w:r>
              <w:rPr>
                <w:rFonts w:hint="eastAsia"/>
                <w:color w:val="000000" w:themeColor="text1"/>
                <w14:textFill>
                  <w14:solidFill>
                    <w14:schemeClr w14:val="tx1"/>
                  </w14:solidFill>
                </w14:textFill>
              </w:rPr>
              <w:t>0</w:t>
            </w:r>
          </w:p>
        </w:tc>
        <w:tc>
          <w:tcPr>
            <w:tcW w:w="313" w:type="pct"/>
            <w:shd w:val="clear" w:color="auto" w:fill="auto"/>
            <w:vAlign w:val="center"/>
          </w:tcPr>
          <w:p w14:paraId="7AB44676">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41.00</w:t>
            </w:r>
          </w:p>
        </w:tc>
        <w:tc>
          <w:tcPr>
            <w:tcW w:w="288" w:type="pct"/>
            <w:shd w:val="clear" w:color="auto" w:fill="auto"/>
            <w:vAlign w:val="center"/>
          </w:tcPr>
          <w:p w14:paraId="303C8FDA">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9" w:type="pct"/>
            <w:shd w:val="clear" w:color="auto" w:fill="auto"/>
            <w:vAlign w:val="center"/>
          </w:tcPr>
          <w:p w14:paraId="2F11789F">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w:t>
            </w:r>
          </w:p>
        </w:tc>
        <w:tc>
          <w:tcPr>
            <w:tcW w:w="288" w:type="pct"/>
            <w:shd w:val="clear" w:color="auto" w:fill="auto"/>
            <w:vAlign w:val="center"/>
          </w:tcPr>
          <w:p w14:paraId="33C91DF5">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289" w:type="pct"/>
            <w:shd w:val="clear" w:color="auto" w:fill="auto"/>
            <w:vAlign w:val="center"/>
          </w:tcPr>
          <w:p w14:paraId="0E89A666">
            <w:pPr>
              <w:pStyle w:val="28"/>
              <w:ind w:firstLine="0" w:firstLineChars="0"/>
              <w:jc w:val="center"/>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r>
    </w:tbl>
    <w:p w14:paraId="48EDD71C">
      <w:pPr>
        <w:rPr>
          <w:rFonts w:hint="eastAsia"/>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【注】</w:t>
      </w:r>
      <w:r>
        <w:rPr>
          <w:rFonts w:hint="eastAsia"/>
          <w:i/>
          <w:iCs/>
          <w:color w:val="000000" w:themeColor="text1"/>
          <w:sz w:val="21"/>
          <w:szCs w:val="21"/>
          <w:lang w:val="en-US" w:eastAsia="zh-CN"/>
          <w14:textFill>
            <w14:solidFill>
              <w14:schemeClr w14:val="tx1"/>
            </w14:solidFill>
          </w14:textFill>
        </w:rPr>
        <w:t>1、</w:t>
      </w:r>
      <w:r>
        <w:rPr>
          <w:rFonts w:hint="eastAsia"/>
          <w:i/>
          <w:iCs/>
          <w:color w:val="000000" w:themeColor="text1"/>
          <w:sz w:val="21"/>
          <w:szCs w:val="21"/>
          <w14:textFill>
            <w14:solidFill>
              <w14:schemeClr w14:val="tx1"/>
            </w14:solidFill>
          </w14:textFill>
        </w:rPr>
        <w:t>背景值选择本次现状监测结果的平均值，监测期间云南捷辰包装材料有限公司暂未生产。</w:t>
      </w:r>
    </w:p>
    <w:p w14:paraId="68DCC994">
      <w:pPr>
        <w:rPr>
          <w:rFonts w:hint="default" w:eastAsia="宋体"/>
          <w:i/>
          <w:iCs/>
          <w:color w:val="000000" w:themeColor="text1"/>
          <w:sz w:val="21"/>
          <w:szCs w:val="21"/>
          <w:lang w:val="en-US" w:eastAsia="zh-CN"/>
          <w14:textFill>
            <w14:solidFill>
              <w14:schemeClr w14:val="tx1"/>
            </w14:solidFill>
          </w14:textFill>
        </w:rPr>
      </w:pPr>
      <w:r>
        <w:rPr>
          <w:rFonts w:hint="eastAsia"/>
          <w:i/>
          <w:iCs/>
          <w:color w:val="000000" w:themeColor="text1"/>
          <w:sz w:val="21"/>
          <w:szCs w:val="21"/>
          <w:lang w:val="en-US" w:eastAsia="zh-CN"/>
          <w14:textFill>
            <w14:solidFill>
              <w14:schemeClr w14:val="tx1"/>
            </w14:solidFill>
          </w14:textFill>
        </w:rPr>
        <w:t xml:space="preserve">      2、关心点噪声背景值选择距离项目最近的大莲池村的现状监测值。</w:t>
      </w:r>
    </w:p>
    <w:p w14:paraId="6878518D">
      <w:pPr>
        <w:rPr>
          <w:rFonts w:hint="default" w:eastAsia="宋体"/>
          <w:i/>
          <w:iCs/>
          <w:color w:val="000000" w:themeColor="text1"/>
          <w:sz w:val="21"/>
          <w:szCs w:val="21"/>
          <w:lang w:val="en-US" w:eastAsia="zh-CN"/>
          <w14:textFill>
            <w14:solidFill>
              <w14:schemeClr w14:val="tx1"/>
            </w14:solidFill>
          </w14:textFill>
        </w:rPr>
        <w:sectPr>
          <w:pgSz w:w="16838" w:h="11906" w:orient="landscape"/>
          <w:pgMar w:top="1440" w:right="1803" w:bottom="1440" w:left="1803" w:header="907" w:footer="992" w:gutter="0"/>
          <w:cols w:space="425" w:num="1"/>
          <w:docGrid w:type="lines" w:linePitch="312" w:charSpace="0"/>
        </w:sectPr>
      </w:pPr>
      <w:r>
        <w:rPr>
          <w:rFonts w:hint="eastAsia"/>
          <w:i/>
          <w:iCs/>
          <w:color w:val="000000" w:themeColor="text1"/>
          <w:sz w:val="21"/>
          <w:szCs w:val="21"/>
          <w:lang w:val="en-US" w:eastAsia="zh-CN"/>
          <w14:textFill>
            <w14:solidFill>
              <w14:schemeClr w14:val="tx1"/>
            </w14:solidFill>
          </w14:textFill>
        </w:rPr>
        <w:t xml:space="preserve">  </w:t>
      </w:r>
    </w:p>
    <w:p w14:paraId="6762201E">
      <w:pPr>
        <w:pStyle w:val="2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49495" cy="4105910"/>
            <wp:effectExtent l="9525" t="9525" r="17780" b="1841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62"/>
                    <a:stretch>
                      <a:fillRect/>
                    </a:stretch>
                  </pic:blipFill>
                  <pic:spPr>
                    <a:xfrm>
                      <a:off x="0" y="0"/>
                      <a:ext cx="4849495" cy="4105910"/>
                    </a:xfrm>
                    <a:prstGeom prst="rect">
                      <a:avLst/>
                    </a:prstGeom>
                    <a:noFill/>
                    <a:ln>
                      <a:solidFill>
                        <a:schemeClr val="tx1"/>
                      </a:solidFill>
                    </a:ln>
                  </pic:spPr>
                </pic:pic>
              </a:graphicData>
            </a:graphic>
          </wp:inline>
        </w:drawing>
      </w:r>
    </w:p>
    <w:p w14:paraId="3A76FBA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图5.2-1  本项目厂界声环境影响预测等值线</w:t>
      </w:r>
    </w:p>
    <w:p w14:paraId="5B04E6A2">
      <w:pPr>
        <w:pStyle w:val="2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78045" cy="3925570"/>
            <wp:effectExtent l="9525" t="9525" r="17780" b="2730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63"/>
                    <a:stretch>
                      <a:fillRect/>
                    </a:stretch>
                  </pic:blipFill>
                  <pic:spPr>
                    <a:xfrm>
                      <a:off x="0" y="0"/>
                      <a:ext cx="4678045" cy="3925570"/>
                    </a:xfrm>
                    <a:prstGeom prst="rect">
                      <a:avLst/>
                    </a:prstGeom>
                    <a:noFill/>
                    <a:ln w="9525">
                      <a:solidFill>
                        <a:schemeClr val="tx1"/>
                      </a:solidFill>
                    </a:ln>
                  </pic:spPr>
                </pic:pic>
              </a:graphicData>
            </a:graphic>
          </wp:inline>
        </w:drawing>
      </w:r>
    </w:p>
    <w:p w14:paraId="2DFB98F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图5.2-2  租用厂区边界噪声声环境影响预测等值线</w:t>
      </w:r>
    </w:p>
    <w:p w14:paraId="01A1574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根据噪声预测结果可知：</w:t>
      </w:r>
    </w:p>
    <w:p w14:paraId="259E8402">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边界噪声：</w:t>
      </w:r>
      <w:r>
        <w:rPr>
          <w:rFonts w:hint="eastAsia"/>
          <w:color w:val="000000" w:themeColor="text1"/>
          <w14:textFill>
            <w14:solidFill>
              <w14:schemeClr w14:val="tx1"/>
            </w14:solidFill>
          </w14:textFill>
        </w:rPr>
        <w:t>项目设备噪声经降噪措施、距离衰减后，本项目厂区边界</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）3类标准：昼间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)，夜间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的要求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西面噪声</w:t>
      </w:r>
      <w:r>
        <w:rPr>
          <w:rFonts w:hint="eastAsia"/>
          <w:color w:val="000000" w:themeColor="text1"/>
          <w14:textFill>
            <w14:solidFill>
              <w14:schemeClr w14:val="tx1"/>
            </w14:solidFill>
          </w14:textFill>
        </w:rPr>
        <w:t>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类标准：昼间</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)，夜间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的要求。 </w:t>
      </w:r>
    </w:p>
    <w:p w14:paraId="4DAD7E8D">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租用厂区厂界噪声：</w:t>
      </w:r>
      <w:r>
        <w:rPr>
          <w:rFonts w:hint="eastAsia"/>
          <w:color w:val="000000" w:themeColor="text1"/>
          <w14:textFill>
            <w14:solidFill>
              <w14:schemeClr w14:val="tx1"/>
            </w14:solidFill>
          </w14:textFill>
        </w:rPr>
        <w:t>项目设备噪声经降噪措施、距离衰减后，租用厂区厂界</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）3类标准：昼间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)，夜间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的要求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西面噪声</w:t>
      </w:r>
      <w:r>
        <w:rPr>
          <w:rFonts w:hint="eastAsia"/>
          <w:color w:val="000000" w:themeColor="text1"/>
          <w14:textFill>
            <w14:solidFill>
              <w14:schemeClr w14:val="tx1"/>
            </w14:solidFill>
          </w14:textFill>
        </w:rPr>
        <w:t>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类标准：昼间</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)，夜间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的要求。 </w:t>
      </w:r>
    </w:p>
    <w:p w14:paraId="4D3AF733">
      <w:pPr>
        <w:ind w:firstLine="482"/>
        <w:rPr>
          <w:rFonts w:hint="default" w:eastAsia="宋体"/>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关心点：</w:t>
      </w:r>
      <w:r>
        <w:rPr>
          <w:rFonts w:hint="eastAsia"/>
          <w:color w:val="000000" w:themeColor="text1"/>
          <w14:textFill>
            <w14:solidFill>
              <w14:schemeClr w14:val="tx1"/>
            </w14:solidFill>
          </w14:textFill>
        </w:rPr>
        <w:t>项目区最近噪声关心点为位于项目区东北面的大莲池村</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莲池村</w:t>
      </w:r>
      <w:r>
        <w:rPr>
          <w:rFonts w:hint="eastAsia"/>
          <w:color w:val="000000" w:themeColor="text1"/>
          <w14:textFill>
            <w14:solidFill>
              <w14:schemeClr w14:val="tx1"/>
            </w14:solidFill>
          </w14:textFill>
        </w:rPr>
        <w:t>，经预测，噪声预测值昼间、夜间能满足《声环境质量标准》（GB3096-2008）中2类标准：昼间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、夜间</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的要求。</w:t>
      </w:r>
      <w:r>
        <w:rPr>
          <w:rFonts w:hint="eastAsia"/>
          <w:color w:val="000000" w:themeColor="text1"/>
          <w:lang w:val="en-US" w:eastAsia="zh-CN"/>
          <w14:textFill>
            <w14:solidFill>
              <w14:schemeClr w14:val="tx1"/>
            </w14:solidFill>
          </w14:textFill>
        </w:rPr>
        <w:t>租用厂区厂家最近的关心点高家屯、陆家屯、南莲幼儿园、麻线屯</w:t>
      </w:r>
      <w:r>
        <w:rPr>
          <w:rFonts w:hint="eastAsia"/>
          <w:color w:val="000000" w:themeColor="text1"/>
          <w14:textFill>
            <w14:solidFill>
              <w14:schemeClr w14:val="tx1"/>
            </w14:solidFill>
          </w14:textFill>
        </w:rPr>
        <w:t>噪声预测值昼间、夜间能满足《声环境质量标准》（GB3096-2008）中2类标准：昼间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、夜间</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的要求。</w:t>
      </w:r>
    </w:p>
    <w:p w14:paraId="6A2A46E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5.2.3.3结论</w:t>
      </w:r>
    </w:p>
    <w:p w14:paraId="72EE757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本项目通过采取选用低噪声设备，基座设置减震垫，利用车间墙体隔声，水泵进出口管道间安装软橡胶接头等措施有效降低噪声，经预测，</w:t>
      </w:r>
      <w:r>
        <w:rPr>
          <w:rFonts w:hint="eastAsia"/>
          <w:color w:val="000000" w:themeColor="text1"/>
          <w14:textFill>
            <w14:solidFill>
              <w14:schemeClr w14:val="tx1"/>
            </w14:solidFill>
          </w14:textFill>
        </w:rPr>
        <w:t>本项目边界</w:t>
      </w:r>
      <w:r>
        <w:rPr>
          <w:color w:val="000000" w:themeColor="text1"/>
          <w14:textFill>
            <w14:solidFill>
              <w14:schemeClr w14:val="tx1"/>
            </w14:solidFill>
          </w14:textFill>
        </w:rPr>
        <w:t>昼间、夜间噪声值均满足《工业企业厂界环境噪声排放标准》（GB12348-2008）标准，</w:t>
      </w:r>
      <w:r>
        <w:rPr>
          <w:rFonts w:hint="eastAsia"/>
          <w:color w:val="000000" w:themeColor="text1"/>
          <w14:textFill>
            <w14:solidFill>
              <w14:schemeClr w14:val="tx1"/>
            </w14:solidFill>
          </w14:textFill>
        </w:rPr>
        <w:t>租用厂区厂界噪声预测值昼间、夜间均能满足《工业企业厂界环境噪声排放标准》（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）标准。</w:t>
      </w:r>
      <w:r>
        <w:rPr>
          <w:color w:val="000000" w:themeColor="text1"/>
          <w14:textFill>
            <w14:solidFill>
              <w14:schemeClr w14:val="tx1"/>
            </w14:solidFill>
          </w14:textFill>
        </w:rPr>
        <w:t>关心点噪声预测值满足《声环境质量标准》（GB3096-2008）中2类标准，对关心点噪声影响不大。</w:t>
      </w:r>
    </w:p>
    <w:p w14:paraId="7CED981E">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411C3702">
      <w:pPr>
        <w:pStyle w:val="4"/>
        <w:rPr>
          <w:color w:val="000000" w:themeColor="text1"/>
          <w14:textFill>
            <w14:solidFill>
              <w14:schemeClr w14:val="tx1"/>
            </w14:solidFill>
          </w14:textFill>
        </w:rPr>
      </w:pPr>
      <w:bookmarkStart w:id="100" w:name="_Toc11115"/>
      <w:r>
        <w:rPr>
          <w:rFonts w:hint="eastAsia"/>
          <w:color w:val="000000" w:themeColor="text1"/>
          <w14:textFill>
            <w14:solidFill>
              <w14:schemeClr w14:val="tx1"/>
            </w14:solidFill>
          </w14:textFill>
        </w:rPr>
        <w:t>5.2.4固体废物环境影响评价</w:t>
      </w:r>
      <w:bookmarkEnd w:id="100"/>
    </w:p>
    <w:p w14:paraId="7277222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5.2.4.1固废产排情况</w:t>
      </w:r>
    </w:p>
    <w:p w14:paraId="5F6688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本项目固体废物利用处置方式见下表。</w:t>
      </w:r>
    </w:p>
    <w:p w14:paraId="7B8843FE">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5.2-22 </w:t>
      </w:r>
      <w:r>
        <w:rPr>
          <w:color w:val="000000" w:themeColor="text1"/>
          <w14:textFill>
            <w14:solidFill>
              <w14:schemeClr w14:val="tx1"/>
            </w14:solidFill>
          </w14:textFill>
        </w:rPr>
        <w:t xml:space="preserve"> 本项目固体废物产排情况一览表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136"/>
        <w:gridCol w:w="832"/>
        <w:gridCol w:w="951"/>
        <w:gridCol w:w="1384"/>
        <w:gridCol w:w="932"/>
        <w:gridCol w:w="748"/>
        <w:gridCol w:w="1001"/>
        <w:gridCol w:w="1334"/>
        <w:gridCol w:w="977"/>
        <w:gridCol w:w="660"/>
        <w:gridCol w:w="1746"/>
      </w:tblGrid>
      <w:tr w14:paraId="23D6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573FF5B8">
            <w:pPr>
              <w:pStyle w:val="28"/>
              <w:rPr>
                <w:color w:val="000000" w:themeColor="text1"/>
                <w14:textFill>
                  <w14:solidFill>
                    <w14:schemeClr w14:val="tx1"/>
                  </w14:solidFill>
                </w14:textFill>
              </w:rPr>
            </w:pPr>
            <w:bookmarkStart w:id="101" w:name="_Hlk226621767"/>
            <w:r>
              <w:rPr>
                <w:color w:val="000000" w:themeColor="text1"/>
                <w14:textFill>
                  <w14:solidFill>
                    <w14:schemeClr w14:val="tx1"/>
                  </w14:solidFill>
                </w14:textFill>
              </w:rPr>
              <w:t>名称</w:t>
            </w:r>
          </w:p>
        </w:tc>
        <w:tc>
          <w:tcPr>
            <w:tcW w:w="429" w:type="pct"/>
            <w:shd w:val="clear" w:color="auto" w:fill="auto"/>
            <w:vAlign w:val="center"/>
          </w:tcPr>
          <w:p w14:paraId="71ED8CC5">
            <w:pPr>
              <w:pStyle w:val="28"/>
              <w:rPr>
                <w:color w:val="000000" w:themeColor="text1"/>
                <w14:textFill>
                  <w14:solidFill>
                    <w14:schemeClr w14:val="tx1"/>
                  </w14:solidFill>
                </w14:textFill>
              </w:rPr>
            </w:pPr>
            <w:r>
              <w:rPr>
                <w:color w:val="000000" w:themeColor="text1"/>
                <w14:textFill>
                  <w14:solidFill>
                    <w14:schemeClr w14:val="tx1"/>
                  </w14:solidFill>
                </w14:textFill>
              </w:rPr>
              <w:t>产生环节</w:t>
            </w:r>
          </w:p>
        </w:tc>
        <w:tc>
          <w:tcPr>
            <w:tcW w:w="315" w:type="pct"/>
            <w:shd w:val="clear" w:color="auto" w:fill="auto"/>
            <w:vAlign w:val="center"/>
          </w:tcPr>
          <w:p w14:paraId="23AA717C">
            <w:pPr>
              <w:pStyle w:val="28"/>
              <w:rPr>
                <w:color w:val="000000" w:themeColor="text1"/>
                <w14:textFill>
                  <w14:solidFill>
                    <w14:schemeClr w14:val="tx1"/>
                  </w14:solidFill>
                </w14:textFill>
              </w:rPr>
            </w:pPr>
            <w:r>
              <w:rPr>
                <w:color w:val="000000" w:themeColor="text1"/>
                <w14:textFill>
                  <w14:solidFill>
                    <w14:schemeClr w14:val="tx1"/>
                  </w14:solidFill>
                </w14:textFill>
              </w:rPr>
              <w:t>属性</w:t>
            </w:r>
          </w:p>
        </w:tc>
        <w:tc>
          <w:tcPr>
            <w:tcW w:w="359" w:type="pct"/>
            <w:shd w:val="clear" w:color="auto" w:fill="auto"/>
            <w:vAlign w:val="center"/>
          </w:tcPr>
          <w:p w14:paraId="272D3B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废物类别</w:t>
            </w:r>
          </w:p>
        </w:tc>
        <w:tc>
          <w:tcPr>
            <w:tcW w:w="523" w:type="pct"/>
            <w:shd w:val="clear" w:color="auto" w:fill="auto"/>
            <w:vAlign w:val="center"/>
          </w:tcPr>
          <w:p w14:paraId="1BCE5B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废物代码</w:t>
            </w:r>
          </w:p>
        </w:tc>
        <w:tc>
          <w:tcPr>
            <w:tcW w:w="353" w:type="pct"/>
            <w:shd w:val="clear" w:color="auto" w:fill="auto"/>
            <w:vAlign w:val="center"/>
          </w:tcPr>
          <w:p w14:paraId="3F531F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危险特性</w:t>
            </w:r>
          </w:p>
        </w:tc>
        <w:tc>
          <w:tcPr>
            <w:tcW w:w="283" w:type="pct"/>
            <w:shd w:val="clear" w:color="auto" w:fill="auto"/>
            <w:vAlign w:val="center"/>
          </w:tcPr>
          <w:p w14:paraId="1D45F0D0">
            <w:pPr>
              <w:pStyle w:val="28"/>
              <w:rPr>
                <w:color w:val="000000" w:themeColor="text1"/>
                <w14:textFill>
                  <w14:solidFill>
                    <w14:schemeClr w14:val="tx1"/>
                  </w14:solidFill>
                </w14:textFill>
              </w:rPr>
            </w:pPr>
            <w:r>
              <w:rPr>
                <w:color w:val="000000" w:themeColor="text1"/>
                <w14:textFill>
                  <w14:solidFill>
                    <w14:schemeClr w14:val="tx1"/>
                  </w14:solidFill>
                </w14:textFill>
              </w:rPr>
              <w:t>物理性状</w:t>
            </w:r>
          </w:p>
        </w:tc>
        <w:tc>
          <w:tcPr>
            <w:tcW w:w="378" w:type="pct"/>
            <w:shd w:val="clear" w:color="auto" w:fill="auto"/>
            <w:vAlign w:val="center"/>
          </w:tcPr>
          <w:p w14:paraId="05338912">
            <w:pPr>
              <w:pStyle w:val="28"/>
              <w:rPr>
                <w:color w:val="000000" w:themeColor="text1"/>
                <w14:textFill>
                  <w14:solidFill>
                    <w14:schemeClr w14:val="tx1"/>
                  </w14:solidFill>
                </w14:textFill>
              </w:rPr>
            </w:pP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504" w:type="pct"/>
            <w:shd w:val="clear" w:color="auto" w:fill="auto"/>
            <w:vAlign w:val="center"/>
          </w:tcPr>
          <w:p w14:paraId="514B8492">
            <w:pPr>
              <w:pStyle w:val="28"/>
              <w:rPr>
                <w:color w:val="000000" w:themeColor="text1"/>
                <w14:textFill>
                  <w14:solidFill>
                    <w14:schemeClr w14:val="tx1"/>
                  </w14:solidFill>
                </w14:textFill>
              </w:rPr>
            </w:pPr>
            <w:r>
              <w:rPr>
                <w:color w:val="000000" w:themeColor="text1"/>
                <w14:textFill>
                  <w14:solidFill>
                    <w14:schemeClr w14:val="tx1"/>
                  </w14:solidFill>
                </w14:textFill>
              </w:rPr>
              <w:t>贮存</w:t>
            </w:r>
            <w:r>
              <w:rPr>
                <w:rFonts w:hint="eastAsia"/>
                <w:color w:val="000000" w:themeColor="text1"/>
                <w14:textFill>
                  <w14:solidFill>
                    <w14:schemeClr w14:val="tx1"/>
                  </w14:solidFill>
                </w14:textFill>
              </w:rPr>
              <w:t>位置</w:t>
            </w:r>
          </w:p>
        </w:tc>
        <w:tc>
          <w:tcPr>
            <w:tcW w:w="369" w:type="pct"/>
            <w:shd w:val="clear" w:color="auto" w:fill="auto"/>
            <w:vAlign w:val="center"/>
          </w:tcPr>
          <w:p w14:paraId="6D1522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贮存方式</w:t>
            </w:r>
          </w:p>
        </w:tc>
        <w:tc>
          <w:tcPr>
            <w:tcW w:w="250" w:type="pct"/>
            <w:shd w:val="clear" w:color="auto" w:fill="auto"/>
            <w:vAlign w:val="center"/>
          </w:tcPr>
          <w:p w14:paraId="7DDCE1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贮存周期</w:t>
            </w:r>
          </w:p>
        </w:tc>
        <w:tc>
          <w:tcPr>
            <w:tcW w:w="660" w:type="pct"/>
            <w:shd w:val="clear" w:color="auto" w:fill="auto"/>
            <w:vAlign w:val="center"/>
          </w:tcPr>
          <w:p w14:paraId="27DE27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去向</w:t>
            </w:r>
          </w:p>
        </w:tc>
      </w:tr>
      <w:tr w14:paraId="04C9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vAlign w:val="center"/>
          </w:tcPr>
          <w:p w14:paraId="23D90E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原料废包装物</w:t>
            </w:r>
          </w:p>
        </w:tc>
        <w:tc>
          <w:tcPr>
            <w:tcW w:w="429" w:type="pct"/>
            <w:shd w:val="clear" w:color="auto" w:fill="auto"/>
            <w:vAlign w:val="center"/>
          </w:tcPr>
          <w:p w14:paraId="646D5E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315" w:type="pct"/>
            <w:shd w:val="clear" w:color="auto" w:fill="auto"/>
            <w:vAlign w:val="center"/>
          </w:tcPr>
          <w:p w14:paraId="21BBD1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59" w:type="pct"/>
            <w:shd w:val="clear" w:color="auto" w:fill="auto"/>
            <w:vAlign w:val="center"/>
          </w:tcPr>
          <w:p w14:paraId="2C4D3AED">
            <w:pPr>
              <w:pStyle w:val="28"/>
              <w:rPr>
                <w:color w:val="000000" w:themeColor="text1"/>
                <w14:textFill>
                  <w14:solidFill>
                    <w14:schemeClr w14:val="tx1"/>
                  </w14:solidFill>
                </w14:textFill>
              </w:rPr>
            </w:pPr>
            <w:r>
              <w:rPr>
                <w:color w:val="000000" w:themeColor="text1"/>
                <w14:textFill>
                  <w14:solidFill>
                    <w14:schemeClr w14:val="tx1"/>
                  </w14:solidFill>
                </w14:textFill>
              </w:rPr>
              <w:t>SW17</w:t>
            </w:r>
          </w:p>
        </w:tc>
        <w:tc>
          <w:tcPr>
            <w:tcW w:w="523" w:type="pct"/>
            <w:shd w:val="clear" w:color="auto" w:fill="auto"/>
            <w:vAlign w:val="center"/>
          </w:tcPr>
          <w:p w14:paraId="3E69E3DB">
            <w:pPr>
              <w:pStyle w:val="28"/>
              <w:rPr>
                <w:color w:val="000000" w:themeColor="text1"/>
                <w14:textFill>
                  <w14:solidFill>
                    <w14:schemeClr w14:val="tx1"/>
                  </w14:solidFill>
                </w14:textFill>
              </w:rPr>
            </w:pPr>
            <w:r>
              <w:rPr>
                <w:color w:val="000000" w:themeColor="text1"/>
                <w14:textFill>
                  <w14:solidFill>
                    <w14:schemeClr w14:val="tx1"/>
                  </w14:solidFill>
                </w14:textFill>
              </w:rPr>
              <w:t>900-003-S17</w:t>
            </w:r>
          </w:p>
        </w:tc>
        <w:tc>
          <w:tcPr>
            <w:tcW w:w="353" w:type="pct"/>
            <w:shd w:val="clear" w:color="auto" w:fill="auto"/>
            <w:vAlign w:val="center"/>
          </w:tcPr>
          <w:p w14:paraId="22D694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83" w:type="pct"/>
            <w:shd w:val="clear" w:color="auto" w:fill="auto"/>
            <w:vAlign w:val="center"/>
          </w:tcPr>
          <w:p w14:paraId="657DEC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vMerge w:val="restart"/>
            <w:shd w:val="clear" w:color="auto" w:fill="auto"/>
            <w:vAlign w:val="center"/>
          </w:tcPr>
          <w:p w14:paraId="4F1AFF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504" w:type="pct"/>
            <w:shd w:val="clear" w:color="auto" w:fill="auto"/>
            <w:vAlign w:val="center"/>
          </w:tcPr>
          <w:p w14:paraId="30AA86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369" w:type="pct"/>
            <w:shd w:val="clear" w:color="auto" w:fill="auto"/>
            <w:vAlign w:val="center"/>
          </w:tcPr>
          <w:p w14:paraId="4F8408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250" w:type="pct"/>
            <w:shd w:val="clear" w:color="auto" w:fill="auto"/>
            <w:vAlign w:val="center"/>
          </w:tcPr>
          <w:p w14:paraId="03384E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5E11B6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统一收集后外售至废品回收站</w:t>
            </w:r>
          </w:p>
        </w:tc>
      </w:tr>
      <w:tr w14:paraId="1575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0" w:type="pct"/>
            <w:shd w:val="clear" w:color="auto" w:fill="auto"/>
            <w:vAlign w:val="center"/>
          </w:tcPr>
          <w:p w14:paraId="4D45EE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有机溶剂废包装物</w:t>
            </w:r>
          </w:p>
        </w:tc>
        <w:tc>
          <w:tcPr>
            <w:tcW w:w="429" w:type="pct"/>
            <w:shd w:val="clear" w:color="auto" w:fill="auto"/>
            <w:vAlign w:val="center"/>
          </w:tcPr>
          <w:p w14:paraId="550A0C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315" w:type="pct"/>
            <w:shd w:val="clear" w:color="auto" w:fill="auto"/>
            <w:vAlign w:val="center"/>
          </w:tcPr>
          <w:p w14:paraId="4E4C01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0225047E">
            <w:pPr>
              <w:pStyle w:val="28"/>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523" w:type="pct"/>
            <w:shd w:val="clear" w:color="auto" w:fill="auto"/>
            <w:vAlign w:val="center"/>
          </w:tcPr>
          <w:p w14:paraId="382CA7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c>
          <w:tcPr>
            <w:tcW w:w="353" w:type="pct"/>
            <w:shd w:val="clear" w:color="auto" w:fill="auto"/>
            <w:vAlign w:val="center"/>
          </w:tcPr>
          <w:p w14:paraId="3F9E65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T/In</w:t>
            </w:r>
          </w:p>
        </w:tc>
        <w:tc>
          <w:tcPr>
            <w:tcW w:w="283" w:type="pct"/>
            <w:shd w:val="clear" w:color="auto" w:fill="auto"/>
            <w:vAlign w:val="center"/>
          </w:tcPr>
          <w:p w14:paraId="390D39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vMerge w:val="continue"/>
            <w:shd w:val="clear" w:color="auto" w:fill="auto"/>
            <w:vAlign w:val="center"/>
          </w:tcPr>
          <w:p w14:paraId="24112E04">
            <w:pPr>
              <w:pStyle w:val="28"/>
              <w:rPr>
                <w:color w:val="000000" w:themeColor="text1"/>
                <w14:textFill>
                  <w14:solidFill>
                    <w14:schemeClr w14:val="tx1"/>
                  </w14:solidFill>
                </w14:textFill>
              </w:rPr>
            </w:pPr>
          </w:p>
        </w:tc>
        <w:tc>
          <w:tcPr>
            <w:tcW w:w="504" w:type="pct"/>
            <w:shd w:val="clear" w:color="auto" w:fill="auto"/>
            <w:vAlign w:val="center"/>
          </w:tcPr>
          <w:p w14:paraId="1A49B1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770D10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049683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055846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6D50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092698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429" w:type="pct"/>
            <w:shd w:val="clear" w:color="auto" w:fill="auto"/>
            <w:vAlign w:val="center"/>
          </w:tcPr>
          <w:p w14:paraId="6B556B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w:t>
            </w:r>
          </w:p>
        </w:tc>
        <w:tc>
          <w:tcPr>
            <w:tcW w:w="315" w:type="pct"/>
            <w:shd w:val="clear" w:color="auto" w:fill="auto"/>
            <w:vAlign w:val="center"/>
          </w:tcPr>
          <w:p w14:paraId="09EFD9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358CAC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HW06</w:t>
            </w:r>
          </w:p>
        </w:tc>
        <w:tc>
          <w:tcPr>
            <w:tcW w:w="523" w:type="pct"/>
            <w:shd w:val="clear" w:color="auto" w:fill="auto"/>
            <w:vAlign w:val="center"/>
          </w:tcPr>
          <w:p w14:paraId="5BD72B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900-402-06</w:t>
            </w:r>
          </w:p>
          <w:p w14:paraId="0839FC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900-404-06</w:t>
            </w:r>
          </w:p>
        </w:tc>
        <w:tc>
          <w:tcPr>
            <w:tcW w:w="353" w:type="pct"/>
            <w:shd w:val="clear" w:color="auto" w:fill="auto"/>
            <w:vAlign w:val="center"/>
          </w:tcPr>
          <w:p w14:paraId="75E961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T/I/R</w:t>
            </w:r>
          </w:p>
        </w:tc>
        <w:tc>
          <w:tcPr>
            <w:tcW w:w="283" w:type="pct"/>
            <w:shd w:val="clear" w:color="auto" w:fill="auto"/>
            <w:vAlign w:val="center"/>
          </w:tcPr>
          <w:p w14:paraId="7E0036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78" w:type="pct"/>
            <w:shd w:val="clear" w:color="auto" w:fill="auto"/>
            <w:vAlign w:val="center"/>
          </w:tcPr>
          <w:p w14:paraId="513F74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98.576</w:t>
            </w:r>
          </w:p>
        </w:tc>
        <w:tc>
          <w:tcPr>
            <w:tcW w:w="504" w:type="pct"/>
            <w:shd w:val="clear" w:color="auto" w:fill="auto"/>
            <w:vAlign w:val="center"/>
          </w:tcPr>
          <w:p w14:paraId="67AFEC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2C9B72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2FCE70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c>
          <w:tcPr>
            <w:tcW w:w="660" w:type="pct"/>
            <w:shd w:val="clear" w:color="auto" w:fill="auto"/>
            <w:vAlign w:val="center"/>
          </w:tcPr>
          <w:p w14:paraId="2D606F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6A77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5B5DFC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w:t>
            </w:r>
          </w:p>
        </w:tc>
        <w:tc>
          <w:tcPr>
            <w:tcW w:w="429" w:type="pct"/>
            <w:shd w:val="clear" w:color="auto" w:fill="auto"/>
            <w:vAlign w:val="center"/>
          </w:tcPr>
          <w:p w14:paraId="4CDB0B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设备清洗</w:t>
            </w:r>
          </w:p>
        </w:tc>
        <w:tc>
          <w:tcPr>
            <w:tcW w:w="315" w:type="pct"/>
            <w:shd w:val="clear" w:color="auto" w:fill="auto"/>
            <w:vAlign w:val="center"/>
          </w:tcPr>
          <w:p w14:paraId="13A96D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61014B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HW35</w:t>
            </w:r>
          </w:p>
        </w:tc>
        <w:tc>
          <w:tcPr>
            <w:tcW w:w="523" w:type="pct"/>
            <w:shd w:val="clear" w:color="auto" w:fill="auto"/>
            <w:vAlign w:val="center"/>
          </w:tcPr>
          <w:p w14:paraId="357D8622">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900-356-35</w:t>
            </w:r>
          </w:p>
        </w:tc>
        <w:tc>
          <w:tcPr>
            <w:tcW w:w="353" w:type="pct"/>
            <w:shd w:val="clear" w:color="auto" w:fill="auto"/>
            <w:vAlign w:val="center"/>
          </w:tcPr>
          <w:p w14:paraId="191404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C/T</w:t>
            </w:r>
          </w:p>
        </w:tc>
        <w:tc>
          <w:tcPr>
            <w:tcW w:w="283" w:type="pct"/>
            <w:shd w:val="clear" w:color="auto" w:fill="auto"/>
            <w:vAlign w:val="center"/>
          </w:tcPr>
          <w:p w14:paraId="76E13F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78" w:type="pct"/>
            <w:shd w:val="clear" w:color="auto" w:fill="auto"/>
            <w:vAlign w:val="center"/>
          </w:tcPr>
          <w:p w14:paraId="2A712A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4" w:type="pct"/>
            <w:shd w:val="clear" w:color="auto" w:fill="auto"/>
            <w:vAlign w:val="center"/>
          </w:tcPr>
          <w:p w14:paraId="5F217A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437B6A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56DF33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1F7AC5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7158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70" w:type="pct"/>
            <w:shd w:val="clear" w:color="auto" w:fill="auto"/>
            <w:vAlign w:val="center"/>
          </w:tcPr>
          <w:p w14:paraId="08A73C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w:t>
            </w:r>
          </w:p>
        </w:tc>
        <w:tc>
          <w:tcPr>
            <w:tcW w:w="429" w:type="pct"/>
            <w:shd w:val="clear" w:color="auto" w:fill="auto"/>
            <w:vAlign w:val="center"/>
          </w:tcPr>
          <w:p w14:paraId="2C11B2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315" w:type="pct"/>
            <w:shd w:val="clear" w:color="auto" w:fill="auto"/>
            <w:vAlign w:val="center"/>
          </w:tcPr>
          <w:p w14:paraId="62A70C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59" w:type="pct"/>
            <w:shd w:val="clear" w:color="auto" w:fill="auto"/>
            <w:vAlign w:val="center"/>
          </w:tcPr>
          <w:p w14:paraId="5E7F25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SW07</w:t>
            </w:r>
          </w:p>
        </w:tc>
        <w:tc>
          <w:tcPr>
            <w:tcW w:w="523" w:type="pct"/>
            <w:shd w:val="clear" w:color="auto" w:fill="auto"/>
            <w:vAlign w:val="center"/>
          </w:tcPr>
          <w:p w14:paraId="71360AEB">
            <w:pPr>
              <w:pStyle w:val="28"/>
              <w:rPr>
                <w:color w:val="000000" w:themeColor="text1"/>
                <w14:textFill>
                  <w14:solidFill>
                    <w14:schemeClr w14:val="tx1"/>
                  </w14:solidFill>
                </w14:textFill>
              </w:rPr>
            </w:pPr>
            <w:r>
              <w:rPr>
                <w:color w:val="000000" w:themeColor="text1"/>
                <w14:textFill>
                  <w14:solidFill>
                    <w14:schemeClr w14:val="tx1"/>
                  </w14:solidFill>
                </w14:textFill>
              </w:rPr>
              <w:t>900-099-S07</w:t>
            </w:r>
          </w:p>
        </w:tc>
        <w:tc>
          <w:tcPr>
            <w:tcW w:w="353" w:type="pct"/>
            <w:shd w:val="clear" w:color="auto" w:fill="auto"/>
            <w:vAlign w:val="center"/>
          </w:tcPr>
          <w:p w14:paraId="2510BE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83" w:type="pct"/>
            <w:shd w:val="clear" w:color="auto" w:fill="auto"/>
            <w:vAlign w:val="center"/>
          </w:tcPr>
          <w:p w14:paraId="0B4D48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552DE2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3.6464</w:t>
            </w:r>
          </w:p>
        </w:tc>
        <w:tc>
          <w:tcPr>
            <w:tcW w:w="504" w:type="pct"/>
            <w:shd w:val="clear" w:color="auto" w:fill="auto"/>
            <w:vAlign w:val="center"/>
          </w:tcPr>
          <w:p w14:paraId="21664D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69" w:type="pct"/>
            <w:shd w:val="clear" w:color="auto" w:fill="auto"/>
            <w:vAlign w:val="center"/>
          </w:tcPr>
          <w:p w14:paraId="62F6BA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封闭桶装</w:t>
            </w:r>
          </w:p>
        </w:tc>
        <w:tc>
          <w:tcPr>
            <w:tcW w:w="250" w:type="pct"/>
            <w:shd w:val="clear" w:color="auto" w:fill="auto"/>
            <w:vAlign w:val="center"/>
          </w:tcPr>
          <w:p w14:paraId="620A47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即产及清</w:t>
            </w:r>
          </w:p>
        </w:tc>
        <w:tc>
          <w:tcPr>
            <w:tcW w:w="660" w:type="pct"/>
            <w:shd w:val="clear" w:color="auto" w:fill="auto"/>
            <w:vAlign w:val="center"/>
          </w:tcPr>
          <w:p w14:paraId="274B88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r>
      <w:tr w14:paraId="57E4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70" w:type="pct"/>
            <w:shd w:val="clear" w:color="auto" w:fill="auto"/>
            <w:vAlign w:val="center"/>
          </w:tcPr>
          <w:p w14:paraId="185E46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喷淋循环系统定期排污废液</w:t>
            </w:r>
          </w:p>
        </w:tc>
        <w:tc>
          <w:tcPr>
            <w:tcW w:w="429" w:type="pct"/>
            <w:shd w:val="clear" w:color="auto" w:fill="auto"/>
            <w:vAlign w:val="center"/>
          </w:tcPr>
          <w:p w14:paraId="248820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315" w:type="pct"/>
            <w:shd w:val="clear" w:color="auto" w:fill="auto"/>
            <w:vAlign w:val="center"/>
          </w:tcPr>
          <w:p w14:paraId="0EDA52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6567EF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HW35</w:t>
            </w:r>
          </w:p>
        </w:tc>
        <w:tc>
          <w:tcPr>
            <w:tcW w:w="523" w:type="pct"/>
            <w:shd w:val="clear" w:color="auto" w:fill="auto"/>
            <w:vAlign w:val="center"/>
          </w:tcPr>
          <w:p w14:paraId="780F5CB8">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900-356-35</w:t>
            </w:r>
          </w:p>
        </w:tc>
        <w:tc>
          <w:tcPr>
            <w:tcW w:w="353" w:type="pct"/>
            <w:shd w:val="clear" w:color="auto" w:fill="auto"/>
            <w:vAlign w:val="center"/>
          </w:tcPr>
          <w:p w14:paraId="211BDC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C/T</w:t>
            </w:r>
          </w:p>
        </w:tc>
        <w:tc>
          <w:tcPr>
            <w:tcW w:w="283" w:type="pct"/>
            <w:shd w:val="clear" w:color="auto" w:fill="auto"/>
            <w:vAlign w:val="center"/>
          </w:tcPr>
          <w:p w14:paraId="73CBB2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78" w:type="pct"/>
            <w:shd w:val="clear" w:color="auto" w:fill="auto"/>
            <w:vAlign w:val="center"/>
          </w:tcPr>
          <w:p w14:paraId="309999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4" w:type="pct"/>
            <w:shd w:val="clear" w:color="auto" w:fill="auto"/>
            <w:vAlign w:val="center"/>
          </w:tcPr>
          <w:p w14:paraId="7A087B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7663A3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6EA856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即产及清</w:t>
            </w:r>
          </w:p>
        </w:tc>
        <w:tc>
          <w:tcPr>
            <w:tcW w:w="660" w:type="pct"/>
            <w:shd w:val="clear" w:color="auto" w:fill="auto"/>
            <w:vAlign w:val="center"/>
          </w:tcPr>
          <w:p w14:paraId="750F37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664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74A9C4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429" w:type="pct"/>
            <w:shd w:val="clear" w:color="auto" w:fill="auto"/>
            <w:vAlign w:val="center"/>
          </w:tcPr>
          <w:p w14:paraId="52246F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315" w:type="pct"/>
            <w:shd w:val="clear" w:color="auto" w:fill="auto"/>
            <w:vAlign w:val="center"/>
          </w:tcPr>
          <w:p w14:paraId="08C409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3103CB11">
            <w:pPr>
              <w:pStyle w:val="28"/>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14:textFill>
                  <w14:solidFill>
                    <w14:schemeClr w14:val="tx1"/>
                  </w14:solidFill>
                </w14:textFill>
              </w:rPr>
              <w:t>08</w:t>
            </w:r>
          </w:p>
        </w:tc>
        <w:tc>
          <w:tcPr>
            <w:tcW w:w="523" w:type="pct"/>
            <w:shd w:val="clear" w:color="auto" w:fill="auto"/>
            <w:vAlign w:val="center"/>
          </w:tcPr>
          <w:p w14:paraId="7CAA1C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900-039-49</w:t>
            </w:r>
          </w:p>
        </w:tc>
        <w:tc>
          <w:tcPr>
            <w:tcW w:w="353" w:type="pct"/>
            <w:shd w:val="clear" w:color="auto" w:fill="auto"/>
            <w:vAlign w:val="center"/>
          </w:tcPr>
          <w:p w14:paraId="4F2D11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283" w:type="pct"/>
            <w:shd w:val="clear" w:color="auto" w:fill="auto"/>
            <w:vAlign w:val="center"/>
          </w:tcPr>
          <w:p w14:paraId="655C33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29FA56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504" w:type="pct"/>
            <w:shd w:val="clear" w:color="auto" w:fill="auto"/>
            <w:vAlign w:val="center"/>
          </w:tcPr>
          <w:p w14:paraId="1A59F7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3B69B8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703892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c>
          <w:tcPr>
            <w:tcW w:w="660" w:type="pct"/>
            <w:shd w:val="clear" w:color="auto" w:fill="auto"/>
            <w:vAlign w:val="center"/>
          </w:tcPr>
          <w:p w14:paraId="18239A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2EE8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0C73B4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w:t>
            </w:r>
          </w:p>
        </w:tc>
        <w:tc>
          <w:tcPr>
            <w:tcW w:w="429" w:type="pct"/>
            <w:shd w:val="clear" w:color="auto" w:fill="auto"/>
            <w:vAlign w:val="center"/>
          </w:tcPr>
          <w:p w14:paraId="05F23B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c>
        <w:tc>
          <w:tcPr>
            <w:tcW w:w="315" w:type="pct"/>
            <w:shd w:val="clear" w:color="auto" w:fill="auto"/>
            <w:vAlign w:val="center"/>
          </w:tcPr>
          <w:p w14:paraId="404DEE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39CD4339">
            <w:pPr>
              <w:pStyle w:val="28"/>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14:textFill>
                  <w14:solidFill>
                    <w14:schemeClr w14:val="tx1"/>
                  </w14:solidFill>
                </w14:textFill>
              </w:rPr>
              <w:t>08</w:t>
            </w:r>
          </w:p>
        </w:tc>
        <w:tc>
          <w:tcPr>
            <w:tcW w:w="523" w:type="pct"/>
            <w:shd w:val="clear" w:color="auto" w:fill="auto"/>
            <w:vAlign w:val="center"/>
          </w:tcPr>
          <w:p w14:paraId="1A77A7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900-249-08</w:t>
            </w:r>
          </w:p>
        </w:tc>
        <w:tc>
          <w:tcPr>
            <w:tcW w:w="353" w:type="pct"/>
            <w:shd w:val="clear" w:color="auto" w:fill="auto"/>
            <w:vAlign w:val="center"/>
          </w:tcPr>
          <w:p w14:paraId="004B98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w:t>
            </w:r>
          </w:p>
        </w:tc>
        <w:tc>
          <w:tcPr>
            <w:tcW w:w="283" w:type="pct"/>
            <w:shd w:val="clear" w:color="auto" w:fill="auto"/>
            <w:vAlign w:val="center"/>
          </w:tcPr>
          <w:p w14:paraId="490C3E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378" w:type="pct"/>
            <w:shd w:val="clear" w:color="auto" w:fill="auto"/>
            <w:vAlign w:val="center"/>
          </w:tcPr>
          <w:p w14:paraId="18BB65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504" w:type="pct"/>
            <w:shd w:val="clear" w:color="auto" w:fill="auto"/>
            <w:vAlign w:val="center"/>
          </w:tcPr>
          <w:p w14:paraId="2904AF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049D48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42A9B6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0ACF62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725D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70" w:type="pct"/>
            <w:shd w:val="clear" w:color="auto" w:fill="auto"/>
            <w:vAlign w:val="center"/>
          </w:tcPr>
          <w:p w14:paraId="726324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w:t>
            </w:r>
          </w:p>
        </w:tc>
        <w:tc>
          <w:tcPr>
            <w:tcW w:w="429" w:type="pct"/>
            <w:shd w:val="clear" w:color="auto" w:fill="auto"/>
            <w:vAlign w:val="center"/>
          </w:tcPr>
          <w:p w14:paraId="397F33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产品测试</w:t>
            </w:r>
          </w:p>
        </w:tc>
        <w:tc>
          <w:tcPr>
            <w:tcW w:w="315" w:type="pct"/>
            <w:shd w:val="clear" w:color="auto" w:fill="auto"/>
            <w:vAlign w:val="center"/>
          </w:tcPr>
          <w:p w14:paraId="7BD1B6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59" w:type="pct"/>
            <w:shd w:val="clear" w:color="auto" w:fill="auto"/>
            <w:vAlign w:val="center"/>
          </w:tcPr>
          <w:p w14:paraId="060E40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SW59</w:t>
            </w:r>
          </w:p>
        </w:tc>
        <w:tc>
          <w:tcPr>
            <w:tcW w:w="523" w:type="pct"/>
            <w:shd w:val="clear" w:color="auto" w:fill="auto"/>
            <w:vAlign w:val="center"/>
          </w:tcPr>
          <w:p w14:paraId="39B92D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900-099-S59</w:t>
            </w:r>
          </w:p>
        </w:tc>
        <w:tc>
          <w:tcPr>
            <w:tcW w:w="353" w:type="pct"/>
            <w:shd w:val="clear" w:color="auto" w:fill="auto"/>
            <w:vAlign w:val="center"/>
          </w:tcPr>
          <w:p w14:paraId="08EEB5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83" w:type="pct"/>
            <w:shd w:val="clear" w:color="auto" w:fill="auto"/>
            <w:vAlign w:val="center"/>
          </w:tcPr>
          <w:p w14:paraId="28F8DC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05E5BE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504" w:type="pct"/>
            <w:shd w:val="clear" w:color="auto" w:fill="auto"/>
            <w:vAlign w:val="center"/>
          </w:tcPr>
          <w:p w14:paraId="7B8FBE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369" w:type="pct"/>
            <w:shd w:val="clear" w:color="auto" w:fill="auto"/>
            <w:vAlign w:val="center"/>
          </w:tcPr>
          <w:p w14:paraId="40F1BE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250" w:type="pct"/>
            <w:shd w:val="clear" w:color="auto" w:fill="auto"/>
            <w:vAlign w:val="center"/>
          </w:tcPr>
          <w:p w14:paraId="5497E9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3B12D0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r>
      <w:tr w14:paraId="7A81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6C8D10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废抹布</w:t>
            </w:r>
          </w:p>
        </w:tc>
        <w:tc>
          <w:tcPr>
            <w:tcW w:w="429" w:type="pct"/>
            <w:shd w:val="clear" w:color="auto" w:fill="auto"/>
            <w:vAlign w:val="center"/>
          </w:tcPr>
          <w:p w14:paraId="62488E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车间地面清洗</w:t>
            </w:r>
          </w:p>
        </w:tc>
        <w:tc>
          <w:tcPr>
            <w:tcW w:w="315" w:type="pct"/>
            <w:shd w:val="clear" w:color="auto" w:fill="auto"/>
            <w:vAlign w:val="center"/>
          </w:tcPr>
          <w:p w14:paraId="21155B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59" w:type="pct"/>
            <w:shd w:val="clear" w:color="auto" w:fill="auto"/>
            <w:vAlign w:val="center"/>
          </w:tcPr>
          <w:p w14:paraId="24F6AF27">
            <w:pPr>
              <w:pStyle w:val="28"/>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523" w:type="pct"/>
            <w:shd w:val="clear" w:color="auto" w:fill="auto"/>
            <w:vAlign w:val="center"/>
          </w:tcPr>
          <w:p w14:paraId="34D9E7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900-041-49</w:t>
            </w:r>
          </w:p>
        </w:tc>
        <w:tc>
          <w:tcPr>
            <w:tcW w:w="353" w:type="pct"/>
            <w:shd w:val="clear" w:color="auto" w:fill="auto"/>
            <w:vAlign w:val="center"/>
          </w:tcPr>
          <w:p w14:paraId="725291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T/In</w:t>
            </w:r>
          </w:p>
        </w:tc>
        <w:tc>
          <w:tcPr>
            <w:tcW w:w="283" w:type="pct"/>
            <w:shd w:val="clear" w:color="auto" w:fill="auto"/>
            <w:vAlign w:val="center"/>
          </w:tcPr>
          <w:p w14:paraId="38FDA6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613BBC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w:t>
            </w:r>
          </w:p>
        </w:tc>
        <w:tc>
          <w:tcPr>
            <w:tcW w:w="504" w:type="pct"/>
            <w:shd w:val="clear" w:color="auto" w:fill="auto"/>
            <w:vAlign w:val="center"/>
          </w:tcPr>
          <w:p w14:paraId="5F3A82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69" w:type="pct"/>
            <w:shd w:val="clear" w:color="auto" w:fill="auto"/>
            <w:vAlign w:val="center"/>
          </w:tcPr>
          <w:p w14:paraId="3EB84C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密闭桶装</w:t>
            </w:r>
          </w:p>
        </w:tc>
        <w:tc>
          <w:tcPr>
            <w:tcW w:w="250" w:type="pct"/>
            <w:shd w:val="clear" w:color="auto" w:fill="auto"/>
            <w:vAlign w:val="center"/>
          </w:tcPr>
          <w:p w14:paraId="1FD228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389DBF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r>
      <w:tr w14:paraId="7FD3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22F62C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废手套</w:t>
            </w:r>
          </w:p>
        </w:tc>
        <w:tc>
          <w:tcPr>
            <w:tcW w:w="429" w:type="pct"/>
            <w:shd w:val="clear" w:color="auto" w:fill="auto"/>
            <w:vAlign w:val="center"/>
          </w:tcPr>
          <w:p w14:paraId="38F484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315" w:type="pct"/>
            <w:shd w:val="clear" w:color="auto" w:fill="auto"/>
            <w:vAlign w:val="center"/>
          </w:tcPr>
          <w:p w14:paraId="5A84AA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59" w:type="pct"/>
            <w:shd w:val="clear" w:color="auto" w:fill="auto"/>
            <w:vAlign w:val="center"/>
          </w:tcPr>
          <w:p w14:paraId="57A827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SW62</w:t>
            </w:r>
          </w:p>
        </w:tc>
        <w:tc>
          <w:tcPr>
            <w:tcW w:w="523" w:type="pct"/>
            <w:shd w:val="clear" w:color="auto" w:fill="auto"/>
            <w:vAlign w:val="center"/>
          </w:tcPr>
          <w:p w14:paraId="60BF6A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900-005-S62</w:t>
            </w:r>
          </w:p>
        </w:tc>
        <w:tc>
          <w:tcPr>
            <w:tcW w:w="353" w:type="pct"/>
            <w:shd w:val="clear" w:color="auto" w:fill="auto"/>
            <w:vAlign w:val="center"/>
          </w:tcPr>
          <w:p w14:paraId="57D71A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83" w:type="pct"/>
            <w:shd w:val="clear" w:color="auto" w:fill="auto"/>
            <w:vAlign w:val="center"/>
          </w:tcPr>
          <w:p w14:paraId="70D9E1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3D0362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4" w:type="pct"/>
            <w:shd w:val="clear" w:color="auto" w:fill="auto"/>
            <w:vAlign w:val="center"/>
          </w:tcPr>
          <w:p w14:paraId="794A91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固废暂存间</w:t>
            </w:r>
          </w:p>
        </w:tc>
        <w:tc>
          <w:tcPr>
            <w:tcW w:w="369" w:type="pct"/>
            <w:shd w:val="clear" w:color="auto" w:fill="auto"/>
            <w:vAlign w:val="center"/>
          </w:tcPr>
          <w:p w14:paraId="41ECAE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250" w:type="pct"/>
            <w:shd w:val="clear" w:color="auto" w:fill="auto"/>
            <w:vAlign w:val="center"/>
          </w:tcPr>
          <w:p w14:paraId="54F462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1年</w:t>
            </w:r>
          </w:p>
        </w:tc>
        <w:tc>
          <w:tcPr>
            <w:tcW w:w="660" w:type="pct"/>
            <w:shd w:val="clear" w:color="auto" w:fill="auto"/>
            <w:vAlign w:val="center"/>
          </w:tcPr>
          <w:p w14:paraId="564570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r>
      <w:tr w14:paraId="282B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shd w:val="clear" w:color="auto" w:fill="auto"/>
            <w:vAlign w:val="center"/>
          </w:tcPr>
          <w:p w14:paraId="23C9CC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429" w:type="pct"/>
            <w:shd w:val="clear" w:color="auto" w:fill="auto"/>
            <w:vAlign w:val="center"/>
          </w:tcPr>
          <w:p w14:paraId="086156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315" w:type="pct"/>
            <w:shd w:val="clear" w:color="auto" w:fill="auto"/>
            <w:vAlign w:val="center"/>
          </w:tcPr>
          <w:p w14:paraId="13AE3D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359" w:type="pct"/>
            <w:shd w:val="clear" w:color="auto" w:fill="auto"/>
            <w:vAlign w:val="center"/>
          </w:tcPr>
          <w:p w14:paraId="6118397A">
            <w:pPr>
              <w:pStyle w:val="28"/>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62、</w:t>
            </w:r>
            <w:r>
              <w:rPr>
                <w:color w:val="000000" w:themeColor="text1"/>
                <w14:textFill>
                  <w14:solidFill>
                    <w14:schemeClr w14:val="tx1"/>
                  </w14:solidFill>
                </w14:textFill>
              </w:rPr>
              <w:t>SW</w:t>
            </w:r>
            <w:r>
              <w:rPr>
                <w:rFonts w:hint="eastAsia"/>
                <w:color w:val="000000" w:themeColor="text1"/>
                <w14:textFill>
                  <w14:solidFill>
                    <w14:schemeClr w14:val="tx1"/>
                  </w14:solidFill>
                </w14:textFill>
              </w:rPr>
              <w:t>64</w:t>
            </w:r>
          </w:p>
        </w:tc>
        <w:tc>
          <w:tcPr>
            <w:tcW w:w="523" w:type="pct"/>
            <w:shd w:val="clear" w:color="auto" w:fill="auto"/>
            <w:vAlign w:val="center"/>
          </w:tcPr>
          <w:p w14:paraId="187A2C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900-001-S62</w:t>
            </w:r>
          </w:p>
          <w:p w14:paraId="0FB2D5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900-002-S62</w:t>
            </w:r>
          </w:p>
          <w:p w14:paraId="0355EB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900-002-S64</w:t>
            </w:r>
          </w:p>
        </w:tc>
        <w:tc>
          <w:tcPr>
            <w:tcW w:w="353" w:type="pct"/>
            <w:shd w:val="clear" w:color="auto" w:fill="auto"/>
            <w:vAlign w:val="center"/>
          </w:tcPr>
          <w:p w14:paraId="6FC5DD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83" w:type="pct"/>
            <w:shd w:val="clear" w:color="auto" w:fill="auto"/>
            <w:vAlign w:val="center"/>
          </w:tcPr>
          <w:p w14:paraId="4CDAB4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378" w:type="pct"/>
            <w:shd w:val="clear" w:color="auto" w:fill="auto"/>
            <w:vAlign w:val="center"/>
          </w:tcPr>
          <w:p w14:paraId="6DC2A8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0.78</w:t>
            </w:r>
          </w:p>
        </w:tc>
        <w:tc>
          <w:tcPr>
            <w:tcW w:w="504" w:type="pct"/>
            <w:shd w:val="clear" w:color="auto" w:fill="auto"/>
            <w:vAlign w:val="center"/>
          </w:tcPr>
          <w:p w14:paraId="7AD351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69" w:type="pct"/>
            <w:shd w:val="clear" w:color="auto" w:fill="auto"/>
            <w:vAlign w:val="center"/>
          </w:tcPr>
          <w:p w14:paraId="181F93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50" w:type="pct"/>
            <w:shd w:val="clear" w:color="auto" w:fill="auto"/>
            <w:vAlign w:val="center"/>
          </w:tcPr>
          <w:p w14:paraId="601FE3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0" w:type="pct"/>
            <w:shd w:val="clear" w:color="auto" w:fill="auto"/>
            <w:vAlign w:val="center"/>
          </w:tcPr>
          <w:p w14:paraId="5E5C76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r>
      <w:bookmarkEnd w:id="101"/>
    </w:tbl>
    <w:p w14:paraId="300029B1">
      <w:pPr>
        <w:ind w:firstLine="480"/>
        <w:rPr>
          <w:color w:val="000000" w:themeColor="text1"/>
          <w14:textFill>
            <w14:solidFill>
              <w14:schemeClr w14:val="tx1"/>
            </w14:solidFill>
          </w14:textFill>
        </w:rPr>
        <w:sectPr>
          <w:pgSz w:w="16838" w:h="11906" w:orient="landscape"/>
          <w:pgMar w:top="1440" w:right="2030" w:bottom="1440" w:left="1803" w:header="907" w:footer="992" w:gutter="0"/>
          <w:cols w:space="425" w:num="1"/>
          <w:docGrid w:type="lines" w:linePitch="312" w:charSpace="0"/>
        </w:sectPr>
      </w:pPr>
    </w:p>
    <w:p w14:paraId="13B0A59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5.2.4.2固废环境影响分析</w:t>
      </w:r>
    </w:p>
    <w:p w14:paraId="0AE6C50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1、危废暂存间设置合理性分析</w:t>
      </w:r>
    </w:p>
    <w:p w14:paraId="7ACD61C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已建厂房建设危废暂存间，根据现场踏勘，租用的作为危废暂存间的厂房地面已硬化，车间内已设置集液池、导流沟。危废暂存间为全封闭建筑，全屋为混凝土结构，屋顶设置防水卷材，防止屋顶漏水，门窗采用密封式设计，门缝处加装密封条；周边设置雨水沟，雨季前检查屋顶排水口、雨水沟是否畅通，及时清理杂物，防止雨水渗透导致物料受潮。本项目要求建设单位对危废暂存间采用“环氧树脂防渗漆”进行重点防渗，防渗层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cm/s，对产生的危废进行分类收集，分区暂存，废有机溶剂采用托盘进行盛放。</w:t>
      </w:r>
    </w:p>
    <w:p w14:paraId="342DEE68">
      <w:pPr>
        <w:ind w:firstLine="480"/>
        <w:rPr>
          <w:color w:val="000000" w:themeColor="text1"/>
          <w14:textFill>
            <w14:solidFill>
              <w14:schemeClr w14:val="tx1"/>
            </w14:solidFill>
          </w14:textFill>
        </w:rPr>
      </w:pPr>
      <w:r>
        <w:rPr>
          <w:color w:val="000000" w:themeColor="text1"/>
          <w14:textFill>
            <w14:solidFill>
              <w14:schemeClr w14:val="tx1"/>
            </w14:solidFill>
          </w14:textFill>
        </w:rPr>
        <w:t>危废从产生单元转运至危废暂存区后，应对转运沿线进行检查和清理，确保无危废遗失在转运路线上。项目产生的危险废物在厂区内的贮存时间不得超过一年。危废暂存间危险废物按《国家危险废物名录（2025年版）》（2025年1月1日起施行）进行分类，危险废物</w:t>
      </w:r>
      <w:r>
        <w:rPr>
          <w:rFonts w:hint="eastAsia"/>
          <w:color w:val="000000" w:themeColor="text1"/>
          <w14:textFill>
            <w14:solidFill>
              <w14:schemeClr w14:val="tx1"/>
            </w14:solidFill>
          </w14:textFill>
        </w:rPr>
        <w:t>暂存间设置、</w:t>
      </w:r>
      <w:r>
        <w:rPr>
          <w:color w:val="000000" w:themeColor="text1"/>
          <w14:textFill>
            <w14:solidFill>
              <w14:schemeClr w14:val="tx1"/>
            </w14:solidFill>
          </w14:textFill>
        </w:rPr>
        <w:t>暂存、管理贮存执行《危险废物贮存污染控制标准》（GB18597-2023）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《环境保护图形标志-固休废物贮存（处置）场》(GB15562.2-1995)中的规定设置警示标志及环境保护图形标志，建立危险废物管理台账，认真填写、保管转移联单。</w:t>
      </w:r>
    </w:p>
    <w:p w14:paraId="611FEC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综上，本项目危废暂存间满足</w:t>
      </w:r>
      <w:r>
        <w:rPr>
          <w:color w:val="000000" w:themeColor="text1"/>
          <w14:textFill>
            <w14:solidFill>
              <w14:schemeClr w14:val="tx1"/>
            </w14:solidFill>
          </w14:textFill>
        </w:rPr>
        <w:t>“五防”（防扬散、防流失、防渗漏、防雨淋、防腐蚀）</w:t>
      </w:r>
      <w:r>
        <w:rPr>
          <w:rFonts w:hint="eastAsia"/>
          <w:color w:val="000000" w:themeColor="text1"/>
          <w14:textFill>
            <w14:solidFill>
              <w14:schemeClr w14:val="tx1"/>
            </w14:solidFill>
          </w14:textFill>
        </w:rPr>
        <w:t>要求 。</w:t>
      </w:r>
    </w:p>
    <w:p w14:paraId="0FC2656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2、固废存储、处置方式的合理性分析</w:t>
      </w:r>
    </w:p>
    <w:p w14:paraId="40725A4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各类危险废物（如废有机溶剂、</w:t>
      </w:r>
      <w:r>
        <w:rPr>
          <w:rFonts w:hint="eastAsia"/>
          <w:color w:val="000000" w:themeColor="text1"/>
          <w14:textFill>
            <w14:solidFill>
              <w14:schemeClr w14:val="tx1"/>
            </w14:solidFill>
          </w14:textFill>
        </w:rPr>
        <w:t>砂磨机碱洗废碱液、</w:t>
      </w:r>
      <w:r>
        <w:rPr>
          <w:color w:val="000000" w:themeColor="text1"/>
          <w14:textFill>
            <w14:solidFill>
              <w14:schemeClr w14:val="tx1"/>
            </w14:solidFill>
          </w14:textFill>
        </w:rPr>
        <w:t>喷淋循环系统定期排</w:t>
      </w:r>
      <w:r>
        <w:rPr>
          <w:rFonts w:hint="eastAsia"/>
          <w:color w:val="000000" w:themeColor="text1"/>
          <w14:textFill>
            <w14:solidFill>
              <w14:schemeClr w14:val="tx1"/>
            </w14:solidFill>
          </w14:textFill>
        </w:rPr>
        <w:t>污废液</w:t>
      </w:r>
      <w:r>
        <w:rPr>
          <w:color w:val="000000" w:themeColor="text1"/>
          <w14:textFill>
            <w14:solidFill>
              <w14:schemeClr w14:val="tx1"/>
            </w14:solidFill>
          </w14:textFill>
        </w:rPr>
        <w:t>等）进行分区存放，一般固废采用袋装，危险废物采用密闭桶装，符合《危险废物贮存污染控制标准》中 “分类存放、防止交叉污染” 的要求。</w:t>
      </w:r>
      <w:r>
        <w:rPr>
          <w:rFonts w:hint="eastAsia"/>
          <w:color w:val="000000" w:themeColor="text1"/>
          <w14:textFill>
            <w14:solidFill>
              <w14:schemeClr w14:val="tx1"/>
            </w14:solidFill>
          </w14:textFill>
        </w:rPr>
        <w:t>废活性炭、废抹布等</w:t>
      </w:r>
      <w:r>
        <w:rPr>
          <w:color w:val="000000" w:themeColor="text1"/>
          <w14:textFill>
            <w14:solidFill>
              <w14:schemeClr w14:val="tx1"/>
            </w14:solidFill>
          </w14:textFill>
        </w:rPr>
        <w:t>存储过程采用密闭包装，可防止挥发性有机物（VOCs）、有毒有害气体逸散，降低对操作人员及周边大气环境的影响，符合危险废物规范化管理要求。</w:t>
      </w:r>
    </w:p>
    <w:p w14:paraId="11BA159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原料废</w:t>
      </w:r>
      <w:r>
        <w:rPr>
          <w:color w:val="000000" w:themeColor="text1"/>
          <w14:textFill>
            <w14:solidFill>
              <w14:schemeClr w14:val="tx1"/>
            </w14:solidFill>
          </w14:textFill>
        </w:rPr>
        <w:t>包装物统一收集后外售至废品回收站，实现了资源回收利用，符合 “减量化、资源化” 的固废处理原则。</w:t>
      </w:r>
    </w:p>
    <w:p w14:paraId="536CF4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业和信息化部、环境保护部、国家安全监管总局关于加快烧结砖瓦行业转型发展的若干意见：鼓励利用工业污泥、淤泥替代原料”，本项目污水处理污泥定期清掏后送至周边砖厂制砖使用，污水处理污泥、测试残渣主要成分为原料残留（五硫化二磷、硫化锂、氯化锂）、SS，二者成分一样，不含有机溶剂，不含重金属，不属于危险废物，统一收集后送至周边砖厂制砖使用。</w:t>
      </w:r>
    </w:p>
    <w:p w14:paraId="218667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污水处理污泥、测试残渣</w:t>
      </w:r>
      <w:r>
        <w:rPr>
          <w:color w:val="000000" w:themeColor="text1"/>
          <w14:textFill>
            <w14:solidFill>
              <w14:schemeClr w14:val="tx1"/>
            </w14:solidFill>
          </w14:textFill>
        </w:rPr>
        <w:t>要为SS、无机残留（锂盐、硫化物少量），无有机溶剂、无重金属超标风险，无有毒有害挥发性组分。残留硫化物已基本水解，硫化氢产生量极微，在清掏、运输、制砖、焙烧过程中无显著恶臭与中毒风险。砖厂高温焙烧可进一步稳定、固化无机成分，无二次污染扩散风险。</w:t>
      </w:r>
      <w:r>
        <w:rPr>
          <w:rFonts w:hint="eastAsia"/>
          <w:color w:val="000000" w:themeColor="text1"/>
          <w14:textFill>
            <w14:solidFill>
              <w14:schemeClr w14:val="tx1"/>
            </w14:solidFill>
          </w14:textFill>
        </w:rPr>
        <w:t>污水处理污泥、测试残渣用于砖厂制砖，符合《“十四五” 大宗固废综合利用指导意见》（发改环资〔2021〕381 号）中：支持固废制绿色建材的要求。本项目污水处理污泥、测试残渣产生量较少，为3.6964t/a，制砖时候添加比例较小，不会影响产品质量，固废制砖技术成熟、经济可行、环境友好，是工业污泥资源化优先路径之一</w:t>
      </w:r>
      <w:r>
        <w:rPr>
          <w:color w:val="000000" w:themeColor="text1"/>
          <w14:textFill>
            <w14:solidFill>
              <w14:schemeClr w14:val="tx1"/>
            </w14:solidFill>
          </w14:textFill>
        </w:rPr>
        <w:t>，在政策、环保、工艺上均具备可行性。</w:t>
      </w:r>
    </w:p>
    <w:p w14:paraId="1E60A246">
      <w:pPr>
        <w:ind w:firstLine="480"/>
        <w:rPr>
          <w:color w:val="000000" w:themeColor="text1"/>
          <w14:textFill>
            <w14:solidFill>
              <w14:schemeClr w14:val="tx1"/>
            </w14:solidFill>
          </w14:textFill>
        </w:rPr>
      </w:pPr>
      <w:r>
        <w:rPr>
          <w:color w:val="000000" w:themeColor="text1"/>
          <w14:textFill>
            <w14:solidFill>
              <w14:schemeClr w14:val="tx1"/>
            </w14:solidFill>
          </w14:textFill>
        </w:rPr>
        <w:t>所有危险废物均交由有资质的单位清运、处置，满足</w:t>
      </w:r>
      <w:r>
        <w:rPr>
          <w:rFonts w:hint="eastAsia"/>
          <w:color w:val="000000" w:themeColor="text1"/>
          <w14:textFill>
            <w14:solidFill>
              <w14:schemeClr w14:val="tx1"/>
            </w14:solidFill>
          </w14:textFill>
        </w:rPr>
        <w:t>《中华人民共和国固体废物污染环境防治法》》（2020 修订）中第八十条第三款：禁止将危险废物提供或者委托给无许可证的单位或者其他生产经营者从事收集、贮存、利用、处置活动</w:t>
      </w:r>
      <w:r>
        <w:rPr>
          <w:color w:val="000000" w:themeColor="text1"/>
          <w14:textFill>
            <w14:solidFill>
              <w14:schemeClr w14:val="tx1"/>
            </w14:solidFill>
          </w14:textFill>
        </w:rPr>
        <w:t>，可有效避免危险废物非法倾倒、随意处置带来的环境风险。</w:t>
      </w:r>
    </w:p>
    <w:p w14:paraId="063CCC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综上，本项目固废存储、处置方式合理。</w:t>
      </w:r>
    </w:p>
    <w:p w14:paraId="11C7A02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3、危险废物运输过程环境影响分析</w:t>
      </w:r>
    </w:p>
    <w:p w14:paraId="0E9085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环评要求危险废物外运采用专门的车辆，防止散落和流洒，同时配备有应急器材，以应对突发环境事件。运输卸装过程中也要严格按照国家有关规定执行，包括《汽车危险货物运输规则》(JT617-2004)、《汽车危险货物运输、装卸作业规程》（JT618-2004）等。在转移过程中，企业应严格遵从有关规定的要求进行管理。</w:t>
      </w:r>
    </w:p>
    <w:p w14:paraId="724B9D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采取上述措施后，项目危险废物在转运过程中对周围环境基本没有影响。</w:t>
      </w:r>
    </w:p>
    <w:p w14:paraId="20B5CB0E">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5.2.4.3结论</w:t>
      </w:r>
    </w:p>
    <w:p w14:paraId="793BA017">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综上所述，项目运营过程中所产生的固体废物均可</w:t>
      </w:r>
      <w:r>
        <w:rPr>
          <w:rFonts w:hint="eastAsia"/>
          <w:color w:val="000000" w:themeColor="text1"/>
          <w14:textFill>
            <w14:solidFill>
              <w14:schemeClr w14:val="tx1"/>
            </w14:solidFill>
          </w14:textFill>
        </w:rPr>
        <w:t>做到</w:t>
      </w:r>
      <w:r>
        <w:rPr>
          <w:color w:val="000000" w:themeColor="text1"/>
          <w14:textFill>
            <w14:solidFill>
              <w14:schemeClr w14:val="tx1"/>
            </w14:solidFill>
          </w14:textFill>
        </w:rPr>
        <w:t>妥善的处置，且处置方式合理可行，</w:t>
      </w:r>
      <w:r>
        <w:rPr>
          <w:rFonts w:hint="eastAsia"/>
          <w:color w:val="000000" w:themeColor="text1"/>
          <w14:textFill>
            <w14:solidFill>
              <w14:schemeClr w14:val="tx1"/>
            </w14:solidFill>
          </w14:textFill>
        </w:rPr>
        <w:t>不会造二次污染，</w:t>
      </w:r>
      <w:r>
        <w:rPr>
          <w:color w:val="000000" w:themeColor="text1"/>
          <w14:textFill>
            <w14:solidFill>
              <w14:schemeClr w14:val="tx1"/>
            </w14:solidFill>
          </w14:textFill>
        </w:rPr>
        <w:t>对周围环境影响不大。</w:t>
      </w:r>
    </w:p>
    <w:p w14:paraId="3592E521">
      <w:pPr>
        <w:pStyle w:val="4"/>
        <w:rPr>
          <w:color w:val="000000" w:themeColor="text1"/>
          <w14:textFill>
            <w14:solidFill>
              <w14:schemeClr w14:val="tx1"/>
            </w14:solidFill>
          </w14:textFill>
        </w:rPr>
      </w:pPr>
      <w:bookmarkStart w:id="102" w:name="_Toc24087"/>
      <w:r>
        <w:rPr>
          <w:rFonts w:hint="eastAsia"/>
          <w:color w:val="000000" w:themeColor="text1"/>
          <w14:textFill>
            <w14:solidFill>
              <w14:schemeClr w14:val="tx1"/>
            </w14:solidFill>
          </w14:textFill>
        </w:rPr>
        <w:t>5.2.5土壤环境影响与评价</w:t>
      </w:r>
      <w:bookmarkEnd w:id="102"/>
    </w:p>
    <w:p w14:paraId="691DAD0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5.2.5.1土壤环境影响类型与影响途径识别</w:t>
      </w:r>
    </w:p>
    <w:p w14:paraId="52443D2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本项目土壤环境影响主要为污染影响型。营运期对土壤环境可能造成影响的污染源主要为废气排放、</w:t>
      </w:r>
      <w:r>
        <w:rPr>
          <w:rFonts w:hint="eastAsia"/>
          <w:color w:val="000000" w:themeColor="text1"/>
          <w14:textFill>
            <w14:solidFill>
              <w14:schemeClr w14:val="tx1"/>
            </w14:solidFill>
          </w14:textFill>
        </w:rPr>
        <w:t>废水、有机溶剂泄漏，影响区域主要是原料暂存间、研磨车间、</w:t>
      </w:r>
      <w:r>
        <w:rPr>
          <w:color w:val="000000" w:themeColor="text1"/>
          <w14:textFill>
            <w14:solidFill>
              <w14:schemeClr w14:val="tx1"/>
            </w14:solidFill>
          </w14:textFill>
        </w:rPr>
        <w:t>污水管网及污水站、危险废物暂存间等区域，污染途径主要为大气沉降、地面漫流、垂直入渗。</w:t>
      </w:r>
    </w:p>
    <w:p w14:paraId="7EC46BA0">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表5.2-23 地下水、土壤环境污染污染源及污染途径识别结果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764"/>
        <w:gridCol w:w="1732"/>
        <w:gridCol w:w="1347"/>
        <w:gridCol w:w="4174"/>
      </w:tblGrid>
      <w:tr w14:paraId="2AD6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21CAC8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48" w:type="pct"/>
            <w:vAlign w:val="center"/>
          </w:tcPr>
          <w:p w14:paraId="62E311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污染分区</w:t>
            </w:r>
          </w:p>
        </w:tc>
        <w:tc>
          <w:tcPr>
            <w:tcW w:w="1016" w:type="pct"/>
            <w:vAlign w:val="center"/>
          </w:tcPr>
          <w:p w14:paraId="24DCA4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污染源位置/环节</w:t>
            </w:r>
          </w:p>
        </w:tc>
        <w:tc>
          <w:tcPr>
            <w:tcW w:w="790" w:type="pct"/>
            <w:vAlign w:val="center"/>
          </w:tcPr>
          <w:p w14:paraId="26F3B866">
            <w:pPr>
              <w:pStyle w:val="28"/>
              <w:rPr>
                <w:color w:val="000000" w:themeColor="text1"/>
                <w14:textFill>
                  <w14:solidFill>
                    <w14:schemeClr w14:val="tx1"/>
                  </w14:solidFill>
                </w14:textFill>
              </w:rPr>
            </w:pPr>
            <w:r>
              <w:rPr>
                <w:color w:val="000000" w:themeColor="text1"/>
                <w14:textFill>
                  <w14:solidFill>
                    <w14:schemeClr w14:val="tx1"/>
                  </w14:solidFill>
                </w14:textFill>
              </w:rPr>
              <w:t>污染物类型</w:t>
            </w:r>
          </w:p>
        </w:tc>
        <w:tc>
          <w:tcPr>
            <w:tcW w:w="2448" w:type="pct"/>
            <w:vAlign w:val="center"/>
          </w:tcPr>
          <w:p w14:paraId="6C77EB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污染途径</w:t>
            </w:r>
          </w:p>
        </w:tc>
      </w:tr>
      <w:tr w14:paraId="62A9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66FA97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48" w:type="pct"/>
            <w:vAlign w:val="center"/>
          </w:tcPr>
          <w:p w14:paraId="51F26C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原料储存区</w:t>
            </w:r>
          </w:p>
        </w:tc>
        <w:tc>
          <w:tcPr>
            <w:tcW w:w="1016" w:type="pct"/>
            <w:vAlign w:val="center"/>
          </w:tcPr>
          <w:p w14:paraId="3088A77F">
            <w:pPr>
              <w:pStyle w:val="28"/>
              <w:rPr>
                <w:color w:val="000000" w:themeColor="text1"/>
                <w14:textFill>
                  <w14:solidFill>
                    <w14:schemeClr w14:val="tx1"/>
                  </w14:solidFill>
                </w14:textFill>
              </w:rPr>
            </w:pPr>
            <w:r>
              <w:rPr>
                <w:color w:val="000000" w:themeColor="text1"/>
                <w14:textFill>
                  <w14:solidFill>
                    <w14:schemeClr w14:val="tx1"/>
                  </w14:solidFill>
                </w14:textFill>
              </w:rPr>
              <w:t>原料暂存间</w:t>
            </w:r>
          </w:p>
        </w:tc>
        <w:tc>
          <w:tcPr>
            <w:tcW w:w="790" w:type="pct"/>
            <w:vAlign w:val="center"/>
          </w:tcPr>
          <w:p w14:paraId="5B7E3A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持久性有机污染物</w:t>
            </w:r>
          </w:p>
        </w:tc>
        <w:tc>
          <w:tcPr>
            <w:tcW w:w="2448" w:type="pct"/>
            <w:vAlign w:val="center"/>
          </w:tcPr>
          <w:p w14:paraId="509090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1、包装破损导致有机溶剂存泄漏，通过垂直入渗的方式污染土壤及地下水；</w:t>
            </w:r>
          </w:p>
          <w:p w14:paraId="51301F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2、挥发出来的有机废气通过大气沉降污染土壤。</w:t>
            </w:r>
          </w:p>
        </w:tc>
      </w:tr>
      <w:tr w14:paraId="7B79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79D0AC0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48" w:type="pct"/>
            <w:vAlign w:val="center"/>
          </w:tcPr>
          <w:p w14:paraId="3B41FA2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生产作业区</w:t>
            </w:r>
          </w:p>
        </w:tc>
        <w:tc>
          <w:tcPr>
            <w:tcW w:w="1016" w:type="pct"/>
            <w:vAlign w:val="center"/>
          </w:tcPr>
          <w:p w14:paraId="2DC58F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研磨车间</w:t>
            </w:r>
          </w:p>
        </w:tc>
        <w:tc>
          <w:tcPr>
            <w:tcW w:w="790" w:type="pct"/>
            <w:vAlign w:val="center"/>
          </w:tcPr>
          <w:p w14:paraId="445EB2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持久性有机污染物</w:t>
            </w:r>
          </w:p>
        </w:tc>
        <w:tc>
          <w:tcPr>
            <w:tcW w:w="2448" w:type="pct"/>
            <w:vAlign w:val="center"/>
          </w:tcPr>
          <w:p w14:paraId="677526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1、上料过程中有机溶剂的跑冒滴漏，通过垂直入渗的方式污染土壤及地下水；</w:t>
            </w:r>
          </w:p>
          <w:p w14:paraId="6C56D0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2、挥发出来的有机废气通过大气沉降污染土壤。</w:t>
            </w:r>
          </w:p>
        </w:tc>
      </w:tr>
      <w:tr w14:paraId="3610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17EB31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48" w:type="pct"/>
            <w:vAlign w:val="center"/>
          </w:tcPr>
          <w:p w14:paraId="1BE6A6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污染治理区</w:t>
            </w:r>
          </w:p>
        </w:tc>
        <w:tc>
          <w:tcPr>
            <w:tcW w:w="1016" w:type="pct"/>
            <w:vAlign w:val="center"/>
          </w:tcPr>
          <w:p w14:paraId="0FD420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清洗间、废水处理间、废气处理系统循环水池</w:t>
            </w:r>
          </w:p>
        </w:tc>
        <w:tc>
          <w:tcPr>
            <w:tcW w:w="790" w:type="pct"/>
            <w:vAlign w:val="center"/>
          </w:tcPr>
          <w:p w14:paraId="0A8C4F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w:t>
            </w:r>
          </w:p>
        </w:tc>
        <w:tc>
          <w:tcPr>
            <w:tcW w:w="2448" w:type="pct"/>
            <w:vAlign w:val="center"/>
          </w:tcPr>
          <w:p w14:paraId="54C397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1、废水收集暂存设施破损导致生产废水泄漏，通过垂直入渗的方式污染土壤及地下水；</w:t>
            </w:r>
          </w:p>
          <w:p w14:paraId="46306C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2、事故状态下废水通过地面漫流的方式进入土壤，污染土壤及地下水。</w:t>
            </w:r>
          </w:p>
        </w:tc>
      </w:tr>
      <w:tr w14:paraId="27F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3DF1F2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48" w:type="pct"/>
            <w:vAlign w:val="center"/>
          </w:tcPr>
          <w:p w14:paraId="0DF98B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固废暂存区</w:t>
            </w:r>
          </w:p>
        </w:tc>
        <w:tc>
          <w:tcPr>
            <w:tcW w:w="1016" w:type="pct"/>
            <w:vAlign w:val="center"/>
          </w:tcPr>
          <w:p w14:paraId="5D906C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790" w:type="pct"/>
            <w:vAlign w:val="center"/>
          </w:tcPr>
          <w:p w14:paraId="7CE93A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持久性有机污染物</w:t>
            </w:r>
          </w:p>
        </w:tc>
        <w:tc>
          <w:tcPr>
            <w:tcW w:w="2448" w:type="pct"/>
            <w:vAlign w:val="center"/>
          </w:tcPr>
          <w:p w14:paraId="57680E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1、危险废物（废有机溶剂）盛装容器破损导致有机溶剂存泄漏通过垂直入渗的方式污染土壤及地下水；</w:t>
            </w:r>
          </w:p>
          <w:p w14:paraId="1ED54A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2、挥发出来的有机废气通过大气沉降污染土壤。</w:t>
            </w:r>
          </w:p>
        </w:tc>
      </w:tr>
    </w:tbl>
    <w:p w14:paraId="1AEECA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土壤环境（试行）》，土壤环境影响类型与影响途径表见下表：</w:t>
      </w:r>
    </w:p>
    <w:p w14:paraId="390F560F">
      <w:pPr>
        <w:pStyle w:val="27"/>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5.2-24  土</w:t>
      </w:r>
      <w:r>
        <w:rPr>
          <w:color w:val="000000" w:themeColor="text1"/>
          <w14:textFill>
            <w14:solidFill>
              <w14:schemeClr w14:val="tx1"/>
            </w14:solidFill>
          </w14:textFill>
        </w:rPr>
        <w:t>壤环境</w:t>
      </w:r>
      <w:r>
        <w:rPr>
          <w:rFonts w:hint="eastAsia"/>
          <w:color w:val="000000" w:themeColor="text1"/>
          <w14:textFill>
            <w14:solidFill>
              <w14:schemeClr w14:val="tx1"/>
            </w14:solidFill>
          </w14:textFill>
        </w:rPr>
        <w:t>影响类型与影响途径表</w:t>
      </w:r>
    </w:p>
    <w:tbl>
      <w:tblPr>
        <w:tblStyle w:val="33"/>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35"/>
        <w:gridCol w:w="1086"/>
        <w:gridCol w:w="1126"/>
        <w:gridCol w:w="1053"/>
        <w:gridCol w:w="732"/>
        <w:gridCol w:w="807"/>
        <w:gridCol w:w="725"/>
        <w:gridCol w:w="730"/>
        <w:gridCol w:w="825"/>
      </w:tblGrid>
      <w:tr w14:paraId="35731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42" w:type="pct"/>
            <w:vMerge w:val="restart"/>
            <w:tcBorders>
              <w:bottom w:val="nil"/>
            </w:tcBorders>
          </w:tcPr>
          <w:p w14:paraId="00D24E84">
            <w:pPr>
              <w:pStyle w:val="28"/>
              <w:rPr>
                <w:color w:val="000000" w:themeColor="text1"/>
                <w14:textFill>
                  <w14:solidFill>
                    <w14:schemeClr w14:val="tx1"/>
                  </w14:solidFill>
                </w14:textFill>
              </w:rPr>
            </w:pPr>
            <w:r>
              <w:rPr>
                <w:color w:val="000000" w:themeColor="text1"/>
                <w14:textFill>
                  <w14:solidFill>
                    <w14:schemeClr w14:val="tx1"/>
                  </w14:solidFill>
                </w14:textFill>
              </w:rPr>
              <w:t>不同时段</w:t>
            </w:r>
          </w:p>
        </w:tc>
        <w:tc>
          <w:tcPr>
            <w:tcW w:w="2403" w:type="pct"/>
            <w:gridSpan w:val="4"/>
            <w:tcBorders>
              <w:bottom w:val="single" w:color="000000" w:sz="4" w:space="0"/>
            </w:tcBorders>
          </w:tcPr>
          <w:p w14:paraId="2AEB5B91">
            <w:pPr>
              <w:pStyle w:val="28"/>
              <w:rPr>
                <w:color w:val="000000" w:themeColor="text1"/>
                <w14:textFill>
                  <w14:solidFill>
                    <w14:schemeClr w14:val="tx1"/>
                  </w14:solidFill>
                </w14:textFill>
              </w:rPr>
            </w:pPr>
            <w:r>
              <w:rPr>
                <w:color w:val="000000" w:themeColor="text1"/>
                <w14:textFill>
                  <w14:solidFill>
                    <w14:schemeClr w14:val="tx1"/>
                  </w14:solidFill>
                </w14:textFill>
              </w:rPr>
              <w:t>污染影响型</w:t>
            </w:r>
          </w:p>
        </w:tc>
        <w:tc>
          <w:tcPr>
            <w:tcW w:w="1853" w:type="pct"/>
            <w:gridSpan w:val="4"/>
            <w:tcBorders>
              <w:bottom w:val="single" w:color="000000" w:sz="4" w:space="0"/>
            </w:tcBorders>
          </w:tcPr>
          <w:p w14:paraId="3B49452B">
            <w:pPr>
              <w:pStyle w:val="28"/>
              <w:rPr>
                <w:color w:val="000000" w:themeColor="text1"/>
                <w14:textFill>
                  <w14:solidFill>
                    <w14:schemeClr w14:val="tx1"/>
                  </w14:solidFill>
                </w14:textFill>
              </w:rPr>
            </w:pPr>
            <w:r>
              <w:rPr>
                <w:color w:val="000000" w:themeColor="text1"/>
                <w14:textFill>
                  <w14:solidFill>
                    <w14:schemeClr w14:val="tx1"/>
                  </w14:solidFill>
                </w14:textFill>
              </w:rPr>
              <w:t>生态影响型</w:t>
            </w:r>
          </w:p>
        </w:tc>
      </w:tr>
      <w:tr w14:paraId="3CB27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42" w:type="pct"/>
            <w:vMerge w:val="continue"/>
            <w:tcBorders>
              <w:top w:val="nil"/>
              <w:bottom w:val="single" w:color="000000" w:sz="4" w:space="0"/>
            </w:tcBorders>
          </w:tcPr>
          <w:p w14:paraId="690738F6">
            <w:pPr>
              <w:pStyle w:val="28"/>
              <w:rPr>
                <w:color w:val="000000" w:themeColor="text1"/>
                <w14:textFill>
                  <w14:solidFill>
                    <w14:schemeClr w14:val="tx1"/>
                  </w14:solidFill>
                </w14:textFill>
              </w:rPr>
            </w:pPr>
          </w:p>
        </w:tc>
        <w:tc>
          <w:tcPr>
            <w:tcW w:w="653" w:type="pct"/>
            <w:tcBorders>
              <w:top w:val="single" w:color="000000" w:sz="4" w:space="0"/>
              <w:bottom w:val="single" w:color="000000" w:sz="4" w:space="0"/>
            </w:tcBorders>
          </w:tcPr>
          <w:p w14:paraId="20E170C6">
            <w:pPr>
              <w:pStyle w:val="28"/>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677" w:type="pct"/>
            <w:tcBorders>
              <w:top w:val="single" w:color="000000" w:sz="4" w:space="0"/>
              <w:bottom w:val="single" w:color="000000" w:sz="4" w:space="0"/>
            </w:tcBorders>
          </w:tcPr>
          <w:p w14:paraId="6C3D6704">
            <w:pPr>
              <w:pStyle w:val="28"/>
              <w:rPr>
                <w:color w:val="000000" w:themeColor="text1"/>
                <w14:textFill>
                  <w14:solidFill>
                    <w14:schemeClr w14:val="tx1"/>
                  </w14:solidFill>
                </w14:textFill>
              </w:rPr>
            </w:pPr>
            <w:r>
              <w:rPr>
                <w:color w:val="000000" w:themeColor="text1"/>
                <w14:textFill>
                  <w14:solidFill>
                    <w14:schemeClr w14:val="tx1"/>
                  </w14:solidFill>
                </w14:textFill>
              </w:rPr>
              <w:t>地面漫流</w:t>
            </w:r>
          </w:p>
        </w:tc>
        <w:tc>
          <w:tcPr>
            <w:tcW w:w="633" w:type="pct"/>
            <w:tcBorders>
              <w:top w:val="single" w:color="000000" w:sz="4" w:space="0"/>
              <w:bottom w:val="single" w:color="000000" w:sz="4" w:space="0"/>
            </w:tcBorders>
          </w:tcPr>
          <w:p w14:paraId="302F73AB">
            <w:pPr>
              <w:pStyle w:val="28"/>
              <w:rPr>
                <w:color w:val="000000" w:themeColor="text1"/>
                <w14:textFill>
                  <w14:solidFill>
                    <w14:schemeClr w14:val="tx1"/>
                  </w14:solidFill>
                </w14:textFill>
              </w:rPr>
            </w:pPr>
            <w:r>
              <w:rPr>
                <w:color w:val="000000" w:themeColor="text1"/>
                <w14:textFill>
                  <w14:solidFill>
                    <w14:schemeClr w14:val="tx1"/>
                  </w14:solidFill>
                </w14:textFill>
              </w:rPr>
              <w:t>垂直入渗</w:t>
            </w:r>
          </w:p>
        </w:tc>
        <w:tc>
          <w:tcPr>
            <w:tcW w:w="439" w:type="pct"/>
            <w:tcBorders>
              <w:top w:val="single" w:color="000000" w:sz="4" w:space="0"/>
              <w:bottom w:val="single" w:color="000000" w:sz="4" w:space="0"/>
            </w:tcBorders>
          </w:tcPr>
          <w:p w14:paraId="2BDE3B79">
            <w:pPr>
              <w:pStyle w:val="28"/>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485" w:type="pct"/>
            <w:tcBorders>
              <w:top w:val="single" w:color="000000" w:sz="4" w:space="0"/>
              <w:bottom w:val="single" w:color="000000" w:sz="4" w:space="0"/>
            </w:tcBorders>
          </w:tcPr>
          <w:p w14:paraId="04B8079D">
            <w:pPr>
              <w:pStyle w:val="28"/>
              <w:rPr>
                <w:color w:val="000000" w:themeColor="text1"/>
                <w14:textFill>
                  <w14:solidFill>
                    <w14:schemeClr w14:val="tx1"/>
                  </w14:solidFill>
                </w14:textFill>
              </w:rPr>
            </w:pPr>
            <w:r>
              <w:rPr>
                <w:color w:val="000000" w:themeColor="text1"/>
                <w14:textFill>
                  <w14:solidFill>
                    <w14:schemeClr w14:val="tx1"/>
                  </w14:solidFill>
                </w14:textFill>
              </w:rPr>
              <w:t>盐化</w:t>
            </w:r>
          </w:p>
        </w:tc>
        <w:tc>
          <w:tcPr>
            <w:tcW w:w="436" w:type="pct"/>
            <w:tcBorders>
              <w:top w:val="single" w:color="000000" w:sz="4" w:space="0"/>
              <w:bottom w:val="single" w:color="000000" w:sz="4" w:space="0"/>
            </w:tcBorders>
          </w:tcPr>
          <w:p w14:paraId="35C7237A">
            <w:pPr>
              <w:pStyle w:val="28"/>
              <w:rPr>
                <w:color w:val="000000" w:themeColor="text1"/>
                <w14:textFill>
                  <w14:solidFill>
                    <w14:schemeClr w14:val="tx1"/>
                  </w14:solidFill>
                </w14:textFill>
              </w:rPr>
            </w:pPr>
            <w:r>
              <w:rPr>
                <w:color w:val="000000" w:themeColor="text1"/>
                <w14:textFill>
                  <w14:solidFill>
                    <w14:schemeClr w14:val="tx1"/>
                  </w14:solidFill>
                </w14:textFill>
              </w:rPr>
              <w:t>碱化</w:t>
            </w:r>
          </w:p>
        </w:tc>
        <w:tc>
          <w:tcPr>
            <w:tcW w:w="439" w:type="pct"/>
            <w:tcBorders>
              <w:top w:val="single" w:color="000000" w:sz="4" w:space="0"/>
              <w:bottom w:val="single" w:color="000000" w:sz="4" w:space="0"/>
            </w:tcBorders>
          </w:tcPr>
          <w:p w14:paraId="76FE9BF2">
            <w:pPr>
              <w:pStyle w:val="28"/>
              <w:rPr>
                <w:color w:val="000000" w:themeColor="text1"/>
                <w14:textFill>
                  <w14:solidFill>
                    <w14:schemeClr w14:val="tx1"/>
                  </w14:solidFill>
                </w14:textFill>
              </w:rPr>
            </w:pPr>
            <w:r>
              <w:rPr>
                <w:color w:val="000000" w:themeColor="text1"/>
                <w14:textFill>
                  <w14:solidFill>
                    <w14:schemeClr w14:val="tx1"/>
                  </w14:solidFill>
                </w14:textFill>
              </w:rPr>
              <w:t>酸化</w:t>
            </w:r>
          </w:p>
        </w:tc>
        <w:tc>
          <w:tcPr>
            <w:tcW w:w="492" w:type="pct"/>
            <w:tcBorders>
              <w:top w:val="single" w:color="000000" w:sz="4" w:space="0"/>
              <w:bottom w:val="single" w:color="000000" w:sz="4" w:space="0"/>
            </w:tcBorders>
          </w:tcPr>
          <w:p w14:paraId="00A573BF">
            <w:pPr>
              <w:pStyle w:val="28"/>
              <w:rPr>
                <w:color w:val="000000" w:themeColor="text1"/>
                <w14:textFill>
                  <w14:solidFill>
                    <w14:schemeClr w14:val="tx1"/>
                  </w14:solidFill>
                </w14:textFill>
              </w:rPr>
            </w:pPr>
            <w:r>
              <w:rPr>
                <w:color w:val="000000" w:themeColor="text1"/>
                <w14:textFill>
                  <w14:solidFill>
                    <w14:schemeClr w14:val="tx1"/>
                  </w14:solidFill>
                </w14:textFill>
              </w:rPr>
              <w:t>其他</w:t>
            </w:r>
          </w:p>
        </w:tc>
      </w:tr>
      <w:tr w14:paraId="547C9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op w:val="single" w:color="000000" w:sz="4" w:space="0"/>
              <w:bottom w:val="single" w:color="000000" w:sz="4" w:space="0"/>
            </w:tcBorders>
          </w:tcPr>
          <w:p w14:paraId="3453E2A7">
            <w:pPr>
              <w:pStyle w:val="28"/>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653" w:type="pct"/>
            <w:tcBorders>
              <w:top w:val="single" w:color="000000" w:sz="4" w:space="0"/>
              <w:bottom w:val="single" w:color="000000" w:sz="4" w:space="0"/>
            </w:tcBorders>
          </w:tcPr>
          <w:p w14:paraId="0D4DCA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77" w:type="pct"/>
            <w:tcBorders>
              <w:top w:val="single" w:color="000000" w:sz="4" w:space="0"/>
              <w:bottom w:val="single" w:color="000000" w:sz="4" w:space="0"/>
            </w:tcBorders>
          </w:tcPr>
          <w:p w14:paraId="4B272F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33" w:type="pct"/>
            <w:tcBorders>
              <w:top w:val="single" w:color="000000" w:sz="4" w:space="0"/>
              <w:bottom w:val="single" w:color="000000" w:sz="4" w:space="0"/>
            </w:tcBorders>
          </w:tcPr>
          <w:p w14:paraId="56CF93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9" w:type="pct"/>
            <w:tcBorders>
              <w:top w:val="single" w:color="000000" w:sz="4" w:space="0"/>
              <w:bottom w:val="single" w:color="000000" w:sz="4" w:space="0"/>
            </w:tcBorders>
          </w:tcPr>
          <w:p w14:paraId="09E1EF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85" w:type="pct"/>
            <w:tcBorders>
              <w:top w:val="single" w:color="000000" w:sz="4" w:space="0"/>
              <w:bottom w:val="single" w:color="000000" w:sz="4" w:space="0"/>
            </w:tcBorders>
          </w:tcPr>
          <w:p w14:paraId="66E752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6" w:type="pct"/>
            <w:tcBorders>
              <w:top w:val="single" w:color="000000" w:sz="4" w:space="0"/>
              <w:bottom w:val="single" w:color="000000" w:sz="4" w:space="0"/>
            </w:tcBorders>
          </w:tcPr>
          <w:p w14:paraId="67F205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9" w:type="pct"/>
            <w:tcBorders>
              <w:top w:val="single" w:color="000000" w:sz="4" w:space="0"/>
              <w:bottom w:val="single" w:color="000000" w:sz="4" w:space="0"/>
            </w:tcBorders>
          </w:tcPr>
          <w:p w14:paraId="137B16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2" w:type="pct"/>
            <w:tcBorders>
              <w:top w:val="single" w:color="000000" w:sz="4" w:space="0"/>
              <w:bottom w:val="single" w:color="000000" w:sz="4" w:space="0"/>
            </w:tcBorders>
          </w:tcPr>
          <w:p w14:paraId="32C243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67B7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op w:val="single" w:color="000000" w:sz="4" w:space="0"/>
              <w:bottom w:val="single" w:color="000000" w:sz="4" w:space="0"/>
            </w:tcBorders>
          </w:tcPr>
          <w:p w14:paraId="5B341F0E">
            <w:pPr>
              <w:pStyle w:val="28"/>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653" w:type="pct"/>
            <w:tcBorders>
              <w:top w:val="single" w:color="000000" w:sz="4" w:space="0"/>
              <w:bottom w:val="single" w:color="000000" w:sz="4" w:space="0"/>
            </w:tcBorders>
          </w:tcPr>
          <w:p w14:paraId="36F19FC4">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677" w:type="pct"/>
            <w:tcBorders>
              <w:top w:val="single" w:color="000000" w:sz="4" w:space="0"/>
              <w:bottom w:val="single" w:color="000000" w:sz="4" w:space="0"/>
            </w:tcBorders>
          </w:tcPr>
          <w:p w14:paraId="5810AF87">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633" w:type="pct"/>
            <w:tcBorders>
              <w:top w:val="single" w:color="000000" w:sz="4" w:space="0"/>
              <w:bottom w:val="single" w:color="000000" w:sz="4" w:space="0"/>
            </w:tcBorders>
          </w:tcPr>
          <w:p w14:paraId="79E40A3F">
            <w:pPr>
              <w:pStyle w:val="28"/>
              <w:rPr>
                <w:color w:val="000000" w:themeColor="text1"/>
                <w14:textFill>
                  <w14:solidFill>
                    <w14:schemeClr w14:val="tx1"/>
                  </w14:solidFill>
                </w14:textFill>
              </w:rPr>
            </w:pPr>
            <w:r>
              <w:rPr>
                <w:color w:val="000000" w:themeColor="text1"/>
                <w14:textFill>
                  <w14:solidFill>
                    <w14:schemeClr w14:val="tx1"/>
                  </w14:solidFill>
                </w14:textFill>
              </w:rPr>
              <w:t>√</w:t>
            </w:r>
          </w:p>
        </w:tc>
        <w:tc>
          <w:tcPr>
            <w:tcW w:w="439" w:type="pct"/>
            <w:tcBorders>
              <w:top w:val="single" w:color="000000" w:sz="4" w:space="0"/>
              <w:bottom w:val="single" w:color="000000" w:sz="4" w:space="0"/>
            </w:tcBorders>
            <w:shd w:val="clear" w:color="auto" w:fill="auto"/>
          </w:tcPr>
          <w:p w14:paraId="205B1B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85" w:type="pct"/>
            <w:tcBorders>
              <w:top w:val="single" w:color="000000" w:sz="4" w:space="0"/>
              <w:bottom w:val="single" w:color="000000" w:sz="4" w:space="0"/>
            </w:tcBorders>
            <w:shd w:val="clear" w:color="auto" w:fill="auto"/>
          </w:tcPr>
          <w:p w14:paraId="57B6EC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6" w:type="pct"/>
            <w:tcBorders>
              <w:top w:val="single" w:color="000000" w:sz="4" w:space="0"/>
              <w:bottom w:val="single" w:color="000000" w:sz="4" w:space="0"/>
            </w:tcBorders>
            <w:shd w:val="clear" w:color="auto" w:fill="auto"/>
          </w:tcPr>
          <w:p w14:paraId="001063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9" w:type="pct"/>
            <w:tcBorders>
              <w:top w:val="single" w:color="000000" w:sz="4" w:space="0"/>
              <w:bottom w:val="single" w:color="000000" w:sz="4" w:space="0"/>
            </w:tcBorders>
            <w:shd w:val="clear" w:color="auto" w:fill="auto"/>
          </w:tcPr>
          <w:p w14:paraId="653AD4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2" w:type="pct"/>
            <w:tcBorders>
              <w:top w:val="single" w:color="000000" w:sz="4" w:space="0"/>
              <w:bottom w:val="single" w:color="000000" w:sz="4" w:space="0"/>
            </w:tcBorders>
            <w:shd w:val="clear" w:color="auto" w:fill="auto"/>
          </w:tcPr>
          <w:p w14:paraId="0410D3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CB93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42" w:type="pct"/>
            <w:tcBorders>
              <w:top w:val="single" w:color="000000" w:sz="4" w:space="0"/>
              <w:bottom w:val="single" w:color="000000" w:sz="4" w:space="0"/>
            </w:tcBorders>
          </w:tcPr>
          <w:p w14:paraId="646E8F5F">
            <w:pPr>
              <w:pStyle w:val="28"/>
              <w:rPr>
                <w:color w:val="000000" w:themeColor="text1"/>
                <w14:textFill>
                  <w14:solidFill>
                    <w14:schemeClr w14:val="tx1"/>
                  </w14:solidFill>
                </w14:textFill>
              </w:rPr>
            </w:pPr>
            <w:r>
              <w:rPr>
                <w:color w:val="000000" w:themeColor="text1"/>
                <w14:textFill>
                  <w14:solidFill>
                    <w14:schemeClr w14:val="tx1"/>
                  </w14:solidFill>
                </w14:textFill>
              </w:rPr>
              <w:t>服务期满后</w:t>
            </w:r>
          </w:p>
        </w:tc>
        <w:tc>
          <w:tcPr>
            <w:tcW w:w="653" w:type="pct"/>
            <w:tcBorders>
              <w:top w:val="single" w:color="000000" w:sz="4" w:space="0"/>
              <w:bottom w:val="single" w:color="000000" w:sz="4" w:space="0"/>
            </w:tcBorders>
            <w:shd w:val="clear" w:color="auto" w:fill="auto"/>
          </w:tcPr>
          <w:p w14:paraId="10AC67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77" w:type="pct"/>
            <w:tcBorders>
              <w:top w:val="single" w:color="000000" w:sz="4" w:space="0"/>
              <w:bottom w:val="single" w:color="000000" w:sz="4" w:space="0"/>
            </w:tcBorders>
            <w:shd w:val="clear" w:color="auto" w:fill="auto"/>
          </w:tcPr>
          <w:p w14:paraId="17D11A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33" w:type="pct"/>
            <w:tcBorders>
              <w:top w:val="single" w:color="000000" w:sz="4" w:space="0"/>
              <w:bottom w:val="single" w:color="000000" w:sz="4" w:space="0"/>
            </w:tcBorders>
            <w:shd w:val="clear" w:color="auto" w:fill="auto"/>
          </w:tcPr>
          <w:p w14:paraId="10119A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9" w:type="pct"/>
            <w:tcBorders>
              <w:top w:val="single" w:color="000000" w:sz="4" w:space="0"/>
              <w:bottom w:val="single" w:color="000000" w:sz="4" w:space="0"/>
            </w:tcBorders>
            <w:shd w:val="clear" w:color="auto" w:fill="auto"/>
          </w:tcPr>
          <w:p w14:paraId="7B2810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85" w:type="pct"/>
            <w:tcBorders>
              <w:top w:val="single" w:color="000000" w:sz="4" w:space="0"/>
              <w:bottom w:val="single" w:color="000000" w:sz="4" w:space="0"/>
            </w:tcBorders>
            <w:shd w:val="clear" w:color="auto" w:fill="auto"/>
          </w:tcPr>
          <w:p w14:paraId="788F67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6" w:type="pct"/>
            <w:tcBorders>
              <w:top w:val="single" w:color="000000" w:sz="4" w:space="0"/>
              <w:bottom w:val="single" w:color="000000" w:sz="4" w:space="0"/>
            </w:tcBorders>
            <w:shd w:val="clear" w:color="auto" w:fill="auto"/>
          </w:tcPr>
          <w:p w14:paraId="33873A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39" w:type="pct"/>
            <w:tcBorders>
              <w:top w:val="single" w:color="000000" w:sz="4" w:space="0"/>
              <w:bottom w:val="single" w:color="000000" w:sz="4" w:space="0"/>
            </w:tcBorders>
            <w:shd w:val="clear" w:color="auto" w:fill="auto"/>
          </w:tcPr>
          <w:p w14:paraId="7FC156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2" w:type="pct"/>
            <w:tcBorders>
              <w:top w:val="single" w:color="000000" w:sz="4" w:space="0"/>
              <w:bottom w:val="single" w:color="000000" w:sz="4" w:space="0"/>
            </w:tcBorders>
            <w:shd w:val="clear" w:color="auto" w:fill="auto"/>
          </w:tcPr>
          <w:p w14:paraId="095307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D598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000" w:type="pct"/>
            <w:gridSpan w:val="9"/>
            <w:tcBorders>
              <w:top w:val="single" w:color="000000" w:sz="4" w:space="0"/>
            </w:tcBorders>
          </w:tcPr>
          <w:p w14:paraId="3A5153D2">
            <w:pPr>
              <w:pStyle w:val="28"/>
              <w:rPr>
                <w:color w:val="000000" w:themeColor="text1"/>
                <w14:textFill>
                  <w14:solidFill>
                    <w14:schemeClr w14:val="tx1"/>
                  </w14:solidFill>
                </w14:textFill>
              </w:rPr>
            </w:pPr>
            <w:r>
              <w:rPr>
                <w:color w:val="000000" w:themeColor="text1"/>
                <w14:textFill>
                  <w14:solidFill>
                    <w14:schemeClr w14:val="tx1"/>
                  </w14:solidFill>
                </w14:textFill>
              </w:rPr>
              <w:t>注：在可能产生的土壤环境影响类型处打“√” 。</w:t>
            </w:r>
          </w:p>
        </w:tc>
      </w:tr>
    </w:tbl>
    <w:p w14:paraId="306E4DD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5.2.5.2土壤影响源及影响因子识别</w:t>
      </w:r>
    </w:p>
    <w:p w14:paraId="60DBADF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本项目土壤环境影响源及影响因子见下表。</w:t>
      </w:r>
    </w:p>
    <w:p w14:paraId="2D9E9AF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表5.2-25</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本项目土壤环境影响源及影响因子识别表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2295"/>
        <w:gridCol w:w="1621"/>
        <w:gridCol w:w="2223"/>
        <w:gridCol w:w="1317"/>
      </w:tblGrid>
      <w:tr w14:paraId="7745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4572A3F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1346" w:type="pct"/>
            <w:vAlign w:val="center"/>
          </w:tcPr>
          <w:p w14:paraId="7BB28AF6">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工艺流程/节点</w:t>
            </w:r>
          </w:p>
        </w:tc>
        <w:tc>
          <w:tcPr>
            <w:tcW w:w="951" w:type="pct"/>
            <w:vAlign w:val="center"/>
          </w:tcPr>
          <w:p w14:paraId="6824A95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污染途径</w:t>
            </w:r>
          </w:p>
        </w:tc>
        <w:tc>
          <w:tcPr>
            <w:tcW w:w="1304" w:type="pct"/>
            <w:vAlign w:val="center"/>
          </w:tcPr>
          <w:p w14:paraId="0268767B">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全部污染物指标</w:t>
            </w:r>
          </w:p>
        </w:tc>
        <w:tc>
          <w:tcPr>
            <w:tcW w:w="772" w:type="pct"/>
            <w:vAlign w:val="center"/>
          </w:tcPr>
          <w:p w14:paraId="4EAEE15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特征因子</w:t>
            </w:r>
          </w:p>
        </w:tc>
      </w:tr>
      <w:tr w14:paraId="27FA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4419E5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346" w:type="pct"/>
            <w:shd w:val="clear" w:color="auto" w:fill="auto"/>
            <w:vAlign w:val="center"/>
          </w:tcPr>
          <w:p w14:paraId="789CB7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研磨、干燥工段</w:t>
            </w:r>
          </w:p>
        </w:tc>
        <w:tc>
          <w:tcPr>
            <w:tcW w:w="951" w:type="pct"/>
            <w:shd w:val="clear" w:color="auto" w:fill="auto"/>
            <w:vAlign w:val="center"/>
          </w:tcPr>
          <w:p w14:paraId="0D80B0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大气沉降</w:t>
            </w:r>
          </w:p>
        </w:tc>
        <w:tc>
          <w:tcPr>
            <w:tcW w:w="1304" w:type="pct"/>
            <w:shd w:val="clear" w:color="auto" w:fill="auto"/>
            <w:vAlign w:val="center"/>
          </w:tcPr>
          <w:p w14:paraId="0F13A3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硫化物、非甲烷总烃</w:t>
            </w:r>
          </w:p>
        </w:tc>
        <w:tc>
          <w:tcPr>
            <w:tcW w:w="772" w:type="pct"/>
            <w:shd w:val="clear" w:color="auto" w:fill="auto"/>
            <w:vAlign w:val="center"/>
          </w:tcPr>
          <w:p w14:paraId="7208D6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r>
      <w:tr w14:paraId="6AC5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5" w:type="pct"/>
            <w:vMerge w:val="restart"/>
            <w:vAlign w:val="center"/>
          </w:tcPr>
          <w:p w14:paraId="74FC0F7B">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1346" w:type="pct"/>
            <w:vMerge w:val="restart"/>
            <w:vAlign w:val="center"/>
          </w:tcPr>
          <w:p w14:paraId="754BE91B">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清洗间、废水处理间、废气处理系统循环水池</w:t>
            </w:r>
          </w:p>
        </w:tc>
        <w:tc>
          <w:tcPr>
            <w:tcW w:w="951" w:type="pct"/>
            <w:shd w:val="clear" w:color="auto" w:fill="auto"/>
            <w:vAlign w:val="center"/>
          </w:tcPr>
          <w:p w14:paraId="4A499BC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地表漫流</w:t>
            </w:r>
          </w:p>
        </w:tc>
        <w:tc>
          <w:tcPr>
            <w:tcW w:w="1304" w:type="pct"/>
            <w:shd w:val="clear" w:color="auto" w:fill="auto"/>
            <w:vAlign w:val="center"/>
          </w:tcPr>
          <w:p w14:paraId="5EFCDE2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SS、CODcr、NH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-N、TP、硫化物</w:t>
            </w:r>
          </w:p>
        </w:tc>
        <w:tc>
          <w:tcPr>
            <w:tcW w:w="772" w:type="pct"/>
            <w:shd w:val="clear" w:color="auto" w:fill="auto"/>
            <w:vAlign w:val="center"/>
          </w:tcPr>
          <w:p w14:paraId="1D554C1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r>
      <w:tr w14:paraId="7286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5" w:type="pct"/>
            <w:vMerge w:val="continue"/>
            <w:vAlign w:val="center"/>
          </w:tcPr>
          <w:p w14:paraId="4BDE938E">
            <w:pPr>
              <w:pStyle w:val="50"/>
              <w:rPr>
                <w:color w:val="000000" w:themeColor="text1"/>
                <w14:textFill>
                  <w14:solidFill>
                    <w14:schemeClr w14:val="tx1"/>
                  </w14:solidFill>
                </w14:textFill>
              </w:rPr>
            </w:pPr>
          </w:p>
        </w:tc>
        <w:tc>
          <w:tcPr>
            <w:tcW w:w="1346" w:type="pct"/>
            <w:vMerge w:val="continue"/>
            <w:vAlign w:val="center"/>
          </w:tcPr>
          <w:p w14:paraId="4EFDADC2">
            <w:pPr>
              <w:pStyle w:val="50"/>
              <w:rPr>
                <w:color w:val="000000" w:themeColor="text1"/>
                <w14:textFill>
                  <w14:solidFill>
                    <w14:schemeClr w14:val="tx1"/>
                  </w14:solidFill>
                </w14:textFill>
              </w:rPr>
            </w:pPr>
          </w:p>
        </w:tc>
        <w:tc>
          <w:tcPr>
            <w:tcW w:w="951" w:type="pct"/>
            <w:shd w:val="clear" w:color="auto" w:fill="auto"/>
            <w:vAlign w:val="center"/>
          </w:tcPr>
          <w:p w14:paraId="3F75F172">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垂直入渗</w:t>
            </w:r>
          </w:p>
        </w:tc>
        <w:tc>
          <w:tcPr>
            <w:tcW w:w="1304" w:type="pct"/>
            <w:shd w:val="clear" w:color="auto" w:fill="auto"/>
            <w:vAlign w:val="center"/>
          </w:tcPr>
          <w:p w14:paraId="3053FB7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SS、CODcr、NH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-N、TP、硫化物</w:t>
            </w:r>
          </w:p>
        </w:tc>
        <w:tc>
          <w:tcPr>
            <w:tcW w:w="772" w:type="pct"/>
            <w:shd w:val="clear" w:color="auto" w:fill="auto"/>
            <w:vAlign w:val="center"/>
          </w:tcPr>
          <w:p w14:paraId="46B0B61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r>
      <w:tr w14:paraId="188A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0C99A55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w:t>
            </w:r>
          </w:p>
        </w:tc>
        <w:tc>
          <w:tcPr>
            <w:tcW w:w="1346" w:type="pct"/>
            <w:vAlign w:val="center"/>
          </w:tcPr>
          <w:p w14:paraId="01244C56">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原料暂存间、研磨区、危废暂存间</w:t>
            </w:r>
          </w:p>
        </w:tc>
        <w:tc>
          <w:tcPr>
            <w:tcW w:w="951" w:type="pct"/>
            <w:shd w:val="clear" w:color="auto" w:fill="auto"/>
            <w:vAlign w:val="center"/>
          </w:tcPr>
          <w:p w14:paraId="5699803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垂直入渗</w:t>
            </w:r>
          </w:p>
        </w:tc>
        <w:tc>
          <w:tcPr>
            <w:tcW w:w="1304" w:type="pct"/>
            <w:shd w:val="clear" w:color="auto" w:fill="auto"/>
            <w:vAlign w:val="center"/>
          </w:tcPr>
          <w:p w14:paraId="1CE2BD12">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772" w:type="pct"/>
            <w:shd w:val="clear" w:color="auto" w:fill="auto"/>
            <w:vAlign w:val="center"/>
          </w:tcPr>
          <w:p w14:paraId="2EC4D2D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r>
    </w:tbl>
    <w:p w14:paraId="4AF997BB">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5.2.5.3预测与评价</w:t>
      </w:r>
    </w:p>
    <w:p w14:paraId="6F2AA7B7">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1、大气沉降对土壤污染影响分析</w:t>
      </w:r>
    </w:p>
    <w:p w14:paraId="3413D43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（1）预测范围</w:t>
      </w:r>
    </w:p>
    <w:p w14:paraId="7083EA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土壤环境影响预测范围与现状调查评价范围一致，厂区范围内及周边200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范围。</w:t>
      </w:r>
    </w:p>
    <w:p w14:paraId="5E8C746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（2）预测时段</w:t>
      </w:r>
    </w:p>
    <w:p w14:paraId="21501B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预测时段设定为大气沉降发生后的10年、20年、30年。</w:t>
      </w:r>
    </w:p>
    <w:p w14:paraId="7D78761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（3）预测情景</w:t>
      </w:r>
    </w:p>
    <w:p w14:paraId="5E75A5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本次评价的土壤污染事故情景确定为：大气污染物持续排放，大气沉降对土壤的影响。</w:t>
      </w:r>
    </w:p>
    <w:p w14:paraId="32E18CE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（4）预测因子</w:t>
      </w:r>
    </w:p>
    <w:p w14:paraId="038A31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大气污染物持续排放，大气沉降对土壤有富集的影响，本项目废气主要是有机废气非甲烷总烃，非甲烷总烃 无土壤专项标准，按石油烃表征，因此本项目预测因子选取石油烃。</w:t>
      </w:r>
    </w:p>
    <w:p w14:paraId="725B9B5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5、预测模型</w:t>
      </w:r>
    </w:p>
    <w:p w14:paraId="6D132FE5">
      <w:pPr>
        <w:ind w:firstLine="480"/>
        <w:rPr>
          <w:color w:val="000000" w:themeColor="text1"/>
          <w14:textFill>
            <w14:solidFill>
              <w14:schemeClr w14:val="tx1"/>
            </w14:solidFill>
          </w14:textFill>
        </w:rPr>
      </w:pPr>
      <w:r>
        <w:rPr>
          <w:color w:val="000000" w:themeColor="text1"/>
          <w14:textFill>
            <w14:solidFill>
              <w14:schemeClr w14:val="tx1"/>
            </w14:solidFill>
          </w14:textFill>
        </w:rPr>
        <w:t>本次评价采用《环境影响评价技术导则-土壤环境（试行）》（HJ964-2018）推荐的方法一进行计算。</w:t>
      </w:r>
    </w:p>
    <w:p w14:paraId="3766F077">
      <w:pPr>
        <w:ind w:firstLine="480"/>
        <w:rPr>
          <w:color w:val="000000" w:themeColor="text1"/>
          <w14:textFill>
            <w14:solidFill>
              <w14:schemeClr w14:val="tx1"/>
            </w14:solidFill>
          </w14:textFill>
        </w:rPr>
      </w:pPr>
      <w:r>
        <w:rPr>
          <w:color w:val="000000" w:themeColor="text1"/>
          <w14:textFill>
            <w14:solidFill>
              <w14:schemeClr w14:val="tx1"/>
            </w14:solidFill>
          </w14:textFill>
        </w:rPr>
        <w:t>（1）单位质量土壤中某中物质的增量可用下式计算。</w:t>
      </w:r>
    </w:p>
    <w:p w14:paraId="4B11F3AF">
      <w:pPr>
        <w:ind w:firstLine="480"/>
        <w:rPr>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40" o:spt="75" type="#_x0000_t75" style="height:21.45pt;width:201.45pt;" o:ole="t" filled="f" o:preferrelative="t" stroked="f" coordsize="21600,21600">
            <v:path/>
            <v:fill on="f" focussize="0,0"/>
            <v:stroke on="f" joinstyle="miter"/>
            <v:imagedata r:id="rId65" o:title=""/>
            <o:lock v:ext="edit" aspectratio="t"/>
            <w10:wrap type="none"/>
            <w10:anchorlock/>
          </v:shape>
          <o:OLEObject Type="Embed" ProgID="Equation.3" ShapeID="_x0000_i1040" DrawAspect="Content" ObjectID="_1468075740" r:id="rId64">
            <o:LockedField>false</o:LockedField>
          </o:OLEObject>
        </w:object>
      </w:r>
    </w:p>
    <w:p w14:paraId="76F16CF3">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object>
          <v:shape id="_x0000_i1041" o:spt="75" type="#_x0000_t75" style="height:14.55pt;width:21.45pt;" o:ole="t" filled="f" o:preferrelative="t" stroked="f" coordsize="21600,21600">
            <v:path/>
            <v:fill on="f" focussize="0,0"/>
            <v:stroke on="f" joinstyle="miter"/>
            <v:imagedata r:id="rId67" o:title=""/>
            <o:lock v:ext="edit" aspectratio="t"/>
            <w10:wrap type="none"/>
            <w10:anchorlock/>
          </v:shape>
          <o:OLEObject Type="Embed" ProgID="Equation.3" ShapeID="_x0000_i1041" DrawAspect="Content" ObjectID="_1468075741" r:id="rId66">
            <o:LockedField>false</o:LockedField>
          </o:OLEObject>
        </w:object>
      </w:r>
      <w:r>
        <w:rPr>
          <w:color w:val="000000" w:themeColor="text1"/>
          <w14:textFill>
            <w14:solidFill>
              <w14:schemeClr w14:val="tx1"/>
            </w14:solidFill>
          </w14:textFill>
        </w:rPr>
        <w:t>——单位质量表层土壤中某种物质的增量，g/kg；</w:t>
      </w:r>
    </w:p>
    <w:p w14:paraId="0FF62978">
      <w:pPr>
        <w:ind w:firstLine="480"/>
        <w:rPr>
          <w:color w:val="000000" w:themeColor="text1"/>
          <w14:textFill>
            <w14:solidFill>
              <w14:schemeClr w14:val="tx1"/>
            </w14:solidFill>
          </w14:textFill>
        </w:rPr>
      </w:pPr>
      <w:r>
        <w:rPr>
          <w:color w:val="000000" w:themeColor="text1"/>
          <w14:textFill>
            <w14:solidFill>
              <w14:schemeClr w14:val="tx1"/>
            </w14:solidFill>
          </w14:textFill>
        </w:rPr>
        <w:t>IS——预测评价范围内单位年份表层土壤中某种物质的输入量，g；</w:t>
      </w:r>
    </w:p>
    <w:p w14:paraId="473A3DCF">
      <w:pPr>
        <w:ind w:firstLine="480"/>
        <w:rPr>
          <w:color w:val="000000" w:themeColor="text1"/>
          <w14:textFill>
            <w14:solidFill>
              <w14:schemeClr w14:val="tx1"/>
            </w14:solidFill>
          </w14:textFill>
        </w:rPr>
      </w:pPr>
      <w:r>
        <w:rPr>
          <w:color w:val="000000" w:themeColor="text1"/>
          <w14:textFill>
            <w14:solidFill>
              <w14:schemeClr w14:val="tx1"/>
            </w14:solidFill>
          </w14:textFill>
        </w:rPr>
        <w:t>LS——预测评价范围内单位年份表层土壤中某种物质经淋溶排出的量，g；根据导则大气沉降不考虑，本次取0；</w:t>
      </w:r>
    </w:p>
    <w:p w14:paraId="4E811D49">
      <w:pPr>
        <w:ind w:firstLine="480"/>
        <w:rPr>
          <w:color w:val="000000" w:themeColor="text1"/>
          <w14:textFill>
            <w14:solidFill>
              <w14:schemeClr w14:val="tx1"/>
            </w14:solidFill>
          </w14:textFill>
        </w:rPr>
      </w:pPr>
      <w:r>
        <w:rPr>
          <w:color w:val="000000" w:themeColor="text1"/>
          <w14:textFill>
            <w14:solidFill>
              <w14:schemeClr w14:val="tx1"/>
            </w14:solidFill>
          </w14:textFill>
        </w:rPr>
        <w:t>RS——预测评价范围内单位年份表层土壤中某种物质经径流排出的量，g；根据导则大气沉降不考虑，本次取0；</w:t>
      </w:r>
    </w:p>
    <w:p w14:paraId="75398064">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42" o:spt="75" type="#_x0000_t75" style="height:14.55pt;width:6.9pt;" o:ole="t" filled="f" o:preferrelative="t" stroked="f" coordsize="21600,21600">
            <v:path/>
            <v:fill on="f" focussize="0,0"/>
            <v:stroke on="f" joinstyle="miter"/>
            <v:imagedata r:id="rId69" o:title=""/>
            <o:lock v:ext="edit" aspectratio="t"/>
            <w10:wrap type="none"/>
            <w10:anchorlock/>
          </v:shape>
          <o:OLEObject Type="Embed" ProgID="Equation.3" ShapeID="_x0000_i1042" DrawAspect="Content" ObjectID="_1468075742" r:id="rId68">
            <o:LockedField>false</o:LockedField>
          </o:OLEObject>
        </w:object>
      </w:r>
      <w:r>
        <w:rPr>
          <w:color w:val="000000" w:themeColor="text1"/>
          <w14:textFill>
            <w14:solidFill>
              <w14:schemeClr w14:val="tx1"/>
            </w14:solidFill>
          </w14:textFill>
        </w:rPr>
        <w:t>——表层土壤容重，kg/m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根据现状监测结果</w:t>
      </w:r>
      <w:r>
        <w:rPr>
          <w:color w:val="000000" w:themeColor="text1"/>
          <w14:textFill>
            <w14:solidFill>
              <w14:schemeClr w14:val="tx1"/>
            </w14:solidFill>
          </w14:textFill>
        </w:rPr>
        <w:t>取</w:t>
      </w:r>
      <w:r>
        <w:rPr>
          <w:rFonts w:hint="eastAsia"/>
          <w:color w:val="000000" w:themeColor="text1"/>
          <w14:textFill>
            <w14:solidFill>
              <w14:schemeClr w14:val="tx1"/>
            </w14:solidFill>
          </w14:textFill>
        </w:rPr>
        <w:t>1240</w:t>
      </w:r>
      <w:r>
        <w:rPr>
          <w:color w:val="000000" w:themeColor="text1"/>
          <w14:textFill>
            <w14:solidFill>
              <w14:schemeClr w14:val="tx1"/>
            </w14:solidFill>
          </w14:textFill>
        </w:rPr>
        <w:t>kg/m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（平均值）；</w:t>
      </w:r>
    </w:p>
    <w:p w14:paraId="5156C3CB">
      <w:pPr>
        <w:ind w:firstLine="480"/>
        <w:rPr>
          <w:color w:val="000000" w:themeColor="text1"/>
          <w14:textFill>
            <w14:solidFill>
              <w14:schemeClr w14:val="tx1"/>
            </w14:solidFill>
          </w14:textFill>
        </w:rPr>
      </w:pPr>
      <w:r>
        <w:rPr>
          <w:color w:val="000000" w:themeColor="text1"/>
          <w14:textFill>
            <w14:solidFill>
              <w14:schemeClr w14:val="tx1"/>
            </w14:solidFill>
          </w14:textFill>
        </w:rPr>
        <w:t>A——预测评价范围，m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；取54万m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08C80B9E">
      <w:pPr>
        <w:ind w:firstLine="480"/>
        <w:rPr>
          <w:color w:val="000000" w:themeColor="text1"/>
          <w14:textFill>
            <w14:solidFill>
              <w14:schemeClr w14:val="tx1"/>
            </w14:solidFill>
          </w14:textFill>
        </w:rPr>
      </w:pPr>
      <w:r>
        <w:rPr>
          <w:color w:val="000000" w:themeColor="text1"/>
          <w14:textFill>
            <w14:solidFill>
              <w14:schemeClr w14:val="tx1"/>
            </w14:solidFill>
          </w14:textFill>
        </w:rPr>
        <w:t>D——表层土壤深度，一般取0.2m，可根据实际情况适当调整</w:t>
      </w:r>
      <w:r>
        <w:rPr>
          <w:rFonts w:hint="eastAsia"/>
          <w:color w:val="000000" w:themeColor="text1"/>
          <w14:textFill>
            <w14:solidFill>
              <w14:schemeClr w14:val="tx1"/>
            </w14:solidFill>
          </w14:textFill>
        </w:rPr>
        <w:t>；</w:t>
      </w:r>
    </w:p>
    <w:p w14:paraId="3864FBB3">
      <w:pPr>
        <w:ind w:firstLine="480"/>
        <w:rPr>
          <w:color w:val="000000" w:themeColor="text1"/>
          <w14:textFill>
            <w14:solidFill>
              <w14:schemeClr w14:val="tx1"/>
            </w14:solidFill>
          </w14:textFill>
        </w:rPr>
      </w:pPr>
      <w:r>
        <w:rPr>
          <w:color w:val="000000" w:themeColor="text1"/>
          <w14:textFill>
            <w14:solidFill>
              <w14:schemeClr w14:val="tx1"/>
            </w14:solidFill>
          </w14:textFill>
        </w:rPr>
        <w:t>n——持续年份，a。</w:t>
      </w:r>
    </w:p>
    <w:p w14:paraId="6F449AF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（2）污染源强IS计算如下：</w:t>
      </w:r>
    </w:p>
    <w:p w14:paraId="3E455B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IS=C*V*T*A</w:t>
      </w:r>
    </w:p>
    <w:p w14:paraId="0ADFF8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C——污染物浓度，mg/m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；偏安全考虑，根据大气预测结果，区域最大非甲烷总烃最大落地浓度贡献值为77.021</w:t>
      </w:r>
      <w:r>
        <w:rPr>
          <w:rFonts w:cs="Times New Roman"/>
          <w:color w:val="000000" w:themeColor="text1"/>
          <w14:textFill>
            <w14:solidFill>
              <w14:schemeClr w14:val="tx1"/>
            </w14:solidFill>
          </w14:textFill>
        </w:rPr>
        <w:t>μ</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1DE9D0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V——污染物沉降速率，m/s；沉降速率取0.001m/s；</w:t>
      </w:r>
    </w:p>
    <w:p w14:paraId="694584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T——年内污染物沉降时间，s。取全年300天（每天24小时）连续排放沉降；</w:t>
      </w:r>
    </w:p>
    <w:p w14:paraId="6D642D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A——预测评价面积，A=54万m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3AA4CE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综上，算出非甲烷总烃输入量为IS=1078.5g。</w:t>
      </w:r>
    </w:p>
    <w:p w14:paraId="2F060F84">
      <w:pPr>
        <w:ind w:firstLine="480"/>
        <w:rPr>
          <w:color w:val="000000" w:themeColor="text1"/>
          <w14:textFill>
            <w14:solidFill>
              <w14:schemeClr w14:val="tx1"/>
            </w14:solidFill>
          </w14:textFill>
        </w:rPr>
      </w:pPr>
      <w:r>
        <w:rPr>
          <w:color w:val="000000" w:themeColor="text1"/>
          <w14:textFill>
            <w14:solidFill>
              <w14:schemeClr w14:val="tx1"/>
            </w14:solidFill>
          </w14:textFill>
        </w:rPr>
        <w:t>（2）单位质量土壤中某种物质的预测值可根据其增量叠加现状值进行计算。</w:t>
      </w:r>
    </w:p>
    <w:p w14:paraId="1310202C">
      <w:pPr>
        <w:ind w:firstLine="480"/>
        <w:rPr>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43" o:spt="75" type="#_x0000_t75" style="height:21.45pt;width:72pt;" o:ole="t" filled="f" o:preferrelative="t" stroked="f" coordsize="21600,21600">
            <v:path/>
            <v:fill on="f" focussize="0,0"/>
            <v:stroke on="f" joinstyle="miter"/>
            <v:imagedata r:id="rId71" o:title=""/>
            <o:lock v:ext="edit" aspectratio="t"/>
            <w10:wrap type="none"/>
            <w10:anchorlock/>
          </v:shape>
          <o:OLEObject Type="Embed" ProgID="Equation.3" ShapeID="_x0000_i1043" DrawAspect="Content" ObjectID="_1468075743" r:id="rId70">
            <o:LockedField>false</o:LockedField>
          </o:OLEObject>
        </w:object>
      </w:r>
    </w:p>
    <w:p w14:paraId="27C6C406">
      <w:pPr>
        <w:ind w:firstLine="480"/>
        <w:rPr>
          <w:color w:val="000000" w:themeColor="text1"/>
          <w14:textFill>
            <w14:solidFill>
              <w14:schemeClr w14:val="tx1"/>
            </w14:solidFill>
          </w14:textFill>
        </w:rPr>
      </w:pPr>
      <w:r>
        <w:rPr>
          <w:color w:val="000000" w:themeColor="text1"/>
          <w14:textFill>
            <w14:solidFill>
              <w14:schemeClr w14:val="tx1"/>
            </w14:solidFill>
          </w14:textFill>
        </w:rPr>
        <w:t>式中，Sb——单位质量土壤中某种物质的现状值，g/kg；</w:t>
      </w:r>
      <w:r>
        <w:rPr>
          <w:rFonts w:hint="eastAsia"/>
          <w:color w:val="000000" w:themeColor="text1"/>
          <w14:textFill>
            <w14:solidFill>
              <w14:schemeClr w14:val="tx1"/>
            </w14:solidFill>
          </w14:textFill>
        </w:rPr>
        <w:t>根据现状监测结果</w:t>
      </w:r>
      <w:r>
        <w:rPr>
          <w:color w:val="000000" w:themeColor="text1"/>
          <w14:textFill>
            <w14:solidFill>
              <w14:schemeClr w14:val="tx1"/>
            </w14:solidFill>
          </w14:textFill>
        </w:rPr>
        <w:t>取</w:t>
      </w:r>
      <w:r>
        <w:rPr>
          <w:rFonts w:hint="eastAsia"/>
          <w:color w:val="000000" w:themeColor="text1"/>
          <w14:textFill>
            <w14:solidFill>
              <w14:schemeClr w14:val="tx1"/>
            </w14:solidFill>
          </w14:textFill>
        </w:rPr>
        <w:t>6</w:t>
      </w:r>
      <w:r>
        <w:rPr>
          <w:rFonts w:cs="Times New Roman"/>
          <w:color w:val="000000" w:themeColor="text1"/>
          <w14:textFill>
            <w14:solidFill>
              <w14:schemeClr w14:val="tx1"/>
            </w14:solidFill>
          </w14:textFill>
        </w:rPr>
        <w:t>2</w:t>
      </w:r>
      <w:r>
        <w:rPr>
          <w:rFonts w:cs="Times New Roman"/>
          <w:color w:val="000000" w:themeColor="text1"/>
          <w:lang w:bidi="ar"/>
          <w14:textFill>
            <w14:solidFill>
              <w14:schemeClr w14:val="tx1"/>
            </w14:solidFill>
          </w14:textFill>
        </w:rPr>
        <w:t>mg/kg</w:t>
      </w:r>
      <w:r>
        <w:rPr>
          <w:rFonts w:hint="eastAsia"/>
          <w:color w:val="000000" w:themeColor="text1"/>
          <w14:textFill>
            <w14:solidFill>
              <w14:schemeClr w14:val="tx1"/>
            </w14:solidFill>
          </w14:textFill>
        </w:rPr>
        <w:t>（最大值）；</w:t>
      </w:r>
    </w:p>
    <w:p w14:paraId="26E322B5">
      <w:pPr>
        <w:ind w:firstLine="480"/>
        <w:rPr>
          <w:color w:val="000000" w:themeColor="text1"/>
          <w14:textFill>
            <w14:solidFill>
              <w14:schemeClr w14:val="tx1"/>
            </w14:solidFill>
          </w14:textFill>
        </w:rPr>
      </w:pPr>
      <w:r>
        <w:rPr>
          <w:color w:val="000000" w:themeColor="text1"/>
          <w14:textFill>
            <w14:solidFill>
              <w14:schemeClr w14:val="tx1"/>
            </w14:solidFill>
          </w14:textFill>
        </w:rPr>
        <w:t>S——单位质量土壤中某种物质的预测值，g/kg</w:t>
      </w:r>
      <w:r>
        <w:rPr>
          <w:rFonts w:hint="eastAsia"/>
          <w:color w:val="000000" w:themeColor="text1"/>
          <w14:textFill>
            <w14:solidFill>
              <w14:schemeClr w14:val="tx1"/>
            </w14:solidFill>
          </w14:textFill>
        </w:rPr>
        <w:t>。</w:t>
      </w:r>
    </w:p>
    <w:p w14:paraId="028F2A57">
      <w:pPr>
        <w:ind w:firstLine="482"/>
        <w:rPr>
          <w:rFonts w:cs="Times New Roman"/>
          <w:b/>
          <w:color w:val="000000" w:themeColor="text1"/>
          <w14:textFill>
            <w14:solidFill>
              <w14:schemeClr w14:val="tx1"/>
            </w14:solidFill>
          </w14:textFill>
        </w:rPr>
      </w:pPr>
      <w:r>
        <w:rPr>
          <w:b/>
          <w:bCs/>
          <w:color w:val="000000" w:themeColor="text1"/>
          <w14:textFill>
            <w14:solidFill>
              <w14:schemeClr w14:val="tx1"/>
            </w14:solidFill>
          </w14:textFill>
        </w:rPr>
        <w:t>6、</w:t>
      </w:r>
      <w:r>
        <w:rPr>
          <w:rFonts w:cs="Times New Roman"/>
          <w:b/>
          <w:color w:val="000000" w:themeColor="text1"/>
          <w14:textFill>
            <w14:solidFill>
              <w14:schemeClr w14:val="tx1"/>
            </w14:solidFill>
          </w14:textFill>
        </w:rPr>
        <w:t>预测结果</w:t>
      </w:r>
    </w:p>
    <w:p w14:paraId="57755A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预测结果如下：</w:t>
      </w:r>
    </w:p>
    <w:p w14:paraId="775FBC6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表5.2-26  对土壤累积影响预测</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71"/>
        <w:gridCol w:w="1616"/>
        <w:gridCol w:w="1616"/>
        <w:gridCol w:w="1616"/>
      </w:tblGrid>
      <w:tr w14:paraId="5950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419D60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运行时间</w:t>
            </w:r>
          </w:p>
        </w:tc>
        <w:tc>
          <w:tcPr>
            <w:tcW w:w="948" w:type="pct"/>
            <w:vAlign w:val="center"/>
          </w:tcPr>
          <w:p w14:paraId="02E38E00">
            <w:pPr>
              <w:pStyle w:val="2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年</w:t>
            </w:r>
          </w:p>
        </w:tc>
        <w:tc>
          <w:tcPr>
            <w:tcW w:w="948" w:type="pct"/>
            <w:vAlign w:val="center"/>
          </w:tcPr>
          <w:p w14:paraId="797D69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r>
              <w:rPr>
                <w:color w:val="000000" w:themeColor="text1"/>
                <w14:textFill>
                  <w14:solidFill>
                    <w14:schemeClr w14:val="tx1"/>
                  </w14:solidFill>
                </w14:textFill>
              </w:rPr>
              <w:t>年</w:t>
            </w:r>
          </w:p>
        </w:tc>
        <w:tc>
          <w:tcPr>
            <w:tcW w:w="948" w:type="pct"/>
            <w:vAlign w:val="center"/>
          </w:tcPr>
          <w:p w14:paraId="3F9E56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30</w:t>
            </w:r>
            <w:r>
              <w:rPr>
                <w:color w:val="000000" w:themeColor="text1"/>
                <w14:textFill>
                  <w14:solidFill>
                    <w14:schemeClr w14:val="tx1"/>
                  </w14:solidFill>
                </w14:textFill>
              </w:rPr>
              <w:t xml:space="preserve"> 年</w:t>
            </w:r>
          </w:p>
        </w:tc>
      </w:tr>
      <w:tr w14:paraId="29964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39C4E028">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ΔS（mg/kg） </w:t>
            </w:r>
          </w:p>
        </w:tc>
        <w:tc>
          <w:tcPr>
            <w:tcW w:w="948" w:type="pct"/>
          </w:tcPr>
          <w:p w14:paraId="3A8D2C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948" w:type="pct"/>
          </w:tcPr>
          <w:p w14:paraId="31A638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0.16</w:t>
            </w:r>
          </w:p>
        </w:tc>
        <w:tc>
          <w:tcPr>
            <w:tcW w:w="948" w:type="pct"/>
          </w:tcPr>
          <w:p w14:paraId="22A645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r>
      <w:tr w14:paraId="611FD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1F3CEF7A">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Sb（mg/kg） </w:t>
            </w:r>
          </w:p>
        </w:tc>
        <w:tc>
          <w:tcPr>
            <w:tcW w:w="948" w:type="pct"/>
            <w:vAlign w:val="center"/>
          </w:tcPr>
          <w:p w14:paraId="3AF683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948" w:type="pct"/>
            <w:vAlign w:val="center"/>
          </w:tcPr>
          <w:p w14:paraId="408012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948" w:type="pct"/>
            <w:vAlign w:val="center"/>
          </w:tcPr>
          <w:p w14:paraId="073BB5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r>
      <w:tr w14:paraId="157B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69CFD63C">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预测值（mg/kg） </w:t>
            </w:r>
          </w:p>
        </w:tc>
        <w:tc>
          <w:tcPr>
            <w:tcW w:w="948" w:type="pct"/>
            <w:shd w:val="clear" w:color="auto" w:fill="auto"/>
          </w:tcPr>
          <w:p w14:paraId="46CA8A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62.08</w:t>
            </w:r>
          </w:p>
        </w:tc>
        <w:tc>
          <w:tcPr>
            <w:tcW w:w="948" w:type="pct"/>
            <w:shd w:val="clear" w:color="auto" w:fill="auto"/>
          </w:tcPr>
          <w:p w14:paraId="0AA376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62.16</w:t>
            </w:r>
          </w:p>
        </w:tc>
        <w:tc>
          <w:tcPr>
            <w:tcW w:w="948" w:type="pct"/>
            <w:shd w:val="clear" w:color="auto" w:fill="auto"/>
          </w:tcPr>
          <w:p w14:paraId="5F6C93DE">
            <w:pPr>
              <w:pStyle w:val="28"/>
              <w:rPr>
                <w:color w:val="000000" w:themeColor="text1"/>
                <w14:textFill>
                  <w14:solidFill>
                    <w14:schemeClr w14:val="tx1"/>
                  </w14:solidFill>
                </w14:textFill>
              </w:rPr>
            </w:pPr>
            <w:bookmarkStart w:id="103" w:name="_Hlk226622340"/>
            <w:r>
              <w:rPr>
                <w:rFonts w:hint="eastAsia"/>
                <w:color w:val="000000" w:themeColor="text1"/>
                <w14:textFill>
                  <w14:solidFill>
                    <w14:schemeClr w14:val="tx1"/>
                  </w14:solidFill>
                </w14:textFill>
              </w:rPr>
              <w:t>62.24</w:t>
            </w:r>
            <w:bookmarkEnd w:id="103"/>
          </w:p>
        </w:tc>
      </w:tr>
      <w:tr w14:paraId="572BE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shd w:val="clear" w:color="auto" w:fill="auto"/>
            <w:vAlign w:val="center"/>
          </w:tcPr>
          <w:p w14:paraId="43E564D6">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标准值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第一类用地</w:t>
            </w:r>
            <w:r>
              <w:rPr>
                <w:rFonts w:hint="eastAsia"/>
                <w:color w:val="000000" w:themeColor="text1"/>
                <w:lang w:eastAsia="zh-CN"/>
                <w14:textFill>
                  <w14:solidFill>
                    <w14:schemeClr w14:val="tx1"/>
                  </w14:solidFill>
                </w14:textFill>
              </w:rPr>
              <w:t>）</w:t>
            </w:r>
          </w:p>
        </w:tc>
        <w:tc>
          <w:tcPr>
            <w:tcW w:w="948" w:type="pct"/>
            <w:shd w:val="clear" w:color="auto" w:fill="auto"/>
          </w:tcPr>
          <w:p w14:paraId="55024B50">
            <w:pPr>
              <w:pStyle w:val="2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826</w:t>
            </w:r>
          </w:p>
        </w:tc>
        <w:tc>
          <w:tcPr>
            <w:tcW w:w="948" w:type="pct"/>
            <w:shd w:val="clear" w:color="auto" w:fill="auto"/>
          </w:tcPr>
          <w:p w14:paraId="7E972D61">
            <w:pPr>
              <w:pStyle w:val="28"/>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826</w:t>
            </w:r>
          </w:p>
        </w:tc>
        <w:tc>
          <w:tcPr>
            <w:tcW w:w="948" w:type="pct"/>
            <w:shd w:val="clear" w:color="auto" w:fill="auto"/>
          </w:tcPr>
          <w:p w14:paraId="5EC8A7E5">
            <w:pPr>
              <w:pStyle w:val="28"/>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826</w:t>
            </w:r>
          </w:p>
        </w:tc>
      </w:tr>
      <w:tr w14:paraId="36331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shd w:val="clear" w:color="auto" w:fill="auto"/>
            <w:vAlign w:val="center"/>
          </w:tcPr>
          <w:p w14:paraId="4AFB27B4">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达标情况</w:t>
            </w:r>
          </w:p>
        </w:tc>
        <w:tc>
          <w:tcPr>
            <w:tcW w:w="948" w:type="pct"/>
            <w:shd w:val="clear" w:color="auto" w:fill="auto"/>
            <w:vAlign w:val="top"/>
          </w:tcPr>
          <w:p w14:paraId="0179514A">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948" w:type="pct"/>
            <w:shd w:val="clear" w:color="auto" w:fill="auto"/>
            <w:vAlign w:val="top"/>
          </w:tcPr>
          <w:p w14:paraId="74AE77BE">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c>
          <w:tcPr>
            <w:tcW w:w="948" w:type="pct"/>
            <w:shd w:val="clear" w:color="auto" w:fill="auto"/>
            <w:vAlign w:val="top"/>
          </w:tcPr>
          <w:p w14:paraId="07B0DF51">
            <w:pPr>
              <w:pStyle w:val="28"/>
              <w:ind w:firstLine="0" w:firstLineChars="0"/>
              <w:rPr>
                <w:rFonts w:hint="eastAsia" w:ascii="Times New Roman" w:hAnsi="Times New Roman" w:eastAsia="宋体" w:cstheme="minorBidi"/>
                <w:b w:val="0"/>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达标</w:t>
            </w:r>
          </w:p>
        </w:tc>
      </w:tr>
      <w:tr w14:paraId="4708D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69AAEE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第二类用地</w:t>
            </w:r>
            <w:r>
              <w:rPr>
                <w:rFonts w:hint="eastAsia"/>
                <w:color w:val="000000" w:themeColor="text1"/>
                <w:lang w:eastAsia="zh-CN"/>
                <w14:textFill>
                  <w14:solidFill>
                    <w14:schemeClr w14:val="tx1"/>
                  </w14:solidFill>
                </w14:textFill>
              </w:rPr>
              <w:t>）</w:t>
            </w:r>
          </w:p>
        </w:tc>
        <w:tc>
          <w:tcPr>
            <w:tcW w:w="948" w:type="pct"/>
            <w:shd w:val="clear" w:color="auto" w:fill="auto"/>
          </w:tcPr>
          <w:p w14:paraId="0A4E2B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948" w:type="pct"/>
            <w:shd w:val="clear" w:color="auto" w:fill="auto"/>
          </w:tcPr>
          <w:p w14:paraId="26511B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948" w:type="pct"/>
            <w:shd w:val="clear" w:color="auto" w:fill="auto"/>
          </w:tcPr>
          <w:p w14:paraId="2D6DA6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r>
      <w:tr w14:paraId="2C1D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4" w:type="pct"/>
            <w:vAlign w:val="center"/>
          </w:tcPr>
          <w:p w14:paraId="0F19BC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948" w:type="pct"/>
            <w:shd w:val="clear" w:color="auto" w:fill="auto"/>
          </w:tcPr>
          <w:p w14:paraId="683621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48" w:type="pct"/>
            <w:shd w:val="clear" w:color="auto" w:fill="auto"/>
          </w:tcPr>
          <w:p w14:paraId="083F42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48" w:type="pct"/>
            <w:shd w:val="clear" w:color="auto" w:fill="auto"/>
          </w:tcPr>
          <w:p w14:paraId="15F867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60BEF5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预测结果显示在正常工况下，排入大气环境的石油烃沉降入土壤的量均较小，不会对周边土壤产生明显影响。本项目运行</w:t>
      </w:r>
      <w:r>
        <w:rPr>
          <w:color w:val="000000" w:themeColor="text1"/>
          <w14:textFill>
            <w14:solidFill>
              <w14:schemeClr w14:val="tx1"/>
            </w14:solidFill>
          </w14:textFill>
        </w:rPr>
        <w:t>10至30</w:t>
      </w:r>
      <w:r>
        <w:rPr>
          <w:rFonts w:hint="eastAsia"/>
          <w:color w:val="000000" w:themeColor="text1"/>
          <w14:textFill>
            <w14:solidFill>
              <w14:schemeClr w14:val="tx1"/>
            </w14:solidFill>
          </w14:textFill>
        </w:rPr>
        <w:t>年后，有机废气全部沉降下来后，评价范围内土壤环境中单位质量表层中石油烃的增量远低于《建设用地土壤污染风险管控标准》（GB36600-2018）中的第二类建设用地筛选值4500mg/kg，</w:t>
      </w:r>
      <w:r>
        <w:rPr>
          <w:rStyle w:val="26"/>
          <w:rFonts w:hint="eastAsia"/>
          <w:color w:val="000000" w:themeColor="text1"/>
          <w:lang w:val="en-US" w:eastAsia="zh-CN"/>
          <w14:textFill>
            <w14:solidFill>
              <w14:schemeClr w14:val="tx1"/>
            </w14:solidFill>
          </w14:textFill>
        </w:rPr>
        <w:t>也</w:t>
      </w:r>
      <w:r>
        <w:rPr>
          <w:rFonts w:hint="eastAsia"/>
          <w:color w:val="000000" w:themeColor="text1"/>
          <w:lang w:val="en-US" w:eastAsia="zh-CN"/>
          <w14:textFill>
            <w14:solidFill>
              <w14:schemeClr w14:val="tx1"/>
            </w14:solidFill>
          </w14:textFill>
        </w:rPr>
        <w:t>低于第一类建设用地筛选值826mg/kg，</w:t>
      </w:r>
      <w:r>
        <w:rPr>
          <w:rFonts w:hint="eastAsia"/>
          <w:color w:val="000000" w:themeColor="text1"/>
          <w14:textFill>
            <w14:solidFill>
              <w14:schemeClr w14:val="tx1"/>
            </w14:solidFill>
          </w14:textFill>
        </w:rPr>
        <w:t>本项目运营对区域土壤环境的影响可以接受。但通过计算，石油烃在土壤中的累积量逐年增加，因此需要严格落实大气污染防治措施，确保废气达标排放，降低污染物因大气沉降污染区域土壤环境。</w:t>
      </w:r>
    </w:p>
    <w:p w14:paraId="05F7162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2、地面漫流及垂直入渗的影响分析</w:t>
      </w:r>
    </w:p>
    <w:p w14:paraId="68556002">
      <w:pPr>
        <w:ind w:firstLine="480"/>
        <w:rPr>
          <w:color w:val="000000" w:themeColor="text1"/>
          <w14:textFill>
            <w14:solidFill>
              <w14:schemeClr w14:val="tx1"/>
            </w14:solidFill>
          </w14:textFill>
        </w:rPr>
      </w:pPr>
      <w:r>
        <w:rPr>
          <w:color w:val="000000" w:themeColor="text1"/>
          <w14:textFill>
            <w14:solidFill>
              <w14:schemeClr w14:val="tx1"/>
            </w14:solidFill>
          </w14:textFill>
        </w:rPr>
        <w:t>对于地上设施，在事故情况和降雨情况下产生的废水可能会发生地面漫流，进一步污染土壤。由于车间和厂区地面均为水泥硬化，一般情况下不会发生废水、废液泄漏污染土壤的情况。在事故状态下，事故废水收集于事故应急池内，全面防控事故废水和可能受污染的雨水发生地面漫流，进入土壤。在全面落实各项防控措施的情况下，物料或污染物的地面漫流对土壤影响较小。同时，本项目已做好分区防渗，并设置足够容积的事故应急池，运营后也将落实环保设备检查、检修制度；产生的事故废水、废液等及时处理，避免污染土壤环境。因此，本项目实施后，在落实相应的环保措施情况下，地面漫流和垂直渗入不会对周边土壤环境质量造成较大影响。</w:t>
      </w:r>
    </w:p>
    <w:p w14:paraId="341683F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5.2.5.5结论</w:t>
      </w:r>
    </w:p>
    <w:p w14:paraId="5ED297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评价范围内除了绿化用地外，以建筑物和混凝土路面为主，直接裸露的土壤较少，因此，通过大气沉降形式对土壤造成污染的可能性很小。原料暂存间、危废暂存间按要求进行重点防渗处理，污染物通过垂直入渗、地面漫流的途径对土壤造成污染的可能性很小，本项目在严格落实本环评提出的土壤环境污染防治措施后，项目运营过程中对土壤环境影响较小。</w:t>
      </w:r>
    </w:p>
    <w:p w14:paraId="75359033">
      <w:pPr>
        <w:pStyle w:val="4"/>
        <w:rPr>
          <w:color w:val="000000" w:themeColor="text1"/>
          <w14:textFill>
            <w14:solidFill>
              <w14:schemeClr w14:val="tx1"/>
            </w14:solidFill>
          </w14:textFill>
        </w:rPr>
      </w:pPr>
      <w:bookmarkStart w:id="104" w:name="_Toc11897"/>
      <w:r>
        <w:rPr>
          <w:rFonts w:hint="eastAsia"/>
          <w:color w:val="000000" w:themeColor="text1"/>
          <w14:textFill>
            <w14:solidFill>
              <w14:schemeClr w14:val="tx1"/>
            </w14:solidFill>
          </w14:textFill>
        </w:rPr>
        <w:t>5.2.6地下水环境影响分析</w:t>
      </w:r>
      <w:bookmarkEnd w:id="104"/>
    </w:p>
    <w:p w14:paraId="25D3413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5.2.6.1区域水文地质条件调查</w:t>
      </w:r>
    </w:p>
    <w:p w14:paraId="2B17B00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1、区域水文地质概况</w:t>
      </w:r>
    </w:p>
    <w:p w14:paraId="40CCADEE">
      <w:pPr>
        <w:ind w:firstLine="480"/>
        <w:rPr>
          <w:color w:val="000000" w:themeColor="text1"/>
          <w14:textFill>
            <w14:solidFill>
              <w14:schemeClr w14:val="tx1"/>
            </w14:solidFill>
          </w14:textFill>
        </w:rPr>
      </w:pPr>
      <w:r>
        <w:rPr>
          <w:color w:val="000000" w:themeColor="text1"/>
          <w14:textFill>
            <w14:solidFill>
              <w14:schemeClr w14:val="tx1"/>
            </w14:solidFill>
          </w14:textFill>
        </w:rPr>
        <w:t>根据《区域水文地质普查报告-玉溪幅》中的地质资料可知，项目区及其附近出露地层主要为新生界第四系冲积层（Q4al）、新生界上第三系（N）、元古界前震旦系美党组（Pt1m）和大龙口组（Pt1d）等地层，其地层概况简述如下：</w:t>
      </w:r>
    </w:p>
    <w:p w14:paraId="5011FC07">
      <w:pPr>
        <w:ind w:firstLine="480"/>
        <w:rPr>
          <w:color w:val="000000" w:themeColor="text1"/>
          <w14:textFill>
            <w14:solidFill>
              <w14:schemeClr w14:val="tx1"/>
            </w14:solidFill>
          </w14:textFill>
        </w:rPr>
      </w:pPr>
      <w:r>
        <w:rPr>
          <w:color w:val="000000" w:themeColor="text1"/>
          <w14:textFill>
            <w14:solidFill>
              <w14:schemeClr w14:val="tx1"/>
            </w14:solidFill>
          </w14:textFill>
        </w:rPr>
        <w:t>新生界第四系冲积层（Q4al）：主要分布于玉溪盆地内，地层岩性主要为淤泥、砂质粘土、粘土质砂，层厚 0-163m不等。</w:t>
      </w:r>
    </w:p>
    <w:p w14:paraId="1212B1A8">
      <w:pPr>
        <w:ind w:firstLine="480"/>
        <w:rPr>
          <w:color w:val="000000" w:themeColor="text1"/>
          <w14:textFill>
            <w14:solidFill>
              <w14:schemeClr w14:val="tx1"/>
            </w14:solidFill>
          </w14:textFill>
        </w:rPr>
      </w:pPr>
      <w:r>
        <w:rPr>
          <w:color w:val="000000" w:themeColor="text1"/>
          <w14:textFill>
            <w14:solidFill>
              <w14:schemeClr w14:val="tx1"/>
            </w14:solidFill>
          </w14:textFill>
        </w:rPr>
        <w:t>新生界上第三系（N）：主要分布于九龙池-郭井一带，是项目区表层主要地层，地层岩性主要为粘土、半胶结的砂质泥岩，为半成岩状，层厚36-288m不等。</w:t>
      </w:r>
    </w:p>
    <w:p w14:paraId="198394EC">
      <w:pPr>
        <w:ind w:firstLine="480"/>
        <w:rPr>
          <w:color w:val="000000" w:themeColor="text1"/>
          <w14:textFill>
            <w14:solidFill>
              <w14:schemeClr w14:val="tx1"/>
            </w14:solidFill>
          </w14:textFill>
        </w:rPr>
      </w:pPr>
      <w:r>
        <w:rPr>
          <w:color w:val="000000" w:themeColor="text1"/>
          <w14:textFill>
            <w14:solidFill>
              <w14:schemeClr w14:val="tx1"/>
            </w14:solidFill>
          </w14:textFill>
        </w:rPr>
        <w:t>元古界前震旦系美党组（Pt1m）：地层岩性主要为板岩、变质粉砂岩，含灰岩透镜体，裂隙率为1-5%，层厚大于1300m。</w:t>
      </w:r>
    </w:p>
    <w:p w14:paraId="350C215C">
      <w:pPr>
        <w:ind w:firstLine="480"/>
        <w:rPr>
          <w:color w:val="000000" w:themeColor="text1"/>
          <w14:textFill>
            <w14:solidFill>
              <w14:schemeClr w14:val="tx1"/>
            </w14:solidFill>
          </w14:textFill>
        </w:rPr>
      </w:pPr>
      <w:r>
        <w:rPr>
          <w:color w:val="000000" w:themeColor="text1"/>
          <w14:textFill>
            <w14:solidFill>
              <w14:schemeClr w14:val="tx1"/>
            </w14:solidFill>
          </w14:textFill>
        </w:rPr>
        <w:t>元古界前震旦系大龙口组（Pt1d）：地层岩性主要为灰岩，偶夹钙质板岩，岩溶率为10-40%，其暗河（溶洞）强烈发育，层厚290-666m不等。</w:t>
      </w:r>
    </w:p>
    <w:p w14:paraId="03C677A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2、地下水类型及地层含水性特征</w:t>
      </w:r>
    </w:p>
    <w:p w14:paraId="4E7CD672">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玉溪高新技术产业开发区总体规划修编2021 -2035年）环境影响报告书</w:t>
      </w:r>
      <w:r>
        <w:rPr>
          <w:color w:val="000000" w:themeColor="text1"/>
          <w14:textFill>
            <w14:solidFill>
              <w14:schemeClr w14:val="tx1"/>
            </w14:solidFill>
          </w14:textFill>
        </w:rPr>
        <w:t>》中的水文地质资料可知，项目区及其附近出露的地下水类型主要为松散</w:t>
      </w:r>
      <w:r>
        <w:rPr>
          <w:rFonts w:hint="eastAsia"/>
          <w:color w:val="000000" w:themeColor="text1"/>
          <w14:textFill>
            <w14:solidFill>
              <w14:schemeClr w14:val="tx1"/>
            </w14:solidFill>
          </w14:textFill>
        </w:rPr>
        <w:t>洪积层</w:t>
      </w:r>
      <w:r>
        <w:rPr>
          <w:color w:val="000000" w:themeColor="text1"/>
          <w14:textFill>
            <w14:solidFill>
              <w14:schemeClr w14:val="tx1"/>
            </w14:solidFill>
          </w14:textFill>
        </w:rPr>
        <w:t>孔隙水、基岩裂隙水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岩溶水三类。</w:t>
      </w:r>
    </w:p>
    <w:p w14:paraId="7FD94D99">
      <w:pPr>
        <w:ind w:firstLine="480"/>
        <w:rPr>
          <w:color w:val="000000" w:themeColor="text1"/>
          <w14:textFill>
            <w14:solidFill>
              <w14:schemeClr w14:val="tx1"/>
            </w14:solidFill>
          </w14:textFill>
        </w:rPr>
      </w:pPr>
      <w:r>
        <w:rPr>
          <w:color w:val="000000" w:themeColor="text1"/>
          <w14:textFill>
            <w14:solidFill>
              <w14:schemeClr w14:val="tx1"/>
            </w14:solidFill>
          </w14:textFill>
        </w:rPr>
        <w:t>A、松散</w:t>
      </w:r>
      <w:r>
        <w:rPr>
          <w:rFonts w:hint="eastAsia"/>
          <w:color w:val="000000" w:themeColor="text1"/>
          <w14:textFill>
            <w14:solidFill>
              <w14:schemeClr w14:val="tx1"/>
            </w14:solidFill>
          </w14:textFill>
        </w:rPr>
        <w:t>洪积层</w:t>
      </w:r>
      <w:r>
        <w:rPr>
          <w:color w:val="000000" w:themeColor="text1"/>
          <w14:textFill>
            <w14:solidFill>
              <w14:schemeClr w14:val="tx1"/>
            </w14:solidFill>
          </w14:textFill>
        </w:rPr>
        <w:t>孔隙水</w:t>
      </w:r>
    </w:p>
    <w:p w14:paraId="6CD309C3">
      <w:pPr>
        <w:ind w:firstLine="480"/>
        <w:rPr>
          <w:color w:val="000000" w:themeColor="text1"/>
          <w14:textFill>
            <w14:solidFill>
              <w14:schemeClr w14:val="tx1"/>
            </w14:solidFill>
          </w14:textFill>
        </w:rPr>
      </w:pPr>
      <w:r>
        <w:rPr>
          <w:color w:val="000000" w:themeColor="text1"/>
          <w14:textFill>
            <w14:solidFill>
              <w14:schemeClr w14:val="tx1"/>
            </w14:solidFill>
          </w14:textFill>
        </w:rPr>
        <w:t>地层岩性主要为</w:t>
      </w:r>
      <w:r>
        <w:rPr>
          <w:rFonts w:hint="eastAsia"/>
          <w:color w:val="000000" w:themeColor="text1"/>
          <w14:textFill>
            <w14:solidFill>
              <w14:schemeClr w14:val="tx1"/>
            </w14:solidFill>
          </w14:textFill>
        </w:rPr>
        <w:t>第四系冲积（Q</w:t>
      </w:r>
      <w:r>
        <w:rPr>
          <w:rFonts w:hint="eastAsia"/>
          <w:color w:val="000000" w:themeColor="text1"/>
          <w:vertAlign w:val="superscript"/>
          <w14:textFill>
            <w14:solidFill>
              <w14:schemeClr w14:val="tx1"/>
            </w14:solidFill>
          </w14:textFill>
        </w:rPr>
        <w:t>al</w:t>
      </w:r>
      <w:r>
        <w:rPr>
          <w:rFonts w:hint="eastAsia"/>
          <w:color w:val="000000" w:themeColor="text1"/>
          <w14:textFill>
            <w14:solidFill>
              <w14:schemeClr w14:val="tx1"/>
            </w14:solidFill>
          </w14:textFill>
        </w:rPr>
        <w:t>）孔隙含水层，主要分布于玉溪研和盆地及峨山小街盆地中，以河流冲积砂质粘土为主，厚度变化大，盆地中心厚度可达100m 。根据盆地区域水文地质资料，土层具多元结构，以粘性土为主，夹于其中的砾砂、粉细砂层为主要含水层，呈拟层状、透镜状产出，厚14m ，水位埋深0.3 ~4.7m，砂砾石含水层厚度、分布及富水性无论在平面上还是垂直方向上都不均匀，在古河床一带以及山前以砂砾石为主的冲洪积扇，含水层厚度大、分布面积广，富水性要较强一些。孔隙水水化学类型为HCO</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Ca.Na或 HCO</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Ca.Mg，矿化度1g/ L。</w:t>
      </w:r>
    </w:p>
    <w:p w14:paraId="0A95A34D">
      <w:pPr>
        <w:ind w:firstLine="480"/>
        <w:rPr>
          <w:color w:val="000000" w:themeColor="text1"/>
          <w14:textFill>
            <w14:solidFill>
              <w14:schemeClr w14:val="tx1"/>
            </w14:solidFill>
          </w14:textFill>
        </w:rPr>
      </w:pPr>
      <w:r>
        <w:rPr>
          <w:color w:val="000000" w:themeColor="text1"/>
          <w14:textFill>
            <w14:solidFill>
              <w14:schemeClr w14:val="tx1"/>
            </w14:solidFill>
          </w14:textFill>
        </w:rPr>
        <w:t>B、基岩裂隙水</w:t>
      </w:r>
    </w:p>
    <w:p w14:paraId="0A3122B5">
      <w:pPr>
        <w:ind w:firstLine="480"/>
        <w:rPr>
          <w:color w:val="000000" w:themeColor="text1"/>
          <w14:textFill>
            <w14:solidFill>
              <w14:schemeClr w14:val="tx1"/>
            </w14:solidFill>
          </w14:textFill>
        </w:rPr>
      </w:pPr>
      <w:r>
        <w:rPr>
          <w:color w:val="000000" w:themeColor="text1"/>
          <w14:textFill>
            <w14:solidFill>
              <w14:schemeClr w14:val="tx1"/>
            </w14:solidFill>
          </w14:textFill>
        </w:rPr>
        <w:t>地层岩性主要为</w:t>
      </w:r>
      <w:r>
        <w:rPr>
          <w:rFonts w:hint="eastAsia"/>
          <w:color w:val="000000" w:themeColor="text1"/>
          <w14:textFill>
            <w14:solidFill>
              <w14:schemeClr w14:val="tx1"/>
            </w14:solidFill>
          </w14:textFill>
        </w:rPr>
        <w:t>上第三系（N）孔隙含水层，该层出露于玉溪盆地边缘，要上覆地层，为一套河湖相、泥沼相和冲洪积相砂泥质沉积。厚度600m以上，岩性为粘土岩夹粉细砂岩、褐煤，为半胶结半成岩，煤层不稳定，呈透镜状、鸡窝状或似层状，煤层厚0 ~7。第三系纪地层富水性弱，泉水流量一般 0.2~0.5 L/s最大降深涌水量＜300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/天，地下水径流模数m＜0.5 L/s.m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。据盆地区域水文地质资料，该层在盆地中承压性明显，水位高出地表0.34~14.5m。水化学类型为HCO</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Ca.Mg或 SO</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 xml:space="preserve"> .HCO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 xml:space="preserve"> Ca，矿化度1g/ L。</w:t>
      </w:r>
    </w:p>
    <w:p w14:paraId="0A0420E3">
      <w:pPr>
        <w:ind w:firstLine="480"/>
        <w:rPr>
          <w:color w:val="000000" w:themeColor="text1"/>
          <w14:textFill>
            <w14:solidFill>
              <w14:schemeClr w14:val="tx1"/>
            </w14:solidFill>
          </w14:textFill>
        </w:rPr>
      </w:pPr>
      <w:r>
        <w:rPr>
          <w:color w:val="000000" w:themeColor="text1"/>
          <w14:textFill>
            <w14:solidFill>
              <w14:schemeClr w14:val="tx1"/>
            </w14:solidFill>
          </w14:textFill>
        </w:rPr>
        <w:t>C、岩溶水</w:t>
      </w:r>
    </w:p>
    <w:p w14:paraId="66123622">
      <w:pPr>
        <w:ind w:firstLine="480"/>
        <w:rPr>
          <w:color w:val="000000" w:themeColor="text1"/>
          <w14:textFill>
            <w14:solidFill>
              <w14:schemeClr w14:val="tx1"/>
            </w14:solidFill>
          </w14:textFill>
        </w:rPr>
      </w:pPr>
      <w:r>
        <w:rPr>
          <w:color w:val="000000" w:themeColor="text1"/>
          <w14:textFill>
            <w14:solidFill>
              <w14:schemeClr w14:val="tx1"/>
            </w14:solidFill>
          </w14:textFill>
        </w:rPr>
        <w:t>地层岩性主要为</w:t>
      </w:r>
      <w:r>
        <w:rPr>
          <w:rFonts w:hint="eastAsia"/>
          <w:color w:val="000000" w:themeColor="text1"/>
          <w14:textFill>
            <w14:solidFill>
              <w14:schemeClr w14:val="tx1"/>
            </w14:solidFill>
          </w14:textFill>
        </w:rPr>
        <w:t>前震旦系昆阳群大龙口组</w:t>
      </w:r>
      <w:r>
        <w:rPr>
          <w:color w:val="000000" w:themeColor="text1"/>
          <w14:textFill>
            <w14:solidFill>
              <w14:schemeClr w14:val="tx1"/>
            </w14:solidFill>
          </w14:textFill>
        </w:rPr>
        <w:t>（Pt1d）</w:t>
      </w:r>
      <w:r>
        <w:rPr>
          <w:rFonts w:hint="eastAsia"/>
          <w:color w:val="000000" w:themeColor="text1"/>
          <w14:textFill>
            <w14:solidFill>
              <w14:schemeClr w14:val="tx1"/>
            </w14:solidFill>
          </w14:textFill>
        </w:rPr>
        <w:t>强岩溶含水层，主要分布于玉溪盆地北部、西北部。岩性为厚层块状灰岩，局部夹板岩，岩溶率10~40%，暗河、溶洞强烈发育，地表岩溶洼地、落水洞、溶洞等常见，区内发育有暗河或伏流。富水性极强，地下水径流模数一般M=8.0~12.0 L/s.m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，泉水（暗河）流量一般100~500 L/s ，九龙池74号地下暗河涌水量达748 .36 L/s。岩溶水水化学类型为</w:t>
      </w:r>
      <w:r>
        <w:rPr>
          <w:color w:val="000000" w:themeColor="text1"/>
          <w14:textFill>
            <w14:solidFill>
              <w14:schemeClr w14:val="tx1"/>
            </w14:solidFill>
          </w14:textFill>
        </w:rPr>
        <w:t>HCO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-Ca、HCO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-CaMg，矿化度小于0.5g/L。</w:t>
      </w:r>
    </w:p>
    <w:p w14:paraId="29F3CA59">
      <w:pPr>
        <w:ind w:firstLine="480"/>
        <w:rPr>
          <w:color w:val="000000" w:themeColor="text1"/>
          <w14:textFill>
            <w14:solidFill>
              <w14:schemeClr w14:val="tx1"/>
            </w14:solidFill>
          </w14:textFill>
        </w:rPr>
      </w:pPr>
      <w:r>
        <w:rPr>
          <w:color w:val="000000" w:themeColor="text1"/>
          <w14:textFill>
            <w14:solidFill>
              <w14:schemeClr w14:val="tx1"/>
            </w14:solidFill>
          </w14:textFill>
        </w:rPr>
        <w:t>区域水文地质图见</w:t>
      </w:r>
      <w:r>
        <w:rPr>
          <w:rFonts w:hint="eastAsia"/>
          <w:color w:val="000000" w:themeColor="text1"/>
          <w14:textFill>
            <w14:solidFill>
              <w14:schemeClr w14:val="tx1"/>
            </w14:solidFill>
          </w14:textFill>
        </w:rPr>
        <w:t>附图5.2-1</w:t>
      </w:r>
      <w:r>
        <w:rPr>
          <w:color w:val="000000" w:themeColor="text1"/>
          <w14:textFill>
            <w14:solidFill>
              <w14:schemeClr w14:val="tx1"/>
            </w14:solidFill>
          </w14:textFill>
        </w:rPr>
        <w:t>。</w:t>
      </w:r>
    </w:p>
    <w:p w14:paraId="7F775CD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5.2.6.2</w:t>
      </w:r>
      <w:r>
        <w:rPr>
          <w:color w:val="000000" w:themeColor="text1"/>
          <w14:textFill>
            <w14:solidFill>
              <w14:schemeClr w14:val="tx1"/>
            </w14:solidFill>
          </w14:textFill>
        </w:rPr>
        <w:t>项目区地下水开发利用历史与现状</w:t>
      </w:r>
    </w:p>
    <w:p w14:paraId="45B2FCA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本项目区厂址下游西南面约</w:t>
      </w:r>
      <w:r>
        <w:rPr>
          <w:rFonts w:hint="eastAsia"/>
          <w:color w:val="000000" w:themeColor="text1"/>
          <w14:textFill>
            <w14:solidFill>
              <w14:schemeClr w14:val="tx1"/>
            </w14:solidFill>
          </w14:textFill>
        </w:rPr>
        <w:t>1900</w:t>
      </w:r>
      <w:r>
        <w:rPr>
          <w:color w:val="000000" w:themeColor="text1"/>
          <w14:textFill>
            <w14:solidFill>
              <w14:schemeClr w14:val="tx1"/>
            </w14:solidFill>
          </w14:textFill>
        </w:rPr>
        <w:t>m为饮用水源飞井海水库，</w:t>
      </w:r>
      <w:r>
        <w:rPr>
          <w:rFonts w:hint="eastAsia"/>
          <w:color w:val="000000" w:themeColor="text1"/>
          <w14:textFill>
            <w14:solidFill>
              <w14:schemeClr w14:val="tx1"/>
            </w14:solidFill>
          </w14:textFill>
        </w:rPr>
        <w:t>根据“玉溪市生态环境局红塔分局出具的关于飞井海水库饮用水水源地保护区与玉溪高新区位置关系情况说明”及本项目与飞井海水库饮用水水源地保护区叠图，</w:t>
      </w:r>
      <w:r>
        <w:rPr>
          <w:color w:val="000000" w:themeColor="text1"/>
          <w14:textFill>
            <w14:solidFill>
              <w14:schemeClr w14:val="tx1"/>
            </w14:solidFill>
          </w14:textFill>
        </w:rPr>
        <w:t>本项目不在</w:t>
      </w:r>
      <w:r>
        <w:rPr>
          <w:rFonts w:hint="eastAsia"/>
          <w:color w:val="000000" w:themeColor="text1"/>
          <w14:textFill>
            <w14:solidFill>
              <w14:schemeClr w14:val="tx1"/>
            </w14:solidFill>
          </w14:textFill>
        </w:rPr>
        <w:t>飞井海水库饮用水水源地保护区、回水区</w:t>
      </w:r>
      <w:r>
        <w:rPr>
          <w:color w:val="000000" w:themeColor="text1"/>
          <w14:textFill>
            <w14:solidFill>
              <w14:schemeClr w14:val="tx1"/>
            </w14:solidFill>
          </w14:textFill>
        </w:rPr>
        <w:t>。</w:t>
      </w:r>
    </w:p>
    <w:p w14:paraId="59C9C7F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根据现场走访调查，</w:t>
      </w:r>
      <w:r>
        <w:rPr>
          <w:color w:val="000000" w:themeColor="text1"/>
          <w14:textFill>
            <w14:solidFill>
              <w14:schemeClr w14:val="tx1"/>
            </w14:solidFill>
          </w14:textFill>
        </w:rPr>
        <w:t>项目区</w:t>
      </w:r>
      <w:r>
        <w:rPr>
          <w:rFonts w:hint="eastAsia"/>
          <w:color w:val="000000" w:themeColor="text1"/>
          <w14:textFill>
            <w14:solidFill>
              <w14:schemeClr w14:val="tx1"/>
            </w14:solidFill>
          </w14:textFill>
        </w:rPr>
        <w:t>周边村庄内</w:t>
      </w:r>
      <w:r>
        <w:rPr>
          <w:color w:val="000000" w:themeColor="text1"/>
          <w14:textFill>
            <w14:solidFill>
              <w14:schemeClr w14:val="tx1"/>
            </w14:solidFill>
          </w14:textFill>
        </w:rPr>
        <w:t>分布</w:t>
      </w:r>
      <w:r>
        <w:rPr>
          <w:rFonts w:hint="eastAsia"/>
          <w:color w:val="000000" w:themeColor="text1"/>
          <w14:textFill>
            <w14:solidFill>
              <w14:schemeClr w14:val="tx1"/>
            </w14:solidFill>
          </w14:textFill>
        </w:rPr>
        <w:t>有水井，松散洪积层孔隙水，地层岩性主要为第四系冲积（Qal）孔隙含水层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项目区周边</w:t>
      </w:r>
      <w:r>
        <w:rPr>
          <w:color w:val="000000" w:themeColor="text1"/>
          <w14:textFill>
            <w14:solidFill>
              <w14:schemeClr w14:val="tx1"/>
            </w14:solidFill>
          </w14:textFill>
        </w:rPr>
        <w:t>村庄由于离城市较近，周边居民均饮用自来水</w:t>
      </w:r>
      <w:r>
        <w:rPr>
          <w:rFonts w:hint="eastAsia"/>
          <w:color w:val="000000" w:themeColor="text1"/>
          <w14:textFill>
            <w14:solidFill>
              <w14:schemeClr w14:val="tx1"/>
            </w14:solidFill>
          </w14:textFill>
        </w:rPr>
        <w:t>，项目区周边水井均无饮用功能</w:t>
      </w:r>
      <w:r>
        <w:rPr>
          <w:color w:val="000000" w:themeColor="text1"/>
          <w14:textFill>
            <w14:solidFill>
              <w14:schemeClr w14:val="tx1"/>
            </w14:solidFill>
          </w14:textFill>
        </w:rPr>
        <w:t>。</w:t>
      </w:r>
    </w:p>
    <w:p w14:paraId="12392E8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5.2.6.3</w:t>
      </w:r>
      <w:r>
        <w:rPr>
          <w:color w:val="000000" w:themeColor="text1"/>
          <w14:textFill>
            <w14:solidFill>
              <w14:schemeClr w14:val="tx1"/>
            </w14:solidFill>
          </w14:textFill>
        </w:rPr>
        <w:t>地下水补给、径流、排泄条件</w:t>
      </w:r>
    </w:p>
    <w:p w14:paraId="121A37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本项目所在区域含水层类型为孔隙水与下伏（浅埋藏200米）裂隙孔隙层间水，</w:t>
      </w:r>
      <w:r>
        <w:rPr>
          <w:color w:val="000000" w:themeColor="text1"/>
          <w14:textFill>
            <w14:solidFill>
              <w14:schemeClr w14:val="tx1"/>
            </w14:solidFill>
          </w14:textFill>
        </w:rPr>
        <w:t>主要接受大气降雨补给，项目区处于地下水的补给径流区，</w:t>
      </w:r>
      <w:r>
        <w:rPr>
          <w:rFonts w:hint="eastAsia"/>
          <w:color w:val="000000" w:themeColor="text1"/>
          <w14:textFill>
            <w14:solidFill>
              <w14:schemeClr w14:val="tx1"/>
            </w14:solidFill>
          </w14:textFill>
        </w:rPr>
        <w:t>项目区西面、西南面为砂砾石为主的洪积扇，地下水</w:t>
      </w:r>
      <w:r>
        <w:rPr>
          <w:color w:val="000000" w:themeColor="text1"/>
          <w14:textFill>
            <w14:solidFill>
              <w14:schemeClr w14:val="tx1"/>
            </w14:solidFill>
          </w14:textFill>
        </w:rPr>
        <w:t>总体上由西北向东南径流，</w:t>
      </w:r>
      <w:r>
        <w:rPr>
          <w:rFonts w:hint="eastAsia"/>
          <w:color w:val="000000" w:themeColor="text1"/>
          <w14:textFill>
            <w14:solidFill>
              <w14:schemeClr w14:val="tx1"/>
            </w14:solidFill>
          </w14:textFill>
        </w:rPr>
        <w:t>项目区东南面基岩钻孔（王祺社区）</w:t>
      </w:r>
      <w:r>
        <w:rPr>
          <w:color w:val="000000" w:themeColor="text1"/>
          <w14:textFill>
            <w14:solidFill>
              <w14:schemeClr w14:val="tx1"/>
            </w14:solidFill>
          </w14:textFill>
        </w:rPr>
        <w:t>为其主要的排泄点。</w:t>
      </w:r>
    </w:p>
    <w:p w14:paraId="49BB65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飞井海水库所在区域含水层类型孔隙水与下伏（浅埋藏200米）裂隙孔隙层间水、基岩裂隙水、碳酸盐类岩溶水。飞井海水库北面的泉点为下降泉，出露的泉水主要是飞井海水库东北面地下水暗河在重力驱动下，通过地层的空隙（如松散沉积物的孔隙、基岩的裂隙）或构造薄弱带（如断层破碎带）流出。</w:t>
      </w:r>
    </w:p>
    <w:p w14:paraId="489853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综上，本项目所在区域与飞井海水库所在区域无水力联系。</w:t>
      </w:r>
    </w:p>
    <w:p w14:paraId="700AF305">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5.2.6.4地下水环境影响分析</w:t>
      </w:r>
    </w:p>
    <w:p w14:paraId="5334C549">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1、持久性有机污染物对地下水环境影响分析</w:t>
      </w:r>
    </w:p>
    <w:p w14:paraId="6DB82C12">
      <w:pPr>
        <w:ind w:firstLine="480"/>
        <w:rPr>
          <w:color w:val="000000" w:themeColor="text1"/>
          <w14:textFill>
            <w14:solidFill>
              <w14:schemeClr w14:val="tx1"/>
            </w14:solidFill>
          </w14:textFill>
        </w:rPr>
      </w:pPr>
      <w:r>
        <w:rPr>
          <w:color w:val="000000" w:themeColor="text1"/>
          <w14:textFill>
            <w14:solidFill>
              <w14:schemeClr w14:val="tx1"/>
            </w14:solidFill>
          </w14:textFill>
        </w:rPr>
        <w:t>有机溶剂具有难降解、生物累积性的特点，原料暂存间、研磨车间、危废暂存间的泄漏的有机溶剂进入土壤后会长期滞留，通过吸附、淋溶作用渗入地下水，导致土壤、 地下水系统的长期污染，可通过食物链富集，威胁周边生态系统及人体健康（如神经毒性、致癌性）。</w:t>
      </w:r>
    </w:p>
    <w:p w14:paraId="378812C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bookmarkStart w:id="105" w:name="_Hlk226619857"/>
      <w:r>
        <w:rPr>
          <w:color w:val="000000" w:themeColor="text1"/>
          <w14:textFill>
            <w14:solidFill>
              <w14:schemeClr w14:val="tx1"/>
            </w14:solidFill>
          </w14:textFill>
        </w:rPr>
        <w:t>原料暂存间</w:t>
      </w:r>
      <w:bookmarkEnd w:id="105"/>
      <w:r>
        <w:rPr>
          <w:color w:val="000000" w:themeColor="text1"/>
          <w14:textFill>
            <w14:solidFill>
              <w14:schemeClr w14:val="tx1"/>
            </w14:solidFill>
          </w14:textFill>
        </w:rPr>
        <w:t>、</w:t>
      </w:r>
      <w:bookmarkStart w:id="106" w:name="_Hlk226619874"/>
      <w:r>
        <w:rPr>
          <w:color w:val="000000" w:themeColor="text1"/>
          <w14:textFill>
            <w14:solidFill>
              <w14:schemeClr w14:val="tx1"/>
            </w14:solidFill>
          </w14:textFill>
        </w:rPr>
        <w:t>危废暂存间容器破损导致有机溶剂泄漏污</w:t>
      </w:r>
      <w:bookmarkEnd w:id="106"/>
      <w:r>
        <w:rPr>
          <w:color w:val="000000" w:themeColor="text1"/>
          <w14:textFill>
            <w14:solidFill>
              <w14:schemeClr w14:val="tx1"/>
            </w14:solidFill>
          </w14:textFill>
        </w:rPr>
        <w:t>染影响范围相对集中，研磨车间上料过程中溶剂跑冒滴漏，污染呈间歇性、局部性。本</w:t>
      </w:r>
      <w:bookmarkStart w:id="107" w:name="_Hlk226619976"/>
      <w:r>
        <w:rPr>
          <w:color w:val="000000" w:themeColor="text1"/>
          <w14:textFill>
            <w14:solidFill>
              <w14:schemeClr w14:val="tx1"/>
            </w14:solidFill>
          </w14:textFill>
        </w:rPr>
        <w:t>项目原料采用耐腐蚀、密封性强的包装容器，对有机溶剂包装加装二次防渗托盘。</w:t>
      </w:r>
      <w:bookmarkEnd w:id="107"/>
      <w:r>
        <w:rPr>
          <w:color w:val="000000" w:themeColor="text1"/>
          <w14:textFill>
            <w14:solidFill>
              <w14:schemeClr w14:val="tx1"/>
            </w14:solidFill>
          </w14:textFill>
        </w:rPr>
        <w:t>危险废物容器防腐蚀、防泄漏容器，容器外贴标识并分类存放，通过采取分区防控的措施进行控制，原料暂存间、危废暂存间地面采用“环氧树脂防渗漆”进行重点防渗，防渗层渗透系数≤10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有机溶剂容器、危废容器定期检查密封性，转移时采用密闭转运车，避免运输过程泄漏。强化密闭生产设备，确保砂磨、离心等密闭装置的密封性，定期检查设备法兰、轴封、管道接口等易泄漏部位，避免物料泄漏和有机溶剂挥发后冷凝渗入土壤污染土壤及地下水。</w:t>
      </w:r>
    </w:p>
    <w:p w14:paraId="745D387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2、其他类型污染物对地下水环境影响分析</w:t>
      </w:r>
    </w:p>
    <w:p w14:paraId="3592739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生产废水特征污染物主要是SS、硫化物，生产废水泄漏污染扩散快，SS主要是废水中残留的原料，会覆盖土壤表层，阻碍土壤与大气的物质交换，抑制土壤微生物活性，降低土壤肥力。废水下渗过程中SS会堵塞土壤孔隙，降低土壤透气性与渗水性，破坏土壤结构（长期积累易导致土壤板结）。硫化物进入土壤后，会与土壤中的金属离子（如 Fe、Cu）反应生成硫化物沉淀，改变土壤中重金属的赋存形态，增加重金属的潜在生态风险，硫化物在土壤中氧化会生成酸性物质，降低土壤 pH值（酸化土壤），影响土壤中养分（如氮、磷）的有效性，抑制植物根系生长。硫化物溶于地下水后，会使水体呈现酸性（H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S溶解后pH降低）。</w:t>
      </w:r>
    </w:p>
    <w:p w14:paraId="511A3C2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测试器具清洗废水设置专用清洗槽，调节池、一体化污水处理设备、循环水池槽体为不锈钢材质，废水收集管道采用耐腐蚀的聚丙烯材质，能抵抗常用酸、碱、有机溶剂等试剂的侵蚀，在长期使用中不易老化，不会造成废水泄漏。本项目调节池、一体化污水处理设备、循环水池、废水收集管网均为地上布设，日常运行过程中可以通过目视检查是否发生废水泄漏。一体化污水处理设备配备液位仪和泄漏报警装置，防止废水溢出。废水收集管网每季度进行一次防渗检测和疏通，重点检查接头和转角部位，确保无破损渗漏。</w:t>
      </w:r>
    </w:p>
    <w:p w14:paraId="77D99F8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5.2.6.5结论</w:t>
      </w:r>
    </w:p>
    <w:p w14:paraId="21F569EE">
      <w:pPr>
        <w:ind w:firstLine="480"/>
        <w:rPr>
          <w:color w:val="000000" w:themeColor="text1"/>
          <w14:textFill>
            <w14:solidFill>
              <w14:schemeClr w14:val="tx1"/>
            </w14:solidFill>
          </w14:textFill>
        </w:rPr>
      </w:pPr>
      <w:r>
        <w:rPr>
          <w:color w:val="000000" w:themeColor="text1"/>
          <w14:textFill>
            <w14:solidFill>
              <w14:schemeClr w14:val="tx1"/>
            </w14:solidFill>
          </w14:textFill>
        </w:rPr>
        <w:t>在严格落实地下水污染防治、防渗等环保措施前提下，项目营运对区域水文地质条件、地下水水位、水质及水环境功能的影响较小且可接受，不会改变区域地下水整体流场及环境功能。</w:t>
      </w:r>
    </w:p>
    <w:p w14:paraId="5019DFE4">
      <w:pPr>
        <w:pStyle w:val="4"/>
        <w:rPr>
          <w:color w:val="000000" w:themeColor="text1"/>
          <w14:textFill>
            <w14:solidFill>
              <w14:schemeClr w14:val="tx1"/>
            </w14:solidFill>
          </w14:textFill>
        </w:rPr>
      </w:pPr>
      <w:bookmarkStart w:id="108" w:name="_Toc17232"/>
      <w:r>
        <w:rPr>
          <w:rFonts w:hint="eastAsia"/>
          <w:color w:val="000000" w:themeColor="text1"/>
          <w14:textFill>
            <w14:solidFill>
              <w14:schemeClr w14:val="tx1"/>
            </w14:solidFill>
          </w14:textFill>
        </w:rPr>
        <w:t>5.2.7生态环境影响分析</w:t>
      </w:r>
      <w:bookmarkEnd w:id="108"/>
    </w:p>
    <w:p w14:paraId="0BAF1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技术产业开发区核心区九龙地块，租用云南捷辰包装材料有限公司已建成的生产厂房进行建设，不新增占地，项目周边存在人工建设的绿化带及农田，项目所在区域生态环境一般，项目运营过程中废气、废水、噪声达标排放，固废合理处置，项目运营期对区域生态环境基本无影响。</w:t>
      </w:r>
    </w:p>
    <w:p w14:paraId="56AEA6CE">
      <w:pPr>
        <w:pStyle w:val="4"/>
        <w:rPr>
          <w:color w:val="000000" w:themeColor="text1"/>
          <w14:textFill>
            <w14:solidFill>
              <w14:schemeClr w14:val="tx1"/>
            </w14:solidFill>
          </w14:textFill>
        </w:rPr>
      </w:pPr>
      <w:bookmarkStart w:id="109" w:name="_Toc30018"/>
      <w:r>
        <w:rPr>
          <w:rFonts w:hint="eastAsia"/>
          <w:color w:val="000000" w:themeColor="text1"/>
          <w14:textFill>
            <w14:solidFill>
              <w14:schemeClr w14:val="tx1"/>
            </w14:solidFill>
          </w14:textFill>
        </w:rPr>
        <w:t>5.2.8环境风险影响分析</w:t>
      </w:r>
      <w:bookmarkEnd w:id="109"/>
    </w:p>
    <w:p w14:paraId="054222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根据“1.1.7.7章节”判定，本项目Q值小于1，危险物质及工艺系统危险性较低，本项目环境风险潜势为I，本项目环境风险做简单分析。</w:t>
      </w:r>
    </w:p>
    <w:p w14:paraId="55343C6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5.2.8.1环境风险简单分析</w:t>
      </w:r>
    </w:p>
    <w:p w14:paraId="4FFE630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1、风险物质识别</w:t>
      </w:r>
    </w:p>
    <w:p w14:paraId="6D2A10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根据《建设项目环境风险评价技术导则》（HJ169-2018）中附录B重点关注的危险物质及临界量清单列出的风险物质，本项目涉及的环境风险物为：</w:t>
      </w:r>
      <w:bookmarkStart w:id="110" w:name="_Hlk226623146"/>
      <w:r>
        <w:rPr>
          <w:rFonts w:hint="eastAsia"/>
          <w:color w:val="000000" w:themeColor="text1"/>
          <w14:textFill>
            <w14:solidFill>
              <w14:schemeClr w14:val="tx1"/>
            </w14:solidFill>
          </w14:textFill>
        </w:rPr>
        <w:t>五硫化二磷、环己烷、正庚烷、导热油</w:t>
      </w:r>
      <w:bookmarkEnd w:id="110"/>
      <w:r>
        <w:rPr>
          <w:rFonts w:hint="eastAsia"/>
          <w:color w:val="000000" w:themeColor="text1"/>
          <w14:textFill>
            <w14:solidFill>
              <w14:schemeClr w14:val="tx1"/>
            </w14:solidFill>
          </w14:textFill>
        </w:rPr>
        <w:t>（主要成分油类物质）、砂磨机碱洗</w:t>
      </w:r>
      <w:bookmarkStart w:id="111" w:name="_Hlk226623169"/>
      <w:r>
        <w:rPr>
          <w:rFonts w:hint="eastAsia"/>
          <w:color w:val="000000" w:themeColor="text1"/>
          <w14:textFill>
            <w14:solidFill>
              <w14:schemeClr w14:val="tx1"/>
            </w14:solidFill>
          </w14:textFill>
        </w:rPr>
        <w:t>废碱液</w:t>
      </w:r>
      <w:bookmarkEnd w:id="111"/>
      <w:r>
        <w:rPr>
          <w:rFonts w:hint="eastAsia"/>
          <w:color w:val="000000" w:themeColor="text1"/>
          <w14:textFill>
            <w14:solidFill>
              <w14:schemeClr w14:val="tx1"/>
            </w14:solidFill>
          </w14:textFill>
        </w:rPr>
        <w:t>、喷淋塔定期排污废液（主要成分氢氧化钠）。风险物质理化性质及毒性特征见下表5.2-27~5.2-31。</w:t>
      </w:r>
    </w:p>
    <w:p w14:paraId="51FF2FE0">
      <w:pPr>
        <w:pStyle w:val="27"/>
        <w:rPr>
          <w:rFonts w:hint="eastAsia"/>
          <w:color w:val="000000" w:themeColor="text1"/>
          <w14:textFill>
            <w14:solidFill>
              <w14:schemeClr w14:val="tx1"/>
            </w14:solidFill>
          </w14:textFill>
        </w:rPr>
      </w:pPr>
    </w:p>
    <w:p w14:paraId="214CA338">
      <w:pPr>
        <w:pStyle w:val="27"/>
        <w:rPr>
          <w:rFonts w:hint="eastAsia"/>
          <w:color w:val="000000" w:themeColor="text1"/>
          <w14:textFill>
            <w14:solidFill>
              <w14:schemeClr w14:val="tx1"/>
            </w14:solidFill>
          </w14:textFill>
        </w:rPr>
      </w:pPr>
    </w:p>
    <w:p w14:paraId="0B3D9A2C">
      <w:pPr>
        <w:pStyle w:val="27"/>
        <w:rPr>
          <w:rFonts w:hint="eastAsia"/>
          <w:color w:val="000000" w:themeColor="text1"/>
          <w14:textFill>
            <w14:solidFill>
              <w14:schemeClr w14:val="tx1"/>
            </w14:solidFill>
          </w14:textFill>
        </w:rPr>
      </w:pPr>
    </w:p>
    <w:p w14:paraId="64B1677E">
      <w:pPr>
        <w:pStyle w:val="27"/>
        <w:rPr>
          <w:rFonts w:hint="eastAsia"/>
          <w:color w:val="000000" w:themeColor="text1"/>
          <w14:textFill>
            <w14:solidFill>
              <w14:schemeClr w14:val="tx1"/>
            </w14:solidFill>
          </w14:textFill>
        </w:rPr>
      </w:pPr>
    </w:p>
    <w:p w14:paraId="35E73844">
      <w:pPr>
        <w:pStyle w:val="27"/>
        <w:rPr>
          <w:rFonts w:hint="eastAsia"/>
          <w:color w:val="000000" w:themeColor="text1"/>
          <w14:textFill>
            <w14:solidFill>
              <w14:schemeClr w14:val="tx1"/>
            </w14:solidFill>
          </w14:textFill>
        </w:rPr>
      </w:pPr>
    </w:p>
    <w:p w14:paraId="5CD5C64C">
      <w:pPr>
        <w:pStyle w:val="27"/>
        <w:rPr>
          <w:rFonts w:hint="eastAsia"/>
          <w:color w:val="000000" w:themeColor="text1"/>
          <w14:textFill>
            <w14:solidFill>
              <w14:schemeClr w14:val="tx1"/>
            </w14:solidFill>
          </w14:textFill>
        </w:rPr>
      </w:pPr>
    </w:p>
    <w:p w14:paraId="01C45235">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表5.2-27五硫化二磷理化性质及危险特性一览表</w:t>
      </w:r>
    </w:p>
    <w:tbl>
      <w:tblPr>
        <w:tblStyle w:val="2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28"/>
        <w:gridCol w:w="3878"/>
        <w:gridCol w:w="613"/>
        <w:gridCol w:w="1576"/>
        <w:gridCol w:w="242"/>
        <w:gridCol w:w="1682"/>
      </w:tblGrid>
      <w:tr w14:paraId="23F85A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restart"/>
            <w:textDirection w:val="tbRlV"/>
            <w:vAlign w:val="center"/>
          </w:tcPr>
          <w:p w14:paraId="6392686F">
            <w:pPr>
              <w:pStyle w:val="28"/>
              <w:rPr>
                <w:color w:val="000000" w:themeColor="text1"/>
                <w14:textFill>
                  <w14:solidFill>
                    <w14:schemeClr w14:val="tx1"/>
                  </w14:solidFill>
                </w14:textFill>
              </w:rPr>
            </w:pPr>
            <w:r>
              <w:rPr>
                <w:color w:val="000000" w:themeColor="text1"/>
                <w14:textFill>
                  <w14:solidFill>
                    <w14:schemeClr w14:val="tx1"/>
                  </w14:solidFill>
                </w14:textFill>
              </w:rPr>
              <w:t>标识</w:t>
            </w:r>
          </w:p>
        </w:tc>
        <w:tc>
          <w:tcPr>
            <w:tcW w:w="2276" w:type="pct"/>
            <w:vAlign w:val="center"/>
          </w:tcPr>
          <w:p w14:paraId="02BD587A">
            <w:pPr>
              <w:pStyle w:val="28"/>
              <w:rPr>
                <w:color w:val="000000" w:themeColor="text1"/>
                <w14:textFill>
                  <w14:solidFill>
                    <w14:schemeClr w14:val="tx1"/>
                  </w14:solidFill>
                </w14:textFill>
              </w:rPr>
            </w:pPr>
            <w:r>
              <w:rPr>
                <w:color w:val="000000" w:themeColor="text1"/>
                <w14:textFill>
                  <w14:solidFill>
                    <w14:schemeClr w14:val="tx1"/>
                  </w14:solidFill>
                </w14:textFill>
              </w:rPr>
              <w:t>中文名：五硫化(二)磷</w:t>
            </w:r>
          </w:p>
        </w:tc>
        <w:tc>
          <w:tcPr>
            <w:tcW w:w="1427" w:type="pct"/>
            <w:gridSpan w:val="3"/>
            <w:vAlign w:val="center"/>
          </w:tcPr>
          <w:p w14:paraId="34F7E4E3">
            <w:pPr>
              <w:pStyle w:val="28"/>
              <w:rPr>
                <w:color w:val="000000" w:themeColor="text1"/>
                <w14:textFill>
                  <w14:solidFill>
                    <w14:schemeClr w14:val="tx1"/>
                  </w14:solidFill>
                </w14:textFill>
              </w:rPr>
            </w:pPr>
            <w:r>
              <w:rPr>
                <w:color w:val="000000" w:themeColor="text1"/>
                <w14:textFill>
                  <w14:solidFill>
                    <w14:schemeClr w14:val="tx1"/>
                  </w14:solidFill>
                </w14:textFill>
              </w:rPr>
              <w:t>英文名: phosphorus pentasulfide</w:t>
            </w:r>
          </w:p>
        </w:tc>
        <w:tc>
          <w:tcPr>
            <w:tcW w:w="986" w:type="pct"/>
            <w:vAlign w:val="center"/>
          </w:tcPr>
          <w:p w14:paraId="2514A485">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分子式： </w:t>
            </w:r>
            <m:oMath>
              <m:r>
                <m:rPr>
                  <m:sty m:val="p"/>
                </m:rPr>
                <w:rPr>
                  <w:rFonts w:ascii="Cambria Math" w:hAnsi="Cambria Math"/>
                  <w:color w:val="000000" w:themeColor="text1"/>
                  <w14:textFill>
                    <w14:solidFill>
                      <w14:schemeClr w14:val="tx1"/>
                    </w14:solidFill>
                  </w14:textFill>
                </w:rPr>
                <m:t>P₂S₅</m:t>
              </m:r>
            </m:oMath>
          </w:p>
        </w:tc>
      </w:tr>
      <w:tr w14:paraId="41F5F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09C07E89">
            <w:pPr>
              <w:pStyle w:val="28"/>
              <w:rPr>
                <w:color w:val="000000" w:themeColor="text1"/>
                <w14:textFill>
                  <w14:solidFill>
                    <w14:schemeClr w14:val="tx1"/>
                  </w14:solidFill>
                </w14:textFill>
              </w:rPr>
            </w:pPr>
          </w:p>
        </w:tc>
        <w:tc>
          <w:tcPr>
            <w:tcW w:w="2276" w:type="pct"/>
            <w:vAlign w:val="center"/>
          </w:tcPr>
          <w:p w14:paraId="38C2FE40">
            <w:pPr>
              <w:pStyle w:val="28"/>
              <w:rPr>
                <w:color w:val="000000" w:themeColor="text1"/>
                <w14:textFill>
                  <w14:solidFill>
                    <w14:schemeClr w14:val="tx1"/>
                  </w14:solidFill>
                </w14:textFill>
              </w:rPr>
            </w:pPr>
            <w:r>
              <w:rPr>
                <w:color w:val="000000" w:themeColor="text1"/>
                <w14:textFill>
                  <w14:solidFill>
                    <w14:schemeClr w14:val="tx1"/>
                  </w14:solidFill>
                </w14:textFill>
              </w:rPr>
              <w:t>危险货物编号：43041</w:t>
            </w:r>
          </w:p>
        </w:tc>
        <w:tc>
          <w:tcPr>
            <w:tcW w:w="1427" w:type="pct"/>
            <w:gridSpan w:val="3"/>
            <w:vAlign w:val="center"/>
          </w:tcPr>
          <w:p w14:paraId="2BA0A4BC">
            <w:pPr>
              <w:pStyle w:val="28"/>
              <w:rPr>
                <w:color w:val="000000" w:themeColor="text1"/>
                <w14:textFill>
                  <w14:solidFill>
                    <w14:schemeClr w14:val="tx1"/>
                  </w14:solidFill>
                </w14:textFill>
              </w:rPr>
            </w:pPr>
            <w:r>
              <w:rPr>
                <w:color w:val="000000" w:themeColor="text1"/>
                <w14:textFill>
                  <w14:solidFill>
                    <w14:schemeClr w14:val="tx1"/>
                  </w14:solidFill>
                </w14:textFill>
              </w:rPr>
              <w:t>UN编号: 1340</w:t>
            </w:r>
          </w:p>
        </w:tc>
        <w:tc>
          <w:tcPr>
            <w:tcW w:w="986" w:type="pct"/>
            <w:vAlign w:val="center"/>
          </w:tcPr>
          <w:p w14:paraId="4CDC7EB6">
            <w:pPr>
              <w:pStyle w:val="28"/>
              <w:rPr>
                <w:color w:val="000000" w:themeColor="text1"/>
                <w14:textFill>
                  <w14:solidFill>
                    <w14:schemeClr w14:val="tx1"/>
                  </w14:solidFill>
                </w14:textFill>
              </w:rPr>
            </w:pPr>
            <w:r>
              <w:rPr>
                <w:color w:val="000000" w:themeColor="text1"/>
                <w14:textFill>
                  <w14:solidFill>
                    <w14:schemeClr w14:val="tx1"/>
                  </w14:solidFill>
                </w14:textFill>
              </w:rPr>
              <w:t>CAS号: 1314-80-3</w:t>
            </w:r>
          </w:p>
        </w:tc>
      </w:tr>
      <w:tr w14:paraId="465E51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restart"/>
            <w:textDirection w:val="tbRlV"/>
            <w:vAlign w:val="center"/>
          </w:tcPr>
          <w:p w14:paraId="13470560">
            <w:pPr>
              <w:pStyle w:val="28"/>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4690" w:type="pct"/>
            <w:gridSpan w:val="5"/>
            <w:vAlign w:val="center"/>
          </w:tcPr>
          <w:p w14:paraId="26A5EC13">
            <w:pPr>
              <w:pStyle w:val="28"/>
              <w:rPr>
                <w:color w:val="000000" w:themeColor="text1"/>
                <w14:textFill>
                  <w14:solidFill>
                    <w14:schemeClr w14:val="tx1"/>
                  </w14:solidFill>
                </w14:textFill>
              </w:rPr>
            </w:pPr>
            <w:r>
              <w:rPr>
                <w:color w:val="000000" w:themeColor="text1"/>
                <w14:textFill>
                  <w14:solidFill>
                    <w14:schemeClr w14:val="tx1"/>
                  </w14:solidFill>
                </w14:textFill>
              </w:rPr>
              <w:t>外观与形状：灰色到黄绿色结晶，有似硫化氢的气味</w:t>
            </w:r>
          </w:p>
        </w:tc>
      </w:tr>
      <w:tr w14:paraId="71E2C9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2B5EB3A7">
            <w:pPr>
              <w:pStyle w:val="28"/>
              <w:rPr>
                <w:color w:val="000000" w:themeColor="text1"/>
                <w14:textFill>
                  <w14:solidFill>
                    <w14:schemeClr w14:val="tx1"/>
                  </w14:solidFill>
                </w14:textFill>
              </w:rPr>
            </w:pPr>
          </w:p>
        </w:tc>
        <w:tc>
          <w:tcPr>
            <w:tcW w:w="2276" w:type="pct"/>
            <w:vAlign w:val="center"/>
          </w:tcPr>
          <w:p w14:paraId="6B1ECD21">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相对密度(水=1) </w:t>
            </w:r>
            <w:r>
              <w:rPr>
                <w:rFonts w:hint="eastAsia"/>
                <w:color w:val="000000" w:themeColor="text1"/>
                <w14:textFill>
                  <w14:solidFill>
                    <w14:schemeClr w14:val="tx1"/>
                  </w14:solidFill>
                </w14:textFill>
              </w:rPr>
              <w:t>：无资料</w:t>
            </w:r>
          </w:p>
        </w:tc>
        <w:tc>
          <w:tcPr>
            <w:tcW w:w="1285" w:type="pct"/>
            <w:gridSpan w:val="2"/>
            <w:vAlign w:val="center"/>
          </w:tcPr>
          <w:p w14:paraId="17B0656D">
            <w:pPr>
              <w:pStyle w:val="28"/>
              <w:rPr>
                <w:color w:val="000000" w:themeColor="text1"/>
                <w14:textFill>
                  <w14:solidFill>
                    <w14:schemeClr w14:val="tx1"/>
                  </w14:solidFill>
                </w14:textFill>
              </w:rPr>
            </w:pPr>
            <w:r>
              <w:rPr>
                <w:color w:val="000000" w:themeColor="text1"/>
                <w14:textFill>
                  <w14:solidFill>
                    <w14:schemeClr w14:val="tx1"/>
                  </w14:solidFill>
                </w14:textFill>
              </w:rPr>
              <w:t>沸点: 514℃</w:t>
            </w:r>
          </w:p>
        </w:tc>
        <w:tc>
          <w:tcPr>
            <w:tcW w:w="1128" w:type="pct"/>
            <w:gridSpan w:val="2"/>
            <w:vAlign w:val="center"/>
          </w:tcPr>
          <w:p w14:paraId="652FB294">
            <w:pPr>
              <w:pStyle w:val="28"/>
              <w:rPr>
                <w:color w:val="000000" w:themeColor="text1"/>
                <w14:textFill>
                  <w14:solidFill>
                    <w14:schemeClr w14:val="tx1"/>
                  </w14:solidFill>
                </w14:textFill>
              </w:rPr>
            </w:pPr>
            <w:r>
              <w:rPr>
                <w:color w:val="000000" w:themeColor="text1"/>
                <w14:textFill>
                  <w14:solidFill>
                    <w14:schemeClr w14:val="tx1"/>
                  </w14:solidFill>
                </w14:textFill>
              </w:rPr>
              <w:t>闪点 (℃)：</w:t>
            </w:r>
            <w:r>
              <w:rPr>
                <w:rFonts w:hint="eastAsia"/>
                <w:color w:val="000000" w:themeColor="text1"/>
                <w14:textFill>
                  <w14:solidFill>
                    <w14:schemeClr w14:val="tx1"/>
                  </w14:solidFill>
                </w14:textFill>
              </w:rPr>
              <w:t>无资料</w:t>
            </w:r>
          </w:p>
        </w:tc>
      </w:tr>
      <w:tr w14:paraId="13BBE4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24594FBA">
            <w:pPr>
              <w:pStyle w:val="28"/>
              <w:rPr>
                <w:color w:val="000000" w:themeColor="text1"/>
                <w14:textFill>
                  <w14:solidFill>
                    <w14:schemeClr w14:val="tx1"/>
                  </w14:solidFill>
                </w14:textFill>
              </w:rPr>
            </w:pPr>
          </w:p>
        </w:tc>
        <w:tc>
          <w:tcPr>
            <w:tcW w:w="2276" w:type="pct"/>
            <w:vAlign w:val="center"/>
          </w:tcPr>
          <w:p w14:paraId="115461C6">
            <w:pPr>
              <w:pStyle w:val="28"/>
              <w:rPr>
                <w:color w:val="000000" w:themeColor="text1"/>
                <w14:textFill>
                  <w14:solidFill>
                    <w14:schemeClr w14:val="tx1"/>
                  </w14:solidFill>
                </w14:textFill>
              </w:rPr>
            </w:pPr>
            <w:r>
              <w:rPr>
                <w:color w:val="000000" w:themeColor="text1"/>
                <w14:textFill>
                  <w14:solidFill>
                    <w14:schemeClr w14:val="tx1"/>
                  </w14:solidFill>
                </w14:textFill>
              </w:rPr>
              <w:t>相对密度(空气=1)：</w:t>
            </w:r>
            <w:r>
              <w:rPr>
                <w:rFonts w:hint="eastAsia"/>
                <w:color w:val="000000" w:themeColor="text1"/>
                <w14:textFill>
                  <w14:solidFill>
                    <w14:schemeClr w14:val="tx1"/>
                  </w14:solidFill>
                </w14:textFill>
              </w:rPr>
              <w:t>无资料</w:t>
            </w:r>
          </w:p>
        </w:tc>
        <w:tc>
          <w:tcPr>
            <w:tcW w:w="1285" w:type="pct"/>
            <w:gridSpan w:val="2"/>
            <w:vAlign w:val="center"/>
          </w:tcPr>
          <w:p w14:paraId="6D379C2E">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熔点: </w:t>
            </w:r>
            <w:r>
              <w:rPr>
                <w:rFonts w:hint="eastAsia"/>
                <w:color w:val="000000" w:themeColor="text1"/>
                <w14:textFill>
                  <w14:solidFill>
                    <w14:schemeClr w14:val="tx1"/>
                  </w14:solidFill>
                </w14:textFill>
              </w:rPr>
              <w:t>280-284</w:t>
            </w:r>
            <w:r>
              <w:rPr>
                <w:color w:val="000000" w:themeColor="text1"/>
                <w14:textFill>
                  <w14:solidFill>
                    <w14:schemeClr w14:val="tx1"/>
                  </w14:solidFill>
                </w14:textFill>
              </w:rPr>
              <w:t>℃</w:t>
            </w:r>
          </w:p>
        </w:tc>
        <w:tc>
          <w:tcPr>
            <w:tcW w:w="1128" w:type="pct"/>
            <w:gridSpan w:val="2"/>
            <w:vAlign w:val="center"/>
          </w:tcPr>
          <w:p w14:paraId="096F73D8">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饱和蒸汽压：( </w:t>
            </w:r>
            <m:oMath>
              <m:r>
                <m:rPr>
                  <m:sty m:val="p"/>
                </m:rPr>
                <w:rPr>
                  <w:rFonts w:ascii="Cambria Math" w:hAnsi="Cambria Math"/>
                  <w:color w:val="000000" w:themeColor="text1"/>
                  <w14:textFill>
                    <w14:solidFill>
                      <w14:schemeClr w14:val="tx1"/>
                    </w14:solidFill>
                  </w14:textFill>
                </w:rPr>
                <m:t>1</m:t>
              </m:r>
              <m:r>
                <m:rPr>
                  <m:sty m:val="p"/>
                </m:rPr>
                <w:rPr>
                  <w:rFonts w:hint="eastAsia" w:ascii="Cambria Math" w:hAnsi="Cambria Math"/>
                  <w:color w:val="000000" w:themeColor="text1"/>
                  <w14:textFill>
                    <w14:solidFill>
                      <w14:schemeClr w14:val="tx1"/>
                    </w14:solidFill>
                  </w14:textFill>
                </w:rPr>
                <m:t>h</m:t>
              </m:r>
              <m:r>
                <m:rPr>
                  <m:sty m:val="p"/>
                </m:rPr>
                <w:rPr>
                  <w:rFonts w:ascii="Cambria Math" w:hAnsi="Cambria Math"/>
                  <w:color w:val="000000" w:themeColor="text1"/>
                  <w14:textFill>
                    <w14:solidFill>
                      <w14:schemeClr w14:val="tx1"/>
                    </w14:solidFill>
                  </w14:textFill>
                </w:rPr>
                <m:t>Pa</m:t>
              </m:r>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300°C</m:t>
                  </m:r>
                  <m:ctrlPr>
                    <w:rPr>
                      <w:rFonts w:ascii="Cambria Math" w:hAnsi="Cambria Math"/>
                      <w:color w:val="000000" w:themeColor="text1"/>
                      <w14:textFill>
                        <w14:solidFill>
                          <w14:schemeClr w14:val="tx1"/>
                        </w14:solidFill>
                      </w14:textFill>
                    </w:rPr>
                  </m:ctrlPr>
                </m:e>
              </m:d>
            </m:oMath>
          </w:p>
        </w:tc>
      </w:tr>
      <w:tr w14:paraId="317DA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2A4A78E5">
            <w:pPr>
              <w:pStyle w:val="28"/>
              <w:rPr>
                <w:color w:val="000000" w:themeColor="text1"/>
                <w14:textFill>
                  <w14:solidFill>
                    <w14:schemeClr w14:val="tx1"/>
                  </w14:solidFill>
                </w14:textFill>
              </w:rPr>
            </w:pPr>
          </w:p>
        </w:tc>
        <w:tc>
          <w:tcPr>
            <w:tcW w:w="4690" w:type="pct"/>
            <w:gridSpan w:val="5"/>
            <w:vAlign w:val="center"/>
          </w:tcPr>
          <w:p w14:paraId="060CBB64">
            <w:pPr>
              <w:pStyle w:val="28"/>
              <w:rPr>
                <w:color w:val="000000" w:themeColor="text1"/>
                <w14:textFill>
                  <w14:solidFill>
                    <w14:schemeClr w14:val="tx1"/>
                  </w14:solidFill>
                </w14:textFill>
              </w:rPr>
            </w:pPr>
            <w:r>
              <w:rPr>
                <w:color w:val="000000" w:themeColor="text1"/>
                <w14:textFill>
                  <w14:solidFill>
                    <w14:schemeClr w14:val="tx1"/>
                  </w14:solidFill>
                </w14:textFill>
              </w:rPr>
              <w:t>溶解性：微溶于二硫化碳，溶于氢氧化钠水溶液</w:t>
            </w:r>
          </w:p>
        </w:tc>
      </w:tr>
      <w:tr w14:paraId="3421F0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3CC0654F">
            <w:pPr>
              <w:pStyle w:val="28"/>
              <w:rPr>
                <w:color w:val="000000" w:themeColor="text1"/>
                <w14:textFill>
                  <w14:solidFill>
                    <w14:schemeClr w14:val="tx1"/>
                  </w14:solidFill>
                </w14:textFill>
              </w:rPr>
            </w:pPr>
          </w:p>
        </w:tc>
        <w:tc>
          <w:tcPr>
            <w:tcW w:w="4690" w:type="pct"/>
            <w:gridSpan w:val="5"/>
            <w:vAlign w:val="center"/>
          </w:tcPr>
          <w:p w14:paraId="3BFB5613">
            <w:pPr>
              <w:pStyle w:val="28"/>
              <w:rPr>
                <w:color w:val="000000" w:themeColor="text1"/>
                <w14:textFill>
                  <w14:solidFill>
                    <w14:schemeClr w14:val="tx1"/>
                  </w14:solidFill>
                </w14:textFill>
              </w:rPr>
            </w:pPr>
            <w:r>
              <w:rPr>
                <w:color w:val="000000" w:themeColor="text1"/>
                <w14:textFill>
                  <w14:solidFill>
                    <w14:schemeClr w14:val="tx1"/>
                  </w14:solidFill>
                </w14:textFill>
              </w:rPr>
              <w:t>危险特性：遇明火、高热、摩擦、撞击有引起燃烧的危险。受热分解，放出磷、硫的氧化物等毒性气体。燃烧时放出有毒的刺激性烟雾。与潮湿空气接触会发热以至燃烧。与大多数氧化剂如氯酸盐、硝酸盐、高氯酸盐或高猛酸盐等组成敏感度极高的爆炸性混合物。遇水或潮湿空气分解成有腐蚀和刺激作用的磷酸及硫化氢气体。</w:t>
            </w:r>
          </w:p>
        </w:tc>
      </w:tr>
      <w:tr w14:paraId="2CECBE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1517BA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4690" w:type="pct"/>
            <w:gridSpan w:val="5"/>
            <w:vAlign w:val="center"/>
          </w:tcPr>
          <w:p w14:paraId="4A6C0446">
            <w:pPr>
              <w:pStyle w:val="28"/>
              <w:rPr>
                <w:color w:val="000000" w:themeColor="text1"/>
                <w14:textFill>
                  <w14:solidFill>
                    <w14:schemeClr w14:val="tx1"/>
                  </w14:solidFill>
                </w14:textFill>
              </w:rPr>
            </w:pPr>
            <w:r>
              <w:rPr>
                <w:color w:val="000000" w:themeColor="text1"/>
                <w14:textFill>
                  <w14:solidFill>
                    <w14:schemeClr w14:val="tx1"/>
                  </w14:solidFill>
                </w14:textFill>
              </w:rPr>
              <w:t>侵入途径：吸入、食入</w:t>
            </w:r>
          </w:p>
        </w:tc>
      </w:tr>
      <w:tr w14:paraId="5B4A6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11649D15">
            <w:pPr>
              <w:pStyle w:val="28"/>
              <w:rPr>
                <w:color w:val="000000" w:themeColor="text1"/>
                <w14:textFill>
                  <w14:solidFill>
                    <w14:schemeClr w14:val="tx1"/>
                  </w14:solidFill>
                </w14:textFill>
              </w:rPr>
            </w:pPr>
          </w:p>
        </w:tc>
        <w:tc>
          <w:tcPr>
            <w:tcW w:w="4690" w:type="pct"/>
            <w:gridSpan w:val="5"/>
            <w:vAlign w:val="center"/>
          </w:tcPr>
          <w:p w14:paraId="5BEAD717">
            <w:pPr>
              <w:pStyle w:val="28"/>
              <w:rPr>
                <w:color w:val="000000" w:themeColor="text1"/>
                <w14:textFill>
                  <w14:solidFill>
                    <w14:schemeClr w14:val="tx1"/>
                  </w14:solidFill>
                </w14:textFill>
              </w:rPr>
            </w:pPr>
            <w:r>
              <w:rPr>
                <w:color w:val="000000" w:themeColor="text1"/>
                <w14:textFill>
                  <w14:solidFill>
                    <w14:schemeClr w14:val="tx1"/>
                  </w14:solidFill>
                </w14:textFill>
              </w:rPr>
              <w:t>健康危害：对眼、呼吸道及皮肤有刺激性。</w:t>
            </w:r>
          </w:p>
        </w:tc>
      </w:tr>
      <w:tr w14:paraId="369418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Align w:val="center"/>
          </w:tcPr>
          <w:p w14:paraId="50E43525">
            <w:pPr>
              <w:pStyle w:val="28"/>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4690" w:type="pct"/>
            <w:gridSpan w:val="5"/>
            <w:vAlign w:val="center"/>
          </w:tcPr>
          <w:p w14:paraId="5DD7B052">
            <w:pPr>
              <w:pStyle w:val="28"/>
              <w:rPr>
                <w:color w:val="000000" w:themeColor="text1"/>
                <w14:textFill>
                  <w14:solidFill>
                    <w14:schemeClr w14:val="tx1"/>
                  </w14:solidFill>
                </w14:textFill>
              </w:rPr>
            </w:pPr>
            <w:r>
              <w:rPr>
                <w:color w:val="000000" w:themeColor="text1"/>
                <w14:textFill>
                  <w14:solidFill>
                    <w14:schemeClr w14:val="tx1"/>
                  </w14:solidFill>
                </w14:textFill>
              </w:rPr>
              <w:t>储存注意事项：储存于阴凉、干燥、通风良好的库房。远离火种、热源。库温不宜超过30℃。包装必须密封，切勿受潮。应与氧化剂、酸类、醇类等分开存放，切忌混储。采用防爆型照明、通风设施。禁止使用易产生火花的机械设备和工具。储区应备有合适的材料收容泄漏物。</w:t>
            </w:r>
          </w:p>
        </w:tc>
      </w:tr>
      <w:tr w14:paraId="3D4159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restart"/>
            <w:vAlign w:val="center"/>
          </w:tcPr>
          <w:p w14:paraId="6A7CB0C0">
            <w:pPr>
              <w:pStyle w:val="28"/>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2276" w:type="pct"/>
            <w:vAlign w:val="center"/>
          </w:tcPr>
          <w:p w14:paraId="4C95B62D">
            <w:pPr>
              <w:pStyle w:val="28"/>
              <w:rPr>
                <w:color w:val="000000" w:themeColor="text1"/>
                <w14:textFill>
                  <w14:solidFill>
                    <w14:schemeClr w14:val="tx1"/>
                  </w14:solidFill>
                </w14:textFill>
              </w:rPr>
            </w:pPr>
            <w:r>
              <w:rPr>
                <w:color w:val="000000" w:themeColor="text1"/>
                <w14:textFill>
                  <w14:solidFill>
                    <w14:schemeClr w14:val="tx1"/>
                  </w14:solidFill>
                </w14:textFill>
              </w:rPr>
              <w:t>皮肤接触：脱去污染的衣着，用肥皂水和清水彻底冲洗皮肤。</w:t>
            </w:r>
          </w:p>
        </w:tc>
        <w:tc>
          <w:tcPr>
            <w:tcW w:w="1285" w:type="pct"/>
            <w:gridSpan w:val="2"/>
            <w:vAlign w:val="center"/>
          </w:tcPr>
          <w:p w14:paraId="267AC2ED">
            <w:pPr>
              <w:pStyle w:val="28"/>
              <w:rPr>
                <w:color w:val="000000" w:themeColor="text1"/>
                <w14:textFill>
                  <w14:solidFill>
                    <w14:schemeClr w14:val="tx1"/>
                  </w14:solidFill>
                </w14:textFill>
              </w:rPr>
            </w:pPr>
            <w:r>
              <w:rPr>
                <w:color w:val="000000" w:themeColor="text1"/>
                <w14:textFill>
                  <w14:solidFill>
                    <w14:schemeClr w14:val="tx1"/>
                  </w14:solidFill>
                </w14:textFill>
              </w:rPr>
              <w:t>眼睛接触：提起眼睑，用流动清水或生理盐水冲洗。就医。</w:t>
            </w:r>
          </w:p>
        </w:tc>
        <w:tc>
          <w:tcPr>
            <w:tcW w:w="1128" w:type="pct"/>
            <w:gridSpan w:val="2"/>
            <w:vAlign w:val="center"/>
          </w:tcPr>
          <w:p w14:paraId="4E94CB20">
            <w:pPr>
              <w:pStyle w:val="28"/>
              <w:rPr>
                <w:color w:val="000000" w:themeColor="text1"/>
                <w14:textFill>
                  <w14:solidFill>
                    <w14:schemeClr w14:val="tx1"/>
                  </w14:solidFill>
                </w14:textFill>
              </w:rPr>
            </w:pPr>
            <w:r>
              <w:rPr>
                <w:color w:val="000000" w:themeColor="text1"/>
                <w14:textFill>
                  <w14:solidFill>
                    <w14:schemeClr w14:val="tx1"/>
                  </w14:solidFill>
                </w14:textFill>
              </w:rPr>
              <w:t>食入：饮足量温水，催吐。就医。</w:t>
            </w:r>
          </w:p>
        </w:tc>
      </w:tr>
      <w:tr w14:paraId="334A4D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0F258D03">
            <w:pPr>
              <w:pStyle w:val="28"/>
              <w:rPr>
                <w:color w:val="000000" w:themeColor="text1"/>
                <w14:textFill>
                  <w14:solidFill>
                    <w14:schemeClr w14:val="tx1"/>
                  </w14:solidFill>
                </w14:textFill>
              </w:rPr>
            </w:pPr>
          </w:p>
        </w:tc>
        <w:tc>
          <w:tcPr>
            <w:tcW w:w="4690" w:type="pct"/>
            <w:gridSpan w:val="5"/>
            <w:vAlign w:val="center"/>
          </w:tcPr>
          <w:p w14:paraId="2E9F609E">
            <w:pPr>
              <w:pStyle w:val="28"/>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吸入：迅速脱离现场至空气新鲜处。保持呼吸道通畅。如呼吸困难，给输氧。如呼吸停止，立即进行人工呼吸。就医。</w:t>
            </w:r>
          </w:p>
        </w:tc>
      </w:tr>
      <w:tr w14:paraId="4C3B92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restart"/>
            <w:vAlign w:val="center"/>
          </w:tcPr>
          <w:p w14:paraId="448D6D31">
            <w:pPr>
              <w:pStyle w:val="28"/>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2636" w:type="pct"/>
            <w:gridSpan w:val="2"/>
            <w:vAlign w:val="center"/>
          </w:tcPr>
          <w:p w14:paraId="00A2C446">
            <w:pPr>
              <w:pStyle w:val="28"/>
              <w:rPr>
                <w:color w:val="000000" w:themeColor="text1"/>
                <w14:textFill>
                  <w14:solidFill>
                    <w14:schemeClr w14:val="tx1"/>
                  </w14:solidFill>
                </w14:textFill>
              </w:rPr>
            </w:pPr>
            <w:r>
              <w:rPr>
                <w:color w:val="000000" w:themeColor="text1"/>
                <w14:textFill>
                  <w14:solidFill>
                    <w14:schemeClr w14:val="tx1"/>
                  </w14:solidFill>
                </w14:textFill>
              </w:rPr>
              <w:t>工程控制：密闭操作，局部排风。提供安全淋浴和洗眼设备。</w:t>
            </w:r>
          </w:p>
        </w:tc>
        <w:tc>
          <w:tcPr>
            <w:tcW w:w="2053" w:type="pct"/>
            <w:gridSpan w:val="3"/>
            <w:vAlign w:val="center"/>
          </w:tcPr>
          <w:p w14:paraId="7F50723D">
            <w:pPr>
              <w:pStyle w:val="28"/>
              <w:rPr>
                <w:color w:val="000000" w:themeColor="text1"/>
                <w14:textFill>
                  <w14:solidFill>
                    <w14:schemeClr w14:val="tx1"/>
                  </w14:solidFill>
                </w14:textFill>
              </w:rPr>
            </w:pPr>
            <w:r>
              <w:rPr>
                <w:color w:val="000000" w:themeColor="text1"/>
                <w14:textFill>
                  <w14:solidFill>
                    <w14:schemeClr w14:val="tx1"/>
                  </w14:solidFill>
                </w14:textFill>
              </w:rPr>
              <w:t>眼睛防护：戴化学安全防护眼镜。</w:t>
            </w:r>
          </w:p>
        </w:tc>
      </w:tr>
      <w:tr w14:paraId="2CC17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2480BB1C">
            <w:pPr>
              <w:pStyle w:val="28"/>
              <w:rPr>
                <w:color w:val="000000" w:themeColor="text1"/>
                <w14:textFill>
                  <w14:solidFill>
                    <w14:schemeClr w14:val="tx1"/>
                  </w14:solidFill>
                </w14:textFill>
              </w:rPr>
            </w:pPr>
          </w:p>
        </w:tc>
        <w:tc>
          <w:tcPr>
            <w:tcW w:w="4690" w:type="pct"/>
            <w:gridSpan w:val="5"/>
            <w:vAlign w:val="center"/>
          </w:tcPr>
          <w:p w14:paraId="7996E44E">
            <w:pPr>
              <w:pStyle w:val="28"/>
              <w:rPr>
                <w:color w:val="000000" w:themeColor="text1"/>
                <w14:textFill>
                  <w14:solidFill>
                    <w14:schemeClr w14:val="tx1"/>
                  </w14:solidFill>
                </w14:textFill>
              </w:rPr>
            </w:pPr>
            <w:r>
              <w:rPr>
                <w:color w:val="000000" w:themeColor="text1"/>
                <w14:textFill>
                  <w14:solidFill>
                    <w14:schemeClr w14:val="tx1"/>
                  </w14:solidFill>
                </w14:textFill>
              </w:rPr>
              <w:t>呼吸系统防护：可能接触其粉尘时，必须佩戴自吸过滤式防尘口罩。</w:t>
            </w:r>
          </w:p>
        </w:tc>
      </w:tr>
      <w:tr w14:paraId="7FC5AA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15968470">
            <w:pPr>
              <w:pStyle w:val="28"/>
              <w:rPr>
                <w:color w:val="000000" w:themeColor="text1"/>
                <w14:textFill>
                  <w14:solidFill>
                    <w14:schemeClr w14:val="tx1"/>
                  </w14:solidFill>
                </w14:textFill>
              </w:rPr>
            </w:pPr>
          </w:p>
        </w:tc>
        <w:tc>
          <w:tcPr>
            <w:tcW w:w="2636" w:type="pct"/>
            <w:gridSpan w:val="2"/>
            <w:vAlign w:val="center"/>
          </w:tcPr>
          <w:p w14:paraId="4A636D17">
            <w:pPr>
              <w:pStyle w:val="28"/>
              <w:rPr>
                <w:color w:val="000000" w:themeColor="text1"/>
                <w14:textFill>
                  <w14:solidFill>
                    <w14:schemeClr w14:val="tx1"/>
                  </w14:solidFill>
                </w14:textFill>
              </w:rPr>
            </w:pPr>
            <w:r>
              <w:rPr>
                <w:color w:val="000000" w:themeColor="text1"/>
                <w14:textFill>
                  <w14:solidFill>
                    <w14:schemeClr w14:val="tx1"/>
                  </w14:solidFill>
                </w14:textFill>
              </w:rPr>
              <w:t>身体防护：穿化学防护服。</w:t>
            </w:r>
          </w:p>
        </w:tc>
        <w:tc>
          <w:tcPr>
            <w:tcW w:w="2053" w:type="pct"/>
            <w:gridSpan w:val="3"/>
            <w:vAlign w:val="center"/>
          </w:tcPr>
          <w:p w14:paraId="635CF23B">
            <w:pPr>
              <w:pStyle w:val="28"/>
              <w:rPr>
                <w:color w:val="000000" w:themeColor="text1"/>
                <w14:textFill>
                  <w14:solidFill>
                    <w14:schemeClr w14:val="tx1"/>
                  </w14:solidFill>
                </w14:textFill>
              </w:rPr>
            </w:pPr>
            <w:r>
              <w:rPr>
                <w:color w:val="000000" w:themeColor="text1"/>
                <w14:textFill>
                  <w14:solidFill>
                    <w14:schemeClr w14:val="tx1"/>
                  </w14:solidFill>
                </w14:textFill>
              </w:rPr>
              <w:t>手防护：戴橡胶手套。</w:t>
            </w:r>
          </w:p>
        </w:tc>
      </w:tr>
      <w:tr w14:paraId="0FF7C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Merge w:val="continue"/>
          </w:tcPr>
          <w:p w14:paraId="5D24641B">
            <w:pPr>
              <w:pStyle w:val="28"/>
              <w:rPr>
                <w:color w:val="000000" w:themeColor="text1"/>
                <w14:textFill>
                  <w14:solidFill>
                    <w14:schemeClr w14:val="tx1"/>
                  </w14:solidFill>
                </w14:textFill>
              </w:rPr>
            </w:pPr>
          </w:p>
        </w:tc>
        <w:tc>
          <w:tcPr>
            <w:tcW w:w="4690" w:type="pct"/>
            <w:gridSpan w:val="5"/>
            <w:vAlign w:val="center"/>
          </w:tcPr>
          <w:p w14:paraId="582148EF">
            <w:pPr>
              <w:pStyle w:val="28"/>
              <w:rPr>
                <w:color w:val="000000" w:themeColor="text1"/>
                <w14:textFill>
                  <w14:solidFill>
                    <w14:schemeClr w14:val="tx1"/>
                  </w14:solidFill>
                </w14:textFill>
              </w:rPr>
            </w:pPr>
            <w:r>
              <w:rPr>
                <w:color w:val="000000" w:themeColor="text1"/>
                <w14:textFill>
                  <w14:solidFill>
                    <w14:schemeClr w14:val="tx1"/>
                  </w14:solidFill>
                </w14:textFill>
              </w:rPr>
              <w:t>其它防护：工作现场严禁吸烟。工作完毕，淋浴更衣。注意个人清洁卫生。</w:t>
            </w:r>
          </w:p>
        </w:tc>
      </w:tr>
      <w:tr w14:paraId="5191C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9" w:type="pct"/>
            <w:vAlign w:val="center"/>
          </w:tcPr>
          <w:p w14:paraId="3070BFE8">
            <w:pPr>
              <w:pStyle w:val="28"/>
              <w:rPr>
                <w:color w:val="000000" w:themeColor="text1"/>
                <w14:textFill>
                  <w14:solidFill>
                    <w14:schemeClr w14:val="tx1"/>
                  </w14:solidFill>
                </w14:textFill>
              </w:rPr>
            </w:pPr>
            <w:r>
              <w:rPr>
                <w:color w:val="000000" w:themeColor="text1"/>
                <w14:textFill>
                  <w14:solidFill>
                    <w14:schemeClr w14:val="tx1"/>
                  </w14:solidFill>
                </w14:textFill>
              </w:rPr>
              <w:t>泄漏处理</w:t>
            </w:r>
          </w:p>
        </w:tc>
        <w:tc>
          <w:tcPr>
            <w:tcW w:w="4690" w:type="pct"/>
            <w:gridSpan w:val="5"/>
            <w:vAlign w:val="center"/>
          </w:tcPr>
          <w:p w14:paraId="707EF534">
            <w:pPr>
              <w:pStyle w:val="28"/>
              <w:rPr>
                <w:color w:val="000000" w:themeColor="text1"/>
                <w14:textFill>
                  <w14:solidFill>
                    <w14:schemeClr w14:val="tx1"/>
                  </w14:solidFill>
                </w14:textFill>
              </w:rPr>
            </w:pPr>
            <w:r>
              <w:rPr>
                <w:color w:val="000000" w:themeColor="text1"/>
                <w14:textFill>
                  <w14:solidFill>
                    <w14:schemeClr w14:val="tx1"/>
                  </w14:solidFill>
                </w14:textFill>
              </w:rPr>
              <w:t>隔离泄漏污染区，限制出入。切断火源。建议应急处理人员戴自给正压式呼吸器，穿化学防护服。不要直接接触泄漏物。小量泄漏：用干燥的砂土或石灰覆盖，收集于干燥、洁净、有盖的容器中，转移至安全场所。大量泄漏：用塑料布、帆布覆盖。与有关技术部门联系，确定清除方法。</w:t>
            </w:r>
          </w:p>
        </w:tc>
      </w:tr>
    </w:tbl>
    <w:p w14:paraId="64A893D4">
      <w:pPr>
        <w:pStyle w:val="27"/>
        <w:rPr>
          <w:rFonts w:hint="eastAsia"/>
          <w:color w:val="000000" w:themeColor="text1"/>
          <w14:textFill>
            <w14:solidFill>
              <w14:schemeClr w14:val="tx1"/>
            </w14:solidFill>
          </w14:textFill>
        </w:rPr>
      </w:pPr>
    </w:p>
    <w:p w14:paraId="4E086586">
      <w:pPr>
        <w:pStyle w:val="27"/>
        <w:rPr>
          <w:rFonts w:hint="eastAsia"/>
          <w:color w:val="000000" w:themeColor="text1"/>
          <w14:textFill>
            <w14:solidFill>
              <w14:schemeClr w14:val="tx1"/>
            </w14:solidFill>
          </w14:textFill>
        </w:rPr>
      </w:pPr>
    </w:p>
    <w:p w14:paraId="5B67A2B0">
      <w:pPr>
        <w:pStyle w:val="27"/>
        <w:rPr>
          <w:rFonts w:hint="eastAsia"/>
          <w:color w:val="000000" w:themeColor="text1"/>
          <w14:textFill>
            <w14:solidFill>
              <w14:schemeClr w14:val="tx1"/>
            </w14:solidFill>
          </w14:textFill>
        </w:rPr>
      </w:pPr>
    </w:p>
    <w:p w14:paraId="04D4B967">
      <w:pPr>
        <w:pStyle w:val="27"/>
        <w:rPr>
          <w:rFonts w:hint="eastAsia"/>
          <w:color w:val="000000" w:themeColor="text1"/>
          <w14:textFill>
            <w14:solidFill>
              <w14:schemeClr w14:val="tx1"/>
            </w14:solidFill>
          </w14:textFill>
        </w:rPr>
      </w:pPr>
    </w:p>
    <w:p w14:paraId="79B6CBAC">
      <w:pPr>
        <w:pStyle w:val="27"/>
        <w:rPr>
          <w:rFonts w:hint="eastAsia"/>
          <w:color w:val="000000" w:themeColor="text1"/>
          <w14:textFill>
            <w14:solidFill>
              <w14:schemeClr w14:val="tx1"/>
            </w14:solidFill>
          </w14:textFill>
        </w:rPr>
      </w:pPr>
    </w:p>
    <w:p w14:paraId="37A661A8">
      <w:pPr>
        <w:pStyle w:val="27"/>
        <w:rPr>
          <w:rFonts w:hint="eastAsia"/>
          <w:color w:val="000000" w:themeColor="text1"/>
          <w14:textFill>
            <w14:solidFill>
              <w14:schemeClr w14:val="tx1"/>
            </w14:solidFill>
          </w14:textFill>
        </w:rPr>
      </w:pPr>
    </w:p>
    <w:p w14:paraId="60C58CA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表5.2-28 环己烷理化性质及危险特性一览表</w:t>
      </w:r>
    </w:p>
    <w:tbl>
      <w:tblPr>
        <w:tblStyle w:val="2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28"/>
        <w:gridCol w:w="1135"/>
        <w:gridCol w:w="1040"/>
        <w:gridCol w:w="1897"/>
        <w:gridCol w:w="792"/>
        <w:gridCol w:w="2019"/>
        <w:gridCol w:w="164"/>
        <w:gridCol w:w="944"/>
      </w:tblGrid>
      <w:tr w14:paraId="36FBD3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vAlign w:val="center"/>
          </w:tcPr>
          <w:p w14:paraId="15B288D7">
            <w:pPr>
              <w:pStyle w:val="28"/>
              <w:rPr>
                <w:color w:val="000000" w:themeColor="text1"/>
                <w14:textFill>
                  <w14:solidFill>
                    <w14:schemeClr w14:val="tx1"/>
                  </w14:solidFill>
                </w14:textFill>
              </w:rPr>
            </w:pPr>
            <w:r>
              <w:rPr>
                <w:color w:val="000000" w:themeColor="text1"/>
                <w14:textFill>
                  <w14:solidFill>
                    <w14:schemeClr w14:val="tx1"/>
                  </w14:solidFill>
                </w14:textFill>
              </w:rPr>
              <w:t>标识</w:t>
            </w:r>
          </w:p>
        </w:tc>
        <w:tc>
          <w:tcPr>
            <w:tcW w:w="2854" w:type="pct"/>
            <w:gridSpan w:val="4"/>
            <w:vAlign w:val="center"/>
          </w:tcPr>
          <w:p w14:paraId="7D385839">
            <w:pPr>
              <w:pStyle w:val="28"/>
              <w:rPr>
                <w:color w:val="000000" w:themeColor="text1"/>
                <w14:textFill>
                  <w14:solidFill>
                    <w14:schemeClr w14:val="tx1"/>
                  </w14:solidFill>
                </w14:textFill>
              </w:rPr>
            </w:pPr>
            <w:r>
              <w:rPr>
                <w:color w:val="000000" w:themeColor="text1"/>
                <w14:textFill>
                  <w14:solidFill>
                    <w14:schemeClr w14:val="tx1"/>
                  </w14:solidFill>
                </w14:textFill>
              </w:rPr>
              <w:t>中文名：环已烷；六氢化苯</w:t>
            </w:r>
          </w:p>
        </w:tc>
        <w:tc>
          <w:tcPr>
            <w:tcW w:w="1835" w:type="pct"/>
            <w:gridSpan w:val="3"/>
            <w:vAlign w:val="center"/>
          </w:tcPr>
          <w:p w14:paraId="759D84C8">
            <w:pPr>
              <w:pStyle w:val="28"/>
              <w:rPr>
                <w:color w:val="000000" w:themeColor="text1"/>
                <w14:textFill>
                  <w14:solidFill>
                    <w14:schemeClr w14:val="tx1"/>
                  </w14:solidFill>
                </w14:textFill>
              </w:rPr>
            </w:pPr>
            <w:r>
              <w:rPr>
                <w:color w:val="000000" w:themeColor="text1"/>
                <w14:textFill>
                  <w14:solidFill>
                    <w14:schemeClr w14:val="tx1"/>
                  </w14:solidFill>
                </w14:textFill>
              </w:rPr>
              <w:t>危险货物编号：31004</w:t>
            </w:r>
          </w:p>
        </w:tc>
      </w:tr>
      <w:tr w14:paraId="24FDDB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75DDB227">
            <w:pPr>
              <w:pStyle w:val="28"/>
              <w:rPr>
                <w:color w:val="000000" w:themeColor="text1"/>
                <w14:textFill>
                  <w14:solidFill>
                    <w14:schemeClr w14:val="tx1"/>
                  </w14:solidFill>
                </w14:textFill>
              </w:rPr>
            </w:pPr>
          </w:p>
        </w:tc>
        <w:tc>
          <w:tcPr>
            <w:tcW w:w="2854" w:type="pct"/>
            <w:gridSpan w:val="4"/>
            <w:vAlign w:val="center"/>
          </w:tcPr>
          <w:p w14:paraId="55088717">
            <w:pPr>
              <w:pStyle w:val="28"/>
              <w:rPr>
                <w:color w:val="000000" w:themeColor="text1"/>
                <w14:textFill>
                  <w14:solidFill>
                    <w14:schemeClr w14:val="tx1"/>
                  </w14:solidFill>
                </w14:textFill>
              </w:rPr>
            </w:pPr>
            <w:r>
              <w:rPr>
                <w:color w:val="000000" w:themeColor="text1"/>
                <w14:textFill>
                  <w14:solidFill>
                    <w14:schemeClr w14:val="tx1"/>
                  </w14:solidFill>
                </w14:textFill>
              </w:rPr>
              <w:t>英文名: Cyclohexane; Hexahydrobenzene</w:t>
            </w:r>
          </w:p>
        </w:tc>
        <w:tc>
          <w:tcPr>
            <w:tcW w:w="1835" w:type="pct"/>
            <w:gridSpan w:val="3"/>
            <w:vAlign w:val="center"/>
          </w:tcPr>
          <w:p w14:paraId="43336030">
            <w:pPr>
              <w:pStyle w:val="28"/>
              <w:rPr>
                <w:color w:val="000000" w:themeColor="text1"/>
                <w14:textFill>
                  <w14:solidFill>
                    <w14:schemeClr w14:val="tx1"/>
                  </w14:solidFill>
                </w14:textFill>
              </w:rPr>
            </w:pPr>
            <w:r>
              <w:rPr>
                <w:color w:val="000000" w:themeColor="text1"/>
                <w14:textFill>
                  <w14:solidFill>
                    <w14:schemeClr w14:val="tx1"/>
                  </w14:solidFill>
                </w14:textFill>
              </w:rPr>
              <w:t>UN编号: 1145</w:t>
            </w:r>
          </w:p>
        </w:tc>
      </w:tr>
      <w:tr w14:paraId="49633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310" w:type="pct"/>
            <w:vMerge w:val="continue"/>
          </w:tcPr>
          <w:p w14:paraId="39D39003">
            <w:pPr>
              <w:pStyle w:val="28"/>
              <w:rPr>
                <w:color w:val="000000" w:themeColor="text1"/>
                <w14:textFill>
                  <w14:solidFill>
                    <w14:schemeClr w14:val="tx1"/>
                  </w14:solidFill>
                </w14:textFill>
              </w:rPr>
            </w:pPr>
          </w:p>
        </w:tc>
        <w:tc>
          <w:tcPr>
            <w:tcW w:w="1276" w:type="pct"/>
            <w:gridSpan w:val="2"/>
            <w:vAlign w:val="center"/>
          </w:tcPr>
          <w:p w14:paraId="044897EA">
            <w:pPr>
              <w:pStyle w:val="28"/>
              <w:rPr>
                <w:color w:val="000000" w:themeColor="text1"/>
                <w14:textFill>
                  <w14:solidFill>
                    <w14:schemeClr w14:val="tx1"/>
                  </w14:solidFill>
                </w14:textFill>
              </w:rPr>
            </w:pPr>
            <w:r>
              <w:rPr>
                <w:color w:val="000000" w:themeColor="text1"/>
                <w14:textFill>
                  <w14:solidFill>
                    <w14:schemeClr w14:val="tx1"/>
                  </w14:solidFill>
                </w14:textFill>
              </w:rPr>
              <w:t>分子式: C₆H₁₂</w:t>
            </w:r>
          </w:p>
        </w:tc>
        <w:tc>
          <w:tcPr>
            <w:tcW w:w="1578" w:type="pct"/>
            <w:gridSpan w:val="2"/>
            <w:vAlign w:val="center"/>
          </w:tcPr>
          <w:p w14:paraId="6FF890CC">
            <w:pPr>
              <w:pStyle w:val="28"/>
              <w:rPr>
                <w:color w:val="000000" w:themeColor="text1"/>
                <w14:textFill>
                  <w14:solidFill>
                    <w14:schemeClr w14:val="tx1"/>
                  </w14:solidFill>
                </w14:textFill>
              </w:rPr>
            </w:pPr>
            <w:r>
              <w:rPr>
                <w:color w:val="000000" w:themeColor="text1"/>
                <w14:textFill>
                  <w14:solidFill>
                    <w14:schemeClr w14:val="tx1"/>
                  </w14:solidFill>
                </w14:textFill>
              </w:rPr>
              <w:t>分子量: 84.16</w:t>
            </w:r>
          </w:p>
        </w:tc>
        <w:tc>
          <w:tcPr>
            <w:tcW w:w="1835" w:type="pct"/>
            <w:gridSpan w:val="3"/>
            <w:vAlign w:val="center"/>
          </w:tcPr>
          <w:p w14:paraId="2DD7C311">
            <w:pPr>
              <w:pStyle w:val="28"/>
              <w:rPr>
                <w:color w:val="000000" w:themeColor="text1"/>
                <w14:textFill>
                  <w14:solidFill>
                    <w14:schemeClr w14:val="tx1"/>
                  </w14:solidFill>
                </w14:textFill>
              </w:rPr>
            </w:pPr>
            <w:r>
              <w:rPr>
                <w:color w:val="000000" w:themeColor="text1"/>
                <w14:textFill>
                  <w14:solidFill>
                    <w14:schemeClr w14:val="tx1"/>
                  </w14:solidFill>
                </w14:textFill>
              </w:rPr>
              <w:t>CAS 号: 110-82-7</w:t>
            </w:r>
          </w:p>
        </w:tc>
      </w:tr>
      <w:tr w14:paraId="197CC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7F6D9105">
            <w:pPr>
              <w:pStyle w:val="28"/>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666" w:type="pct"/>
            <w:vAlign w:val="center"/>
          </w:tcPr>
          <w:p w14:paraId="29615664">
            <w:pPr>
              <w:pStyle w:val="28"/>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4023" w:type="pct"/>
            <w:gridSpan w:val="6"/>
            <w:vAlign w:val="center"/>
          </w:tcPr>
          <w:p w14:paraId="163C119F">
            <w:pPr>
              <w:pStyle w:val="28"/>
              <w:rPr>
                <w:color w:val="000000" w:themeColor="text1"/>
                <w14:textFill>
                  <w14:solidFill>
                    <w14:schemeClr w14:val="tx1"/>
                  </w14:solidFill>
                </w14:textFill>
              </w:rPr>
            </w:pPr>
            <w:r>
              <w:rPr>
                <w:color w:val="000000" w:themeColor="text1"/>
                <w14:textFill>
                  <w14:solidFill>
                    <w14:schemeClr w14:val="tx1"/>
                  </w14:solidFill>
                </w14:textFill>
              </w:rPr>
              <w:t>无色液体，有刺激性气味。</w:t>
            </w:r>
          </w:p>
        </w:tc>
      </w:tr>
      <w:tr w14:paraId="03558D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639F115A">
            <w:pPr>
              <w:pStyle w:val="28"/>
              <w:rPr>
                <w:color w:val="000000" w:themeColor="text1"/>
                <w14:textFill>
                  <w14:solidFill>
                    <w14:schemeClr w14:val="tx1"/>
                  </w14:solidFill>
                </w14:textFill>
              </w:rPr>
            </w:pPr>
          </w:p>
        </w:tc>
        <w:tc>
          <w:tcPr>
            <w:tcW w:w="666" w:type="pct"/>
            <w:vAlign w:val="center"/>
          </w:tcPr>
          <w:p w14:paraId="6869918B">
            <w:pPr>
              <w:pStyle w:val="28"/>
              <w:rPr>
                <w:color w:val="000000" w:themeColor="text1"/>
                <w14:textFill>
                  <w14:solidFill>
                    <w14:schemeClr w14:val="tx1"/>
                  </w14:solidFill>
                </w14:textFill>
              </w:rPr>
            </w:pPr>
            <w:r>
              <w:rPr>
                <w:color w:val="000000" w:themeColor="text1"/>
                <w14:textFill>
                  <w14:solidFill>
                    <w14:schemeClr w14:val="tx1"/>
                  </w14:solidFill>
                </w14:textFill>
              </w:rPr>
              <w:t>熔点(℃)</w:t>
            </w:r>
          </w:p>
        </w:tc>
        <w:tc>
          <w:tcPr>
            <w:tcW w:w="610" w:type="pct"/>
            <w:vAlign w:val="center"/>
          </w:tcPr>
          <w:p w14:paraId="35017842">
            <w:pPr>
              <w:pStyle w:val="28"/>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113" w:type="pct"/>
            <w:vAlign w:val="center"/>
          </w:tcPr>
          <w:p w14:paraId="146F51FF">
            <w:pPr>
              <w:pStyle w:val="28"/>
              <w:rPr>
                <w:color w:val="000000" w:themeColor="text1"/>
                <w14:textFill>
                  <w14:solidFill>
                    <w14:schemeClr w14:val="tx1"/>
                  </w14:solidFill>
                </w14:textFill>
              </w:rPr>
            </w:pPr>
            <w:r>
              <w:rPr>
                <w:color w:val="000000" w:themeColor="text1"/>
                <w14:textFill>
                  <w14:solidFill>
                    <w14:schemeClr w14:val="tx1"/>
                  </w14:solidFill>
                </w14:textFill>
              </w:rPr>
              <w:t>相对密度(水=1)</w:t>
            </w:r>
          </w:p>
        </w:tc>
        <w:tc>
          <w:tcPr>
            <w:tcW w:w="465" w:type="pct"/>
            <w:vAlign w:val="center"/>
          </w:tcPr>
          <w:p w14:paraId="0DA96B32">
            <w:pPr>
              <w:pStyle w:val="28"/>
              <w:rPr>
                <w:color w:val="000000" w:themeColor="text1"/>
                <w14:textFill>
                  <w14:solidFill>
                    <w14:schemeClr w14:val="tx1"/>
                  </w14:solidFill>
                </w14:textFill>
              </w:rPr>
            </w:pPr>
            <w:r>
              <w:rPr>
                <w:color w:val="000000" w:themeColor="text1"/>
                <w14:textFill>
                  <w14:solidFill>
                    <w14:schemeClr w14:val="tx1"/>
                  </w14:solidFill>
                </w14:textFill>
              </w:rPr>
              <w:t>0.78</w:t>
            </w:r>
          </w:p>
        </w:tc>
        <w:tc>
          <w:tcPr>
            <w:tcW w:w="1281" w:type="pct"/>
            <w:gridSpan w:val="2"/>
            <w:vAlign w:val="center"/>
          </w:tcPr>
          <w:p w14:paraId="3782228C">
            <w:pPr>
              <w:pStyle w:val="28"/>
              <w:rPr>
                <w:color w:val="000000" w:themeColor="text1"/>
                <w14:textFill>
                  <w14:solidFill>
                    <w14:schemeClr w14:val="tx1"/>
                  </w14:solidFill>
                </w14:textFill>
              </w:rPr>
            </w:pPr>
            <w:r>
              <w:rPr>
                <w:color w:val="000000" w:themeColor="text1"/>
                <w14:textFill>
                  <w14:solidFill>
                    <w14:schemeClr w14:val="tx1"/>
                  </w14:solidFill>
                </w14:textFill>
              </w:rPr>
              <w:t>相对密度(空气=1)</w:t>
            </w:r>
          </w:p>
        </w:tc>
        <w:tc>
          <w:tcPr>
            <w:tcW w:w="553" w:type="pct"/>
            <w:vAlign w:val="center"/>
          </w:tcPr>
          <w:p w14:paraId="16743658">
            <w:pPr>
              <w:pStyle w:val="28"/>
              <w:rPr>
                <w:color w:val="000000" w:themeColor="text1"/>
                <w14:textFill>
                  <w14:solidFill>
                    <w14:schemeClr w14:val="tx1"/>
                  </w14:solidFill>
                </w14:textFill>
              </w:rPr>
            </w:pPr>
            <w:r>
              <w:rPr>
                <w:color w:val="000000" w:themeColor="text1"/>
                <w14:textFill>
                  <w14:solidFill>
                    <w14:schemeClr w14:val="tx1"/>
                  </w14:solidFill>
                </w14:textFill>
              </w:rPr>
              <w:t>2.90</w:t>
            </w:r>
          </w:p>
        </w:tc>
      </w:tr>
      <w:tr w14:paraId="78A02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310" w:type="pct"/>
            <w:vMerge w:val="continue"/>
          </w:tcPr>
          <w:p w14:paraId="04228F45">
            <w:pPr>
              <w:pStyle w:val="28"/>
              <w:rPr>
                <w:color w:val="000000" w:themeColor="text1"/>
                <w14:textFill>
                  <w14:solidFill>
                    <w14:schemeClr w14:val="tx1"/>
                  </w14:solidFill>
                </w14:textFill>
              </w:rPr>
            </w:pPr>
          </w:p>
        </w:tc>
        <w:tc>
          <w:tcPr>
            <w:tcW w:w="666" w:type="pct"/>
            <w:vAlign w:val="center"/>
          </w:tcPr>
          <w:p w14:paraId="3CDEF1C7">
            <w:pPr>
              <w:pStyle w:val="28"/>
              <w:rPr>
                <w:color w:val="000000" w:themeColor="text1"/>
                <w14:textFill>
                  <w14:solidFill>
                    <w14:schemeClr w14:val="tx1"/>
                  </w14:solidFill>
                </w14:textFill>
              </w:rPr>
            </w:pPr>
            <w:r>
              <w:rPr>
                <w:color w:val="000000" w:themeColor="text1"/>
                <w14:textFill>
                  <w14:solidFill>
                    <w14:schemeClr w14:val="tx1"/>
                  </w14:solidFill>
                </w14:textFill>
              </w:rPr>
              <w:t>沸点(℃)</w:t>
            </w:r>
          </w:p>
        </w:tc>
        <w:tc>
          <w:tcPr>
            <w:tcW w:w="610" w:type="pct"/>
            <w:vAlign w:val="center"/>
          </w:tcPr>
          <w:p w14:paraId="4FEE4379">
            <w:pPr>
              <w:pStyle w:val="28"/>
              <w:rPr>
                <w:color w:val="000000" w:themeColor="text1"/>
                <w14:textFill>
                  <w14:solidFill>
                    <w14:schemeClr w14:val="tx1"/>
                  </w14:solidFill>
                </w14:textFill>
              </w:rPr>
            </w:pPr>
            <w:r>
              <w:rPr>
                <w:color w:val="000000" w:themeColor="text1"/>
                <w14:textFill>
                  <w14:solidFill>
                    <w14:schemeClr w14:val="tx1"/>
                  </w14:solidFill>
                </w14:textFill>
              </w:rPr>
              <w:t>80.7</w:t>
            </w:r>
          </w:p>
        </w:tc>
        <w:tc>
          <w:tcPr>
            <w:tcW w:w="1578" w:type="pct"/>
            <w:gridSpan w:val="2"/>
            <w:vAlign w:val="center"/>
          </w:tcPr>
          <w:p w14:paraId="029F4D2E">
            <w:pPr>
              <w:pStyle w:val="28"/>
              <w:rPr>
                <w:color w:val="000000" w:themeColor="text1"/>
                <w14:textFill>
                  <w14:solidFill>
                    <w14:schemeClr w14:val="tx1"/>
                  </w14:solidFill>
                </w14:textFill>
              </w:rPr>
            </w:pPr>
            <w:r>
              <w:rPr>
                <w:color w:val="000000" w:themeColor="text1"/>
                <w14:textFill>
                  <w14:solidFill>
                    <w14:schemeClr w14:val="tx1"/>
                  </w14:solidFill>
                </w14:textFill>
              </w:rPr>
              <w:t>饱和蒸气压 (kPa)</w:t>
            </w:r>
          </w:p>
        </w:tc>
        <w:tc>
          <w:tcPr>
            <w:tcW w:w="1835" w:type="pct"/>
            <w:gridSpan w:val="3"/>
            <w:vAlign w:val="center"/>
          </w:tcPr>
          <w:p w14:paraId="3460977B">
            <w:pPr>
              <w:pStyle w:val="28"/>
              <w:rPr>
                <w:color w:val="000000" w:themeColor="text1"/>
                <w14:textFill>
                  <w14:solidFill>
                    <w14:schemeClr w14:val="tx1"/>
                  </w14:solidFill>
                </w14:textFill>
              </w:rPr>
            </w:pPr>
            <w:r>
              <w:rPr>
                <w:color w:val="000000" w:themeColor="text1"/>
                <w14:textFill>
                  <w14:solidFill>
                    <w14:schemeClr w14:val="tx1"/>
                  </w14:solidFill>
                </w14:textFill>
              </w:rPr>
              <w:t>13.33/60.8℃</w:t>
            </w:r>
          </w:p>
        </w:tc>
      </w:tr>
      <w:tr w14:paraId="5A13C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310" w:type="pct"/>
            <w:vMerge w:val="continue"/>
          </w:tcPr>
          <w:p w14:paraId="32C1D162">
            <w:pPr>
              <w:pStyle w:val="28"/>
              <w:rPr>
                <w:color w:val="000000" w:themeColor="text1"/>
                <w14:textFill>
                  <w14:solidFill>
                    <w14:schemeClr w14:val="tx1"/>
                  </w14:solidFill>
                </w14:textFill>
              </w:rPr>
            </w:pPr>
          </w:p>
        </w:tc>
        <w:tc>
          <w:tcPr>
            <w:tcW w:w="666" w:type="pct"/>
            <w:vAlign w:val="center"/>
          </w:tcPr>
          <w:p w14:paraId="508A5ADE">
            <w:pPr>
              <w:pStyle w:val="28"/>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4023" w:type="pct"/>
            <w:gridSpan w:val="6"/>
            <w:vAlign w:val="center"/>
          </w:tcPr>
          <w:p w14:paraId="66CCCE50">
            <w:pPr>
              <w:pStyle w:val="28"/>
              <w:rPr>
                <w:color w:val="000000" w:themeColor="text1"/>
                <w14:textFill>
                  <w14:solidFill>
                    <w14:schemeClr w14:val="tx1"/>
                  </w14:solidFill>
                </w14:textFill>
              </w:rPr>
            </w:pPr>
            <w:r>
              <w:rPr>
                <w:color w:val="000000" w:themeColor="text1"/>
                <w14:textFill>
                  <w14:solidFill>
                    <w14:schemeClr w14:val="tx1"/>
                  </w14:solidFill>
                </w14:textFill>
              </w:rPr>
              <w:t>不溶于水，溶于乙醇、乙醚、苯、丙酮等多数有机溶剂。</w:t>
            </w:r>
          </w:p>
        </w:tc>
      </w:tr>
      <w:tr w14:paraId="307530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42D98930">
            <w:pPr>
              <w:pStyle w:val="28"/>
              <w:rPr>
                <w:color w:val="000000" w:themeColor="text1"/>
                <w14:textFill>
                  <w14:solidFill>
                    <w14:schemeClr w14:val="tx1"/>
                  </w14:solidFill>
                </w14:textFill>
              </w:rPr>
            </w:pPr>
            <w:r>
              <w:rPr>
                <w:color w:val="000000" w:themeColor="text1"/>
                <w14:textFill>
                  <w14:solidFill>
                    <w14:schemeClr w14:val="tx1"/>
                  </w14:solidFill>
                </w14:textFill>
              </w:rPr>
              <w:t>毒性及健康危害</w:t>
            </w:r>
          </w:p>
        </w:tc>
        <w:tc>
          <w:tcPr>
            <w:tcW w:w="666" w:type="pct"/>
            <w:vAlign w:val="center"/>
          </w:tcPr>
          <w:p w14:paraId="2E70E02A">
            <w:pPr>
              <w:pStyle w:val="28"/>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4023" w:type="pct"/>
            <w:gridSpan w:val="6"/>
            <w:vAlign w:val="center"/>
          </w:tcPr>
          <w:p w14:paraId="3B546A0C">
            <w:pPr>
              <w:pStyle w:val="28"/>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14:paraId="24F25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jc w:val="center"/>
        </w:trPr>
        <w:tc>
          <w:tcPr>
            <w:tcW w:w="310" w:type="pct"/>
            <w:vMerge w:val="continue"/>
          </w:tcPr>
          <w:p w14:paraId="1AD02FFA">
            <w:pPr>
              <w:pStyle w:val="28"/>
              <w:rPr>
                <w:color w:val="000000" w:themeColor="text1"/>
                <w14:textFill>
                  <w14:solidFill>
                    <w14:schemeClr w14:val="tx1"/>
                  </w14:solidFill>
                </w14:textFill>
              </w:rPr>
            </w:pPr>
          </w:p>
        </w:tc>
        <w:tc>
          <w:tcPr>
            <w:tcW w:w="666" w:type="pct"/>
            <w:vAlign w:val="center"/>
          </w:tcPr>
          <w:p w14:paraId="3FCD43E4">
            <w:pPr>
              <w:pStyle w:val="28"/>
              <w:rPr>
                <w:color w:val="000000" w:themeColor="text1"/>
                <w14:textFill>
                  <w14:solidFill>
                    <w14:schemeClr w14:val="tx1"/>
                  </w14:solidFill>
                </w14:textFill>
              </w:rPr>
            </w:pPr>
            <w:r>
              <w:rPr>
                <w:color w:val="000000" w:themeColor="text1"/>
                <w14:textFill>
                  <w14:solidFill>
                    <w14:schemeClr w14:val="tx1"/>
                  </w14:solidFill>
                </w14:textFill>
              </w:rPr>
              <w:t>毒性</w:t>
            </w:r>
          </w:p>
        </w:tc>
        <w:tc>
          <w:tcPr>
            <w:tcW w:w="4023" w:type="pct"/>
            <w:gridSpan w:val="6"/>
            <w:vAlign w:val="center"/>
          </w:tcPr>
          <w:p w14:paraId="40B252E7">
            <w:pPr>
              <w:pStyle w:val="28"/>
              <w:rPr>
                <w:color w:val="000000" w:themeColor="text1"/>
                <w14:textFill>
                  <w14:solidFill>
                    <w14:schemeClr w14:val="tx1"/>
                  </w14:solidFill>
                </w14:textFill>
              </w:rPr>
            </w:pPr>
            <w:r>
              <w:rPr>
                <w:color w:val="000000" w:themeColor="text1"/>
                <w14:textFill>
                  <w14:solidFill>
                    <w14:schemeClr w14:val="tx1"/>
                  </w14:solidFill>
                </w14:textFill>
              </w:rPr>
              <w:t>LD₅₀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12705mg/ kg(大鼠经口)。</w:t>
            </w:r>
          </w:p>
          <w:p w14:paraId="14232FED">
            <w:pPr>
              <w:pStyle w:val="28"/>
              <w:rPr>
                <w:color w:val="000000" w:themeColor="text1"/>
                <w14:textFill>
                  <w14:solidFill>
                    <w14:schemeClr w14:val="tx1"/>
                  </w14:solidFill>
                </w14:textFill>
              </w:rPr>
            </w:pPr>
            <w:r>
              <w:rPr>
                <w:color w:val="000000" w:themeColor="text1"/>
                <w14:textFill>
                  <w14:solidFill>
                    <w14:schemeClr w14:val="tx1"/>
                  </w14:solidFill>
                </w14:textFill>
              </w:rPr>
              <w:t>LC₅₀</w:t>
            </w:r>
            <w:r>
              <w:rPr>
                <w:rFonts w:hint="eastAsia"/>
                <w:color w:val="000000" w:themeColor="text1"/>
                <w14:textFill>
                  <w14:solidFill>
                    <w14:schemeClr w14:val="tx1"/>
                  </w14:solidFill>
                </w14:textFill>
              </w:rPr>
              <w:t>：/</w:t>
            </w:r>
          </w:p>
        </w:tc>
      </w:tr>
      <w:tr w14:paraId="0B142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0" w:hRule="atLeast"/>
          <w:jc w:val="center"/>
        </w:trPr>
        <w:tc>
          <w:tcPr>
            <w:tcW w:w="310" w:type="pct"/>
            <w:vMerge w:val="continue"/>
          </w:tcPr>
          <w:p w14:paraId="0156F638">
            <w:pPr>
              <w:pStyle w:val="28"/>
              <w:rPr>
                <w:color w:val="000000" w:themeColor="text1"/>
                <w14:textFill>
                  <w14:solidFill>
                    <w14:schemeClr w14:val="tx1"/>
                  </w14:solidFill>
                </w14:textFill>
              </w:rPr>
            </w:pPr>
          </w:p>
        </w:tc>
        <w:tc>
          <w:tcPr>
            <w:tcW w:w="666" w:type="pct"/>
            <w:vAlign w:val="center"/>
          </w:tcPr>
          <w:p w14:paraId="00308423">
            <w:pPr>
              <w:pStyle w:val="28"/>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4023" w:type="pct"/>
            <w:gridSpan w:val="6"/>
            <w:vAlign w:val="center"/>
          </w:tcPr>
          <w:p w14:paraId="6049D242">
            <w:pPr>
              <w:pStyle w:val="28"/>
              <w:rPr>
                <w:color w:val="000000" w:themeColor="text1"/>
                <w14:textFill>
                  <w14:solidFill>
                    <w14:schemeClr w14:val="tx1"/>
                  </w14:solidFill>
                </w14:textFill>
              </w:rPr>
            </w:pPr>
            <w:r>
              <w:rPr>
                <w:color w:val="000000" w:themeColor="text1"/>
                <w14:textFill>
                  <w14:solidFill>
                    <w14:schemeClr w14:val="tx1"/>
                  </w14:solidFill>
                </w14:textFill>
              </w:rPr>
              <w:t>对眼和上呼吸道有轻度刺激作用。持续吸入可引起头晕、恶心、倦睡和其它一些麻醉症状。液体污染皮肤可引起痒感。</w:t>
            </w:r>
          </w:p>
        </w:tc>
      </w:tr>
      <w:tr w14:paraId="26E2C1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00" w:hRule="atLeast"/>
          <w:jc w:val="center"/>
        </w:trPr>
        <w:tc>
          <w:tcPr>
            <w:tcW w:w="310" w:type="pct"/>
            <w:vMerge w:val="continue"/>
          </w:tcPr>
          <w:p w14:paraId="1EEA9776">
            <w:pPr>
              <w:pStyle w:val="28"/>
              <w:rPr>
                <w:color w:val="000000" w:themeColor="text1"/>
                <w14:textFill>
                  <w14:solidFill>
                    <w14:schemeClr w14:val="tx1"/>
                  </w14:solidFill>
                </w14:textFill>
              </w:rPr>
            </w:pPr>
          </w:p>
        </w:tc>
        <w:tc>
          <w:tcPr>
            <w:tcW w:w="666" w:type="pct"/>
            <w:vAlign w:val="center"/>
          </w:tcPr>
          <w:p w14:paraId="28C15D90">
            <w:pPr>
              <w:pStyle w:val="28"/>
              <w:rPr>
                <w:color w:val="000000" w:themeColor="text1"/>
                <w14:textFill>
                  <w14:solidFill>
                    <w14:schemeClr w14:val="tx1"/>
                  </w14:solidFill>
                </w14:textFill>
              </w:rPr>
            </w:pPr>
            <w:r>
              <w:rPr>
                <w:color w:val="000000" w:themeColor="text1"/>
                <w14:textFill>
                  <w14:solidFill>
                    <w14:schemeClr w14:val="tx1"/>
                  </w14:solidFill>
                </w14:textFill>
              </w:rPr>
              <w:t>急救方法</w:t>
            </w:r>
          </w:p>
        </w:tc>
        <w:tc>
          <w:tcPr>
            <w:tcW w:w="4023" w:type="pct"/>
            <w:gridSpan w:val="6"/>
          </w:tcPr>
          <w:p w14:paraId="1D2F3308">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皮肤接触：脱去被污染的衣着，用肥皂水和清水彻底冲洗皮肤。</w:t>
            </w:r>
          </w:p>
          <w:p w14:paraId="36C58BF4">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眼睛接触：提起眼睑，用流动清水或生理盐水冲洗。就医。</w:t>
            </w:r>
          </w:p>
          <w:p w14:paraId="5396E582">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吸入：迅速脱离现场至空气新鲜处。保持呼吸道通畅。如呼吸困难，给输氧。如呼吸停止，立即进行人工呼吸。就医。</w:t>
            </w:r>
          </w:p>
          <w:p w14:paraId="5EEF8C35">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食入：饮足量温水，催吐，就医。</w:t>
            </w:r>
          </w:p>
        </w:tc>
      </w:tr>
      <w:tr w14:paraId="5A7AE6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641C4841">
            <w:pPr>
              <w:pStyle w:val="28"/>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666" w:type="pct"/>
            <w:vAlign w:val="center"/>
          </w:tcPr>
          <w:p w14:paraId="2C0CD290">
            <w:pPr>
              <w:pStyle w:val="28"/>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610" w:type="pct"/>
            <w:vAlign w:val="center"/>
          </w:tcPr>
          <w:p w14:paraId="02F695D7">
            <w:pPr>
              <w:pStyle w:val="28"/>
              <w:rPr>
                <w:color w:val="000000" w:themeColor="text1"/>
                <w14:textFill>
                  <w14:solidFill>
                    <w14:schemeClr w14:val="tx1"/>
                  </w14:solidFill>
                </w14:textFill>
              </w:rPr>
            </w:pPr>
            <w:r>
              <w:rPr>
                <w:color w:val="000000" w:themeColor="text1"/>
                <w14:textFill>
                  <w14:solidFill>
                    <w14:schemeClr w14:val="tx1"/>
                  </w14:solidFill>
                </w14:textFill>
              </w:rPr>
              <w:t>易燃</w:t>
            </w:r>
          </w:p>
        </w:tc>
        <w:tc>
          <w:tcPr>
            <w:tcW w:w="1578" w:type="pct"/>
            <w:gridSpan w:val="2"/>
            <w:vAlign w:val="center"/>
          </w:tcPr>
          <w:p w14:paraId="48DEFD12">
            <w:pPr>
              <w:pStyle w:val="28"/>
              <w:rPr>
                <w:color w:val="000000" w:themeColor="text1"/>
                <w14:textFill>
                  <w14:solidFill>
                    <w14:schemeClr w14:val="tx1"/>
                  </w14:solidFill>
                </w14:textFill>
              </w:rPr>
            </w:pPr>
            <w:r>
              <w:rPr>
                <w:color w:val="000000" w:themeColor="text1"/>
                <w14:textFill>
                  <w14:solidFill>
                    <w14:schemeClr w14:val="tx1"/>
                  </w14:solidFill>
                </w14:textFill>
              </w:rPr>
              <w:t>燃烧分解物</w:t>
            </w:r>
          </w:p>
        </w:tc>
        <w:tc>
          <w:tcPr>
            <w:tcW w:w="1835" w:type="pct"/>
            <w:gridSpan w:val="3"/>
            <w:vAlign w:val="center"/>
          </w:tcPr>
          <w:p w14:paraId="2D9F7C93">
            <w:pPr>
              <w:pStyle w:val="28"/>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14:paraId="4683E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37E980D6">
            <w:pPr>
              <w:pStyle w:val="28"/>
              <w:rPr>
                <w:color w:val="000000" w:themeColor="text1"/>
                <w14:textFill>
                  <w14:solidFill>
                    <w14:schemeClr w14:val="tx1"/>
                  </w14:solidFill>
                </w14:textFill>
              </w:rPr>
            </w:pPr>
          </w:p>
        </w:tc>
        <w:tc>
          <w:tcPr>
            <w:tcW w:w="666" w:type="pct"/>
            <w:vAlign w:val="center"/>
          </w:tcPr>
          <w:p w14:paraId="14005E66">
            <w:pPr>
              <w:pStyle w:val="28"/>
              <w:rPr>
                <w:color w:val="000000" w:themeColor="text1"/>
                <w14:textFill>
                  <w14:solidFill>
                    <w14:schemeClr w14:val="tx1"/>
                  </w14:solidFill>
                </w14:textFill>
              </w:rPr>
            </w:pPr>
            <w:r>
              <w:rPr>
                <w:color w:val="000000" w:themeColor="text1"/>
                <w14:textFill>
                  <w14:solidFill>
                    <w14:schemeClr w14:val="tx1"/>
                  </w14:solidFill>
                </w14:textFill>
              </w:rPr>
              <w:t>闪点(℃)</w:t>
            </w:r>
          </w:p>
        </w:tc>
        <w:tc>
          <w:tcPr>
            <w:tcW w:w="610" w:type="pct"/>
            <w:vAlign w:val="center"/>
          </w:tcPr>
          <w:p w14:paraId="6D321B8F">
            <w:pPr>
              <w:pStyle w:val="28"/>
              <w:rPr>
                <w:color w:val="000000" w:themeColor="text1"/>
                <w14:textFill>
                  <w14:solidFill>
                    <w14:schemeClr w14:val="tx1"/>
                  </w14:solidFill>
                </w14:textFill>
              </w:rPr>
            </w:pPr>
            <w:r>
              <w:rPr>
                <w:color w:val="000000" w:themeColor="text1"/>
                <w14:textFill>
                  <w14:solidFill>
                    <w14:schemeClr w14:val="tx1"/>
                  </w14:solidFill>
                </w14:textFill>
              </w:rPr>
              <w:t>-16.5</w:t>
            </w:r>
          </w:p>
        </w:tc>
        <w:tc>
          <w:tcPr>
            <w:tcW w:w="1578" w:type="pct"/>
            <w:gridSpan w:val="2"/>
            <w:vAlign w:val="center"/>
          </w:tcPr>
          <w:p w14:paraId="3658391B">
            <w:pPr>
              <w:pStyle w:val="28"/>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1835" w:type="pct"/>
            <w:gridSpan w:val="3"/>
            <w:vAlign w:val="center"/>
          </w:tcPr>
          <w:p w14:paraId="719399E5">
            <w:pPr>
              <w:pStyle w:val="28"/>
              <w:rPr>
                <w:color w:val="000000" w:themeColor="text1"/>
                <w14:textFill>
                  <w14:solidFill>
                    <w14:schemeClr w14:val="tx1"/>
                  </w14:solidFill>
                </w14:textFill>
              </w:rPr>
            </w:pPr>
            <w:r>
              <w:rPr>
                <w:color w:val="000000" w:themeColor="text1"/>
                <w14:textFill>
                  <w14:solidFill>
                    <w14:schemeClr w14:val="tx1"/>
                  </w14:solidFill>
                </w14:textFill>
              </w:rPr>
              <w:t>8.4</w:t>
            </w:r>
          </w:p>
        </w:tc>
      </w:tr>
      <w:tr w14:paraId="206EB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4CFF644D">
            <w:pPr>
              <w:pStyle w:val="28"/>
              <w:rPr>
                <w:color w:val="000000" w:themeColor="text1"/>
                <w14:textFill>
                  <w14:solidFill>
                    <w14:schemeClr w14:val="tx1"/>
                  </w14:solidFill>
                </w14:textFill>
              </w:rPr>
            </w:pPr>
          </w:p>
        </w:tc>
        <w:tc>
          <w:tcPr>
            <w:tcW w:w="666" w:type="pct"/>
            <w:vAlign w:val="center"/>
          </w:tcPr>
          <w:p w14:paraId="7CB7CED0">
            <w:pPr>
              <w:pStyle w:val="28"/>
              <w:rPr>
                <w:color w:val="000000" w:themeColor="text1"/>
                <w14:textFill>
                  <w14:solidFill>
                    <w14:schemeClr w14:val="tx1"/>
                  </w14:solidFill>
                </w14:textFill>
              </w:rPr>
            </w:pPr>
            <w:r>
              <w:rPr>
                <w:color w:val="000000" w:themeColor="text1"/>
                <w14:textFill>
                  <w14:solidFill>
                    <w14:schemeClr w14:val="tx1"/>
                  </w14:solidFill>
                </w14:textFill>
              </w:rPr>
              <w:t>引燃温度(℃)</w:t>
            </w:r>
          </w:p>
        </w:tc>
        <w:tc>
          <w:tcPr>
            <w:tcW w:w="610" w:type="pct"/>
            <w:vAlign w:val="center"/>
          </w:tcPr>
          <w:p w14:paraId="3285F088">
            <w:pPr>
              <w:pStyle w:val="28"/>
              <w:rPr>
                <w:color w:val="000000" w:themeColor="text1"/>
                <w14:textFill>
                  <w14:solidFill>
                    <w14:schemeClr w14:val="tx1"/>
                  </w14:solidFill>
                </w14:textFill>
              </w:rPr>
            </w:pPr>
            <w:r>
              <w:rPr>
                <w:color w:val="000000" w:themeColor="text1"/>
                <w14:textFill>
                  <w14:solidFill>
                    <w14:schemeClr w14:val="tx1"/>
                  </w14:solidFill>
                </w14:textFill>
              </w:rPr>
              <w:t>245</w:t>
            </w:r>
          </w:p>
        </w:tc>
        <w:tc>
          <w:tcPr>
            <w:tcW w:w="1578" w:type="pct"/>
            <w:gridSpan w:val="2"/>
            <w:vAlign w:val="center"/>
          </w:tcPr>
          <w:p w14:paraId="57696BB2">
            <w:pPr>
              <w:pStyle w:val="28"/>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1835" w:type="pct"/>
            <w:gridSpan w:val="3"/>
            <w:vAlign w:val="center"/>
          </w:tcPr>
          <w:p w14:paraId="025560C9">
            <w:pPr>
              <w:pStyle w:val="28"/>
              <w:rPr>
                <w:color w:val="000000" w:themeColor="text1"/>
                <w14:textFill>
                  <w14:solidFill>
                    <w14:schemeClr w14:val="tx1"/>
                  </w14:solidFill>
                </w14:textFill>
              </w:rPr>
            </w:pPr>
            <w:r>
              <w:rPr>
                <w:color w:val="000000" w:themeColor="text1"/>
                <w14:textFill>
                  <w14:solidFill>
                    <w14:schemeClr w14:val="tx1"/>
                  </w14:solidFill>
                </w14:textFill>
              </w:rPr>
              <w:t>1.2</w:t>
            </w:r>
          </w:p>
        </w:tc>
      </w:tr>
      <w:tr w14:paraId="09CF5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53BC6D0C">
            <w:pPr>
              <w:pStyle w:val="28"/>
              <w:rPr>
                <w:color w:val="000000" w:themeColor="text1"/>
                <w14:textFill>
                  <w14:solidFill>
                    <w14:schemeClr w14:val="tx1"/>
                  </w14:solidFill>
                </w14:textFill>
              </w:rPr>
            </w:pPr>
          </w:p>
        </w:tc>
        <w:tc>
          <w:tcPr>
            <w:tcW w:w="666" w:type="pct"/>
            <w:vAlign w:val="center"/>
          </w:tcPr>
          <w:p w14:paraId="7EB05958">
            <w:pPr>
              <w:pStyle w:val="28"/>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610" w:type="pct"/>
            <w:vAlign w:val="center"/>
          </w:tcPr>
          <w:p w14:paraId="4E608C10">
            <w:pPr>
              <w:pStyle w:val="28"/>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1113" w:type="pct"/>
            <w:vAlign w:val="center"/>
          </w:tcPr>
          <w:p w14:paraId="68EA2ED5">
            <w:pPr>
              <w:pStyle w:val="28"/>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465" w:type="pct"/>
            <w:vAlign w:val="center"/>
          </w:tcPr>
          <w:p w14:paraId="7B13863B">
            <w:pPr>
              <w:pStyle w:val="28"/>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185" w:type="pct"/>
            <w:vAlign w:val="center"/>
          </w:tcPr>
          <w:p w14:paraId="37117201">
            <w:pPr>
              <w:pStyle w:val="28"/>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650" w:type="pct"/>
            <w:gridSpan w:val="2"/>
            <w:vAlign w:val="center"/>
          </w:tcPr>
          <w:p w14:paraId="334F71D9">
            <w:pPr>
              <w:pStyle w:val="28"/>
              <w:rPr>
                <w:color w:val="000000" w:themeColor="text1"/>
                <w14:textFill>
                  <w14:solidFill>
                    <w14:schemeClr w14:val="tx1"/>
                  </w14:solidFill>
                </w14:textFill>
              </w:rPr>
            </w:pPr>
            <w:r>
              <w:rPr>
                <w:color w:val="000000" w:themeColor="text1"/>
                <w14:textFill>
                  <w14:solidFill>
                    <w14:schemeClr w14:val="tx1"/>
                  </w14:solidFill>
                </w14:textFill>
              </w:rPr>
              <w:t>不聚合</w:t>
            </w:r>
          </w:p>
        </w:tc>
      </w:tr>
      <w:tr w14:paraId="6BFBD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7171848C">
            <w:pPr>
              <w:pStyle w:val="28"/>
              <w:rPr>
                <w:color w:val="000000" w:themeColor="text1"/>
                <w14:textFill>
                  <w14:solidFill>
                    <w14:schemeClr w14:val="tx1"/>
                  </w14:solidFill>
                </w14:textFill>
              </w:rPr>
            </w:pPr>
          </w:p>
        </w:tc>
        <w:tc>
          <w:tcPr>
            <w:tcW w:w="666" w:type="pct"/>
            <w:vAlign w:val="center"/>
          </w:tcPr>
          <w:p w14:paraId="2AF6E34D">
            <w:pPr>
              <w:pStyle w:val="28"/>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4023" w:type="pct"/>
            <w:gridSpan w:val="6"/>
            <w:vAlign w:val="center"/>
          </w:tcPr>
          <w:p w14:paraId="5C7ABEF0">
            <w:pPr>
              <w:pStyle w:val="28"/>
              <w:rPr>
                <w:color w:val="000000" w:themeColor="text1"/>
                <w14:textFill>
                  <w14:solidFill>
                    <w14:schemeClr w14:val="tx1"/>
                  </w14:solidFill>
                </w14:textFill>
              </w:rPr>
            </w:pPr>
            <w:r>
              <w:rPr>
                <w:color w:val="000000" w:themeColor="text1"/>
                <w14:textFill>
                  <w14:solidFill>
                    <w14:schemeClr w14:val="tx1"/>
                  </w14:solidFill>
                </w14:textFill>
              </w:rPr>
              <w:t>强氧化剂。</w:t>
            </w:r>
          </w:p>
        </w:tc>
      </w:tr>
      <w:tr w14:paraId="76D678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310" w:type="pct"/>
            <w:vMerge w:val="continue"/>
          </w:tcPr>
          <w:p w14:paraId="38B40ADC">
            <w:pPr>
              <w:pStyle w:val="28"/>
              <w:rPr>
                <w:color w:val="000000" w:themeColor="text1"/>
                <w14:textFill>
                  <w14:solidFill>
                    <w14:schemeClr w14:val="tx1"/>
                  </w14:solidFill>
                </w14:textFill>
              </w:rPr>
            </w:pPr>
          </w:p>
        </w:tc>
        <w:tc>
          <w:tcPr>
            <w:tcW w:w="666" w:type="pct"/>
            <w:vAlign w:val="center"/>
          </w:tcPr>
          <w:p w14:paraId="6E11764E">
            <w:pPr>
              <w:pStyle w:val="28"/>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4023" w:type="pct"/>
            <w:gridSpan w:val="6"/>
            <w:vAlign w:val="center"/>
          </w:tcPr>
          <w:p w14:paraId="2EF48D1E">
            <w:pPr>
              <w:pStyle w:val="28"/>
              <w:rPr>
                <w:color w:val="000000" w:themeColor="text1"/>
                <w14:textFill>
                  <w14:solidFill>
                    <w14:schemeClr w14:val="tx1"/>
                  </w14:solidFill>
                </w14:textFill>
              </w:rPr>
            </w:pPr>
            <w:r>
              <w:rPr>
                <w:color w:val="000000" w:themeColor="text1"/>
                <w14:textFill>
                  <w14:solidFill>
                    <w14:schemeClr w14:val="tx1"/>
                  </w14:solidFill>
                </w14:textFill>
              </w:rPr>
              <w:t>极易燃，其蒸气与空气可形成爆炸性混合物。遇明火、高热极易燃烧爆炸。与氧化剂接触发生强烈反应，甚至引起燃烧。在火场中，受热的容器有爆炸危险。其蒸气比空气重，能在较低处扩散到相当远的地方，遇明火会引着回燃。</w:t>
            </w:r>
          </w:p>
        </w:tc>
      </w:tr>
      <w:tr w14:paraId="57331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3" w:hRule="atLeast"/>
          <w:jc w:val="center"/>
        </w:trPr>
        <w:tc>
          <w:tcPr>
            <w:tcW w:w="310" w:type="pct"/>
            <w:vMerge w:val="continue"/>
          </w:tcPr>
          <w:p w14:paraId="1CD07D4E">
            <w:pPr>
              <w:pStyle w:val="28"/>
              <w:rPr>
                <w:color w:val="000000" w:themeColor="text1"/>
                <w14:textFill>
                  <w14:solidFill>
                    <w14:schemeClr w14:val="tx1"/>
                  </w14:solidFill>
                </w14:textFill>
              </w:rPr>
            </w:pPr>
          </w:p>
        </w:tc>
        <w:tc>
          <w:tcPr>
            <w:tcW w:w="666" w:type="pct"/>
            <w:vAlign w:val="center"/>
          </w:tcPr>
          <w:p w14:paraId="0563E099">
            <w:pPr>
              <w:pStyle w:val="28"/>
              <w:rPr>
                <w:color w:val="000000" w:themeColor="text1"/>
                <w14:textFill>
                  <w14:solidFill>
                    <w14:schemeClr w14:val="tx1"/>
                  </w14:solidFill>
                </w14:textFill>
              </w:rPr>
            </w:pPr>
            <w:r>
              <w:rPr>
                <w:color w:val="000000" w:themeColor="text1"/>
                <w14:textFill>
                  <w14:solidFill>
                    <w14:schemeClr w14:val="tx1"/>
                  </w14:solidFill>
                </w14:textFill>
              </w:rPr>
              <w:t>储运条件与泄漏处理</w:t>
            </w:r>
          </w:p>
        </w:tc>
        <w:tc>
          <w:tcPr>
            <w:tcW w:w="4023" w:type="pct"/>
            <w:gridSpan w:val="6"/>
            <w:vAlign w:val="center"/>
          </w:tcPr>
          <w:p w14:paraId="63ABF717">
            <w:pPr>
              <w:pStyle w:val="28"/>
              <w:rPr>
                <w:color w:val="000000" w:themeColor="text1"/>
                <w14:textFill>
                  <w14:solidFill>
                    <w14:schemeClr w14:val="tx1"/>
                  </w14:solidFill>
                </w14:textFill>
              </w:rPr>
            </w:pPr>
            <w:r>
              <w:rPr>
                <w:color w:val="000000" w:themeColor="text1"/>
                <w14:textFill>
                  <w14:solidFill>
                    <w14:schemeClr w14:val="tx1"/>
                  </w14:solidFill>
                </w14:textFill>
              </w:rPr>
              <w:t>储运条件：储存于阴凉、通风的仓间内，远离火种、热源。防止阳光直射；保持容器密封。与氧化剂分开存放。运输时所用的槽(罐)车应有接地链，槽内可设孔隔板以减少震荡产生静电。严禁与氧化剂等混装混运。装运该物品的车辆排气管必须配备阻火装置，禁止使用易产生火花的机械设备和工具装卸。公路运输时要按规定路线行驶，勿在居民区和人口稠密区停留。泄漏处理：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w:t>
            </w:r>
          </w:p>
        </w:tc>
      </w:tr>
      <w:tr w14:paraId="5E7131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1" w:hRule="atLeast"/>
          <w:jc w:val="center"/>
        </w:trPr>
        <w:tc>
          <w:tcPr>
            <w:tcW w:w="310" w:type="pct"/>
            <w:vMerge w:val="continue"/>
          </w:tcPr>
          <w:p w14:paraId="5F457131">
            <w:pPr>
              <w:pStyle w:val="28"/>
              <w:rPr>
                <w:color w:val="000000" w:themeColor="text1"/>
                <w14:textFill>
                  <w14:solidFill>
                    <w14:schemeClr w14:val="tx1"/>
                  </w14:solidFill>
                </w14:textFill>
              </w:rPr>
            </w:pPr>
          </w:p>
        </w:tc>
        <w:tc>
          <w:tcPr>
            <w:tcW w:w="666" w:type="pct"/>
            <w:vAlign w:val="center"/>
          </w:tcPr>
          <w:p w14:paraId="06144DEE">
            <w:pPr>
              <w:pStyle w:val="28"/>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4023" w:type="pct"/>
            <w:gridSpan w:val="6"/>
            <w:vAlign w:val="center"/>
          </w:tcPr>
          <w:p w14:paraId="53FE50DE">
            <w:pPr>
              <w:pStyle w:val="28"/>
              <w:rPr>
                <w:color w:val="000000" w:themeColor="text1"/>
                <w14:textFill>
                  <w14:solidFill>
                    <w14:schemeClr w14:val="tx1"/>
                  </w14:solidFill>
                </w14:textFill>
              </w:rPr>
            </w:pPr>
            <w:r>
              <w:rPr>
                <w:color w:val="000000" w:themeColor="text1"/>
                <w14:textFill>
                  <w14:solidFill>
                    <w14:schemeClr w14:val="tx1"/>
                  </w14:solidFill>
                </w14:textFill>
              </w:rPr>
              <w:t>喷水冷却容器，可能的话将容器从火场移至空旷处。处在火场中的容器若已变色或从安全泄压装置中产生声音，必须马上撤离。灭火剂：泡沫、干粉、二氧化碳、砂土。用水灭火无效。</w:t>
            </w:r>
          </w:p>
        </w:tc>
      </w:tr>
    </w:tbl>
    <w:p w14:paraId="377E7E2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表5.2-29 正庚烷理化性质及危险特性一览表</w:t>
      </w:r>
    </w:p>
    <w:tbl>
      <w:tblPr>
        <w:tblStyle w:val="2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28"/>
        <w:gridCol w:w="1135"/>
        <w:gridCol w:w="1040"/>
        <w:gridCol w:w="1897"/>
        <w:gridCol w:w="792"/>
        <w:gridCol w:w="2019"/>
        <w:gridCol w:w="164"/>
        <w:gridCol w:w="944"/>
      </w:tblGrid>
      <w:tr w14:paraId="7F6BB9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vAlign w:val="center"/>
          </w:tcPr>
          <w:p w14:paraId="0ABB0DDE">
            <w:pPr>
              <w:pStyle w:val="28"/>
              <w:rPr>
                <w:color w:val="000000" w:themeColor="text1"/>
                <w14:textFill>
                  <w14:solidFill>
                    <w14:schemeClr w14:val="tx1"/>
                  </w14:solidFill>
                </w14:textFill>
              </w:rPr>
            </w:pPr>
            <w:r>
              <w:rPr>
                <w:color w:val="000000" w:themeColor="text1"/>
                <w14:textFill>
                  <w14:solidFill>
                    <w14:schemeClr w14:val="tx1"/>
                  </w14:solidFill>
                </w14:textFill>
              </w:rPr>
              <w:t>标识</w:t>
            </w:r>
          </w:p>
        </w:tc>
        <w:tc>
          <w:tcPr>
            <w:tcW w:w="2854" w:type="pct"/>
            <w:gridSpan w:val="4"/>
            <w:vAlign w:val="center"/>
          </w:tcPr>
          <w:p w14:paraId="450FB3BF">
            <w:pPr>
              <w:pStyle w:val="28"/>
              <w:rPr>
                <w:color w:val="000000" w:themeColor="text1"/>
                <w14:textFill>
                  <w14:solidFill>
                    <w14:schemeClr w14:val="tx1"/>
                  </w14:solidFill>
                </w14:textFill>
              </w:rPr>
            </w:pPr>
            <w:r>
              <w:rPr>
                <w:color w:val="000000" w:themeColor="text1"/>
                <w14:textFill>
                  <w14:solidFill>
                    <w14:schemeClr w14:val="tx1"/>
                  </w14:solidFill>
                </w14:textFill>
              </w:rPr>
              <w:t>中文名：</w:t>
            </w:r>
            <w:r>
              <w:rPr>
                <w:rFonts w:hint="eastAsia"/>
                <w:color w:val="000000" w:themeColor="text1"/>
                <w14:textFill>
                  <w14:solidFill>
                    <w14:schemeClr w14:val="tx1"/>
                  </w14:solidFill>
                </w14:textFill>
              </w:rPr>
              <w:t>正庚烷</w:t>
            </w:r>
          </w:p>
        </w:tc>
        <w:tc>
          <w:tcPr>
            <w:tcW w:w="1835" w:type="pct"/>
            <w:gridSpan w:val="3"/>
            <w:vAlign w:val="center"/>
          </w:tcPr>
          <w:p w14:paraId="066F85C6">
            <w:pPr>
              <w:pStyle w:val="28"/>
              <w:rPr>
                <w:color w:val="000000" w:themeColor="text1"/>
                <w14:textFill>
                  <w14:solidFill>
                    <w14:schemeClr w14:val="tx1"/>
                  </w14:solidFill>
                </w14:textFill>
              </w:rPr>
            </w:pPr>
            <w:r>
              <w:rPr>
                <w:color w:val="000000" w:themeColor="text1"/>
                <w14:textFill>
                  <w14:solidFill>
                    <w14:schemeClr w14:val="tx1"/>
                  </w14:solidFill>
                </w14:textFill>
              </w:rPr>
              <w:t>危险货物编号：3100</w:t>
            </w:r>
            <w:r>
              <w:rPr>
                <w:rFonts w:hint="eastAsia"/>
                <w:color w:val="000000" w:themeColor="text1"/>
                <w14:textFill>
                  <w14:solidFill>
                    <w14:schemeClr w14:val="tx1"/>
                  </w14:solidFill>
                </w14:textFill>
              </w:rPr>
              <w:t>6</w:t>
            </w:r>
          </w:p>
        </w:tc>
      </w:tr>
      <w:tr w14:paraId="72020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62ABA852">
            <w:pPr>
              <w:pStyle w:val="28"/>
              <w:rPr>
                <w:color w:val="000000" w:themeColor="text1"/>
                <w14:textFill>
                  <w14:solidFill>
                    <w14:schemeClr w14:val="tx1"/>
                  </w14:solidFill>
                </w14:textFill>
              </w:rPr>
            </w:pPr>
          </w:p>
        </w:tc>
        <w:tc>
          <w:tcPr>
            <w:tcW w:w="2854" w:type="pct"/>
            <w:gridSpan w:val="4"/>
            <w:vAlign w:val="center"/>
          </w:tcPr>
          <w:p w14:paraId="6E653BCF">
            <w:pPr>
              <w:pStyle w:val="28"/>
              <w:rPr>
                <w:color w:val="000000" w:themeColor="text1"/>
                <w14:textFill>
                  <w14:solidFill>
                    <w14:schemeClr w14:val="tx1"/>
                  </w14:solidFill>
                </w14:textFill>
              </w:rPr>
            </w:pPr>
            <w:r>
              <w:rPr>
                <w:color w:val="000000" w:themeColor="text1"/>
                <w14:textFill>
                  <w14:solidFill>
                    <w14:schemeClr w14:val="tx1"/>
                  </w14:solidFill>
                </w14:textFill>
              </w:rPr>
              <w:t>英文名: n-heptane</w:t>
            </w:r>
          </w:p>
        </w:tc>
        <w:tc>
          <w:tcPr>
            <w:tcW w:w="1835" w:type="pct"/>
            <w:gridSpan w:val="3"/>
            <w:vAlign w:val="center"/>
          </w:tcPr>
          <w:p w14:paraId="3CB4753A">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UN编号: </w:t>
            </w:r>
            <w:r>
              <w:rPr>
                <w:rFonts w:hint="eastAsia"/>
                <w:color w:val="000000" w:themeColor="text1"/>
                <w14:textFill>
                  <w14:solidFill>
                    <w14:schemeClr w14:val="tx1"/>
                  </w14:solidFill>
                </w14:textFill>
              </w:rPr>
              <w:t>1206</w:t>
            </w:r>
          </w:p>
        </w:tc>
      </w:tr>
      <w:tr w14:paraId="26D27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310" w:type="pct"/>
            <w:vMerge w:val="continue"/>
          </w:tcPr>
          <w:p w14:paraId="52594948">
            <w:pPr>
              <w:pStyle w:val="28"/>
              <w:rPr>
                <w:color w:val="000000" w:themeColor="text1"/>
                <w14:textFill>
                  <w14:solidFill>
                    <w14:schemeClr w14:val="tx1"/>
                  </w14:solidFill>
                </w14:textFill>
              </w:rPr>
            </w:pPr>
          </w:p>
        </w:tc>
        <w:tc>
          <w:tcPr>
            <w:tcW w:w="1276" w:type="pct"/>
            <w:gridSpan w:val="2"/>
            <w:vAlign w:val="center"/>
          </w:tcPr>
          <w:p w14:paraId="465D3FC6">
            <w:pPr>
              <w:pStyle w:val="28"/>
              <w:rPr>
                <w:color w:val="000000" w:themeColor="text1"/>
                <w14:textFill>
                  <w14:solidFill>
                    <w14:schemeClr w14:val="tx1"/>
                  </w14:solidFill>
                </w14:textFill>
              </w:rPr>
            </w:pPr>
            <w:r>
              <w:rPr>
                <w:color w:val="000000" w:themeColor="text1"/>
                <w14:textFill>
                  <w14:solidFill>
                    <w14:schemeClr w14:val="tx1"/>
                  </w14:solidFill>
                </w14:textFill>
              </w:rPr>
              <w:t>分子式:C</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16</w:t>
            </w:r>
          </w:p>
        </w:tc>
        <w:tc>
          <w:tcPr>
            <w:tcW w:w="1578" w:type="pct"/>
            <w:gridSpan w:val="2"/>
            <w:vAlign w:val="center"/>
          </w:tcPr>
          <w:p w14:paraId="026468FF">
            <w:pPr>
              <w:pStyle w:val="28"/>
              <w:rPr>
                <w:color w:val="000000" w:themeColor="text1"/>
                <w14:textFill>
                  <w14:solidFill>
                    <w14:schemeClr w14:val="tx1"/>
                  </w14:solidFill>
                </w14:textFill>
              </w:rPr>
            </w:pPr>
            <w:r>
              <w:rPr>
                <w:color w:val="000000" w:themeColor="text1"/>
                <w14:textFill>
                  <w14:solidFill>
                    <w14:schemeClr w14:val="tx1"/>
                  </w14:solidFill>
                </w14:textFill>
              </w:rPr>
              <w:t>分子量:</w:t>
            </w:r>
            <w:r>
              <w:rPr>
                <w:rFonts w:hint="eastAsia"/>
                <w:color w:val="000000" w:themeColor="text1"/>
                <w14:textFill>
                  <w14:solidFill>
                    <w14:schemeClr w14:val="tx1"/>
                  </w14:solidFill>
                </w14:textFill>
              </w:rPr>
              <w:t>100.21</w:t>
            </w:r>
          </w:p>
        </w:tc>
        <w:tc>
          <w:tcPr>
            <w:tcW w:w="1835" w:type="pct"/>
            <w:gridSpan w:val="3"/>
            <w:vAlign w:val="center"/>
          </w:tcPr>
          <w:p w14:paraId="611CBED9">
            <w:pPr>
              <w:pStyle w:val="28"/>
              <w:rPr>
                <w:color w:val="000000" w:themeColor="text1"/>
                <w14:textFill>
                  <w14:solidFill>
                    <w14:schemeClr w14:val="tx1"/>
                  </w14:solidFill>
                </w14:textFill>
              </w:rPr>
            </w:pPr>
            <w:r>
              <w:rPr>
                <w:color w:val="000000" w:themeColor="text1"/>
                <w14:textFill>
                  <w14:solidFill>
                    <w14:schemeClr w14:val="tx1"/>
                  </w14:solidFill>
                </w14:textFill>
              </w:rPr>
              <w:t>CAS 号: 142-82-5</w:t>
            </w:r>
          </w:p>
        </w:tc>
      </w:tr>
      <w:tr w14:paraId="4CDFA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7441370E">
            <w:pPr>
              <w:pStyle w:val="28"/>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666" w:type="pct"/>
            <w:vAlign w:val="center"/>
          </w:tcPr>
          <w:p w14:paraId="04EA18F0">
            <w:pPr>
              <w:pStyle w:val="28"/>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4023" w:type="pct"/>
            <w:gridSpan w:val="6"/>
            <w:vAlign w:val="center"/>
          </w:tcPr>
          <w:p w14:paraId="23CB649D">
            <w:pPr>
              <w:pStyle w:val="28"/>
              <w:rPr>
                <w:color w:val="000000" w:themeColor="text1"/>
                <w14:textFill>
                  <w14:solidFill>
                    <w14:schemeClr w14:val="tx1"/>
                  </w14:solidFill>
                </w14:textFill>
              </w:rPr>
            </w:pPr>
            <w:r>
              <w:rPr>
                <w:color w:val="000000" w:themeColor="text1"/>
                <w14:textFill>
                  <w14:solidFill>
                    <w14:schemeClr w14:val="tx1"/>
                  </w14:solidFill>
                </w14:textFill>
              </w:rPr>
              <w:t>无色透明易挥发液体。</w:t>
            </w:r>
          </w:p>
        </w:tc>
      </w:tr>
      <w:tr w14:paraId="14699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3A594782">
            <w:pPr>
              <w:pStyle w:val="28"/>
              <w:rPr>
                <w:color w:val="000000" w:themeColor="text1"/>
                <w14:textFill>
                  <w14:solidFill>
                    <w14:schemeClr w14:val="tx1"/>
                  </w14:solidFill>
                </w14:textFill>
              </w:rPr>
            </w:pPr>
          </w:p>
        </w:tc>
        <w:tc>
          <w:tcPr>
            <w:tcW w:w="666" w:type="pct"/>
            <w:vAlign w:val="center"/>
          </w:tcPr>
          <w:p w14:paraId="0E191E32">
            <w:pPr>
              <w:pStyle w:val="28"/>
              <w:rPr>
                <w:color w:val="000000" w:themeColor="text1"/>
                <w14:textFill>
                  <w14:solidFill>
                    <w14:schemeClr w14:val="tx1"/>
                  </w14:solidFill>
                </w14:textFill>
              </w:rPr>
            </w:pPr>
            <w:r>
              <w:rPr>
                <w:color w:val="000000" w:themeColor="text1"/>
                <w14:textFill>
                  <w14:solidFill>
                    <w14:schemeClr w14:val="tx1"/>
                  </w14:solidFill>
                </w14:textFill>
              </w:rPr>
              <w:t>熔点(℃)</w:t>
            </w:r>
          </w:p>
        </w:tc>
        <w:tc>
          <w:tcPr>
            <w:tcW w:w="610" w:type="pct"/>
            <w:vAlign w:val="center"/>
          </w:tcPr>
          <w:p w14:paraId="74A821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-91</w:t>
            </w:r>
          </w:p>
        </w:tc>
        <w:tc>
          <w:tcPr>
            <w:tcW w:w="1113" w:type="pct"/>
            <w:vAlign w:val="center"/>
          </w:tcPr>
          <w:p w14:paraId="7109EFF4">
            <w:pPr>
              <w:pStyle w:val="28"/>
              <w:rPr>
                <w:color w:val="000000" w:themeColor="text1"/>
                <w14:textFill>
                  <w14:solidFill>
                    <w14:schemeClr w14:val="tx1"/>
                  </w14:solidFill>
                </w14:textFill>
              </w:rPr>
            </w:pPr>
            <w:r>
              <w:rPr>
                <w:color w:val="000000" w:themeColor="text1"/>
                <w14:textFill>
                  <w14:solidFill>
                    <w14:schemeClr w14:val="tx1"/>
                  </w14:solidFill>
                </w14:textFill>
              </w:rPr>
              <w:t>相对密度(水=1)</w:t>
            </w:r>
          </w:p>
        </w:tc>
        <w:tc>
          <w:tcPr>
            <w:tcW w:w="465" w:type="pct"/>
            <w:vAlign w:val="center"/>
          </w:tcPr>
          <w:p w14:paraId="25474E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0.68</w:t>
            </w:r>
          </w:p>
        </w:tc>
        <w:tc>
          <w:tcPr>
            <w:tcW w:w="1281" w:type="pct"/>
            <w:gridSpan w:val="2"/>
            <w:vAlign w:val="center"/>
          </w:tcPr>
          <w:p w14:paraId="3BA94B6D">
            <w:pPr>
              <w:pStyle w:val="28"/>
              <w:rPr>
                <w:color w:val="000000" w:themeColor="text1"/>
                <w14:textFill>
                  <w14:solidFill>
                    <w14:schemeClr w14:val="tx1"/>
                  </w14:solidFill>
                </w14:textFill>
              </w:rPr>
            </w:pPr>
            <w:r>
              <w:rPr>
                <w:color w:val="000000" w:themeColor="text1"/>
                <w14:textFill>
                  <w14:solidFill>
                    <w14:schemeClr w14:val="tx1"/>
                  </w14:solidFill>
                </w14:textFill>
              </w:rPr>
              <w:t>相对密度(空气=1)</w:t>
            </w:r>
          </w:p>
        </w:tc>
        <w:tc>
          <w:tcPr>
            <w:tcW w:w="553" w:type="pct"/>
            <w:vAlign w:val="center"/>
          </w:tcPr>
          <w:p w14:paraId="68BF77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3.45</w:t>
            </w:r>
          </w:p>
        </w:tc>
      </w:tr>
      <w:tr w14:paraId="698275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310" w:type="pct"/>
            <w:vMerge w:val="continue"/>
          </w:tcPr>
          <w:p w14:paraId="33297AED">
            <w:pPr>
              <w:pStyle w:val="28"/>
              <w:rPr>
                <w:color w:val="000000" w:themeColor="text1"/>
                <w14:textFill>
                  <w14:solidFill>
                    <w14:schemeClr w14:val="tx1"/>
                  </w14:solidFill>
                </w14:textFill>
              </w:rPr>
            </w:pPr>
          </w:p>
        </w:tc>
        <w:tc>
          <w:tcPr>
            <w:tcW w:w="666" w:type="pct"/>
            <w:vAlign w:val="center"/>
          </w:tcPr>
          <w:p w14:paraId="595DAD8A">
            <w:pPr>
              <w:pStyle w:val="28"/>
              <w:rPr>
                <w:color w:val="000000" w:themeColor="text1"/>
                <w14:textFill>
                  <w14:solidFill>
                    <w14:schemeClr w14:val="tx1"/>
                  </w14:solidFill>
                </w14:textFill>
              </w:rPr>
            </w:pPr>
            <w:r>
              <w:rPr>
                <w:color w:val="000000" w:themeColor="text1"/>
                <w14:textFill>
                  <w14:solidFill>
                    <w14:schemeClr w14:val="tx1"/>
                  </w14:solidFill>
                </w14:textFill>
              </w:rPr>
              <w:t>沸点(℃)</w:t>
            </w:r>
          </w:p>
        </w:tc>
        <w:tc>
          <w:tcPr>
            <w:tcW w:w="610" w:type="pct"/>
            <w:vAlign w:val="center"/>
          </w:tcPr>
          <w:p w14:paraId="79D75F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98</w:t>
            </w:r>
          </w:p>
        </w:tc>
        <w:tc>
          <w:tcPr>
            <w:tcW w:w="1578" w:type="pct"/>
            <w:gridSpan w:val="2"/>
            <w:vAlign w:val="center"/>
          </w:tcPr>
          <w:p w14:paraId="568AA3CF">
            <w:pPr>
              <w:pStyle w:val="28"/>
              <w:rPr>
                <w:color w:val="000000" w:themeColor="text1"/>
                <w14:textFill>
                  <w14:solidFill>
                    <w14:schemeClr w14:val="tx1"/>
                  </w14:solidFill>
                </w14:textFill>
              </w:rPr>
            </w:pPr>
            <w:r>
              <w:rPr>
                <w:color w:val="000000" w:themeColor="text1"/>
                <w14:textFill>
                  <w14:solidFill>
                    <w14:schemeClr w14:val="tx1"/>
                  </w14:solidFill>
                </w14:textFill>
              </w:rPr>
              <w:t>饱和蒸气压 (kPa)</w:t>
            </w:r>
          </w:p>
        </w:tc>
        <w:tc>
          <w:tcPr>
            <w:tcW w:w="1835" w:type="pct"/>
            <w:gridSpan w:val="3"/>
            <w:vAlign w:val="center"/>
          </w:tcPr>
          <w:p w14:paraId="1FBB24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4.6</w:t>
            </w:r>
            <w:r>
              <w:rPr>
                <w:color w:val="000000" w:themeColor="text1"/>
                <w14:textFill>
                  <w14:solidFill>
                    <w14:schemeClr w14:val="tx1"/>
                  </w14:solidFill>
                </w14:textFill>
              </w:rPr>
              <w:t>(25℃)</w:t>
            </w:r>
          </w:p>
        </w:tc>
      </w:tr>
      <w:tr w14:paraId="25A273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310" w:type="pct"/>
            <w:vMerge w:val="continue"/>
          </w:tcPr>
          <w:p w14:paraId="4CEA2314">
            <w:pPr>
              <w:pStyle w:val="28"/>
              <w:rPr>
                <w:color w:val="000000" w:themeColor="text1"/>
                <w14:textFill>
                  <w14:solidFill>
                    <w14:schemeClr w14:val="tx1"/>
                  </w14:solidFill>
                </w14:textFill>
              </w:rPr>
            </w:pPr>
          </w:p>
        </w:tc>
        <w:tc>
          <w:tcPr>
            <w:tcW w:w="666" w:type="pct"/>
            <w:vAlign w:val="center"/>
          </w:tcPr>
          <w:p w14:paraId="4D5081F1">
            <w:pPr>
              <w:pStyle w:val="28"/>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4023" w:type="pct"/>
            <w:gridSpan w:val="6"/>
            <w:vAlign w:val="center"/>
          </w:tcPr>
          <w:p w14:paraId="2495E5ED">
            <w:pPr>
              <w:pStyle w:val="28"/>
              <w:rPr>
                <w:color w:val="000000" w:themeColor="text1"/>
                <w14:textFill>
                  <w14:solidFill>
                    <w14:schemeClr w14:val="tx1"/>
                  </w14:solidFill>
                </w14:textFill>
              </w:rPr>
            </w:pPr>
            <w:r>
              <w:rPr>
                <w:color w:val="000000" w:themeColor="text1"/>
                <w14:textFill>
                  <w14:solidFill>
                    <w14:schemeClr w14:val="tx1"/>
                  </w14:solidFill>
                </w14:textFill>
              </w:rPr>
              <w:t>不溶于水，溶于醇，可混溶于乙醚、氯仿。</w:t>
            </w:r>
          </w:p>
        </w:tc>
      </w:tr>
      <w:tr w14:paraId="317C2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643EEDCE">
            <w:pPr>
              <w:pStyle w:val="28"/>
              <w:rPr>
                <w:color w:val="000000" w:themeColor="text1"/>
                <w14:textFill>
                  <w14:solidFill>
                    <w14:schemeClr w14:val="tx1"/>
                  </w14:solidFill>
                </w14:textFill>
              </w:rPr>
            </w:pPr>
            <w:r>
              <w:rPr>
                <w:color w:val="000000" w:themeColor="text1"/>
                <w14:textFill>
                  <w14:solidFill>
                    <w14:schemeClr w14:val="tx1"/>
                  </w14:solidFill>
                </w14:textFill>
              </w:rPr>
              <w:t>毒性及健康危害</w:t>
            </w:r>
          </w:p>
        </w:tc>
        <w:tc>
          <w:tcPr>
            <w:tcW w:w="666" w:type="pct"/>
            <w:vAlign w:val="center"/>
          </w:tcPr>
          <w:p w14:paraId="5D35D100">
            <w:pPr>
              <w:pStyle w:val="28"/>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4023" w:type="pct"/>
            <w:gridSpan w:val="6"/>
            <w:vAlign w:val="center"/>
          </w:tcPr>
          <w:p w14:paraId="749FCC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吸入、食入</w:t>
            </w:r>
          </w:p>
        </w:tc>
      </w:tr>
      <w:tr w14:paraId="0301AF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jc w:val="center"/>
        </w:trPr>
        <w:tc>
          <w:tcPr>
            <w:tcW w:w="310" w:type="pct"/>
            <w:vMerge w:val="continue"/>
          </w:tcPr>
          <w:p w14:paraId="03F1AA28">
            <w:pPr>
              <w:pStyle w:val="28"/>
              <w:rPr>
                <w:color w:val="000000" w:themeColor="text1"/>
                <w14:textFill>
                  <w14:solidFill>
                    <w14:schemeClr w14:val="tx1"/>
                  </w14:solidFill>
                </w14:textFill>
              </w:rPr>
            </w:pPr>
          </w:p>
        </w:tc>
        <w:tc>
          <w:tcPr>
            <w:tcW w:w="666" w:type="pct"/>
            <w:vAlign w:val="center"/>
          </w:tcPr>
          <w:p w14:paraId="6919859D">
            <w:pPr>
              <w:pStyle w:val="28"/>
              <w:rPr>
                <w:color w:val="000000" w:themeColor="text1"/>
                <w14:textFill>
                  <w14:solidFill>
                    <w14:schemeClr w14:val="tx1"/>
                  </w14:solidFill>
                </w14:textFill>
              </w:rPr>
            </w:pPr>
            <w:r>
              <w:rPr>
                <w:color w:val="000000" w:themeColor="text1"/>
                <w14:textFill>
                  <w14:solidFill>
                    <w14:schemeClr w14:val="tx1"/>
                  </w14:solidFill>
                </w14:textFill>
              </w:rPr>
              <w:t>毒性</w:t>
            </w:r>
          </w:p>
        </w:tc>
        <w:tc>
          <w:tcPr>
            <w:tcW w:w="4023" w:type="pct"/>
            <w:gridSpan w:val="6"/>
            <w:vAlign w:val="center"/>
          </w:tcPr>
          <w:p w14:paraId="1327C403">
            <w:pPr>
              <w:pStyle w:val="28"/>
              <w:rPr>
                <w:color w:val="000000" w:themeColor="text1"/>
                <w14:textFill>
                  <w14:solidFill>
                    <w14:schemeClr w14:val="tx1"/>
                  </w14:solidFill>
                </w14:textFill>
              </w:rPr>
            </w:pPr>
            <w:r>
              <w:rPr>
                <w:color w:val="000000" w:themeColor="text1"/>
                <w14:textFill>
                  <w14:solidFill>
                    <w14:schemeClr w14:val="tx1"/>
                  </w14:solidFill>
                </w14:textFill>
              </w:rPr>
              <w:t>大鼠吸入LC</w:t>
            </w:r>
            <w:r>
              <w:rPr>
                <w:color w:val="000000" w:themeColor="text1"/>
                <w:vertAlign w:val="subscript"/>
                <w14:textFill>
                  <w14:solidFill>
                    <w14:schemeClr w14:val="tx1"/>
                  </w14:solidFill>
                </w14:textFill>
              </w:rPr>
              <w:t>50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03 gm/m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 xml:space="preserve"> </w:t>
            </w:r>
          </w:p>
          <w:p w14:paraId="779750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小鼠静脉LD</w:t>
            </w:r>
            <w:r>
              <w:rPr>
                <w:rFonts w:hint="eastAsia"/>
                <w:color w:val="000000" w:themeColor="text1"/>
                <w:vertAlign w:val="subscript"/>
                <w14:textFill>
                  <w14:solidFill>
                    <w14:schemeClr w14:val="tx1"/>
                  </w14:solidFill>
                </w14:textFill>
              </w:rPr>
              <w:t>50</w:t>
            </w:r>
            <w:r>
              <w:rPr>
                <w:rFonts w:hint="eastAsia"/>
                <w:color w:val="000000" w:themeColor="text1"/>
                <w14:textFill>
                  <w14:solidFill>
                    <w14:schemeClr w14:val="tx1"/>
                  </w14:solidFill>
                </w14:textFill>
              </w:rPr>
              <w:t>：222 mg/kg</w:t>
            </w:r>
          </w:p>
        </w:tc>
      </w:tr>
      <w:tr w14:paraId="14F8B4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0" w:hRule="atLeast"/>
          <w:jc w:val="center"/>
        </w:trPr>
        <w:tc>
          <w:tcPr>
            <w:tcW w:w="310" w:type="pct"/>
            <w:vMerge w:val="continue"/>
          </w:tcPr>
          <w:p w14:paraId="72AE861E">
            <w:pPr>
              <w:pStyle w:val="28"/>
              <w:rPr>
                <w:color w:val="000000" w:themeColor="text1"/>
                <w14:textFill>
                  <w14:solidFill>
                    <w14:schemeClr w14:val="tx1"/>
                  </w14:solidFill>
                </w14:textFill>
              </w:rPr>
            </w:pPr>
          </w:p>
        </w:tc>
        <w:tc>
          <w:tcPr>
            <w:tcW w:w="666" w:type="pct"/>
            <w:vAlign w:val="center"/>
          </w:tcPr>
          <w:p w14:paraId="2C5C1DBF">
            <w:pPr>
              <w:pStyle w:val="28"/>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4023" w:type="pct"/>
            <w:gridSpan w:val="6"/>
            <w:vAlign w:val="center"/>
          </w:tcPr>
          <w:p w14:paraId="64EDE1B4">
            <w:pPr>
              <w:pStyle w:val="28"/>
              <w:rPr>
                <w:color w:val="000000" w:themeColor="text1"/>
                <w14:textFill>
                  <w14:solidFill>
                    <w14:schemeClr w14:val="tx1"/>
                  </w14:solidFill>
                </w14:textFill>
              </w:rPr>
            </w:pPr>
            <w:r>
              <w:rPr>
                <w:color w:val="000000" w:themeColor="text1"/>
                <w14:textFill>
                  <w14:solidFill>
                    <w14:schemeClr w14:val="tx1"/>
                  </w14:solidFill>
                </w14:textFill>
              </w:rPr>
              <w:t>本品有麻醉作用和刺激性。急性中毒 吸入本品蒸气可引起眩晕、恶心、厌食、欣快感和步态蹒跚，甚至出现意识丧失和木僵状态。对皮肤有轻度刺激性。慢性影响 长期接触可引起神经衰弱综合征。少数人有轻度中性白细胞减少，消化不良。</w:t>
            </w:r>
          </w:p>
        </w:tc>
      </w:tr>
      <w:tr w14:paraId="38478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00" w:hRule="atLeast"/>
          <w:jc w:val="center"/>
        </w:trPr>
        <w:tc>
          <w:tcPr>
            <w:tcW w:w="310" w:type="pct"/>
            <w:vMerge w:val="continue"/>
          </w:tcPr>
          <w:p w14:paraId="243F99DE">
            <w:pPr>
              <w:pStyle w:val="28"/>
              <w:rPr>
                <w:color w:val="000000" w:themeColor="text1"/>
                <w14:textFill>
                  <w14:solidFill>
                    <w14:schemeClr w14:val="tx1"/>
                  </w14:solidFill>
                </w14:textFill>
              </w:rPr>
            </w:pPr>
          </w:p>
        </w:tc>
        <w:tc>
          <w:tcPr>
            <w:tcW w:w="666" w:type="pct"/>
            <w:vAlign w:val="center"/>
          </w:tcPr>
          <w:p w14:paraId="36FE9EBC">
            <w:pPr>
              <w:pStyle w:val="28"/>
              <w:rPr>
                <w:color w:val="000000" w:themeColor="text1"/>
                <w14:textFill>
                  <w14:solidFill>
                    <w14:schemeClr w14:val="tx1"/>
                  </w14:solidFill>
                </w14:textFill>
              </w:rPr>
            </w:pPr>
            <w:r>
              <w:rPr>
                <w:color w:val="000000" w:themeColor="text1"/>
                <w14:textFill>
                  <w14:solidFill>
                    <w14:schemeClr w14:val="tx1"/>
                  </w14:solidFill>
                </w14:textFill>
              </w:rPr>
              <w:t>急救方法</w:t>
            </w:r>
          </w:p>
        </w:tc>
        <w:tc>
          <w:tcPr>
            <w:tcW w:w="4023" w:type="pct"/>
            <w:gridSpan w:val="6"/>
          </w:tcPr>
          <w:p w14:paraId="611C57E7">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皮肤接触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脱去污染的衣着，用肥皂水和清水彻底冲洗皮肤。如有不适感，就医。</w:t>
            </w:r>
          </w:p>
          <w:p w14:paraId="17652F4F">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眼睛接触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提起眼睑，用流动清水或生理盐水冲洗。如有不适感，就医。</w:t>
            </w:r>
          </w:p>
          <w:p w14:paraId="1FD49CE1">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吸入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迅速脱离现场至空气新鲜处。保持呼吸道通畅。如呼吸困难，给输氧。呼吸、心跳停止，立即进行心肺复苏术。就医。</w:t>
            </w:r>
          </w:p>
          <w:p w14:paraId="3A93198A">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食入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饮水，禁止催吐。如有不适感，就医。</w:t>
            </w:r>
          </w:p>
        </w:tc>
      </w:tr>
      <w:tr w14:paraId="110376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restart"/>
            <w:textDirection w:val="tbRlV"/>
            <w:vAlign w:val="center"/>
          </w:tcPr>
          <w:p w14:paraId="2B0534AB">
            <w:pPr>
              <w:pStyle w:val="28"/>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666" w:type="pct"/>
            <w:vAlign w:val="center"/>
          </w:tcPr>
          <w:p w14:paraId="01C25DF7">
            <w:pPr>
              <w:pStyle w:val="28"/>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610" w:type="pct"/>
            <w:vAlign w:val="center"/>
          </w:tcPr>
          <w:p w14:paraId="189B780B">
            <w:pPr>
              <w:pStyle w:val="28"/>
              <w:rPr>
                <w:color w:val="000000" w:themeColor="text1"/>
                <w14:textFill>
                  <w14:solidFill>
                    <w14:schemeClr w14:val="tx1"/>
                  </w14:solidFill>
                </w14:textFill>
              </w:rPr>
            </w:pPr>
            <w:r>
              <w:rPr>
                <w:color w:val="000000" w:themeColor="text1"/>
                <w14:textFill>
                  <w14:solidFill>
                    <w14:schemeClr w14:val="tx1"/>
                  </w14:solidFill>
                </w14:textFill>
              </w:rPr>
              <w:t>易燃</w:t>
            </w:r>
          </w:p>
        </w:tc>
        <w:tc>
          <w:tcPr>
            <w:tcW w:w="1578" w:type="pct"/>
            <w:gridSpan w:val="2"/>
            <w:vAlign w:val="center"/>
          </w:tcPr>
          <w:p w14:paraId="1F58F107">
            <w:pPr>
              <w:pStyle w:val="28"/>
              <w:rPr>
                <w:color w:val="000000" w:themeColor="text1"/>
                <w14:textFill>
                  <w14:solidFill>
                    <w14:schemeClr w14:val="tx1"/>
                  </w14:solidFill>
                </w14:textFill>
              </w:rPr>
            </w:pPr>
            <w:r>
              <w:rPr>
                <w:color w:val="000000" w:themeColor="text1"/>
                <w14:textFill>
                  <w14:solidFill>
                    <w14:schemeClr w14:val="tx1"/>
                  </w14:solidFill>
                </w14:textFill>
              </w:rPr>
              <w:t>燃烧分解物</w:t>
            </w:r>
          </w:p>
        </w:tc>
        <w:tc>
          <w:tcPr>
            <w:tcW w:w="1835" w:type="pct"/>
            <w:gridSpan w:val="3"/>
            <w:vAlign w:val="center"/>
          </w:tcPr>
          <w:p w14:paraId="32235869">
            <w:pPr>
              <w:pStyle w:val="28"/>
              <w:rPr>
                <w:color w:val="000000" w:themeColor="text1"/>
                <w14:textFill>
                  <w14:solidFill>
                    <w14:schemeClr w14:val="tx1"/>
                  </w14:solidFill>
                </w14:textFill>
              </w:rPr>
            </w:pPr>
            <w:r>
              <w:rPr>
                <w:color w:val="000000" w:themeColor="text1"/>
                <w14:textFill>
                  <w14:solidFill>
                    <w14:schemeClr w14:val="tx1"/>
                  </w14:solidFill>
                </w14:textFill>
              </w:rPr>
              <w:t>一氧化碳</w:t>
            </w:r>
          </w:p>
        </w:tc>
      </w:tr>
      <w:tr w14:paraId="3C68B6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4CF2962E">
            <w:pPr>
              <w:pStyle w:val="28"/>
              <w:rPr>
                <w:color w:val="000000" w:themeColor="text1"/>
                <w14:textFill>
                  <w14:solidFill>
                    <w14:schemeClr w14:val="tx1"/>
                  </w14:solidFill>
                </w14:textFill>
              </w:rPr>
            </w:pPr>
          </w:p>
        </w:tc>
        <w:tc>
          <w:tcPr>
            <w:tcW w:w="666" w:type="pct"/>
            <w:vAlign w:val="center"/>
          </w:tcPr>
          <w:p w14:paraId="11784385">
            <w:pPr>
              <w:pStyle w:val="28"/>
              <w:rPr>
                <w:color w:val="000000" w:themeColor="text1"/>
                <w14:textFill>
                  <w14:solidFill>
                    <w14:schemeClr w14:val="tx1"/>
                  </w14:solidFill>
                </w14:textFill>
              </w:rPr>
            </w:pPr>
            <w:r>
              <w:rPr>
                <w:color w:val="000000" w:themeColor="text1"/>
                <w14:textFill>
                  <w14:solidFill>
                    <w14:schemeClr w14:val="tx1"/>
                  </w14:solidFill>
                </w14:textFill>
              </w:rPr>
              <w:t>闪点(℃)</w:t>
            </w:r>
          </w:p>
        </w:tc>
        <w:tc>
          <w:tcPr>
            <w:tcW w:w="610" w:type="pct"/>
            <w:vAlign w:val="center"/>
          </w:tcPr>
          <w:p w14:paraId="4DC312DE">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p>
        </w:tc>
        <w:tc>
          <w:tcPr>
            <w:tcW w:w="1578" w:type="pct"/>
            <w:gridSpan w:val="2"/>
            <w:vAlign w:val="center"/>
          </w:tcPr>
          <w:p w14:paraId="4FB7A869">
            <w:pPr>
              <w:pStyle w:val="28"/>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1835" w:type="pct"/>
            <w:gridSpan w:val="3"/>
            <w:vAlign w:val="center"/>
          </w:tcPr>
          <w:p w14:paraId="53C4B5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6.7</w:t>
            </w:r>
          </w:p>
        </w:tc>
      </w:tr>
      <w:tr w14:paraId="24CD4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181FDDD7">
            <w:pPr>
              <w:pStyle w:val="28"/>
              <w:rPr>
                <w:color w:val="000000" w:themeColor="text1"/>
                <w14:textFill>
                  <w14:solidFill>
                    <w14:schemeClr w14:val="tx1"/>
                  </w14:solidFill>
                </w14:textFill>
              </w:rPr>
            </w:pPr>
          </w:p>
        </w:tc>
        <w:tc>
          <w:tcPr>
            <w:tcW w:w="666" w:type="pct"/>
            <w:vAlign w:val="center"/>
          </w:tcPr>
          <w:p w14:paraId="198E5062">
            <w:pPr>
              <w:pStyle w:val="28"/>
              <w:rPr>
                <w:color w:val="000000" w:themeColor="text1"/>
                <w14:textFill>
                  <w14:solidFill>
                    <w14:schemeClr w14:val="tx1"/>
                  </w14:solidFill>
                </w14:textFill>
              </w:rPr>
            </w:pPr>
            <w:r>
              <w:rPr>
                <w:color w:val="000000" w:themeColor="text1"/>
                <w14:textFill>
                  <w14:solidFill>
                    <w14:schemeClr w14:val="tx1"/>
                  </w14:solidFill>
                </w14:textFill>
              </w:rPr>
              <w:t>引燃温度(℃)</w:t>
            </w:r>
          </w:p>
        </w:tc>
        <w:tc>
          <w:tcPr>
            <w:tcW w:w="610" w:type="pct"/>
            <w:vAlign w:val="center"/>
          </w:tcPr>
          <w:p w14:paraId="03AE79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215</w:t>
            </w:r>
          </w:p>
        </w:tc>
        <w:tc>
          <w:tcPr>
            <w:tcW w:w="1578" w:type="pct"/>
            <w:gridSpan w:val="2"/>
            <w:vAlign w:val="center"/>
          </w:tcPr>
          <w:p w14:paraId="57844C4C">
            <w:pPr>
              <w:pStyle w:val="28"/>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1835" w:type="pct"/>
            <w:gridSpan w:val="3"/>
            <w:vAlign w:val="center"/>
          </w:tcPr>
          <w:p w14:paraId="096FE5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102</w:t>
            </w:r>
          </w:p>
        </w:tc>
      </w:tr>
      <w:tr w14:paraId="34D7C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7319053C">
            <w:pPr>
              <w:pStyle w:val="28"/>
              <w:rPr>
                <w:color w:val="000000" w:themeColor="text1"/>
                <w14:textFill>
                  <w14:solidFill>
                    <w14:schemeClr w14:val="tx1"/>
                  </w14:solidFill>
                </w14:textFill>
              </w:rPr>
            </w:pPr>
          </w:p>
        </w:tc>
        <w:tc>
          <w:tcPr>
            <w:tcW w:w="666" w:type="pct"/>
            <w:vAlign w:val="center"/>
          </w:tcPr>
          <w:p w14:paraId="21EAB41A">
            <w:pPr>
              <w:pStyle w:val="28"/>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610" w:type="pct"/>
            <w:vAlign w:val="center"/>
          </w:tcPr>
          <w:p w14:paraId="440C131A">
            <w:pPr>
              <w:pStyle w:val="28"/>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1113" w:type="pct"/>
            <w:vAlign w:val="center"/>
          </w:tcPr>
          <w:p w14:paraId="1E459521">
            <w:pPr>
              <w:pStyle w:val="28"/>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465" w:type="pct"/>
            <w:vAlign w:val="center"/>
          </w:tcPr>
          <w:p w14:paraId="6E76CDCE">
            <w:pPr>
              <w:pStyle w:val="28"/>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185" w:type="pct"/>
            <w:vAlign w:val="center"/>
          </w:tcPr>
          <w:p w14:paraId="5EC2483A">
            <w:pPr>
              <w:pStyle w:val="28"/>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650" w:type="pct"/>
            <w:gridSpan w:val="2"/>
            <w:vAlign w:val="center"/>
          </w:tcPr>
          <w:p w14:paraId="5E59C497">
            <w:pPr>
              <w:pStyle w:val="28"/>
              <w:rPr>
                <w:color w:val="000000" w:themeColor="text1"/>
                <w14:textFill>
                  <w14:solidFill>
                    <w14:schemeClr w14:val="tx1"/>
                  </w14:solidFill>
                </w14:textFill>
              </w:rPr>
            </w:pPr>
            <w:r>
              <w:rPr>
                <w:color w:val="000000" w:themeColor="text1"/>
                <w14:textFill>
                  <w14:solidFill>
                    <w14:schemeClr w14:val="tx1"/>
                  </w14:solidFill>
                </w14:textFill>
              </w:rPr>
              <w:t>不聚合</w:t>
            </w:r>
          </w:p>
        </w:tc>
      </w:tr>
      <w:tr w14:paraId="176D60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 w:type="pct"/>
            <w:vMerge w:val="continue"/>
          </w:tcPr>
          <w:p w14:paraId="5518A903">
            <w:pPr>
              <w:pStyle w:val="28"/>
              <w:rPr>
                <w:color w:val="000000" w:themeColor="text1"/>
                <w14:textFill>
                  <w14:solidFill>
                    <w14:schemeClr w14:val="tx1"/>
                  </w14:solidFill>
                </w14:textFill>
              </w:rPr>
            </w:pPr>
          </w:p>
        </w:tc>
        <w:tc>
          <w:tcPr>
            <w:tcW w:w="666" w:type="pct"/>
            <w:vAlign w:val="center"/>
          </w:tcPr>
          <w:p w14:paraId="2E18B201">
            <w:pPr>
              <w:pStyle w:val="28"/>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4023" w:type="pct"/>
            <w:gridSpan w:val="6"/>
            <w:vAlign w:val="center"/>
          </w:tcPr>
          <w:p w14:paraId="0471A902">
            <w:pPr>
              <w:pStyle w:val="28"/>
              <w:rPr>
                <w:color w:val="000000" w:themeColor="text1"/>
                <w14:textFill>
                  <w14:solidFill>
                    <w14:schemeClr w14:val="tx1"/>
                  </w14:solidFill>
                </w14:textFill>
              </w:rPr>
            </w:pPr>
            <w:r>
              <w:rPr>
                <w:color w:val="000000" w:themeColor="text1"/>
                <w14:textFill>
                  <w14:solidFill>
                    <w14:schemeClr w14:val="tx1"/>
                  </w14:solidFill>
                </w14:textFill>
              </w:rPr>
              <w:t>强氧化剂、强酸、强碱、卤素</w:t>
            </w:r>
          </w:p>
        </w:tc>
      </w:tr>
      <w:tr w14:paraId="50888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310" w:type="pct"/>
            <w:vMerge w:val="continue"/>
          </w:tcPr>
          <w:p w14:paraId="5A20F573">
            <w:pPr>
              <w:pStyle w:val="28"/>
              <w:rPr>
                <w:color w:val="000000" w:themeColor="text1"/>
                <w14:textFill>
                  <w14:solidFill>
                    <w14:schemeClr w14:val="tx1"/>
                  </w14:solidFill>
                </w14:textFill>
              </w:rPr>
            </w:pPr>
          </w:p>
        </w:tc>
        <w:tc>
          <w:tcPr>
            <w:tcW w:w="666" w:type="pct"/>
            <w:vAlign w:val="center"/>
          </w:tcPr>
          <w:p w14:paraId="3D752B5F">
            <w:pPr>
              <w:pStyle w:val="28"/>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4023" w:type="pct"/>
            <w:gridSpan w:val="6"/>
            <w:vAlign w:val="center"/>
          </w:tcPr>
          <w:p w14:paraId="530DB93F">
            <w:pPr>
              <w:pStyle w:val="28"/>
              <w:rPr>
                <w:color w:val="000000" w:themeColor="text1"/>
                <w14:textFill>
                  <w14:solidFill>
                    <w14:schemeClr w14:val="tx1"/>
                  </w14:solidFill>
                </w14:textFill>
              </w:rPr>
            </w:pPr>
            <w:r>
              <w:rPr>
                <w:color w:val="000000" w:themeColor="text1"/>
                <w14:textFill>
                  <w14:solidFill>
                    <w14:schemeClr w14:val="tx1"/>
                  </w14:solidFill>
                </w14:textFill>
              </w:rPr>
              <w:t>易燃，其蒸气与空气可形成爆炸性混合物，遇热源和明火有燃烧爆炸的危险。与氧化剂接触发生化学反应或引起燃烧。高速冲击、流动、激荡后可因产生静电火花放电引起燃烧爆炸。蒸气比空气重，沿地面扩散并易积存于低洼处，遇火源会着火回燃。</w:t>
            </w:r>
          </w:p>
        </w:tc>
      </w:tr>
      <w:tr w14:paraId="5B7BE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4" w:hRule="atLeast"/>
          <w:jc w:val="center"/>
        </w:trPr>
        <w:tc>
          <w:tcPr>
            <w:tcW w:w="310" w:type="pct"/>
            <w:vMerge w:val="continue"/>
          </w:tcPr>
          <w:p w14:paraId="20EEE4DB">
            <w:pPr>
              <w:pStyle w:val="28"/>
              <w:rPr>
                <w:color w:val="000000" w:themeColor="text1"/>
                <w14:textFill>
                  <w14:solidFill>
                    <w14:schemeClr w14:val="tx1"/>
                  </w14:solidFill>
                </w14:textFill>
              </w:rPr>
            </w:pPr>
          </w:p>
        </w:tc>
        <w:tc>
          <w:tcPr>
            <w:tcW w:w="666" w:type="pct"/>
            <w:vAlign w:val="center"/>
          </w:tcPr>
          <w:p w14:paraId="07CE60E8">
            <w:pPr>
              <w:pStyle w:val="28"/>
              <w:rPr>
                <w:color w:val="000000" w:themeColor="text1"/>
                <w14:textFill>
                  <w14:solidFill>
                    <w14:schemeClr w14:val="tx1"/>
                  </w14:solidFill>
                </w14:textFill>
              </w:rPr>
            </w:pPr>
            <w:r>
              <w:rPr>
                <w:color w:val="000000" w:themeColor="text1"/>
                <w14:textFill>
                  <w14:solidFill>
                    <w14:schemeClr w14:val="tx1"/>
                  </w14:solidFill>
                </w14:textFill>
              </w:rPr>
              <w:t>储运条件与泄漏处理</w:t>
            </w:r>
          </w:p>
        </w:tc>
        <w:tc>
          <w:tcPr>
            <w:tcW w:w="4023" w:type="pct"/>
            <w:gridSpan w:val="6"/>
            <w:vAlign w:val="center"/>
          </w:tcPr>
          <w:p w14:paraId="136852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储存条件：</w:t>
            </w:r>
            <w:r>
              <w:rPr>
                <w:color w:val="000000" w:themeColor="text1"/>
                <w14:textFill>
                  <w14:solidFill>
                    <w14:schemeClr w14:val="tx1"/>
                  </w14:solidFill>
                </w14:textFill>
              </w:rPr>
              <w:t>存于阴凉、通风的库房。远离火种、热源。库温不宜超过37℃，保持容器密封。应与氧化剂分开存放，切忌混储。采用防爆型照明、通风设施。禁止使用易产生火花的机械设备和工具。储区应备有泄漏应急处理设备和合适的收容材料。</w:t>
            </w:r>
          </w:p>
          <w:p w14:paraId="242C88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泄漏应急处理：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tc>
      </w:tr>
      <w:tr w14:paraId="6A452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1" w:hRule="atLeast"/>
          <w:jc w:val="center"/>
        </w:trPr>
        <w:tc>
          <w:tcPr>
            <w:tcW w:w="310" w:type="pct"/>
            <w:vMerge w:val="continue"/>
          </w:tcPr>
          <w:p w14:paraId="3B35F3CA">
            <w:pPr>
              <w:pStyle w:val="28"/>
              <w:rPr>
                <w:color w:val="000000" w:themeColor="text1"/>
                <w14:textFill>
                  <w14:solidFill>
                    <w14:schemeClr w14:val="tx1"/>
                  </w14:solidFill>
                </w14:textFill>
              </w:rPr>
            </w:pPr>
          </w:p>
        </w:tc>
        <w:tc>
          <w:tcPr>
            <w:tcW w:w="666" w:type="pct"/>
            <w:vAlign w:val="center"/>
          </w:tcPr>
          <w:p w14:paraId="1FD66F84">
            <w:pPr>
              <w:pStyle w:val="28"/>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4023" w:type="pct"/>
            <w:gridSpan w:val="6"/>
            <w:vAlign w:val="center"/>
          </w:tcPr>
          <w:p w14:paraId="0080DA59">
            <w:pPr>
              <w:pStyle w:val="28"/>
              <w:rPr>
                <w:color w:val="000000" w:themeColor="text1"/>
                <w14:textFill>
                  <w14:solidFill>
                    <w14:schemeClr w14:val="tx1"/>
                  </w14:solidFill>
                </w14:textFill>
              </w:rPr>
            </w:pPr>
            <w:r>
              <w:rPr>
                <w:color w:val="000000" w:themeColor="text1"/>
                <w14:textFill>
                  <w14:solidFill>
                    <w14:schemeClr w14:val="tx1"/>
                  </w14:solidFill>
                </w14:textFill>
              </w:rPr>
              <w:t>消防人员必须佩戴空气呼吸器、穿全身防火防毒服，在上风向灭火。喷水冷却容器，可能的话将容器从火场移至空旷处。处在火场中的容器若已变色或从安全泄压装置中产生声音，必须马上撤离。用水灭火无效。</w:t>
            </w:r>
          </w:p>
        </w:tc>
      </w:tr>
    </w:tbl>
    <w:p w14:paraId="7B2B9BD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表5.2-30  油类物质理化性质及危险特性一览表</w:t>
      </w:r>
    </w:p>
    <w:tbl>
      <w:tblPr>
        <w:tblStyle w:val="2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55"/>
        <w:gridCol w:w="3585"/>
        <w:gridCol w:w="1708"/>
        <w:gridCol w:w="2474"/>
      </w:tblGrid>
      <w:tr w14:paraId="31C5D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restart"/>
            <w:textDirection w:val="tbRlV"/>
            <w:vAlign w:val="center"/>
          </w:tcPr>
          <w:p w14:paraId="53070F74">
            <w:pPr>
              <w:pStyle w:val="28"/>
              <w:rPr>
                <w:color w:val="000000" w:themeColor="text1"/>
                <w14:textFill>
                  <w14:solidFill>
                    <w14:schemeClr w14:val="tx1"/>
                  </w14:solidFill>
                </w14:textFill>
              </w:rPr>
            </w:pPr>
            <w:r>
              <w:rPr>
                <w:color w:val="000000" w:themeColor="text1"/>
                <w14:textFill>
                  <w14:solidFill>
                    <w14:schemeClr w14:val="tx1"/>
                  </w14:solidFill>
                </w14:textFill>
              </w:rPr>
              <w:t>标识</w:t>
            </w:r>
          </w:p>
        </w:tc>
        <w:tc>
          <w:tcPr>
            <w:tcW w:w="4020" w:type="dxa"/>
            <w:vAlign w:val="center"/>
          </w:tcPr>
          <w:p w14:paraId="50E8A863">
            <w:pPr>
              <w:pStyle w:val="28"/>
              <w:rPr>
                <w:color w:val="000000" w:themeColor="text1"/>
                <w14:textFill>
                  <w14:solidFill>
                    <w14:schemeClr w14:val="tx1"/>
                  </w14:solidFill>
                </w14:textFill>
              </w:rPr>
            </w:pPr>
            <w:r>
              <w:rPr>
                <w:color w:val="000000" w:themeColor="text1"/>
                <w14:textFill>
                  <w14:solidFill>
                    <w14:schemeClr w14:val="tx1"/>
                  </w14:solidFill>
                </w14:textFill>
              </w:rPr>
              <w:t>中文名：导热油</w:t>
            </w:r>
          </w:p>
        </w:tc>
        <w:tc>
          <w:tcPr>
            <w:tcW w:w="4760" w:type="dxa"/>
            <w:gridSpan w:val="2"/>
            <w:vAlign w:val="center"/>
          </w:tcPr>
          <w:p w14:paraId="0890B03D">
            <w:pPr>
              <w:pStyle w:val="28"/>
              <w:rPr>
                <w:color w:val="000000" w:themeColor="text1"/>
                <w14:textFill>
                  <w14:solidFill>
                    <w14:schemeClr w14:val="tx1"/>
                  </w14:solidFill>
                </w14:textFill>
              </w:rPr>
            </w:pPr>
            <w:r>
              <w:rPr>
                <w:color w:val="000000" w:themeColor="text1"/>
                <w14:textFill>
                  <w14:solidFill>
                    <w14:schemeClr w14:val="tx1"/>
                  </w14:solidFill>
                </w14:textFill>
              </w:rPr>
              <w:t>英文名: heat transfer fluid</w:t>
            </w:r>
          </w:p>
        </w:tc>
      </w:tr>
      <w:tr w14:paraId="3DFD0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0E122CAA">
            <w:pPr>
              <w:pStyle w:val="28"/>
              <w:rPr>
                <w:color w:val="000000" w:themeColor="text1"/>
                <w14:textFill>
                  <w14:solidFill>
                    <w14:schemeClr w14:val="tx1"/>
                  </w14:solidFill>
                </w14:textFill>
              </w:rPr>
            </w:pPr>
          </w:p>
        </w:tc>
        <w:tc>
          <w:tcPr>
            <w:tcW w:w="4020" w:type="dxa"/>
            <w:vAlign w:val="center"/>
          </w:tcPr>
          <w:p w14:paraId="6A481E24">
            <w:pPr>
              <w:pStyle w:val="28"/>
              <w:rPr>
                <w:color w:val="000000" w:themeColor="text1"/>
                <w14:textFill>
                  <w14:solidFill>
                    <w14:schemeClr w14:val="tx1"/>
                  </w14:solidFill>
                </w14:textFill>
              </w:rPr>
            </w:pPr>
            <w:r>
              <w:rPr>
                <w:color w:val="000000" w:themeColor="text1"/>
                <w14:textFill>
                  <w14:solidFill>
                    <w14:schemeClr w14:val="tx1"/>
                  </w14:solidFill>
                </w14:textFill>
              </w:rPr>
              <w:t>分子式：无</w:t>
            </w:r>
          </w:p>
        </w:tc>
        <w:tc>
          <w:tcPr>
            <w:tcW w:w="4760" w:type="dxa"/>
            <w:gridSpan w:val="2"/>
            <w:vAlign w:val="center"/>
          </w:tcPr>
          <w:p w14:paraId="6BB9479B">
            <w:pPr>
              <w:pStyle w:val="28"/>
              <w:rPr>
                <w:color w:val="000000" w:themeColor="text1"/>
                <w14:textFill>
                  <w14:solidFill>
                    <w14:schemeClr w14:val="tx1"/>
                  </w14:solidFill>
                </w14:textFill>
              </w:rPr>
            </w:pPr>
            <w:r>
              <w:rPr>
                <w:color w:val="000000" w:themeColor="text1"/>
                <w14:textFill>
                  <w14:solidFill>
                    <w14:schemeClr w14:val="tx1"/>
                  </w14:solidFill>
                </w14:textFill>
              </w:rPr>
              <w:t>分子量：无</w:t>
            </w:r>
          </w:p>
        </w:tc>
      </w:tr>
      <w:tr w14:paraId="3228D1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2E228BD7">
            <w:pPr>
              <w:pStyle w:val="28"/>
              <w:rPr>
                <w:color w:val="000000" w:themeColor="text1"/>
                <w14:textFill>
                  <w14:solidFill>
                    <w14:schemeClr w14:val="tx1"/>
                  </w14:solidFill>
                </w14:textFill>
              </w:rPr>
            </w:pPr>
          </w:p>
        </w:tc>
        <w:tc>
          <w:tcPr>
            <w:tcW w:w="4020" w:type="dxa"/>
            <w:vAlign w:val="center"/>
          </w:tcPr>
          <w:p w14:paraId="7E5B79F0">
            <w:pPr>
              <w:pStyle w:val="28"/>
              <w:rPr>
                <w:color w:val="000000" w:themeColor="text1"/>
                <w14:textFill>
                  <w14:solidFill>
                    <w14:schemeClr w14:val="tx1"/>
                  </w14:solidFill>
                </w14:textFill>
              </w:rPr>
            </w:pPr>
            <w:r>
              <w:rPr>
                <w:color w:val="000000" w:themeColor="text1"/>
                <w14:textFill>
                  <w14:solidFill>
                    <w14:schemeClr w14:val="tx1"/>
                  </w14:solidFill>
                </w14:textFill>
              </w:rPr>
              <w:t>危险货物编号：无</w:t>
            </w:r>
          </w:p>
        </w:tc>
        <w:tc>
          <w:tcPr>
            <w:tcW w:w="1920" w:type="dxa"/>
            <w:vAlign w:val="center"/>
          </w:tcPr>
          <w:p w14:paraId="1661ED4B">
            <w:pPr>
              <w:pStyle w:val="28"/>
              <w:rPr>
                <w:color w:val="000000" w:themeColor="text1"/>
                <w14:textFill>
                  <w14:solidFill>
                    <w14:schemeClr w14:val="tx1"/>
                  </w14:solidFill>
                </w14:textFill>
              </w:rPr>
            </w:pPr>
            <w:r>
              <w:rPr>
                <w:color w:val="000000" w:themeColor="text1"/>
                <w14:textFill>
                  <w14:solidFill>
                    <w14:schemeClr w14:val="tx1"/>
                  </w14:solidFill>
                </w14:textFill>
              </w:rPr>
              <w:t>UN编号：无</w:t>
            </w:r>
          </w:p>
        </w:tc>
        <w:tc>
          <w:tcPr>
            <w:tcW w:w="2840" w:type="dxa"/>
            <w:vAlign w:val="center"/>
          </w:tcPr>
          <w:p w14:paraId="45D90886">
            <w:pPr>
              <w:pStyle w:val="28"/>
              <w:rPr>
                <w:color w:val="000000" w:themeColor="text1"/>
                <w14:textFill>
                  <w14:solidFill>
                    <w14:schemeClr w14:val="tx1"/>
                  </w14:solidFill>
                </w14:textFill>
              </w:rPr>
            </w:pPr>
            <w:r>
              <w:rPr>
                <w:color w:val="000000" w:themeColor="text1"/>
                <w14:textFill>
                  <w14:solidFill>
                    <w14:schemeClr w14:val="tx1"/>
                  </w14:solidFill>
                </w14:textFill>
              </w:rPr>
              <w:t>CAS 号: 无</w:t>
            </w:r>
          </w:p>
        </w:tc>
      </w:tr>
      <w:tr w14:paraId="7B013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restart"/>
            <w:textDirection w:val="tbRlV"/>
            <w:vAlign w:val="center"/>
          </w:tcPr>
          <w:p w14:paraId="630B25E0">
            <w:pPr>
              <w:pStyle w:val="28"/>
              <w:rPr>
                <w:color w:val="000000" w:themeColor="text1"/>
                <w14:textFill>
                  <w14:solidFill>
                    <w14:schemeClr w14:val="tx1"/>
                  </w14:solidFill>
                </w14:textFill>
              </w:rPr>
            </w:pPr>
            <w:r>
              <w:rPr>
                <w:color w:val="000000" w:themeColor="text1"/>
                <w14:textFill>
                  <w14:solidFill>
                    <w14:schemeClr w14:val="tx1"/>
                  </w14:solidFill>
                </w14:textFill>
              </w:rPr>
              <w:t>理化性能</w:t>
            </w:r>
          </w:p>
        </w:tc>
        <w:tc>
          <w:tcPr>
            <w:tcW w:w="8780" w:type="dxa"/>
            <w:gridSpan w:val="3"/>
            <w:vAlign w:val="center"/>
          </w:tcPr>
          <w:p w14:paraId="3DB8F0F8">
            <w:pPr>
              <w:pStyle w:val="28"/>
              <w:rPr>
                <w:color w:val="000000" w:themeColor="text1"/>
                <w14:textFill>
                  <w14:solidFill>
                    <w14:schemeClr w14:val="tx1"/>
                  </w14:solidFill>
                </w14:textFill>
              </w:rPr>
            </w:pPr>
            <w:r>
              <w:rPr>
                <w:color w:val="000000" w:themeColor="text1"/>
                <w14:textFill>
                  <w14:solidFill>
                    <w14:schemeClr w14:val="tx1"/>
                  </w14:solidFill>
                </w14:textFill>
              </w:rPr>
              <w:t>外观与性状：琥珀色 常温下液体</w:t>
            </w:r>
          </w:p>
        </w:tc>
      </w:tr>
      <w:tr w14:paraId="5B4901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78C7A2C5">
            <w:pPr>
              <w:pStyle w:val="28"/>
              <w:rPr>
                <w:color w:val="000000" w:themeColor="text1"/>
                <w14:textFill>
                  <w14:solidFill>
                    <w14:schemeClr w14:val="tx1"/>
                  </w14:solidFill>
                </w14:textFill>
              </w:rPr>
            </w:pPr>
          </w:p>
        </w:tc>
        <w:tc>
          <w:tcPr>
            <w:tcW w:w="8780" w:type="dxa"/>
            <w:gridSpan w:val="3"/>
            <w:vAlign w:val="center"/>
          </w:tcPr>
          <w:p w14:paraId="1DBC48FE">
            <w:pPr>
              <w:pStyle w:val="28"/>
              <w:rPr>
                <w:color w:val="000000" w:themeColor="text1"/>
                <w14:textFill>
                  <w14:solidFill>
                    <w14:schemeClr w14:val="tx1"/>
                  </w14:solidFill>
                </w14:textFill>
              </w:rPr>
            </w:pPr>
            <w:r>
              <w:rPr>
                <w:color w:val="000000" w:themeColor="text1"/>
                <w14:textFill>
                  <w14:solidFill>
                    <w14:schemeClr w14:val="tx1"/>
                  </w14:solidFill>
                </w14:textFill>
              </w:rPr>
              <w:t>溶解性：可忽略</w:t>
            </w:r>
          </w:p>
        </w:tc>
      </w:tr>
      <w:tr w14:paraId="652CA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1AD050A9">
            <w:pPr>
              <w:pStyle w:val="28"/>
              <w:rPr>
                <w:color w:val="000000" w:themeColor="text1"/>
                <w14:textFill>
                  <w14:solidFill>
                    <w14:schemeClr w14:val="tx1"/>
                  </w14:solidFill>
                </w14:textFill>
              </w:rPr>
            </w:pPr>
          </w:p>
        </w:tc>
        <w:tc>
          <w:tcPr>
            <w:tcW w:w="4020" w:type="dxa"/>
            <w:vAlign w:val="center"/>
          </w:tcPr>
          <w:p w14:paraId="44B32EB3">
            <w:pPr>
              <w:pStyle w:val="28"/>
              <w:rPr>
                <w:color w:val="000000" w:themeColor="text1"/>
                <w14:textFill>
                  <w14:solidFill>
                    <w14:schemeClr w14:val="tx1"/>
                  </w14:solidFill>
                </w14:textFill>
              </w:rPr>
            </w:pPr>
            <w:r>
              <w:rPr>
                <w:color w:val="000000" w:themeColor="text1"/>
                <w14:textFill>
                  <w14:solidFill>
                    <w14:schemeClr w14:val="tx1"/>
                  </w14:solidFill>
                </w14:textFill>
              </w:rPr>
              <w:t>熔点(℃):无 沸点 (℃):280-536</w:t>
            </w:r>
          </w:p>
        </w:tc>
        <w:tc>
          <w:tcPr>
            <w:tcW w:w="4760" w:type="dxa"/>
            <w:gridSpan w:val="2"/>
            <w:vAlign w:val="center"/>
          </w:tcPr>
          <w:p w14:paraId="2913518F">
            <w:pPr>
              <w:pStyle w:val="28"/>
              <w:rPr>
                <w:color w:val="000000" w:themeColor="text1"/>
                <w14:textFill>
                  <w14:solidFill>
                    <w14:schemeClr w14:val="tx1"/>
                  </w14:solidFill>
                </w14:textFill>
              </w:rPr>
            </w:pPr>
            <w:r>
              <w:rPr>
                <w:color w:val="000000" w:themeColor="text1"/>
                <w14:textFill>
                  <w14:solidFill>
                    <w14:schemeClr w14:val="tx1"/>
                  </w14:solidFill>
                </w14:textFill>
              </w:rPr>
              <w:t>相对密度(水=1)：无</w:t>
            </w:r>
          </w:p>
        </w:tc>
      </w:tr>
      <w:tr w14:paraId="5D8A05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7E23866F">
            <w:pPr>
              <w:pStyle w:val="28"/>
              <w:rPr>
                <w:color w:val="000000" w:themeColor="text1"/>
                <w14:textFill>
                  <w14:solidFill>
                    <w14:schemeClr w14:val="tx1"/>
                  </w14:solidFill>
                </w14:textFill>
              </w:rPr>
            </w:pPr>
          </w:p>
        </w:tc>
        <w:tc>
          <w:tcPr>
            <w:tcW w:w="4020" w:type="dxa"/>
            <w:vAlign w:val="center"/>
          </w:tcPr>
          <w:p w14:paraId="33E93B19">
            <w:pPr>
              <w:pStyle w:val="28"/>
              <w:rPr>
                <w:color w:val="000000" w:themeColor="text1"/>
                <w14:textFill>
                  <w14:solidFill>
                    <w14:schemeClr w14:val="tx1"/>
                  </w14:solidFill>
                </w14:textFill>
              </w:rPr>
            </w:pPr>
            <w:r>
              <w:rPr>
                <w:color w:val="000000" w:themeColor="text1"/>
                <w14:textFill>
                  <w14:solidFill>
                    <w14:schemeClr w14:val="tx1"/>
                  </w14:solidFill>
                </w14:textFill>
              </w:rPr>
              <w:t>饱和蒸汽压(kPa)：无</w:t>
            </w:r>
          </w:p>
        </w:tc>
        <w:tc>
          <w:tcPr>
            <w:tcW w:w="4760" w:type="dxa"/>
            <w:gridSpan w:val="2"/>
            <w:vAlign w:val="center"/>
          </w:tcPr>
          <w:p w14:paraId="158D01C8">
            <w:pPr>
              <w:pStyle w:val="28"/>
              <w:rPr>
                <w:color w:val="000000" w:themeColor="text1"/>
                <w14:textFill>
                  <w14:solidFill>
                    <w14:schemeClr w14:val="tx1"/>
                  </w14:solidFill>
                </w14:textFill>
              </w:rPr>
            </w:pPr>
            <w:r>
              <w:rPr>
                <w:color w:val="000000" w:themeColor="text1"/>
                <w14:textFill>
                  <w14:solidFill>
                    <w14:schemeClr w14:val="tx1"/>
                  </w14:solidFill>
                </w14:textFill>
              </w:rPr>
              <w:t>相对蒸汽密度(空气=1)：无</w:t>
            </w:r>
          </w:p>
        </w:tc>
      </w:tr>
      <w:tr w14:paraId="00642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12EF1624">
            <w:pPr>
              <w:pStyle w:val="28"/>
              <w:rPr>
                <w:color w:val="000000" w:themeColor="text1"/>
                <w14:textFill>
                  <w14:solidFill>
                    <w14:schemeClr w14:val="tx1"/>
                  </w14:solidFill>
                </w14:textFill>
              </w:rPr>
            </w:pPr>
          </w:p>
        </w:tc>
        <w:tc>
          <w:tcPr>
            <w:tcW w:w="4020" w:type="dxa"/>
            <w:vAlign w:val="center"/>
          </w:tcPr>
          <w:p w14:paraId="79311294">
            <w:pPr>
              <w:pStyle w:val="28"/>
              <w:rPr>
                <w:color w:val="000000" w:themeColor="text1"/>
                <w14:textFill>
                  <w14:solidFill>
                    <w14:schemeClr w14:val="tx1"/>
                  </w14:solidFill>
                </w14:textFill>
              </w:rPr>
            </w:pPr>
            <w:r>
              <w:rPr>
                <w:color w:val="000000" w:themeColor="text1"/>
                <w14:textFill>
                  <w14:solidFill>
                    <w14:schemeClr w14:val="tx1"/>
                  </w14:solidFill>
                </w14:textFill>
              </w:rPr>
              <w:t>临界温度(℃)：无</w:t>
            </w:r>
          </w:p>
        </w:tc>
        <w:tc>
          <w:tcPr>
            <w:tcW w:w="4760" w:type="dxa"/>
            <w:gridSpan w:val="2"/>
            <w:vAlign w:val="center"/>
          </w:tcPr>
          <w:p w14:paraId="6AA2BE1C">
            <w:pPr>
              <w:pStyle w:val="28"/>
              <w:rPr>
                <w:color w:val="000000" w:themeColor="text1"/>
                <w14:textFill>
                  <w14:solidFill>
                    <w14:schemeClr w14:val="tx1"/>
                  </w14:solidFill>
                </w14:textFill>
              </w:rPr>
            </w:pPr>
            <w:r>
              <w:rPr>
                <w:color w:val="000000" w:themeColor="text1"/>
                <w14:textFill>
                  <w14:solidFill>
                    <w14:schemeClr w14:val="tx1"/>
                  </w14:solidFill>
                </w14:textFill>
              </w:rPr>
              <w:t>燃烧热 (kJ/ mol) :无</w:t>
            </w:r>
          </w:p>
        </w:tc>
      </w:tr>
      <w:tr w14:paraId="513492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1E01E180">
            <w:pPr>
              <w:pStyle w:val="28"/>
              <w:rPr>
                <w:color w:val="000000" w:themeColor="text1"/>
                <w14:textFill>
                  <w14:solidFill>
                    <w14:schemeClr w14:val="tx1"/>
                  </w14:solidFill>
                </w14:textFill>
              </w:rPr>
            </w:pPr>
          </w:p>
        </w:tc>
        <w:tc>
          <w:tcPr>
            <w:tcW w:w="4020" w:type="dxa"/>
            <w:vAlign w:val="center"/>
          </w:tcPr>
          <w:p w14:paraId="4934ADF6">
            <w:pPr>
              <w:pStyle w:val="28"/>
              <w:rPr>
                <w:color w:val="000000" w:themeColor="text1"/>
                <w14:textFill>
                  <w14:solidFill>
                    <w14:schemeClr w14:val="tx1"/>
                  </w14:solidFill>
                </w14:textFill>
              </w:rPr>
            </w:pPr>
            <w:r>
              <w:rPr>
                <w:color w:val="000000" w:themeColor="text1"/>
                <w14:textFill>
                  <w14:solidFill>
                    <w14:schemeClr w14:val="tx1"/>
                  </w14:solidFill>
                </w14:textFill>
              </w:rPr>
              <w:t>临界压力(MPa) : 无</w:t>
            </w:r>
          </w:p>
        </w:tc>
        <w:tc>
          <w:tcPr>
            <w:tcW w:w="4760" w:type="dxa"/>
            <w:gridSpan w:val="2"/>
            <w:vAlign w:val="center"/>
          </w:tcPr>
          <w:p w14:paraId="0502A304">
            <w:pPr>
              <w:pStyle w:val="28"/>
              <w:rPr>
                <w:color w:val="000000" w:themeColor="text1"/>
                <w14:textFill>
                  <w14:solidFill>
                    <w14:schemeClr w14:val="tx1"/>
                  </w14:solidFill>
                </w14:textFill>
              </w:rPr>
            </w:pPr>
            <w:r>
              <w:rPr>
                <w:color w:val="000000" w:themeColor="text1"/>
                <w14:textFill>
                  <w14:solidFill>
                    <w14:schemeClr w14:val="tx1"/>
                  </w14:solidFill>
                </w14:textFill>
              </w:rPr>
              <w:t>最小引燃能量(MJ)：无</w:t>
            </w:r>
          </w:p>
        </w:tc>
      </w:tr>
      <w:tr w14:paraId="57EBF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68E3BA0B">
            <w:pPr>
              <w:pStyle w:val="28"/>
              <w:rPr>
                <w:color w:val="000000" w:themeColor="text1"/>
                <w14:textFill>
                  <w14:solidFill>
                    <w14:schemeClr w14:val="tx1"/>
                  </w14:solidFill>
                </w14:textFill>
              </w:rPr>
            </w:pPr>
          </w:p>
        </w:tc>
        <w:tc>
          <w:tcPr>
            <w:tcW w:w="4020" w:type="dxa"/>
            <w:vAlign w:val="center"/>
          </w:tcPr>
          <w:p w14:paraId="03651789">
            <w:pPr>
              <w:pStyle w:val="28"/>
              <w:rPr>
                <w:color w:val="000000" w:themeColor="text1"/>
                <w14:textFill>
                  <w14:solidFill>
                    <w14:schemeClr w14:val="tx1"/>
                  </w14:solidFill>
                </w14:textFill>
              </w:rPr>
            </w:pPr>
            <w:r>
              <w:rPr>
                <w:color w:val="000000" w:themeColor="text1"/>
                <w14:textFill>
                  <w14:solidFill>
                    <w14:schemeClr w14:val="tx1"/>
                  </w14:solidFill>
                </w14:textFill>
              </w:rPr>
              <w:t>燃爆危险：可燃</w:t>
            </w:r>
          </w:p>
        </w:tc>
        <w:tc>
          <w:tcPr>
            <w:tcW w:w="4760" w:type="dxa"/>
            <w:gridSpan w:val="2"/>
            <w:vAlign w:val="center"/>
          </w:tcPr>
          <w:p w14:paraId="58448696">
            <w:pPr>
              <w:pStyle w:val="28"/>
              <w:rPr>
                <w:color w:val="000000" w:themeColor="text1"/>
                <w14:textFill>
                  <w14:solidFill>
                    <w14:schemeClr w14:val="tx1"/>
                  </w14:solidFill>
                </w14:textFill>
              </w:rPr>
            </w:pPr>
            <w:r>
              <w:rPr>
                <w:color w:val="000000" w:themeColor="text1"/>
                <w14:textFill>
                  <w14:solidFill>
                    <w14:schemeClr w14:val="tx1"/>
                  </w14:solidFill>
                </w14:textFill>
              </w:rPr>
              <w:t>有害燃烧产物：无</w:t>
            </w:r>
          </w:p>
        </w:tc>
      </w:tr>
      <w:tr w14:paraId="7586B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131F9431">
            <w:pPr>
              <w:pStyle w:val="28"/>
              <w:rPr>
                <w:color w:val="000000" w:themeColor="text1"/>
                <w14:textFill>
                  <w14:solidFill>
                    <w14:schemeClr w14:val="tx1"/>
                  </w14:solidFill>
                </w14:textFill>
              </w:rPr>
            </w:pPr>
          </w:p>
        </w:tc>
        <w:tc>
          <w:tcPr>
            <w:tcW w:w="4020" w:type="dxa"/>
            <w:vAlign w:val="center"/>
          </w:tcPr>
          <w:p w14:paraId="3D84E874">
            <w:pPr>
              <w:pStyle w:val="28"/>
              <w:rPr>
                <w:color w:val="000000" w:themeColor="text1"/>
                <w14:textFill>
                  <w14:solidFill>
                    <w14:schemeClr w14:val="tx1"/>
                  </w14:solidFill>
                </w14:textFill>
              </w:rPr>
            </w:pPr>
            <w:r>
              <w:rPr>
                <w:color w:val="000000" w:themeColor="text1"/>
                <w14:textFill>
                  <w14:solidFill>
                    <w14:schemeClr w14:val="tx1"/>
                  </w14:solidFill>
                </w14:textFill>
              </w:rPr>
              <w:t>闪点(℃) :216-421</w:t>
            </w:r>
          </w:p>
        </w:tc>
        <w:tc>
          <w:tcPr>
            <w:tcW w:w="4760" w:type="dxa"/>
            <w:gridSpan w:val="2"/>
            <w:vAlign w:val="center"/>
          </w:tcPr>
          <w:p w14:paraId="2ED67D03">
            <w:pPr>
              <w:pStyle w:val="28"/>
              <w:rPr>
                <w:color w:val="000000" w:themeColor="text1"/>
                <w14:textFill>
                  <w14:solidFill>
                    <w14:schemeClr w14:val="tx1"/>
                  </w14:solidFill>
                </w14:textFill>
              </w:rPr>
            </w:pPr>
            <w:r>
              <w:rPr>
                <w:color w:val="000000" w:themeColor="text1"/>
                <w14:textFill>
                  <w14:solidFill>
                    <w14:schemeClr w14:val="tx1"/>
                  </w14:solidFill>
                </w14:textFill>
              </w:rPr>
              <w:t>爆炸极限% (V/V)/:无</w:t>
            </w:r>
          </w:p>
        </w:tc>
      </w:tr>
      <w:tr w14:paraId="65542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4B63041E">
            <w:pPr>
              <w:pStyle w:val="28"/>
              <w:rPr>
                <w:color w:val="000000" w:themeColor="text1"/>
                <w14:textFill>
                  <w14:solidFill>
                    <w14:schemeClr w14:val="tx1"/>
                  </w14:solidFill>
                </w14:textFill>
              </w:rPr>
            </w:pPr>
          </w:p>
        </w:tc>
        <w:tc>
          <w:tcPr>
            <w:tcW w:w="4020" w:type="dxa"/>
            <w:vAlign w:val="center"/>
          </w:tcPr>
          <w:p w14:paraId="30A1C4A5">
            <w:pPr>
              <w:pStyle w:val="28"/>
              <w:rPr>
                <w:color w:val="000000" w:themeColor="text1"/>
                <w14:textFill>
                  <w14:solidFill>
                    <w14:schemeClr w14:val="tx1"/>
                  </w14:solidFill>
                </w14:textFill>
              </w:rPr>
            </w:pPr>
            <w:r>
              <w:rPr>
                <w:color w:val="000000" w:themeColor="text1"/>
                <w14:textFill>
                  <w14:solidFill>
                    <w14:schemeClr w14:val="tx1"/>
                  </w14:solidFill>
                </w14:textFill>
              </w:rPr>
              <w:t>引燃温度(℃) :490</w:t>
            </w:r>
          </w:p>
        </w:tc>
        <w:tc>
          <w:tcPr>
            <w:tcW w:w="4760" w:type="dxa"/>
            <w:gridSpan w:val="2"/>
            <w:vAlign w:val="center"/>
          </w:tcPr>
          <w:p w14:paraId="4901CE4D">
            <w:pPr>
              <w:pStyle w:val="28"/>
              <w:rPr>
                <w:color w:val="000000" w:themeColor="text1"/>
                <w14:textFill>
                  <w14:solidFill>
                    <w14:schemeClr w14:val="tx1"/>
                  </w14:solidFill>
                </w14:textFill>
              </w:rPr>
            </w:pPr>
            <w:r>
              <w:rPr>
                <w:color w:val="000000" w:themeColor="text1"/>
                <w14:textFill>
                  <w14:solidFill>
                    <w14:schemeClr w14:val="tx1"/>
                  </w14:solidFill>
                </w14:textFill>
              </w:rPr>
              <w:t>聚合危险：/</w:t>
            </w:r>
          </w:p>
        </w:tc>
      </w:tr>
      <w:tr w14:paraId="6F698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68DF0D64">
            <w:pPr>
              <w:pStyle w:val="28"/>
              <w:rPr>
                <w:color w:val="000000" w:themeColor="text1"/>
                <w14:textFill>
                  <w14:solidFill>
                    <w14:schemeClr w14:val="tx1"/>
                  </w14:solidFill>
                </w14:textFill>
              </w:rPr>
            </w:pPr>
          </w:p>
        </w:tc>
        <w:tc>
          <w:tcPr>
            <w:tcW w:w="4020" w:type="dxa"/>
            <w:vAlign w:val="center"/>
          </w:tcPr>
          <w:p w14:paraId="5011A425">
            <w:pPr>
              <w:pStyle w:val="28"/>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4760" w:type="dxa"/>
            <w:gridSpan w:val="2"/>
            <w:vAlign w:val="center"/>
          </w:tcPr>
          <w:p w14:paraId="4FD31215">
            <w:pPr>
              <w:pStyle w:val="28"/>
              <w:rPr>
                <w:color w:val="000000" w:themeColor="text1"/>
                <w14:textFill>
                  <w14:solidFill>
                    <w14:schemeClr w14:val="tx1"/>
                  </w14:solidFill>
                </w14:textFill>
              </w:rPr>
            </w:pPr>
            <w:r>
              <w:rPr>
                <w:color w:val="000000" w:themeColor="text1"/>
                <w14:textFill>
                  <w14:solidFill>
                    <w14:schemeClr w14:val="tx1"/>
                  </w14:solidFill>
                </w14:textFill>
              </w:rPr>
              <w:t>禁配物：强氧化剂</w:t>
            </w:r>
          </w:p>
        </w:tc>
      </w:tr>
      <w:tr w14:paraId="4CD44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3E475837">
            <w:pPr>
              <w:pStyle w:val="28"/>
              <w:rPr>
                <w:color w:val="000000" w:themeColor="text1"/>
                <w14:textFill>
                  <w14:solidFill>
                    <w14:schemeClr w14:val="tx1"/>
                  </w14:solidFill>
                </w14:textFill>
              </w:rPr>
            </w:pPr>
          </w:p>
        </w:tc>
        <w:tc>
          <w:tcPr>
            <w:tcW w:w="8780" w:type="dxa"/>
            <w:gridSpan w:val="3"/>
            <w:vAlign w:val="center"/>
          </w:tcPr>
          <w:p w14:paraId="52100D1F">
            <w:pPr>
              <w:pStyle w:val="28"/>
              <w:rPr>
                <w:color w:val="000000" w:themeColor="text1"/>
                <w14:textFill>
                  <w14:solidFill>
                    <w14:schemeClr w14:val="tx1"/>
                  </w14:solidFill>
                </w14:textFill>
              </w:rPr>
            </w:pPr>
            <w:r>
              <w:rPr>
                <w:color w:val="000000" w:themeColor="text1"/>
                <w14:textFill>
                  <w14:solidFill>
                    <w14:schemeClr w14:val="tx1"/>
                  </w14:solidFill>
                </w14:textFill>
              </w:rPr>
              <w:t>主要用途：热稳定性是热传导液最重要的使用性能。</w:t>
            </w:r>
          </w:p>
        </w:tc>
      </w:tr>
      <w:tr w14:paraId="3A706D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restart"/>
            <w:vAlign w:val="center"/>
          </w:tcPr>
          <w:p w14:paraId="05E61EB2">
            <w:pPr>
              <w:pStyle w:val="28"/>
              <w:rPr>
                <w:color w:val="000000" w:themeColor="text1"/>
                <w14:textFill>
                  <w14:solidFill>
                    <w14:schemeClr w14:val="tx1"/>
                  </w14:solidFill>
                </w14:textFill>
              </w:rPr>
            </w:pPr>
            <w:r>
              <w:rPr>
                <w:color w:val="000000" w:themeColor="text1"/>
                <w14:textFill>
                  <w14:solidFill>
                    <w14:schemeClr w14:val="tx1"/>
                  </w14:solidFill>
                </w14:textFill>
              </w:rPr>
              <w:t>燃爆危险性与消防</w:t>
            </w:r>
          </w:p>
        </w:tc>
        <w:tc>
          <w:tcPr>
            <w:tcW w:w="8780" w:type="dxa"/>
            <w:gridSpan w:val="3"/>
            <w:vAlign w:val="center"/>
          </w:tcPr>
          <w:p w14:paraId="68345366">
            <w:pPr>
              <w:pStyle w:val="28"/>
              <w:rPr>
                <w:color w:val="000000" w:themeColor="text1"/>
                <w14:textFill>
                  <w14:solidFill>
                    <w14:schemeClr w14:val="tx1"/>
                  </w14:solidFill>
                </w14:textFill>
              </w:rPr>
            </w:pPr>
            <w:r>
              <w:rPr>
                <w:color w:val="000000" w:themeColor="text1"/>
                <w14:textFill>
                  <w14:solidFill>
                    <w14:schemeClr w14:val="tx1"/>
                  </w14:solidFill>
                </w14:textFill>
              </w:rPr>
              <w:t>危险特性：未被评为可燃物，但会燃烧。</w:t>
            </w:r>
          </w:p>
        </w:tc>
      </w:tr>
      <w:tr w14:paraId="06EEF6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Merge w:val="continue"/>
          </w:tcPr>
          <w:p w14:paraId="063369CA">
            <w:pPr>
              <w:pStyle w:val="28"/>
              <w:rPr>
                <w:color w:val="000000" w:themeColor="text1"/>
                <w14:textFill>
                  <w14:solidFill>
                    <w14:schemeClr w14:val="tx1"/>
                  </w14:solidFill>
                </w14:textFill>
              </w:rPr>
            </w:pPr>
          </w:p>
        </w:tc>
        <w:tc>
          <w:tcPr>
            <w:tcW w:w="8780" w:type="dxa"/>
            <w:gridSpan w:val="3"/>
            <w:vAlign w:val="center"/>
          </w:tcPr>
          <w:p w14:paraId="7D6E2E31">
            <w:pPr>
              <w:pStyle w:val="28"/>
              <w:rPr>
                <w:color w:val="000000" w:themeColor="text1"/>
                <w14:textFill>
                  <w14:solidFill>
                    <w14:schemeClr w14:val="tx1"/>
                  </w14:solidFill>
                </w14:textFill>
              </w:rPr>
            </w:pPr>
            <w:r>
              <w:rPr>
                <w:color w:val="000000" w:themeColor="text1"/>
                <w14:textFill>
                  <w14:solidFill>
                    <w14:schemeClr w14:val="tx1"/>
                  </w14:solidFill>
                </w14:textFill>
              </w:rPr>
              <w:t>灭火方法：泡沫、干化学灭火粉、二氧化碳。沙或泥土仅宜用于小规模火灾。切勿喷水</w:t>
            </w:r>
          </w:p>
        </w:tc>
      </w:tr>
      <w:tr w14:paraId="28D823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Align w:val="center"/>
          </w:tcPr>
          <w:p w14:paraId="186F96C7">
            <w:pPr>
              <w:pStyle w:val="28"/>
              <w:rPr>
                <w:color w:val="000000" w:themeColor="text1"/>
                <w14:textFill>
                  <w14:solidFill>
                    <w14:schemeClr w14:val="tx1"/>
                  </w14:solidFill>
                </w14:textFill>
              </w:rPr>
            </w:pPr>
            <w:r>
              <w:rPr>
                <w:color w:val="000000" w:themeColor="text1"/>
                <w14:textFill>
                  <w14:solidFill>
                    <w14:schemeClr w14:val="tx1"/>
                  </w14:solidFill>
                </w14:textFill>
              </w:rPr>
              <w:t>对人体危害</w:t>
            </w:r>
          </w:p>
        </w:tc>
        <w:tc>
          <w:tcPr>
            <w:tcW w:w="8780" w:type="dxa"/>
            <w:gridSpan w:val="3"/>
            <w:vAlign w:val="center"/>
          </w:tcPr>
          <w:p w14:paraId="0BF7FD1B">
            <w:pPr>
              <w:pStyle w:val="28"/>
              <w:rPr>
                <w:color w:val="000000" w:themeColor="text1"/>
                <w14:textFill>
                  <w14:solidFill>
                    <w14:schemeClr w14:val="tx1"/>
                  </w14:solidFill>
                </w14:textFill>
              </w:rPr>
            </w:pPr>
            <w:r>
              <w:rPr>
                <w:color w:val="000000" w:themeColor="text1"/>
                <w14:textFill>
                  <w14:solidFill>
                    <w14:schemeClr w14:val="tx1"/>
                  </w14:solidFill>
                </w14:textFill>
              </w:rPr>
              <w:t>侵入途径：吸入。</w:t>
            </w:r>
          </w:p>
          <w:p w14:paraId="43B599C0">
            <w:pPr>
              <w:pStyle w:val="28"/>
              <w:rPr>
                <w:color w:val="000000" w:themeColor="text1"/>
                <w14:textFill>
                  <w14:solidFill>
                    <w14:schemeClr w14:val="tx1"/>
                  </w14:solidFill>
                </w14:textFill>
              </w:rPr>
            </w:pPr>
            <w:r>
              <w:rPr>
                <w:color w:val="000000" w:themeColor="text1"/>
                <w14:textFill>
                  <w14:solidFill>
                    <w14:schemeClr w14:val="tx1"/>
                  </w14:solidFill>
                </w14:textFill>
              </w:rPr>
              <w:t>健康危害：长期或持续接触皮肤，而不适当清洗，可能会阻塞皮肤毛孔，导致油脂性粉刺/毛囊炎等疾病。用过的油可能包含有害杂质。</w:t>
            </w:r>
          </w:p>
        </w:tc>
      </w:tr>
      <w:tr w14:paraId="5E6671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Align w:val="center"/>
          </w:tcPr>
          <w:p w14:paraId="06CE5468">
            <w:pPr>
              <w:pStyle w:val="28"/>
              <w:rPr>
                <w:color w:val="000000" w:themeColor="text1"/>
                <w14:textFill>
                  <w14:solidFill>
                    <w14:schemeClr w14:val="tx1"/>
                  </w14:solidFill>
                </w14:textFill>
              </w:rPr>
            </w:pPr>
            <w:r>
              <w:rPr>
                <w:color w:val="000000" w:themeColor="text1"/>
                <w14:textFill>
                  <w14:solidFill>
                    <w14:schemeClr w14:val="tx1"/>
                  </w14:solidFill>
                </w14:textFill>
              </w:rPr>
              <w:t>防护</w:t>
            </w:r>
          </w:p>
          <w:p w14:paraId="3488C5B1">
            <w:pPr>
              <w:pStyle w:val="28"/>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8780" w:type="dxa"/>
            <w:gridSpan w:val="3"/>
          </w:tcPr>
          <w:p w14:paraId="7E14DBB5">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呼吸系统防护：在正常使用条件下，一般不需戴呼吸保护用具。良好的工业卫生惯例说明应采取能防止吸入本品的措施。如果工程控制设施未把空气浓度保持在足以保护人员健康的水平，选择适合使用条件及符合有关法律要求的呼吸保护设备。如需戴安全过滤面罩时，请选择合适的面罩与过滤器组合。眼睛防护：如可能发生溅泼 ，请戴安全护镜或全脸面罩。</w:t>
            </w:r>
          </w:p>
          <w:p w14:paraId="013DA8BE">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身体防护：一般而言，除了普通的工作服之外不需特殊的皮肤保护措施。</w:t>
            </w:r>
          </w:p>
          <w:p w14:paraId="357F2969">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手防护：在手可能接触产品的情况下，为得到适当的化学保护，应使用符合有关标准 (如欧洲：EN374，美国：F739)并用以下材料制成的手套：</w:t>
            </w:r>
          </w:p>
          <w:p w14:paraId="6A647750">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聚氯乙烯、氯丁或丁腈橡胶手套.</w:t>
            </w:r>
          </w:p>
          <w:p w14:paraId="2B421905">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手套的合适性和耐用性取决于如何使用，例如接触的频率和时间长度，手套材料的 耐化学性，手套的厚度及灵巧性。应始终向手套供应商寻求建议。应更换受污染的手套。个人卫生是有效护理手部的主要方法。必须仅在双手洗干净后，才能戴手套。使用手套后，必须彻底清洗及烘干双手。建议使用非香型保湿霜。</w:t>
            </w:r>
          </w:p>
          <w:p w14:paraId="21C6B04E">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其他防护：工作现场严禁吸烟。保持良好的卫生习惯。</w:t>
            </w:r>
          </w:p>
        </w:tc>
      </w:tr>
      <w:tr w14:paraId="1FF0E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Align w:val="center"/>
          </w:tcPr>
          <w:p w14:paraId="1B2AD0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安全措施</w:t>
            </w:r>
          </w:p>
        </w:tc>
        <w:tc>
          <w:tcPr>
            <w:tcW w:w="8780" w:type="dxa"/>
            <w:gridSpan w:val="3"/>
          </w:tcPr>
          <w:p w14:paraId="5488C957">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【储存要求】</w:t>
            </w:r>
          </w:p>
          <w:p w14:paraId="1EA0FFF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密闭容器，放在凉爽、通风良好的地方，使用适当加注标签及可封闭的容器。储存温度：长期储存 (3个月以上) −15~50°C；短期储存- −20~60°C。</w:t>
            </w:r>
          </w:p>
          <w:p w14:paraId="2188C67B">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【搬运安全】</w:t>
            </w:r>
          </w:p>
          <w:p w14:paraId="17331A0D">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避免长期或持续与皮肤接触。</w:t>
            </w:r>
          </w:p>
          <w:p w14:paraId="1E7B357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避开吸入其蒸汽和(或)烟雾。</w:t>
            </w:r>
          </w:p>
          <w:p w14:paraId="77C01BA1">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装卸桶装产品时，应穿保护鞋 ，并使用恰当的装卸工具。</w:t>
            </w:r>
          </w:p>
        </w:tc>
      </w:tr>
      <w:tr w14:paraId="5CB811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Align w:val="center"/>
          </w:tcPr>
          <w:p w14:paraId="79140B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泄漏处理</w:t>
            </w:r>
          </w:p>
        </w:tc>
        <w:tc>
          <w:tcPr>
            <w:tcW w:w="8780" w:type="dxa"/>
            <w:gridSpan w:val="3"/>
          </w:tcPr>
          <w:p w14:paraId="1118869D">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溢出后，地面非常光滑。为避免事故，应立即清洁。</w:t>
            </w:r>
          </w:p>
          <w:p w14:paraId="74F100C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用沙、泥土或其它可用来栏堵的材料设置障碍，以防止扩散。直接回收液体或存放于吸收剂中。用粘土、沙或其它适当的吸附材料来吸收残余物，然后予以适当的弃置。</w:t>
            </w:r>
          </w:p>
        </w:tc>
      </w:tr>
      <w:tr w14:paraId="74C5F2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00" w:type="dxa"/>
            <w:vAlign w:val="center"/>
          </w:tcPr>
          <w:p w14:paraId="1C7ED7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应急处置原则</w:t>
            </w:r>
          </w:p>
        </w:tc>
        <w:tc>
          <w:tcPr>
            <w:tcW w:w="8780" w:type="dxa"/>
            <w:gridSpan w:val="3"/>
          </w:tcPr>
          <w:p w14:paraId="491C5F9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【急救措施】</w:t>
            </w:r>
          </w:p>
          <w:p w14:paraId="608C3DFB">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皮肤接触：脱去污染衣物。用水冲洗暴露的部位，并用肥皂进行清洗。如刺激持续，请求医。在使用高压设备时，有可能造成本品注入皮下，如发生此种情况，请立即送往医院治疗，不要等待，以免症状恶化。</w:t>
            </w:r>
          </w:p>
          <w:p w14:paraId="7F32B85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眼睛接触：用大量的水冲洗眼睛。如刺激持续，求医。</w:t>
            </w:r>
          </w:p>
          <w:p w14:paraId="57D80DD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吸入：晕眩或反胃不太可能出现，如果发生了，将患者移到有新鲜空气的地方。若症状持续则要求求助医生。</w:t>
            </w:r>
          </w:p>
          <w:p w14:paraId="16970E21">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食入：不要催吐，用水漱口并就医。</w:t>
            </w:r>
          </w:p>
          <w:p w14:paraId="3C05BD7D">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【灭火方法】</w:t>
            </w:r>
          </w:p>
          <w:p w14:paraId="4343326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灭火方法：泡沫、干化学灭火粉、二氧化碳。沙或泥土仅宜用于小规模火灾。切勿喷水。</w:t>
            </w:r>
          </w:p>
          <w:p w14:paraId="03F1C35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【泄漏应急处置】</w:t>
            </w:r>
          </w:p>
          <w:p w14:paraId="6CE05266">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用沙、泥土或其它可用来栏堵的材料设置障碍，以防止扩散。直接回收液体或存放于吸收剂中。用粘土、沙或其它适当的吸附材料来吸收残余物，然后予以适当的弃置。</w:t>
            </w:r>
          </w:p>
        </w:tc>
      </w:tr>
    </w:tbl>
    <w:p w14:paraId="78712809">
      <w:pPr>
        <w:pStyle w:val="2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hint="eastAsia" w:cs="Times New Roman"/>
          <w:color w:val="000000" w:themeColor="text1"/>
          <w14:textFill>
            <w14:solidFill>
              <w14:schemeClr w14:val="tx1"/>
            </w14:solidFill>
          </w14:textFill>
        </w:rPr>
        <w:t>5.2-31</w:t>
      </w:r>
      <w:r>
        <w:rPr>
          <w:rFonts w:cs="Times New Roman"/>
          <w:color w:val="000000" w:themeColor="text1"/>
          <w14:textFill>
            <w14:solidFill>
              <w14:schemeClr w14:val="tx1"/>
            </w14:solidFill>
          </w14:textFill>
        </w:rPr>
        <w:t xml:space="preserve">   氢氧化钠理化性质及危险特性一览表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00"/>
        <w:gridCol w:w="389"/>
        <w:gridCol w:w="491"/>
        <w:gridCol w:w="1476"/>
        <w:gridCol w:w="661"/>
        <w:gridCol w:w="2507"/>
      </w:tblGrid>
      <w:tr w14:paraId="0286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702" w:type="pct"/>
            <w:vMerge w:val="restart"/>
            <w:tcBorders>
              <w:top w:val="single" w:color="auto" w:sz="4" w:space="0"/>
              <w:left w:val="single" w:color="auto" w:sz="4" w:space="0"/>
              <w:bottom w:val="single" w:color="auto" w:sz="4" w:space="0"/>
              <w:right w:val="single" w:color="auto" w:sz="4" w:space="0"/>
            </w:tcBorders>
            <w:vAlign w:val="center"/>
          </w:tcPr>
          <w:p w14:paraId="424DCC2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标识</w:t>
            </w:r>
          </w:p>
        </w:tc>
        <w:tc>
          <w:tcPr>
            <w:tcW w:w="1572" w:type="pct"/>
            <w:gridSpan w:val="3"/>
            <w:tcBorders>
              <w:top w:val="single" w:color="auto" w:sz="4" w:space="0"/>
              <w:left w:val="single" w:color="auto" w:sz="4" w:space="0"/>
              <w:bottom w:val="single" w:color="auto" w:sz="4" w:space="0"/>
              <w:right w:val="single" w:color="auto" w:sz="4" w:space="0"/>
            </w:tcBorders>
          </w:tcPr>
          <w:p w14:paraId="3D8491CB">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中文名：氢氧化钠；烧碱</w:t>
            </w:r>
          </w:p>
        </w:tc>
        <w:tc>
          <w:tcPr>
            <w:tcW w:w="2724" w:type="pct"/>
            <w:gridSpan w:val="3"/>
            <w:tcBorders>
              <w:top w:val="single" w:color="auto" w:sz="4" w:space="0"/>
              <w:left w:val="single" w:color="auto" w:sz="4" w:space="0"/>
              <w:bottom w:val="single" w:color="auto" w:sz="4" w:space="0"/>
              <w:right w:val="single" w:color="auto" w:sz="4" w:space="0"/>
            </w:tcBorders>
          </w:tcPr>
          <w:p w14:paraId="462CD30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英文名：sodiun hydroxide；caustic soda</w:t>
            </w:r>
          </w:p>
        </w:tc>
      </w:tr>
      <w:tr w14:paraId="575E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43D22E8C">
            <w:pPr>
              <w:pStyle w:val="28"/>
              <w:rPr>
                <w:rFonts w:cs="Times New Roman"/>
                <w:color w:val="000000" w:themeColor="text1"/>
                <w14:textFill>
                  <w14:solidFill>
                    <w14:schemeClr w14:val="tx1"/>
                  </w14:solidFill>
                </w14:textFill>
              </w:rPr>
            </w:pPr>
          </w:p>
        </w:tc>
        <w:tc>
          <w:tcPr>
            <w:tcW w:w="1284" w:type="pct"/>
            <w:gridSpan w:val="2"/>
            <w:tcBorders>
              <w:top w:val="single" w:color="auto" w:sz="4" w:space="0"/>
              <w:left w:val="single" w:color="auto" w:sz="4" w:space="0"/>
              <w:bottom w:val="single" w:color="auto" w:sz="4" w:space="0"/>
              <w:right w:val="single" w:color="auto" w:sz="4" w:space="0"/>
            </w:tcBorders>
          </w:tcPr>
          <w:p w14:paraId="45422FBD">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分子式：NaOH</w:t>
            </w:r>
          </w:p>
        </w:tc>
        <w:tc>
          <w:tcPr>
            <w:tcW w:w="1542" w:type="pct"/>
            <w:gridSpan w:val="3"/>
            <w:tcBorders>
              <w:top w:val="single" w:color="auto" w:sz="4" w:space="0"/>
              <w:left w:val="single" w:color="auto" w:sz="4" w:space="0"/>
              <w:bottom w:val="single" w:color="auto" w:sz="4" w:space="0"/>
              <w:right w:val="single" w:color="auto" w:sz="4" w:space="0"/>
            </w:tcBorders>
          </w:tcPr>
          <w:p w14:paraId="369C1134">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分子量：40.01</w:t>
            </w:r>
          </w:p>
        </w:tc>
        <w:tc>
          <w:tcPr>
            <w:tcW w:w="1470" w:type="pct"/>
            <w:tcBorders>
              <w:top w:val="single" w:color="auto" w:sz="4" w:space="0"/>
              <w:left w:val="single" w:color="auto" w:sz="4" w:space="0"/>
              <w:bottom w:val="single" w:color="auto" w:sz="4" w:space="0"/>
              <w:right w:val="single" w:color="auto" w:sz="4" w:space="0"/>
            </w:tcBorders>
          </w:tcPr>
          <w:p w14:paraId="2DF6A7E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CAS号：1310－73－2</w:t>
            </w:r>
          </w:p>
        </w:tc>
      </w:tr>
      <w:tr w14:paraId="0329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4B59EFC0">
            <w:pPr>
              <w:pStyle w:val="28"/>
              <w:rPr>
                <w:rFonts w:cs="Times New Roman"/>
                <w:color w:val="000000" w:themeColor="text1"/>
                <w14:textFill>
                  <w14:solidFill>
                    <w14:schemeClr w14:val="tx1"/>
                  </w14:solidFill>
                </w14:textFill>
              </w:rPr>
            </w:pPr>
          </w:p>
        </w:tc>
        <w:tc>
          <w:tcPr>
            <w:tcW w:w="4297" w:type="pct"/>
            <w:gridSpan w:val="6"/>
            <w:tcBorders>
              <w:top w:val="single" w:color="auto" w:sz="4" w:space="0"/>
              <w:left w:val="single" w:color="auto" w:sz="4" w:space="0"/>
              <w:bottom w:val="single" w:color="auto" w:sz="4" w:space="0"/>
              <w:right w:val="single" w:color="auto" w:sz="4" w:space="0"/>
            </w:tcBorders>
          </w:tcPr>
          <w:p w14:paraId="11A9851D">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危规号：82001</w:t>
            </w:r>
          </w:p>
        </w:tc>
      </w:tr>
      <w:tr w14:paraId="6C77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702" w:type="pct"/>
            <w:vMerge w:val="restart"/>
            <w:tcBorders>
              <w:top w:val="single" w:color="auto" w:sz="4" w:space="0"/>
              <w:left w:val="single" w:color="auto" w:sz="4" w:space="0"/>
              <w:bottom w:val="single" w:color="auto" w:sz="4" w:space="0"/>
              <w:right w:val="single" w:color="auto" w:sz="4" w:space="0"/>
            </w:tcBorders>
            <w:vAlign w:val="center"/>
          </w:tcPr>
          <w:p w14:paraId="4464AB61">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理化性质</w:t>
            </w:r>
          </w:p>
        </w:tc>
        <w:tc>
          <w:tcPr>
            <w:tcW w:w="4297" w:type="pct"/>
            <w:gridSpan w:val="6"/>
            <w:tcBorders>
              <w:top w:val="single" w:color="auto" w:sz="4" w:space="0"/>
              <w:left w:val="single" w:color="auto" w:sz="4" w:space="0"/>
              <w:bottom w:val="single" w:color="auto" w:sz="4" w:space="0"/>
              <w:right w:val="single" w:color="auto" w:sz="4" w:space="0"/>
            </w:tcBorders>
          </w:tcPr>
          <w:p w14:paraId="59EAF6B5">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性状： 白色不透明固体，易潮解。</w:t>
            </w:r>
          </w:p>
        </w:tc>
      </w:tr>
      <w:tr w14:paraId="4C95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4947DA27">
            <w:pPr>
              <w:pStyle w:val="28"/>
              <w:rPr>
                <w:rFonts w:cs="Times New Roman"/>
                <w:color w:val="000000" w:themeColor="text1"/>
                <w14:textFill>
                  <w14:solidFill>
                    <w14:schemeClr w14:val="tx1"/>
                  </w14:solidFill>
                </w14:textFill>
              </w:rPr>
            </w:pPr>
          </w:p>
        </w:tc>
        <w:tc>
          <w:tcPr>
            <w:tcW w:w="4297" w:type="pct"/>
            <w:gridSpan w:val="6"/>
            <w:tcBorders>
              <w:top w:val="single" w:color="auto" w:sz="4" w:space="0"/>
              <w:left w:val="single" w:color="auto" w:sz="4" w:space="0"/>
              <w:bottom w:val="single" w:color="auto" w:sz="4" w:space="0"/>
              <w:right w:val="single" w:color="auto" w:sz="4" w:space="0"/>
            </w:tcBorders>
          </w:tcPr>
          <w:p w14:paraId="35BF23AA">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溶解性：易溶于水、乙醇、甘油，不溶于丙酮。</w:t>
            </w:r>
          </w:p>
        </w:tc>
      </w:tr>
      <w:tr w14:paraId="4B0D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38DF823F">
            <w:pPr>
              <w:pStyle w:val="28"/>
              <w:rPr>
                <w:rFonts w:cs="Times New Roman"/>
                <w:color w:val="000000" w:themeColor="text1"/>
                <w14:textFill>
                  <w14:solidFill>
                    <w14:schemeClr w14:val="tx1"/>
                  </w14:solidFill>
                </w14:textFill>
              </w:rPr>
            </w:pPr>
          </w:p>
        </w:tc>
        <w:tc>
          <w:tcPr>
            <w:tcW w:w="1056" w:type="pct"/>
            <w:tcBorders>
              <w:top w:val="single" w:color="auto" w:sz="4" w:space="0"/>
              <w:left w:val="single" w:color="auto" w:sz="4" w:space="0"/>
              <w:bottom w:val="single" w:color="auto" w:sz="4" w:space="0"/>
              <w:right w:val="single" w:color="auto" w:sz="4" w:space="0"/>
            </w:tcBorders>
          </w:tcPr>
          <w:p w14:paraId="1ECF360C">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熔点（℃）：318.4</w:t>
            </w:r>
          </w:p>
        </w:tc>
        <w:tc>
          <w:tcPr>
            <w:tcW w:w="1382" w:type="pct"/>
            <w:gridSpan w:val="3"/>
            <w:tcBorders>
              <w:top w:val="single" w:color="auto" w:sz="4" w:space="0"/>
              <w:left w:val="single" w:color="auto" w:sz="4" w:space="0"/>
              <w:bottom w:val="single" w:color="auto" w:sz="4" w:space="0"/>
              <w:right w:val="single" w:color="auto" w:sz="4" w:space="0"/>
            </w:tcBorders>
          </w:tcPr>
          <w:p w14:paraId="7419054F">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沸点（℃）：1390</w:t>
            </w:r>
          </w:p>
        </w:tc>
        <w:tc>
          <w:tcPr>
            <w:tcW w:w="1858" w:type="pct"/>
            <w:gridSpan w:val="2"/>
            <w:tcBorders>
              <w:top w:val="single" w:color="auto" w:sz="4" w:space="0"/>
              <w:left w:val="single" w:color="auto" w:sz="4" w:space="0"/>
              <w:bottom w:val="single" w:color="auto" w:sz="4" w:space="0"/>
              <w:right w:val="single" w:color="auto" w:sz="4" w:space="0"/>
            </w:tcBorders>
          </w:tcPr>
          <w:p w14:paraId="53C8277A">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相对密度（水＝1）：2.12</w:t>
            </w:r>
          </w:p>
        </w:tc>
      </w:tr>
      <w:tr w14:paraId="16D9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210FFD9C">
            <w:pPr>
              <w:pStyle w:val="28"/>
              <w:rPr>
                <w:rFonts w:cs="Times New Roman"/>
                <w:color w:val="000000" w:themeColor="text1"/>
                <w14:textFill>
                  <w14:solidFill>
                    <w14:schemeClr w14:val="tx1"/>
                  </w14:solidFill>
                </w14:textFill>
              </w:rPr>
            </w:pPr>
          </w:p>
        </w:tc>
        <w:tc>
          <w:tcPr>
            <w:tcW w:w="1056" w:type="pct"/>
            <w:tcBorders>
              <w:top w:val="single" w:color="auto" w:sz="4" w:space="0"/>
              <w:left w:val="single" w:color="auto" w:sz="4" w:space="0"/>
              <w:bottom w:val="single" w:color="auto" w:sz="4" w:space="0"/>
              <w:right w:val="single" w:color="auto" w:sz="4" w:space="0"/>
            </w:tcBorders>
          </w:tcPr>
          <w:p w14:paraId="0AE7769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临界温度（℃）：</w:t>
            </w:r>
          </w:p>
        </w:tc>
        <w:tc>
          <w:tcPr>
            <w:tcW w:w="1382" w:type="pct"/>
            <w:gridSpan w:val="3"/>
            <w:tcBorders>
              <w:top w:val="single" w:color="auto" w:sz="4" w:space="0"/>
              <w:left w:val="single" w:color="auto" w:sz="4" w:space="0"/>
              <w:bottom w:val="single" w:color="auto" w:sz="4" w:space="0"/>
              <w:right w:val="single" w:color="auto" w:sz="4" w:space="0"/>
            </w:tcBorders>
          </w:tcPr>
          <w:p w14:paraId="3C8F1300">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临界压力（MPa）：</w:t>
            </w:r>
          </w:p>
        </w:tc>
        <w:tc>
          <w:tcPr>
            <w:tcW w:w="1858" w:type="pct"/>
            <w:gridSpan w:val="2"/>
            <w:tcBorders>
              <w:top w:val="single" w:color="auto" w:sz="4" w:space="0"/>
              <w:left w:val="single" w:color="auto" w:sz="4" w:space="0"/>
              <w:bottom w:val="single" w:color="auto" w:sz="4" w:space="0"/>
              <w:right w:val="single" w:color="auto" w:sz="4" w:space="0"/>
            </w:tcBorders>
          </w:tcPr>
          <w:p w14:paraId="0D229B4F">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相对密度（空气＝1）：</w:t>
            </w:r>
          </w:p>
        </w:tc>
      </w:tr>
      <w:tr w14:paraId="287B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70204E58">
            <w:pPr>
              <w:pStyle w:val="28"/>
              <w:rPr>
                <w:rFonts w:cs="Times New Roman"/>
                <w:color w:val="000000" w:themeColor="text1"/>
                <w14:textFill>
                  <w14:solidFill>
                    <w14:schemeClr w14:val="tx1"/>
                  </w14:solidFill>
                </w14:textFill>
              </w:rPr>
            </w:pPr>
          </w:p>
        </w:tc>
        <w:tc>
          <w:tcPr>
            <w:tcW w:w="1056" w:type="pct"/>
            <w:tcBorders>
              <w:top w:val="single" w:color="auto" w:sz="4" w:space="0"/>
              <w:left w:val="single" w:color="auto" w:sz="4" w:space="0"/>
              <w:bottom w:val="single" w:color="auto" w:sz="4" w:space="0"/>
              <w:right w:val="single" w:color="auto" w:sz="4" w:space="0"/>
            </w:tcBorders>
          </w:tcPr>
          <w:p w14:paraId="259C8387">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燃烧热（KJ/mol）：无意义</w:t>
            </w:r>
          </w:p>
        </w:tc>
        <w:tc>
          <w:tcPr>
            <w:tcW w:w="1382" w:type="pct"/>
            <w:gridSpan w:val="3"/>
            <w:tcBorders>
              <w:top w:val="single" w:color="auto" w:sz="4" w:space="0"/>
              <w:left w:val="single" w:color="auto" w:sz="4" w:space="0"/>
              <w:bottom w:val="single" w:color="auto" w:sz="4" w:space="0"/>
              <w:right w:val="single" w:color="auto" w:sz="4" w:space="0"/>
            </w:tcBorders>
          </w:tcPr>
          <w:p w14:paraId="74DA6F8C">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最小点火能（mJ）：</w:t>
            </w:r>
          </w:p>
        </w:tc>
        <w:tc>
          <w:tcPr>
            <w:tcW w:w="1858" w:type="pct"/>
            <w:gridSpan w:val="2"/>
            <w:tcBorders>
              <w:top w:val="single" w:color="auto" w:sz="4" w:space="0"/>
              <w:left w:val="single" w:color="auto" w:sz="4" w:space="0"/>
              <w:bottom w:val="single" w:color="auto" w:sz="4" w:space="0"/>
              <w:right w:val="single" w:color="auto" w:sz="4" w:space="0"/>
            </w:tcBorders>
          </w:tcPr>
          <w:p w14:paraId="4B58DC35">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饱和蒸汽压（KPa）：0.13（739℃）</w:t>
            </w:r>
          </w:p>
        </w:tc>
      </w:tr>
      <w:tr w14:paraId="2DC5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02" w:type="pct"/>
            <w:vMerge w:val="restart"/>
            <w:tcBorders>
              <w:top w:val="single" w:color="auto" w:sz="4" w:space="0"/>
              <w:left w:val="single" w:color="auto" w:sz="4" w:space="0"/>
              <w:bottom w:val="single" w:color="auto" w:sz="4" w:space="0"/>
              <w:right w:val="single" w:color="auto" w:sz="4" w:space="0"/>
            </w:tcBorders>
            <w:vAlign w:val="center"/>
          </w:tcPr>
          <w:p w14:paraId="045DDECA">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燃烧爆炸危险性</w:t>
            </w:r>
          </w:p>
        </w:tc>
        <w:tc>
          <w:tcPr>
            <w:tcW w:w="1572" w:type="pct"/>
            <w:gridSpan w:val="3"/>
            <w:tcBorders>
              <w:top w:val="single" w:color="auto" w:sz="4" w:space="0"/>
              <w:left w:val="single" w:color="auto" w:sz="4" w:space="0"/>
              <w:bottom w:val="single" w:color="auto" w:sz="4" w:space="0"/>
              <w:right w:val="single" w:color="auto" w:sz="4" w:space="0"/>
            </w:tcBorders>
          </w:tcPr>
          <w:p w14:paraId="4675EF04">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燃烧性：不燃</w:t>
            </w:r>
          </w:p>
        </w:tc>
        <w:tc>
          <w:tcPr>
            <w:tcW w:w="2724" w:type="pct"/>
            <w:gridSpan w:val="3"/>
            <w:tcBorders>
              <w:top w:val="single" w:color="auto" w:sz="4" w:space="0"/>
              <w:left w:val="single" w:color="auto" w:sz="4" w:space="0"/>
              <w:bottom w:val="single" w:color="auto" w:sz="4" w:space="0"/>
              <w:right w:val="single" w:color="auto" w:sz="4" w:space="0"/>
            </w:tcBorders>
          </w:tcPr>
          <w:p w14:paraId="6D149B9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燃烧分解产物：可能产生有害的毒性烟雾。</w:t>
            </w:r>
          </w:p>
        </w:tc>
      </w:tr>
      <w:tr w14:paraId="5160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2836A042">
            <w:pPr>
              <w:pStyle w:val="28"/>
              <w:rPr>
                <w:rFonts w:cs="Times New Roman"/>
                <w:color w:val="000000" w:themeColor="text1"/>
                <w14:textFill>
                  <w14:solidFill>
                    <w14:schemeClr w14:val="tx1"/>
                  </w14:solidFill>
                </w14:textFill>
              </w:rPr>
            </w:pPr>
          </w:p>
        </w:tc>
        <w:tc>
          <w:tcPr>
            <w:tcW w:w="1572" w:type="pct"/>
            <w:gridSpan w:val="3"/>
            <w:tcBorders>
              <w:top w:val="single" w:color="auto" w:sz="4" w:space="0"/>
              <w:left w:val="single" w:color="auto" w:sz="4" w:space="0"/>
              <w:bottom w:val="single" w:color="auto" w:sz="4" w:space="0"/>
              <w:right w:val="single" w:color="auto" w:sz="4" w:space="0"/>
            </w:tcBorders>
          </w:tcPr>
          <w:p w14:paraId="7CC224A9">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闪点（℃）：无意义</w:t>
            </w:r>
          </w:p>
        </w:tc>
        <w:tc>
          <w:tcPr>
            <w:tcW w:w="2724" w:type="pct"/>
            <w:gridSpan w:val="3"/>
            <w:tcBorders>
              <w:top w:val="single" w:color="auto" w:sz="4" w:space="0"/>
              <w:left w:val="single" w:color="auto" w:sz="4" w:space="0"/>
              <w:bottom w:val="single" w:color="auto" w:sz="4" w:space="0"/>
              <w:right w:val="single" w:color="auto" w:sz="4" w:space="0"/>
            </w:tcBorders>
          </w:tcPr>
          <w:p w14:paraId="65B19F63">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聚合危害：不聚合</w:t>
            </w:r>
          </w:p>
        </w:tc>
      </w:tr>
      <w:tr w14:paraId="27E4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79E8148D">
            <w:pPr>
              <w:pStyle w:val="28"/>
              <w:rPr>
                <w:rFonts w:cs="Times New Roman"/>
                <w:color w:val="000000" w:themeColor="text1"/>
                <w14:textFill>
                  <w14:solidFill>
                    <w14:schemeClr w14:val="tx1"/>
                  </w14:solidFill>
                </w14:textFill>
              </w:rPr>
            </w:pPr>
          </w:p>
        </w:tc>
        <w:tc>
          <w:tcPr>
            <w:tcW w:w="1572" w:type="pct"/>
            <w:gridSpan w:val="3"/>
            <w:tcBorders>
              <w:top w:val="single" w:color="auto" w:sz="4" w:space="0"/>
              <w:left w:val="single" w:color="auto" w:sz="4" w:space="0"/>
              <w:bottom w:val="single" w:color="auto" w:sz="4" w:space="0"/>
              <w:right w:val="single" w:color="auto" w:sz="4" w:space="0"/>
            </w:tcBorders>
          </w:tcPr>
          <w:p w14:paraId="6EBC70BF">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爆炸下限（％）：无意义</w:t>
            </w:r>
          </w:p>
        </w:tc>
        <w:tc>
          <w:tcPr>
            <w:tcW w:w="2724" w:type="pct"/>
            <w:gridSpan w:val="3"/>
            <w:tcBorders>
              <w:top w:val="single" w:color="auto" w:sz="4" w:space="0"/>
              <w:left w:val="single" w:color="auto" w:sz="4" w:space="0"/>
              <w:bottom w:val="single" w:color="auto" w:sz="4" w:space="0"/>
              <w:right w:val="single" w:color="auto" w:sz="4" w:space="0"/>
            </w:tcBorders>
          </w:tcPr>
          <w:p w14:paraId="4533972A">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稳定性：稳定</w:t>
            </w:r>
          </w:p>
        </w:tc>
      </w:tr>
      <w:tr w14:paraId="4F0D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151CA83F">
            <w:pPr>
              <w:pStyle w:val="28"/>
              <w:rPr>
                <w:rFonts w:cs="Times New Roman"/>
                <w:color w:val="000000" w:themeColor="text1"/>
                <w14:textFill>
                  <w14:solidFill>
                    <w14:schemeClr w14:val="tx1"/>
                  </w14:solidFill>
                </w14:textFill>
              </w:rPr>
            </w:pPr>
          </w:p>
        </w:tc>
        <w:tc>
          <w:tcPr>
            <w:tcW w:w="1572" w:type="pct"/>
            <w:gridSpan w:val="3"/>
            <w:tcBorders>
              <w:top w:val="single" w:color="auto" w:sz="4" w:space="0"/>
              <w:left w:val="single" w:color="auto" w:sz="4" w:space="0"/>
              <w:bottom w:val="single" w:color="auto" w:sz="4" w:space="0"/>
              <w:right w:val="single" w:color="auto" w:sz="4" w:space="0"/>
            </w:tcBorders>
          </w:tcPr>
          <w:p w14:paraId="7B75B6E0">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爆炸上限（％）：无意义</w:t>
            </w:r>
          </w:p>
        </w:tc>
        <w:tc>
          <w:tcPr>
            <w:tcW w:w="2724" w:type="pct"/>
            <w:gridSpan w:val="3"/>
            <w:tcBorders>
              <w:top w:val="single" w:color="auto" w:sz="4" w:space="0"/>
              <w:left w:val="single" w:color="auto" w:sz="4" w:space="0"/>
              <w:bottom w:val="single" w:color="auto" w:sz="4" w:space="0"/>
              <w:right w:val="single" w:color="auto" w:sz="4" w:space="0"/>
            </w:tcBorders>
          </w:tcPr>
          <w:p w14:paraId="263AB40B">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最大爆炸压力（MPa）：无意义</w:t>
            </w:r>
          </w:p>
        </w:tc>
      </w:tr>
      <w:tr w14:paraId="338F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3CCED396">
            <w:pPr>
              <w:pStyle w:val="28"/>
              <w:rPr>
                <w:rFonts w:cs="Times New Roman"/>
                <w:color w:val="000000" w:themeColor="text1"/>
                <w14:textFill>
                  <w14:solidFill>
                    <w14:schemeClr w14:val="tx1"/>
                  </w14:solidFill>
                </w14:textFill>
              </w:rPr>
            </w:pPr>
          </w:p>
        </w:tc>
        <w:tc>
          <w:tcPr>
            <w:tcW w:w="1572" w:type="pct"/>
            <w:gridSpan w:val="3"/>
            <w:tcBorders>
              <w:top w:val="single" w:color="auto" w:sz="4" w:space="0"/>
              <w:left w:val="single" w:color="auto" w:sz="4" w:space="0"/>
              <w:bottom w:val="single" w:color="auto" w:sz="4" w:space="0"/>
              <w:right w:val="single" w:color="auto" w:sz="4" w:space="0"/>
            </w:tcBorders>
          </w:tcPr>
          <w:p w14:paraId="2DB87FD3">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引燃温度（℃）：无意义</w:t>
            </w:r>
          </w:p>
        </w:tc>
        <w:tc>
          <w:tcPr>
            <w:tcW w:w="2724" w:type="pct"/>
            <w:gridSpan w:val="3"/>
            <w:tcBorders>
              <w:top w:val="single" w:color="auto" w:sz="4" w:space="0"/>
              <w:left w:val="single" w:color="auto" w:sz="4" w:space="0"/>
              <w:bottom w:val="single" w:color="auto" w:sz="4" w:space="0"/>
              <w:right w:val="single" w:color="auto" w:sz="4" w:space="0"/>
            </w:tcBorders>
          </w:tcPr>
          <w:p w14:paraId="2F9F348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禁忌物：强酸、易燃或可燃物、二氧化碳、过氧化物、水。</w:t>
            </w:r>
          </w:p>
        </w:tc>
      </w:tr>
      <w:tr w14:paraId="5FC9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1990CA1B">
            <w:pPr>
              <w:pStyle w:val="28"/>
              <w:rPr>
                <w:rFonts w:cs="Times New Roman"/>
                <w:color w:val="000000" w:themeColor="text1"/>
                <w14:textFill>
                  <w14:solidFill>
                    <w14:schemeClr w14:val="tx1"/>
                  </w14:solidFill>
                </w14:textFill>
              </w:rPr>
            </w:pPr>
          </w:p>
        </w:tc>
        <w:tc>
          <w:tcPr>
            <w:tcW w:w="4297" w:type="pct"/>
            <w:gridSpan w:val="6"/>
            <w:tcBorders>
              <w:top w:val="single" w:color="auto" w:sz="4" w:space="0"/>
              <w:left w:val="single" w:color="auto" w:sz="4" w:space="0"/>
              <w:bottom w:val="single" w:color="auto" w:sz="4" w:space="0"/>
              <w:right w:val="single" w:color="auto" w:sz="4" w:space="0"/>
            </w:tcBorders>
          </w:tcPr>
          <w:p w14:paraId="70FE7C64">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危险特性：与酸发生中和反应并放热。遇潮时对铝、锌和锡有腐蚀性，并放出易燃易爆的氢气。本品不会燃烧，遇水和水蒸气大量放热，形成腐蚀性溶液，具有强腐蚀性。</w:t>
            </w:r>
          </w:p>
        </w:tc>
      </w:tr>
      <w:tr w14:paraId="1E5F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02" w:type="pct"/>
            <w:vMerge w:val="continue"/>
            <w:tcBorders>
              <w:top w:val="single" w:color="auto" w:sz="4" w:space="0"/>
              <w:left w:val="single" w:color="auto" w:sz="4" w:space="0"/>
              <w:bottom w:val="single" w:color="auto" w:sz="4" w:space="0"/>
              <w:right w:val="single" w:color="auto" w:sz="4" w:space="0"/>
            </w:tcBorders>
            <w:vAlign w:val="center"/>
          </w:tcPr>
          <w:p w14:paraId="5D4E44FF">
            <w:pPr>
              <w:pStyle w:val="28"/>
              <w:rPr>
                <w:rFonts w:cs="Times New Roman"/>
                <w:color w:val="000000" w:themeColor="text1"/>
                <w14:textFill>
                  <w14:solidFill>
                    <w14:schemeClr w14:val="tx1"/>
                  </w14:solidFill>
                </w14:textFill>
              </w:rPr>
            </w:pPr>
          </w:p>
        </w:tc>
        <w:tc>
          <w:tcPr>
            <w:tcW w:w="4297" w:type="pct"/>
            <w:gridSpan w:val="6"/>
            <w:tcBorders>
              <w:top w:val="single" w:color="auto" w:sz="4" w:space="0"/>
              <w:left w:val="single" w:color="auto" w:sz="4" w:space="0"/>
              <w:bottom w:val="single" w:color="auto" w:sz="4" w:space="0"/>
              <w:right w:val="single" w:color="auto" w:sz="4" w:space="0"/>
            </w:tcBorders>
          </w:tcPr>
          <w:p w14:paraId="09F24BA6">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灭火方法：用水、砂土扑救，但须防止物品遇水产生飞溅，造成灼伤。</w:t>
            </w:r>
          </w:p>
        </w:tc>
      </w:tr>
      <w:tr w14:paraId="0072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2" w:type="pct"/>
            <w:tcBorders>
              <w:top w:val="single" w:color="auto" w:sz="4" w:space="0"/>
              <w:left w:val="single" w:color="auto" w:sz="4" w:space="0"/>
              <w:bottom w:val="single" w:color="auto" w:sz="4" w:space="0"/>
              <w:right w:val="single" w:color="auto" w:sz="4" w:space="0"/>
            </w:tcBorders>
            <w:vAlign w:val="center"/>
          </w:tcPr>
          <w:p w14:paraId="3F57D7D3">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w:t>
            </w:r>
          </w:p>
        </w:tc>
        <w:tc>
          <w:tcPr>
            <w:tcW w:w="4297" w:type="pct"/>
            <w:gridSpan w:val="6"/>
            <w:tcBorders>
              <w:top w:val="single" w:color="auto" w:sz="4" w:space="0"/>
              <w:left w:val="single" w:color="auto" w:sz="4" w:space="0"/>
              <w:bottom w:val="single" w:color="auto" w:sz="4" w:space="0"/>
              <w:right w:val="single" w:color="auto" w:sz="4" w:space="0"/>
            </w:tcBorders>
          </w:tcPr>
          <w:p w14:paraId="294FB392">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接触限值：中国MAC 0.5mg/m³  前苏联 MAC 0.5mg/m³</w:t>
            </w:r>
          </w:p>
          <w:p w14:paraId="75F1858A">
            <w:pPr>
              <w:pStyle w:val="28"/>
              <w:jc w:val="left"/>
              <w:rPr>
                <w:rFonts w:eastAsia="仿宋"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美国TVL－TWA OSHA 2mg/m³ 美国TLV－STEL ACGIH 2mg/㎡</w:t>
            </w:r>
          </w:p>
        </w:tc>
      </w:tr>
      <w:tr w14:paraId="6520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02" w:type="pct"/>
            <w:tcBorders>
              <w:top w:val="single" w:color="auto" w:sz="4" w:space="0"/>
              <w:left w:val="single" w:color="auto" w:sz="4" w:space="0"/>
              <w:bottom w:val="single" w:color="auto" w:sz="4" w:space="0"/>
              <w:right w:val="single" w:color="auto" w:sz="4" w:space="0"/>
            </w:tcBorders>
            <w:vAlign w:val="center"/>
          </w:tcPr>
          <w:p w14:paraId="3AC54DA0">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对人体危害</w:t>
            </w:r>
          </w:p>
        </w:tc>
        <w:tc>
          <w:tcPr>
            <w:tcW w:w="4297" w:type="pct"/>
            <w:gridSpan w:val="6"/>
            <w:tcBorders>
              <w:top w:val="single" w:color="auto" w:sz="4" w:space="0"/>
              <w:left w:val="single" w:color="auto" w:sz="4" w:space="0"/>
              <w:bottom w:val="single" w:color="auto" w:sz="4" w:space="0"/>
              <w:right w:val="single" w:color="auto" w:sz="4" w:space="0"/>
            </w:tcBorders>
          </w:tcPr>
          <w:p w14:paraId="6557C74A">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侵入途径： 吸入、食入。</w:t>
            </w:r>
          </w:p>
          <w:p w14:paraId="72EE979E">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健康危害：本品具有强烈刺激和腐蚀性。粉尘刺激眼和呼吸道，腐蚀鼻中隔；皮肤和眼直接接触可引起灼伤；误服可造成消化道灼伤，粘膜糜烂、出血和休克。</w:t>
            </w:r>
          </w:p>
        </w:tc>
      </w:tr>
      <w:tr w14:paraId="58BE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tcBorders>
              <w:top w:val="single" w:color="auto" w:sz="4" w:space="0"/>
              <w:left w:val="single" w:color="auto" w:sz="4" w:space="0"/>
              <w:bottom w:val="single" w:color="auto" w:sz="4" w:space="0"/>
              <w:right w:val="single" w:color="auto" w:sz="4" w:space="0"/>
            </w:tcBorders>
            <w:vAlign w:val="center"/>
          </w:tcPr>
          <w:p w14:paraId="2D033A7F">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急救</w:t>
            </w:r>
          </w:p>
        </w:tc>
        <w:tc>
          <w:tcPr>
            <w:tcW w:w="4297" w:type="pct"/>
            <w:gridSpan w:val="6"/>
            <w:tcBorders>
              <w:top w:val="single" w:color="auto" w:sz="4" w:space="0"/>
              <w:left w:val="single" w:color="auto" w:sz="4" w:space="0"/>
              <w:bottom w:val="single" w:color="auto" w:sz="4" w:space="0"/>
              <w:right w:val="single" w:color="auto" w:sz="4" w:space="0"/>
            </w:tcBorders>
          </w:tcPr>
          <w:p w14:paraId="1E6FBD9B">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皮肤接触：立即脱出被污染的衣着。用大量流动清水冲洗，至少15分钟。就医。</w:t>
            </w:r>
          </w:p>
          <w:p w14:paraId="1D16BD48">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眼睛接触：立即提起眼睑，用大量流动清水或生理盐水彻底冲洗至少15分钟。就医。</w:t>
            </w:r>
          </w:p>
          <w:p w14:paraId="1F5F1278">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吸入：迅速脱离现场至空气新鲜处，保持呼吸道通畅。如呼吸困难，给输氧。如呼吸停止，立即进行人工呼吸。就医。</w:t>
            </w:r>
          </w:p>
          <w:p w14:paraId="604AC33B">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食入：误服者用水漱口，给饮牛奶或蛋清。就医。</w:t>
            </w:r>
          </w:p>
        </w:tc>
      </w:tr>
      <w:tr w14:paraId="67EF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02" w:type="pct"/>
            <w:tcBorders>
              <w:top w:val="single" w:color="auto" w:sz="4" w:space="0"/>
              <w:left w:val="single" w:color="auto" w:sz="4" w:space="0"/>
              <w:bottom w:val="single" w:color="auto" w:sz="4" w:space="0"/>
              <w:right w:val="single" w:color="auto" w:sz="4" w:space="0"/>
            </w:tcBorders>
            <w:vAlign w:val="center"/>
          </w:tcPr>
          <w:p w14:paraId="021CD35C">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防护</w:t>
            </w:r>
          </w:p>
        </w:tc>
        <w:tc>
          <w:tcPr>
            <w:tcW w:w="4297" w:type="pct"/>
            <w:gridSpan w:val="6"/>
            <w:tcBorders>
              <w:top w:val="single" w:color="auto" w:sz="4" w:space="0"/>
              <w:left w:val="single" w:color="auto" w:sz="4" w:space="0"/>
              <w:bottom w:val="single" w:color="auto" w:sz="4" w:space="0"/>
              <w:right w:val="single" w:color="auto" w:sz="4" w:space="0"/>
            </w:tcBorders>
          </w:tcPr>
          <w:p w14:paraId="749EFBC9">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工程防护：密闭操作。提供安全淋浴和洗眼设备。</w:t>
            </w:r>
          </w:p>
          <w:p w14:paraId="0E5210F3">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个人防护：可能接触其粉尘时，必须佩戴头罩型电动送风过滤式防尘呼吸器。必要时，佩戴空气呼吸器；穿橡胶耐酸碱服；戴橡胶耐酸碱手套。工作现场严禁吸烟、进食和饮水。工作毕，淋浴更衣。注意个人清洁卫生。</w:t>
            </w:r>
          </w:p>
        </w:tc>
      </w:tr>
      <w:tr w14:paraId="4982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02" w:type="pct"/>
            <w:tcBorders>
              <w:top w:val="single" w:color="auto" w:sz="4" w:space="0"/>
              <w:left w:val="single" w:color="auto" w:sz="4" w:space="0"/>
              <w:bottom w:val="single" w:color="auto" w:sz="4" w:space="0"/>
              <w:right w:val="single" w:color="auto" w:sz="4" w:space="0"/>
            </w:tcBorders>
            <w:vAlign w:val="center"/>
          </w:tcPr>
          <w:p w14:paraId="0DE73E01">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泄漏处理</w:t>
            </w:r>
          </w:p>
        </w:tc>
        <w:tc>
          <w:tcPr>
            <w:tcW w:w="4297" w:type="pct"/>
            <w:gridSpan w:val="6"/>
            <w:tcBorders>
              <w:top w:val="single" w:color="auto" w:sz="4" w:space="0"/>
              <w:left w:val="single" w:color="auto" w:sz="4" w:space="0"/>
              <w:bottom w:val="single" w:color="auto" w:sz="4" w:space="0"/>
              <w:right w:val="single" w:color="auto" w:sz="4" w:space="0"/>
            </w:tcBorders>
          </w:tcPr>
          <w:p w14:paraId="5E368E54">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隔离泄漏污染区，限制出入。建议应急处理人员戴自给式呼吸器，穿防酸碱工作服。不要直接接触泄漏物。小量泄漏：避免扬尘，用洁净的铲子收集于干燥、洁净、有盖的容器中。也可以用大量水冲洗，洗水稀释后放入废水系统。大量泄漏：收集回收或运至废物处理场所处置。</w:t>
            </w:r>
          </w:p>
        </w:tc>
      </w:tr>
      <w:tr w14:paraId="3B9B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2" w:type="pct"/>
            <w:tcBorders>
              <w:top w:val="single" w:color="auto" w:sz="4" w:space="0"/>
              <w:left w:val="single" w:color="auto" w:sz="4" w:space="0"/>
              <w:bottom w:val="single" w:color="auto" w:sz="4" w:space="0"/>
              <w:right w:val="single" w:color="auto" w:sz="4" w:space="0"/>
            </w:tcBorders>
            <w:vAlign w:val="center"/>
          </w:tcPr>
          <w:p w14:paraId="6120E908">
            <w:pPr>
              <w:pStyle w:val="2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贮运</w:t>
            </w:r>
          </w:p>
        </w:tc>
        <w:tc>
          <w:tcPr>
            <w:tcW w:w="4297" w:type="pct"/>
            <w:gridSpan w:val="6"/>
            <w:tcBorders>
              <w:top w:val="single" w:color="auto" w:sz="4" w:space="0"/>
              <w:left w:val="single" w:color="auto" w:sz="4" w:space="0"/>
              <w:bottom w:val="single" w:color="auto" w:sz="4" w:space="0"/>
              <w:right w:val="single" w:color="auto" w:sz="4" w:space="0"/>
            </w:tcBorders>
          </w:tcPr>
          <w:p w14:paraId="62EEC0B2">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包装标志：20     UN编号： 1823    包装分类：Ⅱ      </w:t>
            </w:r>
          </w:p>
          <w:p w14:paraId="7D2E47F0">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包装方法：小开口钢桶；塑料袋、多层牛皮纸外木板箱。</w:t>
            </w:r>
          </w:p>
          <w:p w14:paraId="2872FE26">
            <w:pPr>
              <w:pStyle w:val="2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储运条件：储存于干燥清洁的仓间内。注意防潮和雨淋。应与易燃或可燃物及酸类分开存放。分装和搬运作业要注意个人防护。搬运要轻装轻卸，防止包装及容器损坏。雨天不宜运输。</w:t>
            </w:r>
          </w:p>
        </w:tc>
      </w:tr>
    </w:tbl>
    <w:p w14:paraId="6900F4C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2、生产系统危险性识别</w:t>
      </w:r>
    </w:p>
    <w:p w14:paraId="64BC0A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系统危险性识别主要对生产装置、储运设施、公用工程和辅助生产设施，以及环境保护设施等进行识别。根据风险物质分布情况，本项目风险单元为原料原料暂存区、理化间、生产车间、危废暂存间、污水处理间。</w:t>
      </w:r>
    </w:p>
    <w:p w14:paraId="1CF937BF">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5.2-32</w:t>
      </w:r>
      <w:r>
        <w:rPr>
          <w:color w:val="000000" w:themeColor="text1"/>
          <w14:textFill>
            <w14:solidFill>
              <w14:schemeClr w14:val="tx1"/>
            </w14:solidFill>
          </w14:textFill>
        </w:rPr>
        <w:t xml:space="preserve"> 生产系统危险性识别</w:t>
      </w:r>
    </w:p>
    <w:tbl>
      <w:tblPr>
        <w:tblStyle w:val="22"/>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86"/>
        <w:gridCol w:w="1766"/>
        <w:gridCol w:w="5868"/>
      </w:tblGrid>
      <w:tr w14:paraId="0A2D67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1FDC59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036" w:type="pct"/>
            <w:tcBorders>
              <w:tl2br w:val="nil"/>
              <w:tr2bl w:val="nil"/>
            </w:tcBorders>
            <w:vAlign w:val="center"/>
          </w:tcPr>
          <w:p w14:paraId="635315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危险单元</w:t>
            </w:r>
          </w:p>
        </w:tc>
        <w:tc>
          <w:tcPr>
            <w:tcW w:w="3443" w:type="pct"/>
            <w:tcBorders>
              <w:tl2br w:val="nil"/>
              <w:tr2bl w:val="nil"/>
            </w:tcBorders>
            <w:vAlign w:val="center"/>
          </w:tcPr>
          <w:p w14:paraId="056EE3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风险物质</w:t>
            </w:r>
          </w:p>
        </w:tc>
      </w:tr>
      <w:tr w14:paraId="41B916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0AE1FC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36" w:type="pct"/>
            <w:tcBorders>
              <w:tl2br w:val="nil"/>
              <w:tr2bl w:val="nil"/>
            </w:tcBorders>
            <w:vAlign w:val="center"/>
          </w:tcPr>
          <w:p w14:paraId="1A9F8A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原料暂存区</w:t>
            </w:r>
          </w:p>
        </w:tc>
        <w:tc>
          <w:tcPr>
            <w:tcW w:w="3443" w:type="pct"/>
            <w:tcBorders>
              <w:tl2br w:val="nil"/>
              <w:tr2bl w:val="nil"/>
            </w:tcBorders>
            <w:vAlign w:val="center"/>
          </w:tcPr>
          <w:p w14:paraId="7593C9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五硫化二磷、有机溶剂（环己烷、正庚烷）</w:t>
            </w:r>
          </w:p>
        </w:tc>
      </w:tr>
      <w:tr w14:paraId="51573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748DDA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036" w:type="pct"/>
            <w:tcBorders>
              <w:tl2br w:val="nil"/>
              <w:tr2bl w:val="nil"/>
            </w:tcBorders>
            <w:vAlign w:val="center"/>
          </w:tcPr>
          <w:p w14:paraId="00FA20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理化间</w:t>
            </w:r>
          </w:p>
        </w:tc>
        <w:tc>
          <w:tcPr>
            <w:tcW w:w="3443" w:type="pct"/>
            <w:tcBorders>
              <w:tl2br w:val="nil"/>
              <w:tr2bl w:val="nil"/>
            </w:tcBorders>
            <w:vAlign w:val="center"/>
          </w:tcPr>
          <w:p w14:paraId="16C2FC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五硫化二磷、有机溶剂（环己烷、正庚烷）</w:t>
            </w:r>
          </w:p>
        </w:tc>
      </w:tr>
      <w:tr w14:paraId="6DD5AA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1900D15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036" w:type="pct"/>
            <w:tcBorders>
              <w:tl2br w:val="nil"/>
              <w:tr2bl w:val="nil"/>
            </w:tcBorders>
            <w:vAlign w:val="center"/>
          </w:tcPr>
          <w:p w14:paraId="4F6AE4A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3443" w:type="pct"/>
            <w:tcBorders>
              <w:tl2br w:val="nil"/>
              <w:tr2bl w:val="nil"/>
            </w:tcBorders>
            <w:vAlign w:val="center"/>
          </w:tcPr>
          <w:p w14:paraId="52D26E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五硫化二磷、有机溶剂（环己烷、正庚烷）、导热油</w:t>
            </w:r>
          </w:p>
        </w:tc>
      </w:tr>
      <w:tr w14:paraId="10214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38F96F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036" w:type="pct"/>
            <w:tcBorders>
              <w:tl2br w:val="nil"/>
              <w:tr2bl w:val="nil"/>
            </w:tcBorders>
            <w:vAlign w:val="center"/>
          </w:tcPr>
          <w:p w14:paraId="543FD3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3443" w:type="pct"/>
            <w:tcBorders>
              <w:tl2br w:val="nil"/>
              <w:tr2bl w:val="nil"/>
            </w:tcBorders>
            <w:vAlign w:val="center"/>
          </w:tcPr>
          <w:p w14:paraId="2FA60B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废有机溶剂（环己烷、正庚烷）、废导热油、砂磨机碱洗废碱液、喷淋塔定期排污废液</w:t>
            </w:r>
          </w:p>
        </w:tc>
      </w:tr>
      <w:tr w14:paraId="1F4599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20" w:type="pct"/>
            <w:tcBorders>
              <w:tl2br w:val="nil"/>
              <w:tr2bl w:val="nil"/>
            </w:tcBorders>
            <w:vAlign w:val="center"/>
          </w:tcPr>
          <w:p w14:paraId="67B507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036" w:type="pct"/>
            <w:tcBorders>
              <w:tl2br w:val="nil"/>
              <w:tr2bl w:val="nil"/>
            </w:tcBorders>
            <w:vAlign w:val="center"/>
          </w:tcPr>
          <w:p w14:paraId="26FEFD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污水处理间</w:t>
            </w:r>
          </w:p>
        </w:tc>
        <w:tc>
          <w:tcPr>
            <w:tcW w:w="3443" w:type="pct"/>
            <w:tcBorders>
              <w:tl2br w:val="nil"/>
              <w:tr2bl w:val="nil"/>
            </w:tcBorders>
            <w:vAlign w:val="center"/>
          </w:tcPr>
          <w:p w14:paraId="1F5873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r>
    </w:tbl>
    <w:p w14:paraId="4C1B954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3、环境风险类型及影响途径</w:t>
      </w:r>
    </w:p>
    <w:p w14:paraId="593BBF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存在的环境风险类型主要有：</w:t>
      </w:r>
    </w:p>
    <w:p w14:paraId="64364B9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风险物质的泄漏，主要为五硫化二磷、有机溶剂（环己烷</w:t>
      </w:r>
      <w:r>
        <w:rPr>
          <w:rFonts w:hint="eastAsia"/>
          <w:color w:val="000000" w:themeColor="text1"/>
          <w14:textFill>
            <w14:solidFill>
              <w14:schemeClr w14:val="tx1"/>
            </w14:solidFill>
          </w14:textFill>
        </w:rPr>
        <w:t>、正庚烷</w:t>
      </w:r>
      <w:r>
        <w:rPr>
          <w:color w:val="000000" w:themeColor="text1"/>
          <w14:textFill>
            <w14:solidFill>
              <w14:schemeClr w14:val="tx1"/>
            </w14:solidFill>
          </w14:textFill>
        </w:rPr>
        <w:t>）、导热油</w:t>
      </w:r>
      <w:r>
        <w:rPr>
          <w:rFonts w:hint="eastAsia"/>
          <w:color w:val="000000" w:themeColor="text1"/>
          <w14:textFill>
            <w14:solidFill>
              <w14:schemeClr w14:val="tx1"/>
            </w14:solidFill>
          </w14:textFill>
        </w:rPr>
        <w:t>、砂磨机碱洗废碱液、喷淋塔定期排污废液</w:t>
      </w:r>
      <w:r>
        <w:rPr>
          <w:color w:val="000000" w:themeColor="text1"/>
          <w14:textFill>
            <w14:solidFill>
              <w14:schemeClr w14:val="tx1"/>
            </w14:solidFill>
          </w14:textFill>
        </w:rPr>
        <w:t>及生产废水的泄漏。</w:t>
      </w:r>
    </w:p>
    <w:p w14:paraId="11FE82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火灾、爆炸事故产生的废水、废气等污染物排放。</w:t>
      </w:r>
    </w:p>
    <w:p w14:paraId="6BD793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风险物质泄漏向环境转移的途径和影响方式见下表：</w:t>
      </w:r>
    </w:p>
    <w:p w14:paraId="4830AC8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表5.2-33 风险物质泄漏向环境转移的途径和影响方式一览表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66"/>
        <w:gridCol w:w="1143"/>
        <w:gridCol w:w="3089"/>
        <w:gridCol w:w="3945"/>
      </w:tblGrid>
      <w:tr w14:paraId="5774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0E5816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669" w:type="pct"/>
            <w:tcMar>
              <w:top w:w="60" w:type="dxa"/>
              <w:left w:w="120" w:type="dxa"/>
              <w:bottom w:w="30" w:type="dxa"/>
              <w:right w:w="120" w:type="dxa"/>
            </w:tcMar>
            <w:vAlign w:val="center"/>
          </w:tcPr>
          <w:p w14:paraId="6454D9D5">
            <w:pPr>
              <w:pStyle w:val="28"/>
              <w:rPr>
                <w:color w:val="000000" w:themeColor="text1"/>
                <w14:textFill>
                  <w14:solidFill>
                    <w14:schemeClr w14:val="tx1"/>
                  </w14:solidFill>
                </w14:textFill>
              </w:rPr>
            </w:pPr>
            <w:r>
              <w:rPr>
                <w:color w:val="000000" w:themeColor="text1"/>
                <w14:textFill>
                  <w14:solidFill>
                    <w14:schemeClr w14:val="tx1"/>
                  </w14:solidFill>
                </w14:textFill>
              </w:rPr>
              <w:t>风险物质</w:t>
            </w:r>
          </w:p>
        </w:tc>
        <w:tc>
          <w:tcPr>
            <w:tcW w:w="1807" w:type="pct"/>
            <w:tcMar>
              <w:top w:w="60" w:type="dxa"/>
              <w:left w:w="120" w:type="dxa"/>
              <w:bottom w:w="30" w:type="dxa"/>
              <w:right w:w="120" w:type="dxa"/>
            </w:tcMar>
            <w:vAlign w:val="center"/>
          </w:tcPr>
          <w:p w14:paraId="263599EC">
            <w:pPr>
              <w:pStyle w:val="28"/>
              <w:rPr>
                <w:color w:val="000000" w:themeColor="text1"/>
                <w14:textFill>
                  <w14:solidFill>
                    <w14:schemeClr w14:val="tx1"/>
                  </w14:solidFill>
                </w14:textFill>
              </w:rPr>
            </w:pPr>
            <w:r>
              <w:rPr>
                <w:color w:val="000000" w:themeColor="text1"/>
                <w14:textFill>
                  <w14:solidFill>
                    <w14:schemeClr w14:val="tx1"/>
                  </w14:solidFill>
                </w14:textFill>
              </w:rPr>
              <w:t>主要转移途径</w:t>
            </w:r>
          </w:p>
        </w:tc>
        <w:tc>
          <w:tcPr>
            <w:tcW w:w="2308" w:type="pct"/>
            <w:tcMar>
              <w:top w:w="60" w:type="dxa"/>
              <w:left w:w="120" w:type="dxa"/>
              <w:bottom w:w="30" w:type="dxa"/>
              <w:right w:w="120" w:type="dxa"/>
            </w:tcMar>
            <w:vAlign w:val="center"/>
          </w:tcPr>
          <w:p w14:paraId="715EA888">
            <w:pPr>
              <w:pStyle w:val="28"/>
              <w:rPr>
                <w:color w:val="000000" w:themeColor="text1"/>
                <w14:textFill>
                  <w14:solidFill>
                    <w14:schemeClr w14:val="tx1"/>
                  </w14:solidFill>
                </w14:textFill>
              </w:rPr>
            </w:pPr>
            <w:r>
              <w:rPr>
                <w:color w:val="000000" w:themeColor="text1"/>
                <w14:textFill>
                  <w14:solidFill>
                    <w14:schemeClr w14:val="tx1"/>
                  </w14:solidFill>
                </w14:textFill>
              </w:rPr>
              <w:t>环境影响方式</w:t>
            </w:r>
          </w:p>
        </w:tc>
      </w:tr>
      <w:tr w14:paraId="0173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24ABBD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9" w:type="pct"/>
            <w:tcMar>
              <w:top w:w="60" w:type="dxa"/>
              <w:left w:w="120" w:type="dxa"/>
              <w:bottom w:w="30" w:type="dxa"/>
              <w:right w:w="120" w:type="dxa"/>
            </w:tcMar>
            <w:vAlign w:val="center"/>
          </w:tcPr>
          <w:p w14:paraId="6BA340CF">
            <w:pPr>
              <w:pStyle w:val="28"/>
              <w:rPr>
                <w:color w:val="000000" w:themeColor="text1"/>
                <w14:textFill>
                  <w14:solidFill>
                    <w14:schemeClr w14:val="tx1"/>
                  </w14:solidFill>
                </w14:textFill>
              </w:rPr>
            </w:pPr>
            <w:r>
              <w:rPr>
                <w:color w:val="000000" w:themeColor="text1"/>
                <w14:textFill>
                  <w14:solidFill>
                    <w14:schemeClr w14:val="tx1"/>
                  </w14:solidFill>
                </w14:textFill>
              </w:rPr>
              <w:t>五硫化二磷（固体）</w:t>
            </w:r>
          </w:p>
        </w:tc>
        <w:tc>
          <w:tcPr>
            <w:tcW w:w="1807" w:type="pct"/>
            <w:tcMar>
              <w:top w:w="60" w:type="dxa"/>
              <w:left w:w="120" w:type="dxa"/>
              <w:bottom w:w="30" w:type="dxa"/>
              <w:right w:w="120" w:type="dxa"/>
            </w:tcMar>
            <w:vAlign w:val="center"/>
          </w:tcPr>
          <w:p w14:paraId="70FA391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粉尘扩散：泄漏后粉尘飞扬，随大气环流扩散；</w:t>
            </w:r>
          </w:p>
          <w:p w14:paraId="4A6DE760">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遇水/受潮分解：接触雨水、地面水或土壤水分后，快速分解产生硫化氢（有毒气体）和磷酸（酸性液体），分解产物进一步扩散/渗透</w:t>
            </w:r>
            <w:r>
              <w:rPr>
                <w:rFonts w:hint="eastAsia"/>
                <w:color w:val="000000" w:themeColor="text1"/>
                <w14:textFill>
                  <w14:solidFill>
                    <w14:schemeClr w14:val="tx1"/>
                  </w14:solidFill>
                </w14:textFill>
              </w:rPr>
              <w:t>。</w:t>
            </w:r>
          </w:p>
          <w:p w14:paraId="75521F9E">
            <w:pPr>
              <w:pStyle w:val="28"/>
              <w:jc w:val="both"/>
              <w:rPr>
                <w:color w:val="000000" w:themeColor="text1"/>
                <w14:textFill>
                  <w14:solidFill>
                    <w14:schemeClr w14:val="tx1"/>
                  </w14:solidFill>
                </w14:textFill>
              </w:rPr>
            </w:pPr>
          </w:p>
        </w:tc>
        <w:tc>
          <w:tcPr>
            <w:tcW w:w="2308" w:type="pct"/>
            <w:tcMar>
              <w:top w:w="60" w:type="dxa"/>
              <w:left w:w="120" w:type="dxa"/>
              <w:bottom w:w="30" w:type="dxa"/>
              <w:right w:w="120" w:type="dxa"/>
            </w:tcMar>
            <w:vAlign w:val="center"/>
          </w:tcPr>
          <w:p w14:paraId="6A93F71E">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硫化氢气体具有臭鸡蛋味，低浓度刺激呼吸道，高浓度可致人员中毒，扩散范围受风速、地形影响（密闭空间易积聚）；五硫化二磷泄漏遇雨水生成硫化氢、且硫化氢与空气混合达到爆炸极限的场景，属于低概率事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触发前提多需同时满足“五硫化二磷泄漏（如包装破损）+ 储存 / 暂存区进水（如雨水倒灌、消防水不慎流入）+ 通风不良（硫化氢无法及时扩散）” 三个条件</w:t>
            </w:r>
            <w:r>
              <w:rPr>
                <w:rFonts w:hint="eastAsia"/>
                <w:color w:val="000000" w:themeColor="text1"/>
                <w14:textFill>
                  <w14:solidFill>
                    <w14:schemeClr w14:val="tx1"/>
                  </w14:solidFill>
                </w14:textFill>
              </w:rPr>
              <w:t>；</w:t>
            </w:r>
          </w:p>
          <w:p w14:paraId="497C2A84">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土壤/水体影响：磷酸导致土壤酸化、水体pH下降，破坏土壤微生物群落，影响植物生长，污染地表水/地下水后，会腐蚀管网、危害水生生物（鱼类、藻类死亡）；</w:t>
            </w:r>
          </w:p>
          <w:p w14:paraId="3B77E404">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二次风险：分解产生的硫化氢若与空气混合（爆炸极限4.3%~46%），遇明火可能引发次生爆炸</w:t>
            </w:r>
            <w:r>
              <w:rPr>
                <w:rFonts w:hint="eastAsia"/>
                <w:color w:val="000000" w:themeColor="text1"/>
                <w14:textFill>
                  <w14:solidFill>
                    <w14:schemeClr w14:val="tx1"/>
                  </w14:solidFill>
                </w14:textFill>
              </w:rPr>
              <w:t>。</w:t>
            </w:r>
          </w:p>
        </w:tc>
      </w:tr>
      <w:tr w14:paraId="38F8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406B83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69" w:type="pct"/>
            <w:tcMar>
              <w:top w:w="60" w:type="dxa"/>
              <w:left w:w="120" w:type="dxa"/>
              <w:bottom w:w="30" w:type="dxa"/>
              <w:right w:w="120" w:type="dxa"/>
            </w:tcMar>
            <w:vAlign w:val="center"/>
          </w:tcPr>
          <w:p w14:paraId="77B1372C">
            <w:pPr>
              <w:pStyle w:val="28"/>
              <w:rPr>
                <w:color w:val="000000" w:themeColor="text1"/>
                <w14:textFill>
                  <w14:solidFill>
                    <w14:schemeClr w14:val="tx1"/>
                  </w14:solidFill>
                </w14:textFill>
              </w:rPr>
            </w:pPr>
            <w:r>
              <w:rPr>
                <w:color w:val="000000" w:themeColor="text1"/>
                <w14:textFill>
                  <w14:solidFill>
                    <w14:schemeClr w14:val="tx1"/>
                  </w14:solidFill>
                </w14:textFill>
              </w:rPr>
              <w:t>环己烷</w:t>
            </w:r>
            <w:r>
              <w:rPr>
                <w:rFonts w:hint="eastAsia"/>
                <w:color w:val="000000" w:themeColor="text1"/>
                <w14:textFill>
                  <w14:solidFill>
                    <w14:schemeClr w14:val="tx1"/>
                  </w14:solidFill>
                </w14:textFill>
              </w:rPr>
              <w:t>、正庚烷</w:t>
            </w:r>
            <w:r>
              <w:rPr>
                <w:color w:val="000000" w:themeColor="text1"/>
                <w14:textFill>
                  <w14:solidFill>
                    <w14:schemeClr w14:val="tx1"/>
                  </w14:solidFill>
                </w14:textFill>
              </w:rPr>
              <w:t>（液体，易燃）</w:t>
            </w:r>
          </w:p>
        </w:tc>
        <w:tc>
          <w:tcPr>
            <w:tcW w:w="1807" w:type="pct"/>
            <w:tcMar>
              <w:top w:w="60" w:type="dxa"/>
              <w:left w:w="120" w:type="dxa"/>
              <w:bottom w:w="30" w:type="dxa"/>
              <w:right w:w="120" w:type="dxa"/>
            </w:tcMar>
            <w:vAlign w:val="center"/>
          </w:tcPr>
          <w:p w14:paraId="649E85FF">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挥发扩散：泄漏后快速挥发，蒸气随大气扩散（蒸气密度比空气大，易在低洼处、密闭空间积聚）；</w:t>
            </w:r>
          </w:p>
          <w:p w14:paraId="308780F2">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液体漫流：沿地面坡度漫流，污染表层土壤，若接触地表水（如雨水管网、河流）则直接汇入水体；</w:t>
            </w:r>
          </w:p>
          <w:p w14:paraId="596AA0AD">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少量渗入：因环己烷难溶于水，渗入土壤后易在土壤孔隙中形成 “油膜”，缓慢挥发或随地下水迁移</w:t>
            </w:r>
            <w:r>
              <w:rPr>
                <w:rFonts w:hint="eastAsia"/>
                <w:color w:val="000000" w:themeColor="text1"/>
                <w14:textFill>
                  <w14:solidFill>
                    <w14:schemeClr w14:val="tx1"/>
                  </w14:solidFill>
                </w14:textFill>
              </w:rPr>
              <w:t>。</w:t>
            </w:r>
          </w:p>
        </w:tc>
        <w:tc>
          <w:tcPr>
            <w:tcW w:w="2308" w:type="pct"/>
            <w:tcMar>
              <w:top w:w="60" w:type="dxa"/>
              <w:left w:w="120" w:type="dxa"/>
              <w:bottom w:w="30" w:type="dxa"/>
              <w:right w:w="120" w:type="dxa"/>
            </w:tcMar>
            <w:vAlign w:val="center"/>
          </w:tcPr>
          <w:p w14:paraId="6AA2E1BD">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大气影响：蒸气具有麻醉性，高浓度吸入可致头晕、昏迷，同时属于易燃蒸气，扩散至火源附近易引发火灾；</w:t>
            </w:r>
          </w:p>
          <w:p w14:paraId="05BB0826">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土壤影响：油膜覆盖土壤表层，阻断土壤透气性和透水性，导致植物根系缺氧坏死，长期残留会影响土壤生态；</w:t>
            </w:r>
          </w:p>
          <w:p w14:paraId="73345046">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水体影响：汇入地表水后形成油膜，阻碍水体复氧，导致水生生物缺氧死亡，且环己烷难降解，会在水体中持续扩散</w:t>
            </w:r>
            <w:r>
              <w:rPr>
                <w:rFonts w:hint="eastAsia"/>
                <w:color w:val="000000" w:themeColor="text1"/>
                <w14:textFill>
                  <w14:solidFill>
                    <w14:schemeClr w14:val="tx1"/>
                  </w14:solidFill>
                </w14:textFill>
              </w:rPr>
              <w:t>。</w:t>
            </w:r>
          </w:p>
        </w:tc>
      </w:tr>
      <w:tr w14:paraId="7D1A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32ABEE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69" w:type="pct"/>
            <w:tcMar>
              <w:top w:w="60" w:type="dxa"/>
              <w:left w:w="120" w:type="dxa"/>
              <w:bottom w:w="30" w:type="dxa"/>
              <w:right w:w="120" w:type="dxa"/>
            </w:tcMar>
            <w:vAlign w:val="center"/>
          </w:tcPr>
          <w:p w14:paraId="08DD45DD">
            <w:pPr>
              <w:pStyle w:val="28"/>
              <w:rPr>
                <w:color w:val="000000" w:themeColor="text1"/>
                <w14:textFill>
                  <w14:solidFill>
                    <w14:schemeClr w14:val="tx1"/>
                  </w14:solidFill>
                </w14:textFill>
              </w:rPr>
            </w:pPr>
            <w:r>
              <w:rPr>
                <w:color w:val="000000" w:themeColor="text1"/>
                <w14:textFill>
                  <w14:solidFill>
                    <w14:schemeClr w14:val="tx1"/>
                  </w14:solidFill>
                </w14:textFill>
              </w:rPr>
              <w:t>导热油（液体，高闪点）</w:t>
            </w:r>
          </w:p>
        </w:tc>
        <w:tc>
          <w:tcPr>
            <w:tcW w:w="1807" w:type="pct"/>
            <w:tcMar>
              <w:top w:w="60" w:type="dxa"/>
              <w:left w:w="120" w:type="dxa"/>
              <w:bottom w:w="30" w:type="dxa"/>
              <w:right w:w="120" w:type="dxa"/>
            </w:tcMar>
            <w:vAlign w:val="center"/>
          </w:tcPr>
          <w:p w14:paraId="2BCDD906">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液体漫流：泄漏后沿地面漫流，污染表层土壤，若进入雨水管网则汇入地表水；</w:t>
            </w:r>
          </w:p>
          <w:p w14:paraId="130B7554">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少量挥发：常温下挥发量极低，仅在高温泄漏（如系统超温）时少量挥发；</w:t>
            </w:r>
          </w:p>
          <w:p w14:paraId="39A0C932">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土壤吸附：因黏度大、难溶于水，易被土壤强烈吸附，形成长期残留</w:t>
            </w:r>
            <w:r>
              <w:rPr>
                <w:rFonts w:hint="eastAsia"/>
                <w:color w:val="000000" w:themeColor="text1"/>
                <w14:textFill>
                  <w14:solidFill>
                    <w14:schemeClr w14:val="tx1"/>
                  </w14:solidFill>
                </w14:textFill>
              </w:rPr>
              <w:t>。</w:t>
            </w:r>
          </w:p>
        </w:tc>
        <w:tc>
          <w:tcPr>
            <w:tcW w:w="2308" w:type="pct"/>
            <w:tcMar>
              <w:top w:w="60" w:type="dxa"/>
              <w:left w:w="120" w:type="dxa"/>
              <w:bottom w:w="30" w:type="dxa"/>
              <w:right w:w="120" w:type="dxa"/>
            </w:tcMar>
            <w:vAlign w:val="center"/>
          </w:tcPr>
          <w:p w14:paraId="6853470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土壤影响：长期残留导致土壤油化，破坏土壤结构，抑制植物生长，属于危险废物（HW08），需专业处置，否则会持续污染；2. 水体影响：汇入地表水后形成厚油膜，严重阻碍水体与大气的气体交换，导致水生生物窒息死亡，污染地下水后，因难降解、难迁移，会长期残留于含水层，影响地下水水质；</w:t>
            </w:r>
          </w:p>
          <w:p w14:paraId="5DD986ED">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大气影响：常温下无明显挥发污染，高温泄漏时挥发的烃类蒸气可能刺激呼吸道</w:t>
            </w:r>
            <w:r>
              <w:rPr>
                <w:rFonts w:hint="eastAsia"/>
                <w:color w:val="000000" w:themeColor="text1"/>
                <w14:textFill>
                  <w14:solidFill>
                    <w14:schemeClr w14:val="tx1"/>
                  </w14:solidFill>
                </w14:textFill>
              </w:rPr>
              <w:t>。</w:t>
            </w:r>
          </w:p>
        </w:tc>
      </w:tr>
      <w:tr w14:paraId="4ED3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7CF70F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69" w:type="pct"/>
            <w:tcMar>
              <w:top w:w="60" w:type="dxa"/>
              <w:left w:w="120" w:type="dxa"/>
              <w:bottom w:w="30" w:type="dxa"/>
              <w:right w:w="120" w:type="dxa"/>
            </w:tcMar>
            <w:vAlign w:val="center"/>
          </w:tcPr>
          <w:p w14:paraId="737EA9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砂磨机碱洗废碱液、喷淋塔定期排污废液</w:t>
            </w:r>
          </w:p>
        </w:tc>
        <w:tc>
          <w:tcPr>
            <w:tcW w:w="1807" w:type="pct"/>
            <w:tcMar>
              <w:top w:w="60" w:type="dxa"/>
              <w:left w:w="120" w:type="dxa"/>
              <w:bottom w:w="30" w:type="dxa"/>
              <w:right w:w="120" w:type="dxa"/>
            </w:tcMar>
            <w:vAlign w:val="center"/>
          </w:tcPr>
          <w:p w14:paraId="24466FD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1.液体漫流：废液泄漏后，若未及时拦截，可通过地面漫流、排水沟、雨水管网进入附近河流、沟渠、水塘等地表水体，造成水体污染。</w:t>
            </w:r>
          </w:p>
          <w:p w14:paraId="794F081D">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2.地下水污染：泄漏废液若进入未防渗地面、土壤裂隙、污水管网破损处，可经下渗、淋溶进入浅层地下水，造成地下水污染。</w:t>
            </w:r>
          </w:p>
          <w:p w14:paraId="6FA7843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3.土壤转移途径：废液直接洒落、漫流至地面，通过渗透、扩散进入土壤层，造成土壤盐碱化、污染土壤。</w:t>
            </w:r>
          </w:p>
        </w:tc>
        <w:tc>
          <w:tcPr>
            <w:tcW w:w="2308" w:type="pct"/>
            <w:tcMar>
              <w:top w:w="60" w:type="dxa"/>
              <w:left w:w="120" w:type="dxa"/>
              <w:bottom w:w="30" w:type="dxa"/>
              <w:right w:w="120" w:type="dxa"/>
            </w:tcMar>
            <w:vAlign w:val="center"/>
          </w:tcPr>
          <w:p w14:paraId="330E021B">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1.对水环境的影响：使受纳水体pH 急剧升高，呈强碱性，破坏水体缓冲能力。</w:t>
            </w:r>
          </w:p>
          <w:p w14:paraId="71ACE3E5">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抑制或杀死水生生物，破坏水生生态系统，造成水体生态功能下降。</w:t>
            </w:r>
          </w:p>
          <w:p w14:paraId="37950473">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高碱环境可使部分金属离子沉淀或活化，改变水质成分，影响饮用水源安全。</w:t>
            </w:r>
          </w:p>
          <w:p w14:paraId="5F642A2D">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2.土壤环境的影响：造成土壤pH 升高、盐碱化、板结，破坏土壤结构。抑制土壤微生物活性，降低土壤肥力，影响植物生长。污染物可长期滞留土壤，形成持久性土壤污染。</w:t>
            </w:r>
          </w:p>
          <w:p w14:paraId="7C4CC15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3.对人体健康与安全的影响：皮肤、眼睛接触可造成化学灼伤、腐蚀。吸入碱雾、挥发气体可刺激呼吸道、黏膜。</w:t>
            </w:r>
          </w:p>
          <w:p w14:paraId="300A4900">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4.泄漏处置不当易引发二次污染、安全事故。</w:t>
            </w:r>
          </w:p>
        </w:tc>
      </w:tr>
      <w:tr w14:paraId="5E98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4" w:type="pct"/>
            <w:tcMar>
              <w:top w:w="60" w:type="dxa"/>
              <w:left w:w="120" w:type="dxa"/>
              <w:bottom w:w="30" w:type="dxa"/>
              <w:right w:w="120" w:type="dxa"/>
            </w:tcMar>
            <w:vAlign w:val="center"/>
          </w:tcPr>
          <w:p w14:paraId="6DF209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69" w:type="pct"/>
            <w:tcMar>
              <w:top w:w="60" w:type="dxa"/>
              <w:left w:w="120" w:type="dxa"/>
              <w:bottom w:w="30" w:type="dxa"/>
              <w:right w:w="120" w:type="dxa"/>
            </w:tcMar>
            <w:vAlign w:val="center"/>
          </w:tcPr>
          <w:p w14:paraId="79582478">
            <w:pPr>
              <w:pStyle w:val="28"/>
              <w:rPr>
                <w:color w:val="000000" w:themeColor="text1"/>
                <w14:textFill>
                  <w14:solidFill>
                    <w14:schemeClr w14:val="tx1"/>
                  </w14:solidFill>
                </w14:textFill>
              </w:rPr>
            </w:pPr>
            <w:r>
              <w:rPr>
                <w:color w:val="000000" w:themeColor="text1"/>
                <w14:textFill>
                  <w14:solidFill>
                    <w14:schemeClr w14:val="tx1"/>
                  </w14:solidFill>
                </w14:textFill>
              </w:rPr>
              <w:t>生产废水</w:t>
            </w:r>
          </w:p>
        </w:tc>
        <w:tc>
          <w:tcPr>
            <w:tcW w:w="1807" w:type="pct"/>
            <w:tcMar>
              <w:top w:w="60" w:type="dxa"/>
              <w:left w:w="120" w:type="dxa"/>
              <w:bottom w:w="30" w:type="dxa"/>
              <w:right w:w="120" w:type="dxa"/>
            </w:tcMar>
            <w:vAlign w:val="center"/>
          </w:tcPr>
          <w:p w14:paraId="457C174A">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管网泄漏：通过破损的废水收集管网、储罐泄漏，渗入土壤或直接汇入地表水；</w:t>
            </w:r>
          </w:p>
          <w:p w14:paraId="449649E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应急排放：事故状态下（如</w:t>
            </w:r>
            <w:r>
              <w:rPr>
                <w:rFonts w:hint="eastAsia"/>
                <w:color w:val="000000" w:themeColor="text1"/>
                <w14:textFill>
                  <w14:solidFill>
                    <w14:schemeClr w14:val="tx1"/>
                  </w14:solidFill>
                </w14:textFill>
              </w:rPr>
              <w:t>废水收集池</w:t>
            </w:r>
            <w:r>
              <w:rPr>
                <w:color w:val="000000" w:themeColor="text1"/>
                <w14:textFill>
                  <w14:solidFill>
                    <w14:schemeClr w14:val="tx1"/>
                  </w14:solidFill>
                </w14:textFill>
              </w:rPr>
              <w:t>满溢），未经过处理直接排放至雨水管网或周边水体</w:t>
            </w:r>
            <w:r>
              <w:rPr>
                <w:rFonts w:hint="eastAsia"/>
                <w:color w:val="000000" w:themeColor="text1"/>
                <w14:textFill>
                  <w14:solidFill>
                    <w14:schemeClr w14:val="tx1"/>
                  </w14:solidFill>
                </w14:textFill>
              </w:rPr>
              <w:t>。</w:t>
            </w:r>
          </w:p>
        </w:tc>
        <w:tc>
          <w:tcPr>
            <w:tcW w:w="2308" w:type="pct"/>
            <w:tcMar>
              <w:top w:w="60" w:type="dxa"/>
              <w:left w:w="120" w:type="dxa"/>
              <w:bottom w:w="30" w:type="dxa"/>
              <w:right w:w="120" w:type="dxa"/>
            </w:tcMar>
            <w:vAlign w:val="center"/>
          </w:tcPr>
          <w:p w14:paraId="549ECCFB">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水体影响：废水中含生产原料残留（如微量五硫化二磷、环己烷）、反应副产物，可能导致地表水/地下水COD、BOD升高，pH 异常，有毒物质累积，危害水生生态系统，若污染饮用水源，会威胁人体健康；</w:t>
            </w:r>
          </w:p>
          <w:p w14:paraId="6B2AA8C0">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土壤影响：渗入土壤后，有毒有害物质被土壤吸附，长期残留会污染土壤，影响农作物生长或土地利用功能</w:t>
            </w:r>
            <w:r>
              <w:rPr>
                <w:rFonts w:hint="eastAsia"/>
                <w:color w:val="000000" w:themeColor="text1"/>
                <w14:textFill>
                  <w14:solidFill>
                    <w14:schemeClr w14:val="tx1"/>
                  </w14:solidFill>
                </w14:textFill>
              </w:rPr>
              <w:t>。</w:t>
            </w:r>
          </w:p>
        </w:tc>
      </w:tr>
    </w:tbl>
    <w:p w14:paraId="240B5EE1">
      <w:pPr>
        <w:ind w:firstLine="480"/>
        <w:rPr>
          <w:color w:val="000000" w:themeColor="text1"/>
          <w14:textFill>
            <w14:solidFill>
              <w14:schemeClr w14:val="tx1"/>
            </w14:solidFill>
          </w14:textFill>
        </w:rPr>
      </w:pPr>
      <w:r>
        <w:rPr>
          <w:color w:val="000000" w:themeColor="text1"/>
          <w14:textFill>
            <w14:solidFill>
              <w14:schemeClr w14:val="tx1"/>
            </w14:solidFill>
          </w14:textFill>
        </w:rPr>
        <w:t>火灾、爆炸事故不会直接转移原物质，而是通过 “燃烧/爆炸产物排放、消防废水流失” 将次生污染物转移至环境，影响范围通常大于直接泄漏。</w:t>
      </w:r>
    </w:p>
    <w:p w14:paraId="6343A585">
      <w:pPr>
        <w:ind w:firstLine="480"/>
        <w:rPr>
          <w:color w:val="000000" w:themeColor="text1"/>
          <w14:textFill>
            <w14:solidFill>
              <w14:schemeClr w14:val="tx1"/>
            </w14:solidFill>
          </w14:textFill>
        </w:rPr>
      </w:pPr>
      <w:r>
        <w:rPr>
          <w:color w:val="000000" w:themeColor="text1"/>
          <w14:textFill>
            <w14:solidFill>
              <w14:schemeClr w14:val="tx1"/>
            </w14:solidFill>
          </w14:textFill>
        </w:rPr>
        <w:t>火灾、爆炸事故</w:t>
      </w:r>
      <w:r>
        <w:rPr>
          <w:rFonts w:hint="eastAsia"/>
          <w:color w:val="000000" w:themeColor="text1"/>
          <w14:textFill>
            <w14:solidFill>
              <w14:schemeClr w14:val="tx1"/>
            </w14:solidFill>
          </w14:textFill>
        </w:rPr>
        <w:t>向环境转移的途径和影响方式见下表：</w:t>
      </w:r>
    </w:p>
    <w:p w14:paraId="02DB1051">
      <w:pPr>
        <w:pStyle w:val="27"/>
        <w:rPr>
          <w:rFonts w:hint="eastAsia"/>
          <w:color w:val="000000" w:themeColor="text1"/>
          <w14:textFill>
            <w14:solidFill>
              <w14:schemeClr w14:val="tx1"/>
            </w14:solidFill>
          </w14:textFill>
        </w:rPr>
      </w:pPr>
    </w:p>
    <w:p w14:paraId="3B60E5AF">
      <w:pPr>
        <w:pStyle w:val="27"/>
        <w:rPr>
          <w:rFonts w:hint="eastAsia"/>
          <w:color w:val="000000" w:themeColor="text1"/>
          <w14:textFill>
            <w14:solidFill>
              <w14:schemeClr w14:val="tx1"/>
            </w14:solidFill>
          </w14:textFill>
        </w:rPr>
      </w:pPr>
    </w:p>
    <w:p w14:paraId="3531B99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表5.2-34 </w:t>
      </w:r>
      <w:r>
        <w:rPr>
          <w:color w:val="000000" w:themeColor="text1"/>
          <w14:textFill>
            <w14:solidFill>
              <w14:schemeClr w14:val="tx1"/>
            </w14:solidFill>
          </w14:textFill>
        </w:rPr>
        <w:t>火灾、爆炸事故</w:t>
      </w:r>
      <w:r>
        <w:rPr>
          <w:rFonts w:hint="eastAsia"/>
          <w:color w:val="000000" w:themeColor="text1"/>
          <w14:textFill>
            <w14:solidFill>
              <w14:schemeClr w14:val="tx1"/>
            </w14:solidFill>
          </w14:textFill>
        </w:rPr>
        <w:t>向环境转移的途径和影响方式一览表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82"/>
        <w:gridCol w:w="1198"/>
        <w:gridCol w:w="1719"/>
        <w:gridCol w:w="1955"/>
        <w:gridCol w:w="3289"/>
      </w:tblGrid>
      <w:tr w14:paraId="386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4" w:type="pct"/>
            <w:tcMar>
              <w:top w:w="60" w:type="dxa"/>
              <w:left w:w="120" w:type="dxa"/>
              <w:bottom w:w="30" w:type="dxa"/>
              <w:right w:w="120" w:type="dxa"/>
            </w:tcMar>
            <w:vAlign w:val="center"/>
          </w:tcPr>
          <w:p w14:paraId="4FAA44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01" w:type="pct"/>
            <w:tcMar>
              <w:top w:w="60" w:type="dxa"/>
              <w:left w:w="120" w:type="dxa"/>
              <w:bottom w:w="30" w:type="dxa"/>
              <w:right w:w="120" w:type="dxa"/>
            </w:tcMar>
            <w:vAlign w:val="center"/>
          </w:tcPr>
          <w:p w14:paraId="520FF0A0">
            <w:pPr>
              <w:pStyle w:val="28"/>
              <w:rPr>
                <w:color w:val="000000" w:themeColor="text1"/>
                <w14:textFill>
                  <w14:solidFill>
                    <w14:schemeClr w14:val="tx1"/>
                  </w14:solidFill>
                </w14:textFill>
              </w:rPr>
            </w:pPr>
            <w:r>
              <w:rPr>
                <w:color w:val="000000" w:themeColor="text1"/>
                <w14:textFill>
                  <w14:solidFill>
                    <w14:schemeClr w14:val="tx1"/>
                  </w14:solidFill>
                </w14:textFill>
              </w:rPr>
              <w:t>风险物质</w:t>
            </w:r>
          </w:p>
        </w:tc>
        <w:tc>
          <w:tcPr>
            <w:tcW w:w="1005" w:type="pct"/>
            <w:tcMar>
              <w:top w:w="60" w:type="dxa"/>
              <w:left w:w="120" w:type="dxa"/>
              <w:bottom w:w="30" w:type="dxa"/>
              <w:right w:w="120" w:type="dxa"/>
            </w:tcMar>
            <w:vAlign w:val="center"/>
          </w:tcPr>
          <w:p w14:paraId="488EFA99">
            <w:pPr>
              <w:pStyle w:val="28"/>
              <w:rPr>
                <w:color w:val="000000" w:themeColor="text1"/>
                <w14:textFill>
                  <w14:solidFill>
                    <w14:schemeClr w14:val="tx1"/>
                  </w14:solidFill>
                </w14:textFill>
              </w:rPr>
            </w:pPr>
            <w:r>
              <w:rPr>
                <w:color w:val="000000" w:themeColor="text1"/>
                <w14:textFill>
                  <w14:solidFill>
                    <w14:schemeClr w14:val="tx1"/>
                  </w14:solidFill>
                </w14:textFill>
              </w:rPr>
              <w:t>次生污染物类型</w:t>
            </w:r>
          </w:p>
        </w:tc>
        <w:tc>
          <w:tcPr>
            <w:tcW w:w="1143" w:type="pct"/>
            <w:tcMar>
              <w:top w:w="60" w:type="dxa"/>
              <w:left w:w="120" w:type="dxa"/>
              <w:bottom w:w="30" w:type="dxa"/>
              <w:right w:w="120" w:type="dxa"/>
            </w:tcMar>
            <w:vAlign w:val="center"/>
          </w:tcPr>
          <w:p w14:paraId="30309C92">
            <w:pPr>
              <w:pStyle w:val="28"/>
              <w:rPr>
                <w:color w:val="000000" w:themeColor="text1"/>
                <w14:textFill>
                  <w14:solidFill>
                    <w14:schemeClr w14:val="tx1"/>
                  </w14:solidFill>
                </w14:textFill>
              </w:rPr>
            </w:pPr>
            <w:r>
              <w:rPr>
                <w:color w:val="000000" w:themeColor="text1"/>
                <w14:textFill>
                  <w14:solidFill>
                    <w14:schemeClr w14:val="tx1"/>
                  </w14:solidFill>
                </w14:textFill>
              </w:rPr>
              <w:t>主要转移途径</w:t>
            </w:r>
          </w:p>
        </w:tc>
        <w:tc>
          <w:tcPr>
            <w:tcW w:w="1924" w:type="pct"/>
            <w:tcMar>
              <w:top w:w="60" w:type="dxa"/>
              <w:left w:w="120" w:type="dxa"/>
              <w:bottom w:w="30" w:type="dxa"/>
              <w:right w:w="120" w:type="dxa"/>
            </w:tcMar>
            <w:vAlign w:val="center"/>
          </w:tcPr>
          <w:p w14:paraId="53F35079">
            <w:pPr>
              <w:pStyle w:val="28"/>
              <w:rPr>
                <w:color w:val="000000" w:themeColor="text1"/>
                <w14:textFill>
                  <w14:solidFill>
                    <w14:schemeClr w14:val="tx1"/>
                  </w14:solidFill>
                </w14:textFill>
              </w:rPr>
            </w:pPr>
            <w:r>
              <w:rPr>
                <w:color w:val="000000" w:themeColor="text1"/>
                <w14:textFill>
                  <w14:solidFill>
                    <w14:schemeClr w14:val="tx1"/>
                  </w14:solidFill>
                </w14:textFill>
              </w:rPr>
              <w:t>环境影响方式</w:t>
            </w:r>
          </w:p>
        </w:tc>
      </w:tr>
      <w:tr w14:paraId="7CC0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4" w:type="pct"/>
            <w:tcMar>
              <w:top w:w="60" w:type="dxa"/>
              <w:left w:w="120" w:type="dxa"/>
              <w:bottom w:w="30" w:type="dxa"/>
              <w:right w:w="120" w:type="dxa"/>
            </w:tcMar>
            <w:vAlign w:val="center"/>
          </w:tcPr>
          <w:p w14:paraId="4D85C3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01" w:type="pct"/>
            <w:tcMar>
              <w:top w:w="60" w:type="dxa"/>
              <w:left w:w="120" w:type="dxa"/>
              <w:bottom w:w="30" w:type="dxa"/>
              <w:right w:w="120" w:type="dxa"/>
            </w:tcMar>
            <w:vAlign w:val="center"/>
          </w:tcPr>
          <w:p w14:paraId="1F9F595F">
            <w:pPr>
              <w:pStyle w:val="28"/>
              <w:rPr>
                <w:color w:val="000000" w:themeColor="text1"/>
                <w14:textFill>
                  <w14:solidFill>
                    <w14:schemeClr w14:val="tx1"/>
                  </w14:solidFill>
                </w14:textFill>
              </w:rPr>
            </w:pPr>
            <w:r>
              <w:rPr>
                <w:color w:val="000000" w:themeColor="text1"/>
                <w14:textFill>
                  <w14:solidFill>
                    <w14:schemeClr w14:val="tx1"/>
                  </w14:solidFill>
                </w14:textFill>
              </w:rPr>
              <w:t>五硫化二磷（燃烧 / 爆炸）</w:t>
            </w:r>
          </w:p>
        </w:tc>
        <w:tc>
          <w:tcPr>
            <w:tcW w:w="1005" w:type="pct"/>
            <w:tcMar>
              <w:top w:w="60" w:type="dxa"/>
              <w:left w:w="120" w:type="dxa"/>
              <w:bottom w:w="30" w:type="dxa"/>
              <w:right w:w="120" w:type="dxa"/>
            </w:tcMar>
            <w:vAlign w:val="center"/>
          </w:tcPr>
          <w:p w14:paraId="3F34480F">
            <w:pPr>
              <w:pStyle w:val="28"/>
              <w:rPr>
                <w:color w:val="000000" w:themeColor="text1"/>
                <w14:textFill>
                  <w14:solidFill>
                    <w14:schemeClr w14:val="tx1"/>
                  </w14:solidFill>
                </w14:textFill>
              </w:rPr>
            </w:pPr>
            <w:r>
              <w:rPr>
                <w:color w:val="000000" w:themeColor="text1"/>
                <w14:textFill>
                  <w14:solidFill>
                    <w14:schemeClr w14:val="tx1"/>
                  </w14:solidFill>
                </w14:textFill>
              </w:rPr>
              <w:t>有毒气体（二氧化硫、五氧化二磷、硫化氢）、酸性烟尘（磷酸雾）、固体残渣（未燃烧的 P₂S₅、磷酸盐）</w:t>
            </w:r>
          </w:p>
        </w:tc>
        <w:tc>
          <w:tcPr>
            <w:tcW w:w="1143" w:type="pct"/>
            <w:tcMar>
              <w:top w:w="60" w:type="dxa"/>
              <w:left w:w="120" w:type="dxa"/>
              <w:bottom w:w="30" w:type="dxa"/>
              <w:right w:w="120" w:type="dxa"/>
            </w:tcMar>
            <w:vAlign w:val="center"/>
          </w:tcPr>
          <w:p w14:paraId="53BD4A47">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大气扩散：燃烧产生的有毒气体和烟尘随热气流、大气环流扩散；</w:t>
            </w:r>
          </w:p>
          <w:p w14:paraId="1FD7760A">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雨水冲刷：固体残渣和酸性烟尘被消防废水或雨水冲刷，汇入土壤或地表水</w:t>
            </w:r>
            <w:r>
              <w:rPr>
                <w:rFonts w:hint="eastAsia"/>
                <w:color w:val="000000" w:themeColor="text1"/>
                <w14:textFill>
                  <w14:solidFill>
                    <w14:schemeClr w14:val="tx1"/>
                  </w14:solidFill>
                </w14:textFill>
              </w:rPr>
              <w:t>。</w:t>
            </w:r>
          </w:p>
        </w:tc>
        <w:tc>
          <w:tcPr>
            <w:tcW w:w="1924" w:type="pct"/>
            <w:tcMar>
              <w:top w:w="60" w:type="dxa"/>
              <w:left w:w="120" w:type="dxa"/>
              <w:bottom w:w="30" w:type="dxa"/>
              <w:right w:w="120" w:type="dxa"/>
            </w:tcMar>
            <w:vAlign w:val="center"/>
          </w:tcPr>
          <w:p w14:paraId="27D814DB">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大气影响：二氧化硫、五氧化二磷为刺激性有毒气体，高浓度可引发呼吸道损伤、酸雨前兆；磷酸雾会腐蚀设备和建筑物，影响周边植被；</w:t>
            </w:r>
          </w:p>
          <w:p w14:paraId="27A4EA61">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土壤/水体影响：消防废水呈强酸性，携带未燃烧的有毒物质，污染土壤和水体，加剧生态破坏</w:t>
            </w:r>
          </w:p>
        </w:tc>
      </w:tr>
      <w:tr w14:paraId="5FB7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4" w:type="pct"/>
            <w:tcMar>
              <w:top w:w="60" w:type="dxa"/>
              <w:left w:w="120" w:type="dxa"/>
              <w:bottom w:w="30" w:type="dxa"/>
              <w:right w:w="120" w:type="dxa"/>
            </w:tcMar>
            <w:vAlign w:val="center"/>
          </w:tcPr>
          <w:p w14:paraId="79BF1B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01" w:type="pct"/>
            <w:tcMar>
              <w:top w:w="60" w:type="dxa"/>
              <w:left w:w="120" w:type="dxa"/>
              <w:bottom w:w="30" w:type="dxa"/>
              <w:right w:w="120" w:type="dxa"/>
            </w:tcMar>
            <w:vAlign w:val="center"/>
          </w:tcPr>
          <w:p w14:paraId="33869B28">
            <w:pPr>
              <w:pStyle w:val="28"/>
              <w:rPr>
                <w:color w:val="000000" w:themeColor="text1"/>
                <w14:textFill>
                  <w14:solidFill>
                    <w14:schemeClr w14:val="tx1"/>
                  </w14:solidFill>
                </w14:textFill>
              </w:rPr>
            </w:pPr>
            <w:r>
              <w:rPr>
                <w:color w:val="000000" w:themeColor="text1"/>
                <w14:textFill>
                  <w14:solidFill>
                    <w14:schemeClr w14:val="tx1"/>
                  </w14:solidFill>
                </w14:textFill>
              </w:rPr>
              <w:t>环己烷</w:t>
            </w:r>
            <w:r>
              <w:rPr>
                <w:rFonts w:hint="eastAsia"/>
                <w:color w:val="000000" w:themeColor="text1"/>
                <w14:textFill>
                  <w14:solidFill>
                    <w14:schemeClr w14:val="tx1"/>
                  </w14:solidFill>
                </w14:textFill>
              </w:rPr>
              <w:t>、正庚烷</w:t>
            </w:r>
            <w:r>
              <w:rPr>
                <w:color w:val="000000" w:themeColor="text1"/>
                <w14:textFill>
                  <w14:solidFill>
                    <w14:schemeClr w14:val="tx1"/>
                  </w14:solidFill>
                </w14:textFill>
              </w:rPr>
              <w:t>（燃烧 / 爆炸）</w:t>
            </w:r>
          </w:p>
        </w:tc>
        <w:tc>
          <w:tcPr>
            <w:tcW w:w="1005" w:type="pct"/>
            <w:tcMar>
              <w:top w:w="60" w:type="dxa"/>
              <w:left w:w="120" w:type="dxa"/>
              <w:bottom w:w="30" w:type="dxa"/>
              <w:right w:w="120" w:type="dxa"/>
            </w:tcMar>
            <w:vAlign w:val="center"/>
          </w:tcPr>
          <w:p w14:paraId="4DFB2D10">
            <w:pPr>
              <w:pStyle w:val="28"/>
              <w:rPr>
                <w:color w:val="000000" w:themeColor="text1"/>
                <w14:textFill>
                  <w14:solidFill>
                    <w14:schemeClr w14:val="tx1"/>
                  </w14:solidFill>
                </w14:textFill>
              </w:rPr>
            </w:pPr>
            <w:r>
              <w:rPr>
                <w:color w:val="000000" w:themeColor="text1"/>
                <w14:textFill>
                  <w14:solidFill>
                    <w14:schemeClr w14:val="tx1"/>
                  </w14:solidFill>
                </w14:textFill>
              </w:rPr>
              <w:t>燃烧产物（二氧化碳、一氧化碳）、未完全燃烧的烃类蒸气、黑烟（炭黑颗粒）、消防废水（含环己烷残留、悬浮物）</w:t>
            </w:r>
          </w:p>
        </w:tc>
        <w:tc>
          <w:tcPr>
            <w:tcW w:w="1143" w:type="pct"/>
            <w:tcMar>
              <w:top w:w="60" w:type="dxa"/>
              <w:left w:w="120" w:type="dxa"/>
              <w:bottom w:w="30" w:type="dxa"/>
              <w:right w:w="120" w:type="dxa"/>
            </w:tcMar>
            <w:vAlign w:val="center"/>
          </w:tcPr>
          <w:p w14:paraId="37FCAF5B">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大气扩散：燃烧产生的气体、蒸气、炭黑颗粒随烟气扩散；</w:t>
            </w:r>
          </w:p>
          <w:p w14:paraId="73E00927">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消防废水流失：灭火过程中产生的废水未有效收集，漫流污染土壤或汇入地表水</w:t>
            </w:r>
            <w:r>
              <w:rPr>
                <w:rFonts w:hint="eastAsia"/>
                <w:color w:val="000000" w:themeColor="text1"/>
                <w14:textFill>
                  <w14:solidFill>
                    <w14:schemeClr w14:val="tx1"/>
                  </w14:solidFill>
                </w14:textFill>
              </w:rPr>
              <w:t>。</w:t>
            </w:r>
          </w:p>
        </w:tc>
        <w:tc>
          <w:tcPr>
            <w:tcW w:w="1924" w:type="pct"/>
            <w:tcMar>
              <w:top w:w="60" w:type="dxa"/>
              <w:left w:w="120" w:type="dxa"/>
              <w:bottom w:w="30" w:type="dxa"/>
              <w:right w:w="120" w:type="dxa"/>
            </w:tcMar>
            <w:vAlign w:val="center"/>
          </w:tcPr>
          <w:p w14:paraId="74CC07DD">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大气影响：一氧化碳为剧毒气体（无色无味，易积聚），可致人员中毒；炭黑颗粒属于颗粒物（PM₂.₅），污染大气环境，影响呼吸系统；</w:t>
            </w:r>
          </w:p>
          <w:p w14:paraId="52569C4D">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水体/土壤影响：消防废水含烃类残留，污染地表水和土壤，持续影响生态</w:t>
            </w:r>
            <w:r>
              <w:rPr>
                <w:rFonts w:hint="eastAsia"/>
                <w:color w:val="000000" w:themeColor="text1"/>
                <w14:textFill>
                  <w14:solidFill>
                    <w14:schemeClr w14:val="tx1"/>
                  </w14:solidFill>
                </w14:textFill>
              </w:rPr>
              <w:t>。</w:t>
            </w:r>
          </w:p>
        </w:tc>
      </w:tr>
      <w:tr w14:paraId="7D27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4" w:type="pct"/>
            <w:tcMar>
              <w:top w:w="60" w:type="dxa"/>
              <w:left w:w="120" w:type="dxa"/>
              <w:bottom w:w="30" w:type="dxa"/>
              <w:right w:w="120" w:type="dxa"/>
            </w:tcMar>
            <w:vAlign w:val="center"/>
          </w:tcPr>
          <w:p w14:paraId="0BDDFC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01" w:type="pct"/>
            <w:tcMar>
              <w:top w:w="60" w:type="dxa"/>
              <w:left w:w="120" w:type="dxa"/>
              <w:bottom w:w="30" w:type="dxa"/>
              <w:right w:w="120" w:type="dxa"/>
            </w:tcMar>
            <w:vAlign w:val="center"/>
          </w:tcPr>
          <w:p w14:paraId="5E1E793E">
            <w:pPr>
              <w:pStyle w:val="28"/>
              <w:rPr>
                <w:color w:val="000000" w:themeColor="text1"/>
                <w14:textFill>
                  <w14:solidFill>
                    <w14:schemeClr w14:val="tx1"/>
                  </w14:solidFill>
                </w14:textFill>
              </w:rPr>
            </w:pPr>
            <w:r>
              <w:rPr>
                <w:color w:val="000000" w:themeColor="text1"/>
                <w14:textFill>
                  <w14:solidFill>
                    <w14:schemeClr w14:val="tx1"/>
                  </w14:solidFill>
                </w14:textFill>
              </w:rPr>
              <w:t>导热油（燃烧 / 爆炸）</w:t>
            </w:r>
          </w:p>
        </w:tc>
        <w:tc>
          <w:tcPr>
            <w:tcW w:w="1005" w:type="pct"/>
            <w:tcMar>
              <w:top w:w="60" w:type="dxa"/>
              <w:left w:w="120" w:type="dxa"/>
              <w:bottom w:w="30" w:type="dxa"/>
              <w:right w:w="120" w:type="dxa"/>
            </w:tcMar>
            <w:vAlign w:val="center"/>
          </w:tcPr>
          <w:p w14:paraId="521E3802">
            <w:pPr>
              <w:pStyle w:val="28"/>
              <w:rPr>
                <w:color w:val="000000" w:themeColor="text1"/>
                <w14:textFill>
                  <w14:solidFill>
                    <w14:schemeClr w14:val="tx1"/>
                  </w14:solidFill>
                </w14:textFill>
              </w:rPr>
            </w:pPr>
            <w:r>
              <w:rPr>
                <w:color w:val="000000" w:themeColor="text1"/>
                <w14:textFill>
                  <w14:solidFill>
                    <w14:schemeClr w14:val="tx1"/>
                  </w14:solidFill>
                </w14:textFill>
              </w:rPr>
              <w:t>燃烧产物（二氧化碳、一氧化碳、多环芳烃）、油烟、炭化物、消防废水（含油类、悬浮物、酸性物质）</w:t>
            </w:r>
          </w:p>
        </w:tc>
        <w:tc>
          <w:tcPr>
            <w:tcW w:w="1143" w:type="pct"/>
            <w:tcMar>
              <w:top w:w="60" w:type="dxa"/>
              <w:left w:w="120" w:type="dxa"/>
              <w:bottom w:w="30" w:type="dxa"/>
              <w:right w:w="120" w:type="dxa"/>
            </w:tcMar>
            <w:vAlign w:val="center"/>
          </w:tcPr>
          <w:p w14:paraId="6C57818F">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大气扩散：燃烧产生的油烟、多环芳烃（有毒、致癌）、气体随烟气扩散；2. 消防废水流失：含油消防废水漫流，污染土壤或地表水</w:t>
            </w:r>
            <w:r>
              <w:rPr>
                <w:rFonts w:hint="eastAsia"/>
                <w:color w:val="000000" w:themeColor="text1"/>
                <w14:textFill>
                  <w14:solidFill>
                    <w14:schemeClr w14:val="tx1"/>
                  </w14:solidFill>
                </w14:textFill>
              </w:rPr>
              <w:t>。</w:t>
            </w:r>
          </w:p>
        </w:tc>
        <w:tc>
          <w:tcPr>
            <w:tcW w:w="1924" w:type="pct"/>
            <w:tcMar>
              <w:top w:w="60" w:type="dxa"/>
              <w:left w:w="120" w:type="dxa"/>
              <w:bottom w:w="30" w:type="dxa"/>
              <w:right w:w="120" w:type="dxa"/>
            </w:tcMar>
            <w:vAlign w:val="center"/>
          </w:tcPr>
          <w:p w14:paraId="74124D2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大气影响：多环芳烃为持久性有机污染物，易在生物体内富集，危害人体健康和生态系统；油烟和炭化物会污染大气，降低能见度；2. 水体/土壤影响：含油消防废水难以分离，会长期污染土壤和水体，油类物质持续抑制水生生物生存和土壤透气</w:t>
            </w:r>
            <w:r>
              <w:rPr>
                <w:rFonts w:hint="eastAsia"/>
                <w:color w:val="000000" w:themeColor="text1"/>
                <w14:textFill>
                  <w14:solidFill>
                    <w14:schemeClr w14:val="tx1"/>
                  </w14:solidFill>
                </w14:textFill>
              </w:rPr>
              <w:t>。</w:t>
            </w:r>
          </w:p>
        </w:tc>
      </w:tr>
    </w:tbl>
    <w:p w14:paraId="7039445B">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2环境敏感目标</w:t>
      </w:r>
    </w:p>
    <w:p w14:paraId="600054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本项目环境风险做简单分析，根据项目环境风险影响途径及区域环境，本项目环境敏感目标为厂界外500m范围内的居民区、学校、地表水及地下水。</w:t>
      </w:r>
      <w:r>
        <w:rPr>
          <w:color w:val="000000" w:themeColor="text1"/>
          <w14:textFill>
            <w14:solidFill>
              <w14:schemeClr w14:val="tx1"/>
            </w14:solidFill>
          </w14:textFill>
        </w:rPr>
        <w:t>各敏感目标分布详见</w:t>
      </w:r>
      <w:r>
        <w:rPr>
          <w:rFonts w:hint="eastAsia"/>
          <w:color w:val="000000" w:themeColor="text1"/>
          <w14:textFill>
            <w14:solidFill>
              <w14:schemeClr w14:val="tx1"/>
            </w14:solidFill>
          </w14:textFill>
        </w:rPr>
        <w:t>本报告1.8章节。</w:t>
      </w:r>
    </w:p>
    <w:p w14:paraId="07B8FBB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5.2.8.3环境风险防范措施及应急要求</w:t>
      </w:r>
    </w:p>
    <w:p w14:paraId="5E9E834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1、环境风险防范措施</w:t>
      </w:r>
    </w:p>
    <w:p w14:paraId="021F6A81">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（1）储存环节​</w:t>
      </w:r>
    </w:p>
    <w:p w14:paraId="0A4588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①五硫化二磷应储存于干燥、通风良好的原料暂存间内，远离火种、热源，避免与水、酸类物质接触。原料暂存间应设置防潮、防水设施，防止雨水渗入。</w:t>
      </w:r>
    </w:p>
    <w:p w14:paraId="288B60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②有机溶剂（环己烷）储存于密闭容器中，放置在阴凉、通风的库房，远离火种、热源，库温不宜超过30℃。原料暂存间内设置防爆型照明、通风设施，禁止使用易产生火花的机械设备和工具。​</w:t>
      </w:r>
    </w:p>
    <w:p w14:paraId="060C52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③废有机有溶剂、废导热油应单独存放于密封容器中，避免泄漏，暂存于危废暂存间内，设置明显的警示标志。</w:t>
      </w:r>
    </w:p>
    <w:p w14:paraId="21B78E26">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④废水收集管网采用PVC防腐管，废水收集池采用不锈钢材质，设液位报警装置。根据项目实际情况，本环评要求设置废水处理间设置应急空桶。</w:t>
      </w:r>
    </w:p>
    <w:p w14:paraId="19D514F2">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（2）运输环节</w:t>
      </w:r>
      <w:r>
        <w:rPr>
          <w:rFonts w:hint="eastAsia"/>
          <w:color w:val="000000" w:themeColor="text1"/>
          <w14:textFill>
            <w14:solidFill>
              <w14:schemeClr w14:val="tx1"/>
            </w14:solidFill>
          </w14:textFill>
        </w:rPr>
        <w:t>​</w:t>
      </w:r>
    </w:p>
    <w:p w14:paraId="1E914E8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①运输五硫化二磷时，应使用密闭的运输工具，避免与水、潮湿物品接触，运输过程中防止撞击、摩擦。​</w:t>
      </w:r>
    </w:p>
    <w:p w14:paraId="477EA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②有机有溶剂（环己烷、正庚烷）、砂磨机碱洗废碱液、喷淋塔定期排污废液等运输车辆应配备相应品种和数量的消防器材及泄漏应急处理设备，运输过程中严禁烟火，避免高温暴晒。​</w:t>
      </w:r>
    </w:p>
    <w:p w14:paraId="6197B1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③废导热油、废有机溶剂、砂磨机碱洗废碱液、喷淋塔定期排污废液运输应委托有资质的单位进行，运输过程中确保容器密封，防止泄漏，严格遵守危险废物运输相关规定。​</w:t>
      </w:r>
    </w:p>
    <w:p w14:paraId="137F90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④废水处理设施（如废水收集池、反应沉淀一体化设备、水泵、加药系统等）每月检查一次防渗层完整性，发现问题及时修补、换新。</w:t>
      </w:r>
    </w:p>
    <w:p w14:paraId="1FD36A0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（3）生产环节​</w:t>
      </w:r>
    </w:p>
    <w:p w14:paraId="0C985C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①生产车间应保持良好的通风，设置相应的气体检测报警装置，对五硫化二磷和环己烷的泄漏情况进行实时监测。​</w:t>
      </w:r>
    </w:p>
    <w:p w14:paraId="4C1304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②对操作员工进行专项培训，考核合格后方可上岗，培训内容包括物质危险性、泄漏处置流程。操作人员应佩戴必要的防护用品，如防毒面具、防护手套、防护服等，避免直接接触风险物质。​</w:t>
      </w:r>
    </w:p>
    <w:p w14:paraId="10A36A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③定期对生产设备、管道进行检查和维护，防止因设备老化、腐蚀等原因导致风险物质泄漏。</w:t>
      </w:r>
    </w:p>
    <w:p w14:paraId="682BF91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2、环境风险事故应急措施</w:t>
      </w:r>
    </w:p>
    <w:p w14:paraId="7A00A80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（1）泄漏应急处理​</w:t>
      </w:r>
    </w:p>
    <w:p w14:paraId="063BBE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配料、上料过程中若因操作失误发生五硫化二磷洒落、泄漏，应立即撤离泄漏污染区人员至安全区，禁止无关人员进入污染区。应急处理人员应佩戴好防护用品，用干燥的沙土或惰性材料覆盖泄漏物，避免与水接触，然后收集转移至安全场所进行处理。​</w:t>
      </w:r>
    </w:p>
    <w:p w14:paraId="3D0390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有机溶剂（环己烷、正庚烷）泄漏时，应迅速撤离泄漏污染区人员至上风处，并进行隔离，严格限制出入。切断火源，应急处理人员使用防爆工具和设备，用沙土或其他惰性材料吸收泄漏物。​</w:t>
      </w:r>
    </w:p>
    <w:p w14:paraId="4CC532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废导热油泄漏后，应立即采取措施防止泄漏物扩散，用沙土等吸附泄漏物，收集后按照危险废物处理规定进行处置，避免泄漏物渗入土壤和水体。</w:t>
      </w:r>
    </w:p>
    <w:p w14:paraId="0AFA26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砂磨机碱洗废碱液、喷淋塔定期排污废液泄漏时，应迅速撤离泄漏污染区人员至上风处，并进行隔离，严格限制出入。切断火源，应急处理人员使用防爆工具和设备，用沙土或其他惰性材料吸收泄漏物。​</w:t>
      </w:r>
    </w:p>
    <w:p w14:paraId="442290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生产废水泄漏后，用沙袋拦截泄漏废水，引导至应急空桶内；检查泄漏管网，破损处用快速修补剂封堵，待泄漏控制后更换管道；事故水池内的废水送入生产废水处理站，处理达标后排放。​</w:t>
      </w:r>
    </w:p>
    <w:p w14:paraId="7D06133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（2）火灾应急处理​</w:t>
      </w:r>
    </w:p>
    <w:p w14:paraId="6D1CF9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若环己烷发生火灾，应立即使用干粉、二氧化碳、泡沫等灭火器材进行灭火，严禁用水灭火，因为环己烷不溶于水且密度比水小，用水灭火可能导致火势蔓延。同时，组织人员疏散，确保人员安全。​</w:t>
      </w:r>
    </w:p>
    <w:p w14:paraId="0B97DF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当五硫化二磷因接触水等原因引发火灾时，应使用干粉灭火器灭火，避免用水或泡沫灭火，防止产生有毒气体。</w:t>
      </w:r>
    </w:p>
    <w:p w14:paraId="5C68BC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​灭火时在火场周边设置喷雾水幕，吸附烟尘。在火场周边设置临时截流沟（用沙袋堆砌，高度≥0.3米），将消防废水引入事故应急池，事故应急池依托云南捷辰包装材料有限公司建设的事故应急池。</w:t>
      </w:r>
    </w:p>
    <w:p w14:paraId="39043584">
      <w:pPr>
        <w:pStyle w:val="5"/>
        <w:rPr>
          <w:rFonts w:cs="Times New Roman"/>
          <w:bCs/>
          <w:color w:val="000000" w:themeColor="text1"/>
          <w14:textFill>
            <w14:solidFill>
              <w14:schemeClr w14:val="tx1"/>
            </w14:solidFill>
          </w14:textFill>
        </w:rPr>
      </w:pPr>
      <w:r>
        <w:rPr>
          <w:rFonts w:hint="eastAsia"/>
          <w:color w:val="000000" w:themeColor="text1"/>
          <w14:textFill>
            <w14:solidFill>
              <w14:schemeClr w14:val="tx1"/>
            </w14:solidFill>
          </w14:textFill>
        </w:rPr>
        <w:t>5.2.8.4事故应急池依托可行性分析</w:t>
      </w:r>
    </w:p>
    <w:p w14:paraId="7185D228">
      <w:pPr>
        <w:pStyle w:val="52"/>
        <w:ind w:firstLine="470"/>
        <w:jc w:val="left"/>
        <w:rPr>
          <w:rFonts w:eastAsia="宋体" w:cs="Times New Roman"/>
          <w:color w:val="000000" w:themeColor="text1"/>
          <w:sz w:val="24"/>
          <w:szCs w:val="24"/>
          <w14:textFill>
            <w14:solidFill>
              <w14:schemeClr w14:val="tx1"/>
            </w14:solidFill>
          </w14:textFill>
        </w:rPr>
      </w:pPr>
      <w:r>
        <w:rPr>
          <w:rFonts w:hint="eastAsia" w:eastAsia="宋体" w:cs="Times New Roman"/>
          <w:bCs/>
          <w:color w:val="000000" w:themeColor="text1"/>
          <w:sz w:val="24"/>
          <w:szCs w:val="24"/>
          <w14:textFill>
            <w14:solidFill>
              <w14:schemeClr w14:val="tx1"/>
            </w14:solidFill>
          </w14:textFill>
        </w:rPr>
        <w:t>根据建设单位提供的资料，云南捷辰包装材料有限公司建设的事故应急池容积不小于195m</w:t>
      </w:r>
      <w:r>
        <w:rPr>
          <w:rFonts w:hint="eastAsia" w:eastAsia="宋体" w:cs="Times New Roman"/>
          <w:bCs/>
          <w:color w:val="000000" w:themeColor="text1"/>
          <w:sz w:val="24"/>
          <w:szCs w:val="24"/>
          <w:vertAlign w:val="superscript"/>
          <w14:textFill>
            <w14:solidFill>
              <w14:schemeClr w14:val="tx1"/>
            </w14:solidFill>
          </w14:textFill>
        </w:rPr>
        <w:t>3</w:t>
      </w:r>
      <w:r>
        <w:rPr>
          <w:rFonts w:hint="eastAsia" w:eastAsia="宋体" w:cs="Times New Roman"/>
          <w:bCs/>
          <w:color w:val="000000" w:themeColor="text1"/>
          <w:sz w:val="24"/>
          <w:szCs w:val="24"/>
          <w14:textFill>
            <w14:solidFill>
              <w14:schemeClr w14:val="tx1"/>
            </w14:solidFill>
          </w14:textFill>
        </w:rPr>
        <w:t>，</w:t>
      </w:r>
      <w:r>
        <w:rPr>
          <w:rFonts w:eastAsia="宋体" w:cs="Times New Roman"/>
          <w:color w:val="000000" w:themeColor="text1"/>
          <w:sz w:val="24"/>
          <w:szCs w:val="24"/>
          <w14:textFill>
            <w14:solidFill>
              <w14:schemeClr w14:val="tx1"/>
            </w14:solidFill>
          </w14:textFill>
        </w:rPr>
        <w:t>主要考虑液体物质泄漏和发生火灾事故时消防废水的收集。</w:t>
      </w:r>
    </w:p>
    <w:p w14:paraId="35DC3421">
      <w:pPr>
        <w:pStyle w:val="52"/>
        <w:ind w:firstLine="470"/>
        <w:jc w:val="left"/>
        <w:rPr>
          <w:rFonts w:eastAsia="宋体" w:cs="Times New Roman"/>
          <w:color w:val="000000" w:themeColor="text1"/>
          <w:sz w:val="24"/>
          <w:szCs w:val="24"/>
          <w14:textFill>
            <w14:solidFill>
              <w14:schemeClr w14:val="tx1"/>
            </w14:solidFill>
          </w14:textFill>
        </w:rPr>
      </w:pPr>
      <w:r>
        <w:rPr>
          <w:rFonts w:eastAsia="宋体" w:cs="Times New Roman"/>
          <w:bCs/>
          <w:color w:val="000000" w:themeColor="text1"/>
          <w:sz w:val="24"/>
          <w:szCs w:val="24"/>
          <w14:textFill>
            <w14:solidFill>
              <w14:schemeClr w14:val="tx1"/>
            </w14:solidFill>
          </w14:textFill>
        </w:rPr>
        <w:t>液态物质密度均以1t/m</w:t>
      </w:r>
      <w:r>
        <w:rPr>
          <w:rFonts w:eastAsia="宋体" w:cs="Times New Roman"/>
          <w:bCs/>
          <w:color w:val="000000" w:themeColor="text1"/>
          <w:sz w:val="24"/>
          <w:szCs w:val="24"/>
          <w:vertAlign w:val="superscript"/>
          <w14:textFill>
            <w14:solidFill>
              <w14:schemeClr w14:val="tx1"/>
            </w14:solidFill>
          </w14:textFill>
        </w:rPr>
        <w:t>3</w:t>
      </w:r>
      <w:r>
        <w:rPr>
          <w:rFonts w:eastAsia="宋体" w:cs="Times New Roman"/>
          <w:bCs/>
          <w:color w:val="000000" w:themeColor="text1"/>
          <w:sz w:val="24"/>
          <w:szCs w:val="24"/>
          <w14:textFill>
            <w14:solidFill>
              <w14:schemeClr w14:val="tx1"/>
            </w14:solidFill>
          </w14:textFill>
        </w:rPr>
        <w:t>计，</w:t>
      </w:r>
      <w:r>
        <w:rPr>
          <w:rFonts w:eastAsia="宋体" w:cs="Times New Roman"/>
          <w:color w:val="000000" w:themeColor="text1"/>
          <w:sz w:val="24"/>
          <w:szCs w:val="24"/>
          <w14:textFill>
            <w14:solidFill>
              <w14:schemeClr w14:val="tx1"/>
            </w14:solidFill>
          </w14:textFill>
        </w:rPr>
        <w:t>液体泄漏量按厂内易泄漏液体最大储存量计算，即</w:t>
      </w:r>
      <w:r>
        <w:rPr>
          <w:rFonts w:hint="eastAsia" w:eastAsia="宋体" w:cs="Times New Roman"/>
          <w:color w:val="000000" w:themeColor="text1"/>
          <w:sz w:val="24"/>
          <w:szCs w:val="24"/>
          <w14:textFill>
            <w14:solidFill>
              <w14:schemeClr w14:val="tx1"/>
            </w14:solidFill>
          </w14:textFill>
        </w:rPr>
        <w:t>云</w:t>
      </w:r>
      <w:r>
        <w:rPr>
          <w:rFonts w:hint="eastAsia" w:eastAsia="宋体" w:cs="Times New Roman"/>
          <w:bCs/>
          <w:color w:val="000000" w:themeColor="text1"/>
          <w:sz w:val="24"/>
          <w:szCs w:val="24"/>
          <w14:textFill>
            <w14:solidFill>
              <w14:schemeClr w14:val="tx1"/>
            </w14:solidFill>
          </w14:textFill>
        </w:rPr>
        <w:t>南捷辰包装材料有限公司</w:t>
      </w:r>
      <w:r>
        <w:rPr>
          <w:rFonts w:eastAsia="宋体" w:cs="Times New Roman"/>
          <w:bCs/>
          <w:color w:val="000000" w:themeColor="text1"/>
          <w:sz w:val="24"/>
          <w:szCs w:val="24"/>
          <w14:textFill>
            <w14:solidFill>
              <w14:schemeClr w14:val="tx1"/>
            </w14:solidFill>
          </w14:textFill>
        </w:rPr>
        <w:t>所涉及的</w:t>
      </w:r>
      <w:r>
        <w:rPr>
          <w:rFonts w:hint="eastAsia" w:eastAsia="宋体" w:cs="Times New Roman"/>
          <w:bCs/>
          <w:color w:val="000000" w:themeColor="text1"/>
          <w:sz w:val="24"/>
          <w:szCs w:val="24"/>
          <w14:textFill>
            <w14:solidFill>
              <w14:schemeClr w14:val="tx1"/>
            </w14:solidFill>
          </w14:textFill>
        </w:rPr>
        <w:t>物料</w:t>
      </w:r>
      <w:r>
        <w:rPr>
          <w:rFonts w:hint="eastAsia" w:eastAsia="宋体" w:cs="Times New Roman"/>
          <w:color w:val="000000" w:themeColor="text1"/>
          <w:sz w:val="24"/>
          <w:szCs w:val="24"/>
          <w14:textFill>
            <w14:solidFill>
              <w14:schemeClr w14:val="tx1"/>
            </w14:solidFill>
          </w14:textFill>
        </w:rPr>
        <w:t>86.038</w:t>
      </w:r>
      <w:r>
        <w:rPr>
          <w:rFonts w:eastAsia="宋体" w:cs="Times New Roman"/>
          <w:color w:val="000000" w:themeColor="text1"/>
          <w:sz w:val="24"/>
          <w:szCs w:val="24"/>
          <w14:textFill>
            <w14:solidFill>
              <w14:schemeClr w14:val="tx1"/>
            </w14:solidFill>
          </w14:textFill>
        </w:rPr>
        <w:t>t</w:t>
      </w:r>
      <w:r>
        <w:rPr>
          <w:rFonts w:hint="eastAsia" w:eastAsia="宋体" w:cs="Times New Roman"/>
          <w:color w:val="000000" w:themeColor="text1"/>
          <w:sz w:val="24"/>
          <w:szCs w:val="24"/>
          <w14:textFill>
            <w14:solidFill>
              <w14:schemeClr w14:val="tx1"/>
            </w14:solidFill>
          </w14:textFill>
        </w:rPr>
        <w:t>，本项目涉及的有机溶剂2.67t、废有机溶剂2.67t，砂磨机碱洗废碱液1t，喷淋塔定期排污废液1t，共计93.378t。</w:t>
      </w:r>
    </w:p>
    <w:p w14:paraId="5BC8A988">
      <w:pPr>
        <w:pStyle w:val="52"/>
        <w:ind w:firstLine="470"/>
        <w:jc w:val="left"/>
        <w:rPr>
          <w:rFonts w:eastAsia="宋体" w:cs="Times New Roman"/>
          <w:bCs/>
          <w:color w:val="000000" w:themeColor="text1"/>
          <w:sz w:val="24"/>
          <w:szCs w:val="24"/>
          <w14:textFill>
            <w14:solidFill>
              <w14:schemeClr w14:val="tx1"/>
            </w14:solidFill>
          </w14:textFill>
        </w:rPr>
      </w:pPr>
      <w:r>
        <w:rPr>
          <w:rFonts w:eastAsia="宋体" w:cs="Times New Roman"/>
          <w:bCs/>
          <w:color w:val="000000" w:themeColor="text1"/>
          <w:sz w:val="24"/>
          <w:szCs w:val="24"/>
          <w14:textFill>
            <w14:solidFill>
              <w14:schemeClr w14:val="tx1"/>
            </w14:solidFill>
          </w14:textFill>
        </w:rPr>
        <w:t>发生火灾事故时消防废水产生量按15L/s的流速计算，发生时间按1h计算，因此消防废水产生量为54m</w:t>
      </w:r>
      <w:r>
        <w:rPr>
          <w:rFonts w:eastAsia="宋体" w:cs="Times New Roman"/>
          <w:bCs/>
          <w:color w:val="000000" w:themeColor="text1"/>
          <w:sz w:val="24"/>
          <w:szCs w:val="24"/>
          <w:vertAlign w:val="superscript"/>
          <w14:textFill>
            <w14:solidFill>
              <w14:schemeClr w14:val="tx1"/>
            </w14:solidFill>
          </w14:textFill>
        </w:rPr>
        <w:t>3</w:t>
      </w:r>
      <w:r>
        <w:rPr>
          <w:rFonts w:eastAsia="宋体" w:cs="Times New Roman"/>
          <w:bCs/>
          <w:color w:val="000000" w:themeColor="text1"/>
          <w:sz w:val="24"/>
          <w:szCs w:val="24"/>
          <w14:textFill>
            <w14:solidFill>
              <w14:schemeClr w14:val="tx1"/>
            </w14:solidFill>
          </w14:textFill>
        </w:rPr>
        <w:t>。</w:t>
      </w:r>
      <w:r>
        <w:rPr>
          <w:rFonts w:hint="eastAsia" w:eastAsia="宋体" w:cs="Times New Roman"/>
          <w:bCs/>
          <w:color w:val="000000" w:themeColor="text1"/>
          <w:sz w:val="24"/>
          <w:szCs w:val="24"/>
          <w14:textFill>
            <w14:solidFill>
              <w14:schemeClr w14:val="tx1"/>
            </w14:solidFill>
          </w14:textFill>
        </w:rPr>
        <w:t>事故情况下，本项目及云南捷辰包装材料有限公司事故废水</w:t>
      </w:r>
      <w:r>
        <w:rPr>
          <w:rFonts w:eastAsia="宋体" w:cs="Times New Roman"/>
          <w:bCs/>
          <w:color w:val="000000" w:themeColor="text1"/>
          <w:sz w:val="24"/>
          <w:szCs w:val="24"/>
          <w14:textFill>
            <w14:solidFill>
              <w14:schemeClr w14:val="tx1"/>
            </w14:solidFill>
          </w14:textFill>
        </w:rPr>
        <w:t>共计</w:t>
      </w:r>
      <w:r>
        <w:rPr>
          <w:rFonts w:hint="eastAsia" w:eastAsia="宋体" w:cs="Times New Roman"/>
          <w:bCs/>
          <w:color w:val="000000" w:themeColor="text1"/>
          <w:sz w:val="24"/>
          <w:szCs w:val="24"/>
          <w14:textFill>
            <w14:solidFill>
              <w14:schemeClr w14:val="tx1"/>
            </w14:solidFill>
          </w14:textFill>
        </w:rPr>
        <w:t>147.378</w:t>
      </w:r>
      <w:r>
        <w:rPr>
          <w:rFonts w:eastAsia="宋体" w:cs="Times New Roman"/>
          <w:bCs/>
          <w:color w:val="000000" w:themeColor="text1"/>
          <w:sz w:val="24"/>
          <w:szCs w:val="24"/>
          <w14:textFill>
            <w14:solidFill>
              <w14:schemeClr w14:val="tx1"/>
            </w14:solidFill>
          </w14:textFill>
        </w:rPr>
        <w:t>m</w:t>
      </w:r>
      <w:r>
        <w:rPr>
          <w:rFonts w:eastAsia="宋体" w:cs="Times New Roman"/>
          <w:bCs/>
          <w:color w:val="000000" w:themeColor="text1"/>
          <w:sz w:val="24"/>
          <w:szCs w:val="24"/>
          <w:vertAlign w:val="superscript"/>
          <w14:textFill>
            <w14:solidFill>
              <w14:schemeClr w14:val="tx1"/>
            </w14:solidFill>
          </w14:textFill>
        </w:rPr>
        <w:t>3</w:t>
      </w:r>
      <w:r>
        <w:rPr>
          <w:rFonts w:eastAsia="宋体" w:cs="Times New Roman"/>
          <w:bCs/>
          <w:color w:val="000000" w:themeColor="text1"/>
          <w:sz w:val="24"/>
          <w:szCs w:val="24"/>
          <w14:textFill>
            <w14:solidFill>
              <w14:schemeClr w14:val="tx1"/>
            </w14:solidFill>
          </w14:textFill>
        </w:rPr>
        <w:t>，有效容积为19</w:t>
      </w:r>
      <w:r>
        <w:rPr>
          <w:rFonts w:hint="eastAsia" w:eastAsia="宋体" w:cs="Times New Roman"/>
          <w:bCs/>
          <w:color w:val="000000" w:themeColor="text1"/>
          <w:sz w:val="24"/>
          <w:szCs w:val="24"/>
          <w14:textFill>
            <w14:solidFill>
              <w14:schemeClr w14:val="tx1"/>
            </w14:solidFill>
          </w14:textFill>
        </w:rPr>
        <w:t>5</w:t>
      </w:r>
      <w:r>
        <w:rPr>
          <w:rFonts w:eastAsia="宋体" w:cs="Times New Roman"/>
          <w:bCs/>
          <w:color w:val="000000" w:themeColor="text1"/>
          <w:sz w:val="24"/>
          <w:szCs w:val="24"/>
          <w14:textFill>
            <w14:solidFill>
              <w14:schemeClr w14:val="tx1"/>
            </w14:solidFill>
          </w14:textFill>
        </w:rPr>
        <w:t>m</w:t>
      </w:r>
      <w:r>
        <w:rPr>
          <w:rFonts w:eastAsia="宋体" w:cs="Times New Roman"/>
          <w:bCs/>
          <w:color w:val="000000" w:themeColor="text1"/>
          <w:sz w:val="24"/>
          <w:szCs w:val="24"/>
          <w:vertAlign w:val="superscript"/>
          <w14:textFill>
            <w14:solidFill>
              <w14:schemeClr w14:val="tx1"/>
            </w14:solidFill>
          </w14:textFill>
        </w:rPr>
        <w:t>3</w:t>
      </w:r>
      <w:r>
        <w:rPr>
          <w:rFonts w:eastAsia="宋体" w:cs="Times New Roman"/>
          <w:bCs/>
          <w:color w:val="000000" w:themeColor="text1"/>
          <w:sz w:val="24"/>
          <w:szCs w:val="24"/>
          <w14:textFill>
            <w14:solidFill>
              <w14:schemeClr w14:val="tx1"/>
            </w14:solidFill>
          </w14:textFill>
        </w:rPr>
        <w:t>的事故应急池可确保发生事故时能有效收集事故废水。</w:t>
      </w:r>
    </w:p>
    <w:p w14:paraId="3C1CB48D">
      <w:pPr>
        <w:pStyle w:val="52"/>
        <w:ind w:firstLine="470"/>
        <w:jc w:val="left"/>
        <w:rPr>
          <w:rFonts w:eastAsia="宋体" w:cs="Times New Roman"/>
          <w:bCs/>
          <w:color w:val="000000" w:themeColor="text1"/>
          <w:sz w:val="24"/>
          <w:szCs w:val="24"/>
          <w14:textFill>
            <w14:solidFill>
              <w14:schemeClr w14:val="tx1"/>
            </w14:solidFill>
          </w14:textFill>
        </w:rPr>
      </w:pPr>
      <w:r>
        <w:rPr>
          <w:rFonts w:eastAsia="宋体" w:cs="Times New Roman"/>
          <w:bCs/>
          <w:color w:val="000000" w:themeColor="text1"/>
          <w:sz w:val="24"/>
          <w:szCs w:val="24"/>
          <w14:textFill>
            <w14:solidFill>
              <w14:schemeClr w14:val="tx1"/>
            </w14:solidFill>
          </w14:textFill>
        </w:rPr>
        <w:t>本项目在云南捷辰包装材料有限公司现有厂房建设，全厂管网连通，废水管与事故池设置切换阀门，事故情况关闭阀门，事故废水进入事故池，确保事故废水不外排，事故池容积满足两个厂事故废水，项目依托云南捷辰包装材料有限公司事故池可行。</w:t>
      </w:r>
    </w:p>
    <w:p w14:paraId="34475F8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5.2.8.5结论</w:t>
      </w:r>
    </w:p>
    <w:p w14:paraId="3127F9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风险物质为五硫化二磷、有机溶剂（环己烷、正庚烷）、导热油，风险单元为原料暂存区、理化间、生产车间、危废暂存间、污水处理间，本项目Q值小于1，环境风险潜势较低，风险类型为五硫化二磷、有机溶剂（环己烷）、导热油及生产废水等风险物质泄漏。火灾、爆炸事故产生的废水、废气等污染物排放。通过采取本环评提出的风险防范措施和应急措施，可有效降低项目的环境风险，确保项目在生产运营过程中对周围环境的影响控制在可接受范围内。在项目实施过程中，应严格遵守相关环境保护法律法规，定期开展环境风险评估和应急演练，不断完善风险管控体系，保障环境安全。</w:t>
      </w:r>
    </w:p>
    <w:p w14:paraId="24A3641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表5.2-3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建设项目环境风险简单分析内容表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992"/>
        <w:gridCol w:w="2141"/>
        <w:gridCol w:w="4766"/>
      </w:tblGrid>
      <w:tr w14:paraId="0B00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pct"/>
            <w:gridSpan w:val="2"/>
            <w:shd w:val="clear" w:color="auto" w:fill="auto"/>
            <w:vAlign w:val="center"/>
          </w:tcPr>
          <w:p w14:paraId="254EE5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4051" w:type="pct"/>
            <w:gridSpan w:val="2"/>
            <w:shd w:val="clear" w:color="auto" w:fill="auto"/>
            <w:vAlign w:val="center"/>
          </w:tcPr>
          <w:p w14:paraId="447B359B">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硫化物固态电解质材料生产项目（一期）</w:t>
            </w:r>
          </w:p>
        </w:tc>
      </w:tr>
      <w:tr w14:paraId="036A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pct"/>
            <w:gridSpan w:val="2"/>
            <w:shd w:val="clear" w:color="auto" w:fill="auto"/>
            <w:vAlign w:val="center"/>
          </w:tcPr>
          <w:p w14:paraId="42AA2E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4051" w:type="pct"/>
            <w:gridSpan w:val="2"/>
            <w:shd w:val="clear" w:color="auto" w:fill="auto"/>
            <w:vAlign w:val="center"/>
          </w:tcPr>
          <w:p w14:paraId="6A08CC18">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玉溪高新区九龙片区</w:t>
            </w:r>
          </w:p>
        </w:tc>
      </w:tr>
      <w:tr w14:paraId="0881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pct"/>
            <w:gridSpan w:val="2"/>
            <w:vAlign w:val="center"/>
          </w:tcPr>
          <w:p w14:paraId="6759B2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4051" w:type="pct"/>
            <w:gridSpan w:val="2"/>
            <w:shd w:val="clear" w:color="auto" w:fill="auto"/>
            <w:vAlign w:val="center"/>
          </w:tcPr>
          <w:p w14:paraId="5FABB7C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经纬度：102.526610，24.437050</w:t>
            </w:r>
          </w:p>
        </w:tc>
      </w:tr>
      <w:tr w14:paraId="2AFE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pct"/>
            <w:gridSpan w:val="2"/>
            <w:vAlign w:val="center"/>
          </w:tcPr>
          <w:p w14:paraId="4CC3DD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主要危险物质及分布</w:t>
            </w:r>
          </w:p>
        </w:tc>
        <w:tc>
          <w:tcPr>
            <w:tcW w:w="4051" w:type="pct"/>
            <w:gridSpan w:val="2"/>
            <w:vAlign w:val="center"/>
          </w:tcPr>
          <w:p w14:paraId="3035C441">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原料暂存区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五硫化二磷、有机溶剂（环己烷、正庚烷）</w:t>
            </w:r>
          </w:p>
          <w:p w14:paraId="0CED4E60">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理化间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五硫化二磷、有机溶剂（环己烷、正庚烷）</w:t>
            </w:r>
          </w:p>
          <w:p w14:paraId="057F6111">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生产车间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五硫化二磷、有机溶剂（环己烷、正庚烷）、导热油</w:t>
            </w:r>
          </w:p>
          <w:p w14:paraId="4979D4F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危废暂存间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废有机溶剂（环己烷、正庚烷）、废导热油</w:t>
            </w:r>
            <w:r>
              <w:rPr>
                <w:rFonts w:hint="eastAsia"/>
                <w:color w:val="000000" w:themeColor="text1"/>
                <w14:textFill>
                  <w14:solidFill>
                    <w14:schemeClr w14:val="tx1"/>
                  </w14:solidFill>
                </w14:textFill>
              </w:rPr>
              <w:t>、砂磨机碱洗废碱液、喷淋塔定期排污废液</w:t>
            </w:r>
          </w:p>
          <w:p w14:paraId="75EF9C19">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污水处理间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生产废水</w:t>
            </w:r>
          </w:p>
        </w:tc>
      </w:tr>
      <w:tr w14:paraId="20BB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17D76D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环境影响途径及危害后果</w:t>
            </w:r>
          </w:p>
        </w:tc>
        <w:tc>
          <w:tcPr>
            <w:tcW w:w="582" w:type="pct"/>
            <w:vAlign w:val="center"/>
          </w:tcPr>
          <w:p w14:paraId="2112DB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w:t>
            </w:r>
          </w:p>
        </w:tc>
        <w:tc>
          <w:tcPr>
            <w:tcW w:w="1256" w:type="pct"/>
            <w:vAlign w:val="center"/>
          </w:tcPr>
          <w:p w14:paraId="473EA04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影响途径</w:t>
            </w:r>
          </w:p>
        </w:tc>
        <w:tc>
          <w:tcPr>
            <w:tcW w:w="2795" w:type="pct"/>
            <w:vAlign w:val="center"/>
          </w:tcPr>
          <w:p w14:paraId="41CD05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危害后果</w:t>
            </w:r>
          </w:p>
        </w:tc>
      </w:tr>
      <w:tr w14:paraId="2AC9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42C1C4B9">
            <w:pPr>
              <w:pStyle w:val="28"/>
              <w:rPr>
                <w:color w:val="000000" w:themeColor="text1"/>
                <w14:textFill>
                  <w14:solidFill>
                    <w14:schemeClr w14:val="tx1"/>
                  </w14:solidFill>
                </w14:textFill>
              </w:rPr>
            </w:pPr>
          </w:p>
        </w:tc>
        <w:tc>
          <w:tcPr>
            <w:tcW w:w="582" w:type="pct"/>
            <w:shd w:val="clear" w:color="auto" w:fill="auto"/>
            <w:vAlign w:val="center"/>
          </w:tcPr>
          <w:p w14:paraId="723F9847">
            <w:pPr>
              <w:pStyle w:val="28"/>
              <w:rPr>
                <w:color w:val="000000" w:themeColor="text1"/>
                <w14:textFill>
                  <w14:solidFill>
                    <w14:schemeClr w14:val="tx1"/>
                  </w14:solidFill>
                </w14:textFill>
              </w:rPr>
            </w:pPr>
            <w:r>
              <w:rPr>
                <w:color w:val="000000" w:themeColor="text1"/>
                <w14:textFill>
                  <w14:solidFill>
                    <w14:schemeClr w14:val="tx1"/>
                  </w14:solidFill>
                </w14:textFill>
              </w:rPr>
              <w:t>五硫化二磷（燃烧 / 爆炸）</w:t>
            </w:r>
          </w:p>
        </w:tc>
        <w:tc>
          <w:tcPr>
            <w:tcW w:w="1256" w:type="pct"/>
            <w:shd w:val="clear" w:color="auto" w:fill="auto"/>
            <w:vAlign w:val="center"/>
          </w:tcPr>
          <w:p w14:paraId="7509C88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粉尘扩散：泄漏后粉尘飞扬，随大气环流扩散；</w:t>
            </w:r>
          </w:p>
          <w:p w14:paraId="6AF0635B">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遇水/受潮分解：接触雨水、地面水或土壤水分后，快速分解产生硫化氢（有毒气体）和磷酸（酸性液体），分解产物进一步扩散/渗透</w:t>
            </w:r>
            <w:r>
              <w:rPr>
                <w:rFonts w:hint="eastAsia"/>
                <w:color w:val="000000" w:themeColor="text1"/>
                <w14:textFill>
                  <w14:solidFill>
                    <w14:schemeClr w14:val="tx1"/>
                  </w14:solidFill>
                </w14:textFill>
              </w:rPr>
              <w:t>。</w:t>
            </w:r>
          </w:p>
          <w:p w14:paraId="0F84D5BA">
            <w:pPr>
              <w:pStyle w:val="28"/>
              <w:jc w:val="both"/>
              <w:rPr>
                <w:color w:val="000000" w:themeColor="text1"/>
                <w14:textFill>
                  <w14:solidFill>
                    <w14:schemeClr w14:val="tx1"/>
                  </w14:solidFill>
                </w14:textFill>
              </w:rPr>
            </w:pPr>
          </w:p>
        </w:tc>
        <w:tc>
          <w:tcPr>
            <w:tcW w:w="2795" w:type="pct"/>
            <w:shd w:val="clear" w:color="auto" w:fill="auto"/>
            <w:vAlign w:val="center"/>
          </w:tcPr>
          <w:p w14:paraId="4B1B9F78">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硫化氢气体具有臭鸡蛋味，低浓度刺激呼吸道，高浓度可致人员中毒，扩散范围受风速、地形影响（密闭空间易积聚）；五硫化二磷泄漏遇雨水生成硫化氢、且硫化氢与空气混合达到爆炸极限的场景，属于低概率事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触发前提多需同时满足“五硫化二磷泄漏（如包装破损）+ 储存 / 暂存区进水（如雨水倒灌、消防水不慎流入）+ 通风不良（硫化氢无法及时扩散）” 三个条件</w:t>
            </w:r>
            <w:r>
              <w:rPr>
                <w:rFonts w:hint="eastAsia"/>
                <w:color w:val="000000" w:themeColor="text1"/>
                <w14:textFill>
                  <w14:solidFill>
                    <w14:schemeClr w14:val="tx1"/>
                  </w14:solidFill>
                </w14:textFill>
              </w:rPr>
              <w:t>；</w:t>
            </w:r>
          </w:p>
          <w:p w14:paraId="1095E03B">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土壤/水体影响：磷酸导致土壤酸化、水体pH下降，破坏土壤微生物群落，影响植物生长，污染地表水/地下水后，会腐蚀管网、危害水生生物（鱼类、藻类死亡）；</w:t>
            </w:r>
          </w:p>
          <w:p w14:paraId="7DA1CB9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二次风险：分解产生的硫化氢若与空气混合（爆炸极限4.3%~46%），遇明火可能引发次生爆炸</w:t>
            </w:r>
            <w:r>
              <w:rPr>
                <w:rFonts w:hint="eastAsia"/>
                <w:color w:val="000000" w:themeColor="text1"/>
                <w14:textFill>
                  <w14:solidFill>
                    <w14:schemeClr w14:val="tx1"/>
                  </w14:solidFill>
                </w14:textFill>
              </w:rPr>
              <w:t>。</w:t>
            </w:r>
          </w:p>
        </w:tc>
      </w:tr>
      <w:tr w14:paraId="71FF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2F0AD62F">
            <w:pPr>
              <w:pStyle w:val="28"/>
              <w:rPr>
                <w:color w:val="000000" w:themeColor="text1"/>
                <w14:textFill>
                  <w14:solidFill>
                    <w14:schemeClr w14:val="tx1"/>
                  </w14:solidFill>
                </w14:textFill>
              </w:rPr>
            </w:pPr>
          </w:p>
        </w:tc>
        <w:tc>
          <w:tcPr>
            <w:tcW w:w="582" w:type="pct"/>
            <w:shd w:val="clear" w:color="auto" w:fill="auto"/>
            <w:vAlign w:val="center"/>
          </w:tcPr>
          <w:p w14:paraId="234518F1">
            <w:pPr>
              <w:pStyle w:val="28"/>
              <w:rPr>
                <w:color w:val="000000" w:themeColor="text1"/>
                <w14:textFill>
                  <w14:solidFill>
                    <w14:schemeClr w14:val="tx1"/>
                  </w14:solidFill>
                </w14:textFill>
              </w:rPr>
            </w:pPr>
            <w:r>
              <w:rPr>
                <w:color w:val="000000" w:themeColor="text1"/>
                <w14:textFill>
                  <w14:solidFill>
                    <w14:schemeClr w14:val="tx1"/>
                  </w14:solidFill>
                </w14:textFill>
              </w:rPr>
              <w:t>环己烷</w:t>
            </w:r>
            <w:r>
              <w:rPr>
                <w:rFonts w:hint="eastAsia"/>
                <w:color w:val="000000" w:themeColor="text1"/>
                <w14:textFill>
                  <w14:solidFill>
                    <w14:schemeClr w14:val="tx1"/>
                  </w14:solidFill>
                </w14:textFill>
              </w:rPr>
              <w:t>、正庚烷</w:t>
            </w:r>
            <w:r>
              <w:rPr>
                <w:color w:val="000000" w:themeColor="text1"/>
                <w14:textFill>
                  <w14:solidFill>
                    <w14:schemeClr w14:val="tx1"/>
                  </w14:solidFill>
                </w14:textFill>
              </w:rPr>
              <w:t>（燃烧 / 爆炸）</w:t>
            </w:r>
          </w:p>
        </w:tc>
        <w:tc>
          <w:tcPr>
            <w:tcW w:w="1256" w:type="pct"/>
            <w:shd w:val="clear" w:color="auto" w:fill="auto"/>
            <w:vAlign w:val="center"/>
          </w:tcPr>
          <w:p w14:paraId="46D01326">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挥发扩散：泄漏后快速挥发，蒸气随大气扩散（蒸气密度比空气大，易在低洼处、密闭空间积聚）；</w:t>
            </w:r>
          </w:p>
          <w:p w14:paraId="2DB7197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液体漫流：沿地面坡度漫流，污染表层土壤，若接触地表水（如雨水管网、河流）则直接汇入水体；</w:t>
            </w:r>
          </w:p>
          <w:p w14:paraId="6E56B1DA">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少量渗入：因环己烷难溶于水，渗入土壤后易在土壤孔隙中形成 “油膜”，缓慢挥发或随地下水迁移</w:t>
            </w:r>
            <w:r>
              <w:rPr>
                <w:rFonts w:hint="eastAsia"/>
                <w:color w:val="000000" w:themeColor="text1"/>
                <w14:textFill>
                  <w14:solidFill>
                    <w14:schemeClr w14:val="tx1"/>
                  </w14:solidFill>
                </w14:textFill>
              </w:rPr>
              <w:t>。</w:t>
            </w:r>
          </w:p>
        </w:tc>
        <w:tc>
          <w:tcPr>
            <w:tcW w:w="2795" w:type="pct"/>
            <w:shd w:val="clear" w:color="auto" w:fill="auto"/>
            <w:vAlign w:val="center"/>
          </w:tcPr>
          <w:p w14:paraId="22DF356A">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大气影响：蒸气具有麻醉性，高浓度吸入可致头晕、昏迷，同时属于易燃蒸气，扩散至火源附近易引发火灾；</w:t>
            </w:r>
          </w:p>
          <w:p w14:paraId="0CADDBA4">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土壤影响：油膜覆盖土壤表层，阻断土壤透气性和透水性，导致植物根系缺氧坏死，长期残留会影响土壤生态；</w:t>
            </w:r>
          </w:p>
          <w:p w14:paraId="02F79F09">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水体影响：汇入地表水后形成油膜，阻碍水体复氧，导致水生生物缺氧死亡，且环己烷难降解，会在水体中持续扩散</w:t>
            </w:r>
            <w:r>
              <w:rPr>
                <w:rFonts w:hint="eastAsia"/>
                <w:color w:val="000000" w:themeColor="text1"/>
                <w14:textFill>
                  <w14:solidFill>
                    <w14:schemeClr w14:val="tx1"/>
                  </w14:solidFill>
                </w14:textFill>
              </w:rPr>
              <w:t>。</w:t>
            </w:r>
          </w:p>
        </w:tc>
      </w:tr>
      <w:tr w14:paraId="3DBA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50696928">
            <w:pPr>
              <w:pStyle w:val="28"/>
              <w:rPr>
                <w:color w:val="000000" w:themeColor="text1"/>
                <w14:textFill>
                  <w14:solidFill>
                    <w14:schemeClr w14:val="tx1"/>
                  </w14:solidFill>
                </w14:textFill>
              </w:rPr>
            </w:pPr>
          </w:p>
        </w:tc>
        <w:tc>
          <w:tcPr>
            <w:tcW w:w="582" w:type="pct"/>
            <w:shd w:val="clear" w:color="auto" w:fill="auto"/>
            <w:vAlign w:val="center"/>
          </w:tcPr>
          <w:p w14:paraId="4B9DBE48">
            <w:pPr>
              <w:pStyle w:val="28"/>
              <w:rPr>
                <w:color w:val="000000" w:themeColor="text1"/>
                <w14:textFill>
                  <w14:solidFill>
                    <w14:schemeClr w14:val="tx1"/>
                  </w14:solidFill>
                </w14:textFill>
              </w:rPr>
            </w:pPr>
            <w:r>
              <w:rPr>
                <w:color w:val="000000" w:themeColor="text1"/>
                <w14:textFill>
                  <w14:solidFill>
                    <w14:schemeClr w14:val="tx1"/>
                  </w14:solidFill>
                </w14:textFill>
              </w:rPr>
              <w:t>导热油（燃烧 / 爆炸）</w:t>
            </w:r>
          </w:p>
        </w:tc>
        <w:tc>
          <w:tcPr>
            <w:tcW w:w="1256" w:type="pct"/>
            <w:shd w:val="clear" w:color="auto" w:fill="auto"/>
            <w:vAlign w:val="center"/>
          </w:tcPr>
          <w:p w14:paraId="44F4ECB2">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液体漫流：泄漏后沿地面漫流，污染表层土壤，若进入雨水管网则汇入地表水；</w:t>
            </w:r>
          </w:p>
          <w:p w14:paraId="7DA64472">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少量挥发：常温下挥发量极低，仅在高温泄漏（如系统超温）时少量挥发；</w:t>
            </w:r>
          </w:p>
          <w:p w14:paraId="5AD4252F">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土壤吸附：因黏度大、难溶于水，易被土壤强烈吸附，形成长期残留</w:t>
            </w:r>
            <w:r>
              <w:rPr>
                <w:rFonts w:hint="eastAsia"/>
                <w:color w:val="000000" w:themeColor="text1"/>
                <w14:textFill>
                  <w14:solidFill>
                    <w14:schemeClr w14:val="tx1"/>
                  </w14:solidFill>
                </w14:textFill>
              </w:rPr>
              <w:t>。</w:t>
            </w:r>
          </w:p>
        </w:tc>
        <w:tc>
          <w:tcPr>
            <w:tcW w:w="2795" w:type="pct"/>
            <w:shd w:val="clear" w:color="auto" w:fill="auto"/>
            <w:vAlign w:val="center"/>
          </w:tcPr>
          <w:p w14:paraId="4B500B01">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土壤影响：长期残留导致土壤油化，破坏土壤结构，抑制植物生长，属于危险废物（HW08），需专业处置，否则会持续污染；2. 水体影响：汇入地表水后形成厚油膜，严重阻碍水体与大气的气体交换，导致水生生物窒息死亡，污染地下水后，因难降解、难迁移，会长期残留于含水层，影响地下水水质；</w:t>
            </w:r>
          </w:p>
          <w:p w14:paraId="4BA99BAC">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3. 大气影响：常温下无明显挥发污染，高温泄漏时挥发的烃类蒸气可能刺激呼吸道</w:t>
            </w:r>
            <w:r>
              <w:rPr>
                <w:rFonts w:hint="eastAsia"/>
                <w:color w:val="000000" w:themeColor="text1"/>
                <w14:textFill>
                  <w14:solidFill>
                    <w14:schemeClr w14:val="tx1"/>
                  </w14:solidFill>
                </w14:textFill>
              </w:rPr>
              <w:t>。</w:t>
            </w:r>
          </w:p>
        </w:tc>
      </w:tr>
      <w:tr w14:paraId="72FF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5DB76B68">
            <w:pPr>
              <w:pStyle w:val="28"/>
              <w:rPr>
                <w:color w:val="000000" w:themeColor="text1"/>
                <w14:textFill>
                  <w14:solidFill>
                    <w14:schemeClr w14:val="tx1"/>
                  </w14:solidFill>
                </w14:textFill>
              </w:rPr>
            </w:pPr>
          </w:p>
        </w:tc>
        <w:tc>
          <w:tcPr>
            <w:tcW w:w="582" w:type="pct"/>
            <w:shd w:val="clear" w:color="auto" w:fill="auto"/>
            <w:vAlign w:val="center"/>
          </w:tcPr>
          <w:p w14:paraId="2C84E4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砂磨机碱洗废碱液、喷淋塔定期排污废液</w:t>
            </w:r>
          </w:p>
        </w:tc>
        <w:tc>
          <w:tcPr>
            <w:tcW w:w="1256" w:type="pct"/>
            <w:shd w:val="clear" w:color="auto" w:fill="auto"/>
            <w:vAlign w:val="center"/>
          </w:tcPr>
          <w:p w14:paraId="7B492350">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1.液体漫流：废液泄漏后，若未及时拦截，可通过地面漫流、排水沟、雨水管网进入附近河流、沟渠、水塘等地表水体，造成水体污染。</w:t>
            </w:r>
          </w:p>
          <w:p w14:paraId="2370E7A3">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2.地下水污染：泄漏废液若进入未防渗地面、土壤裂隙、污水管网破损处，可经下渗、淋溶进入浅层地下水，造成地下水污染。</w:t>
            </w:r>
          </w:p>
          <w:p w14:paraId="150E1695">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3.土壤转移途径：废液直接洒落、漫流至地面，通过渗透、扩散进入土壤层，造成土壤盐碱化、污染土壤。</w:t>
            </w:r>
          </w:p>
        </w:tc>
        <w:tc>
          <w:tcPr>
            <w:tcW w:w="2795" w:type="pct"/>
            <w:shd w:val="clear" w:color="auto" w:fill="auto"/>
            <w:vAlign w:val="center"/>
          </w:tcPr>
          <w:p w14:paraId="4BF3DA80">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1.对水环境的影响：使受纳水体pH 急剧升高，呈强碱性，破坏水体缓冲能力。</w:t>
            </w:r>
          </w:p>
          <w:p w14:paraId="27AB1325">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抑制或杀死水生生物，破坏水生生态系统，造成水体生态功能下降。</w:t>
            </w:r>
          </w:p>
          <w:p w14:paraId="349BD365">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高碱环境可使部分金属离子沉淀或活化，改变水质成分，影响饮用水源安全。</w:t>
            </w:r>
          </w:p>
          <w:p w14:paraId="12AF9F9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2.土壤环境的影响：造成土壤pH 升高、盐碱化、板结，破坏土壤结构。抑制土壤微生物活性，降低土壤肥力，影响植物生长。污染物可长期滞留土壤，形成持久性土壤污染。</w:t>
            </w:r>
          </w:p>
          <w:p w14:paraId="144F9274">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3.对人体健康与安全的影响：皮肤、眼睛接触可造成化学灼伤、腐蚀。吸入碱雾、挥发气体可刺激呼吸道、黏膜。</w:t>
            </w:r>
          </w:p>
          <w:p w14:paraId="5366CFC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4.泄漏处置不当易引发二次污染、安全事故。</w:t>
            </w:r>
          </w:p>
        </w:tc>
      </w:tr>
      <w:tr w14:paraId="60A7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089D8613">
            <w:pPr>
              <w:pStyle w:val="28"/>
              <w:rPr>
                <w:color w:val="000000" w:themeColor="text1"/>
                <w14:textFill>
                  <w14:solidFill>
                    <w14:schemeClr w14:val="tx1"/>
                  </w14:solidFill>
                </w14:textFill>
              </w:rPr>
            </w:pPr>
          </w:p>
        </w:tc>
        <w:tc>
          <w:tcPr>
            <w:tcW w:w="582" w:type="pct"/>
            <w:shd w:val="clear" w:color="auto" w:fill="auto"/>
            <w:vAlign w:val="center"/>
          </w:tcPr>
          <w:p w14:paraId="486CCA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1256" w:type="pct"/>
            <w:shd w:val="clear" w:color="auto" w:fill="auto"/>
            <w:vAlign w:val="center"/>
          </w:tcPr>
          <w:p w14:paraId="37895245">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管网泄漏：通过破损的废水收集管网、储罐泄漏，渗入土壤或直接汇入地表水；</w:t>
            </w:r>
          </w:p>
          <w:p w14:paraId="0C8004D9">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应急排放：事故状态下（如</w:t>
            </w:r>
            <w:r>
              <w:rPr>
                <w:rFonts w:hint="eastAsia"/>
                <w:color w:val="000000" w:themeColor="text1"/>
                <w14:textFill>
                  <w14:solidFill>
                    <w14:schemeClr w14:val="tx1"/>
                  </w14:solidFill>
                </w14:textFill>
              </w:rPr>
              <w:t>废水收集池</w:t>
            </w:r>
            <w:r>
              <w:rPr>
                <w:color w:val="000000" w:themeColor="text1"/>
                <w14:textFill>
                  <w14:solidFill>
                    <w14:schemeClr w14:val="tx1"/>
                  </w14:solidFill>
                </w14:textFill>
              </w:rPr>
              <w:t>满溢），未经过处理直接排放至雨水管网或周边水体</w:t>
            </w:r>
            <w:r>
              <w:rPr>
                <w:rFonts w:hint="eastAsia"/>
                <w:color w:val="000000" w:themeColor="text1"/>
                <w14:textFill>
                  <w14:solidFill>
                    <w14:schemeClr w14:val="tx1"/>
                  </w14:solidFill>
                </w14:textFill>
              </w:rPr>
              <w:t>。</w:t>
            </w:r>
          </w:p>
        </w:tc>
        <w:tc>
          <w:tcPr>
            <w:tcW w:w="2795" w:type="pct"/>
            <w:shd w:val="clear" w:color="auto" w:fill="auto"/>
            <w:vAlign w:val="center"/>
          </w:tcPr>
          <w:p w14:paraId="564282A9">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1. 水体影响：废水中含生产原料残留（如微量五硫化二磷、环己烷）、反应副产物，可能导致地表水/地下水COD、BOD升高，pH 异常，有毒物质累积，危害水生生态系统，若污染饮用水源，会威胁人体健康；</w:t>
            </w:r>
          </w:p>
          <w:p w14:paraId="5103A7FE">
            <w:pPr>
              <w:pStyle w:val="28"/>
              <w:jc w:val="both"/>
              <w:rPr>
                <w:color w:val="000000" w:themeColor="text1"/>
                <w14:textFill>
                  <w14:solidFill>
                    <w14:schemeClr w14:val="tx1"/>
                  </w14:solidFill>
                </w14:textFill>
              </w:rPr>
            </w:pPr>
            <w:r>
              <w:rPr>
                <w:color w:val="000000" w:themeColor="text1"/>
                <w14:textFill>
                  <w14:solidFill>
                    <w14:schemeClr w14:val="tx1"/>
                  </w14:solidFill>
                </w14:textFill>
              </w:rPr>
              <w:t>2. 土壤影响：渗入土壤后，有毒有害物质被土壤吸附，长期残留会污染土壤，影响农作物生长或土地利用功能</w:t>
            </w:r>
            <w:r>
              <w:rPr>
                <w:rFonts w:hint="eastAsia"/>
                <w:color w:val="000000" w:themeColor="text1"/>
                <w14:textFill>
                  <w14:solidFill>
                    <w14:schemeClr w14:val="tx1"/>
                  </w14:solidFill>
                </w14:textFill>
              </w:rPr>
              <w:t>。</w:t>
            </w:r>
          </w:p>
        </w:tc>
      </w:tr>
      <w:tr w14:paraId="2A44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Align w:val="center"/>
          </w:tcPr>
          <w:p w14:paraId="1E2B3A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风险防范措施要求</w:t>
            </w:r>
          </w:p>
        </w:tc>
        <w:tc>
          <w:tcPr>
            <w:tcW w:w="4633" w:type="pct"/>
            <w:gridSpan w:val="3"/>
            <w:vAlign w:val="center"/>
          </w:tcPr>
          <w:p w14:paraId="78C55E38">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（1）储存环节​</w:t>
            </w:r>
          </w:p>
          <w:p w14:paraId="13860441">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①五硫化二磷应储存于干燥、通风良好的原料暂存间内，远离火种、热源，避免与水、酸类物质接触。原料暂存间应设置防潮、防水设施，防止雨水渗入。</w:t>
            </w:r>
          </w:p>
          <w:p w14:paraId="4C1F9AC6">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②有机溶剂（环己烷）储存于密闭容器中，放置在阴凉、通风的库房，远离火种、热源，库温不宜超过30℃。原料暂存间内设置防爆型照明、通风设施，禁止使用易产生火花的机械设备和工具。​</w:t>
            </w:r>
          </w:p>
          <w:p w14:paraId="11AE1CA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③废有机有溶剂、废导热油应单独存放于密封容器中，避免泄漏，暂存于危废暂存间内，设置明显的警示标志。</w:t>
            </w:r>
          </w:p>
          <w:p w14:paraId="5C0955CE">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④废水收集管网采用PVC防腐管，废水收集池采用不锈钢材质，设液位报警装置。根据项目实际情况，本环评要求设置废水处理间设置应急空桶。</w:t>
            </w:r>
          </w:p>
          <w:p w14:paraId="6FC2B86A">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（2）运输环节​</w:t>
            </w:r>
          </w:p>
          <w:p w14:paraId="701D3F4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①运输五硫化二磷时，应使用密闭的运输工具，避免与水、潮湿物品接触，运输过程中防止撞击、摩擦。​</w:t>
            </w:r>
          </w:p>
          <w:p w14:paraId="20C3AB7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②有机有溶剂（环己烷、正庚烷）、砂磨机碱洗废碱液、喷淋塔定期排污废液等运输车辆应配备相应品种和数量的消防器材及泄漏应急处理设备，运输过程中严禁烟火，避免高温暴晒。​</w:t>
            </w:r>
          </w:p>
          <w:p w14:paraId="3674834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③废导热油、废有机溶剂、砂磨机碱洗废碱液、喷淋塔定期排污废液运输应委托有资质的单位进行，运输过程中确保容器密封，防止泄漏，严格遵守危险废物运输相关规定。​</w:t>
            </w:r>
          </w:p>
          <w:p w14:paraId="7A9A82CE">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④废水处理设施（如废水收集池、反应沉淀一体化设备、水泵、加药系统等）每月检查一次防渗层完整性，发现问题及时修补、换新。</w:t>
            </w:r>
          </w:p>
          <w:p w14:paraId="3ED0D73E">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（3）生产环节​</w:t>
            </w:r>
          </w:p>
          <w:p w14:paraId="49B541AF">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①生产车间应保持良好的通风，设置相应的气体检测报警装置，对五硫化二磷和环己烷的泄漏情况进行实时监测。​</w:t>
            </w:r>
          </w:p>
          <w:p w14:paraId="5B34FC06">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②对操作员工进行专项培训，考核合格后方可上岗，培训内容包括物质危险性、泄漏处置流程。操作人员应佩戴必要的防护用品，如防毒面具、防护手套、防护服等，避免直接接触风险物质。​</w:t>
            </w:r>
          </w:p>
          <w:p w14:paraId="0FDCFEB5">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③定期对生产设备、管道进行检查和维护，防止因设备老化、腐蚀等原因导致风险物质泄漏。</w:t>
            </w:r>
          </w:p>
        </w:tc>
      </w:tr>
    </w:tbl>
    <w:p w14:paraId="486986A4">
      <w:pPr>
        <w:ind w:firstLine="480"/>
        <w:rPr>
          <w:color w:val="000000" w:themeColor="text1"/>
          <w14:textFill>
            <w14:solidFill>
              <w14:schemeClr w14:val="tx1"/>
            </w14:solidFill>
          </w14:textFill>
        </w:rPr>
      </w:pPr>
    </w:p>
    <w:p w14:paraId="65A37BC7">
      <w:pPr>
        <w:pStyle w:val="2"/>
        <w:rPr>
          <w:color w:val="000000" w:themeColor="text1"/>
          <w14:textFill>
            <w14:solidFill>
              <w14:schemeClr w14:val="tx1"/>
            </w14:solidFill>
          </w14:textFill>
        </w:rPr>
      </w:pPr>
      <w:bookmarkStart w:id="112" w:name="_Toc18106"/>
      <w:r>
        <w:rPr>
          <w:rFonts w:hint="eastAsia"/>
          <w:color w:val="000000" w:themeColor="text1"/>
          <w14:textFill>
            <w14:solidFill>
              <w14:schemeClr w14:val="tx1"/>
            </w14:solidFill>
          </w14:textFill>
        </w:rPr>
        <w:t>6</w:t>
      </w:r>
      <w:r>
        <w:rPr>
          <w:color w:val="000000" w:themeColor="text1"/>
          <w14:textFill>
            <w14:solidFill>
              <w14:schemeClr w14:val="tx1"/>
            </w14:solidFill>
          </w14:textFill>
        </w:rPr>
        <w:t>、环境保护措施及其可行性论证</w:t>
      </w:r>
      <w:bookmarkEnd w:id="112"/>
    </w:p>
    <w:p w14:paraId="4BD07821">
      <w:pPr>
        <w:pStyle w:val="3"/>
        <w:rPr>
          <w:color w:val="000000" w:themeColor="text1"/>
          <w14:textFill>
            <w14:solidFill>
              <w14:schemeClr w14:val="tx1"/>
            </w14:solidFill>
          </w14:textFill>
        </w:rPr>
      </w:pPr>
      <w:bookmarkStart w:id="113" w:name="_Toc12892"/>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1施工</w:t>
      </w:r>
      <w:r>
        <w:rPr>
          <w:color w:val="000000" w:themeColor="text1"/>
          <w14:textFill>
            <w14:solidFill>
              <w14:schemeClr w14:val="tx1"/>
            </w14:solidFill>
          </w14:textFill>
        </w:rPr>
        <w:t>期环境保护措施及其可行性</w:t>
      </w:r>
      <w:r>
        <w:rPr>
          <w:rFonts w:hint="eastAsia"/>
          <w:color w:val="000000" w:themeColor="text1"/>
          <w14:textFill>
            <w14:solidFill>
              <w14:schemeClr w14:val="tx1"/>
            </w14:solidFill>
          </w14:textFill>
        </w:rPr>
        <w:t>分析</w:t>
      </w:r>
      <w:bookmarkEnd w:id="113"/>
    </w:p>
    <w:p w14:paraId="179D66F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利用云南捷辰包装材料有限公司建设的现有厂房，购置箱式炉、砂磨机、离心机、干燥机等生产设备及配套环保设备，项目不涉及土建施工，仅涉及设备进场和安装，施工期工艺简单，工期短，对周边环境的影响较小，本评价对施工过程的污染防治措施</w:t>
      </w:r>
      <w:r>
        <w:rPr>
          <w:rFonts w:hint="eastAsia"/>
          <w:color w:val="000000" w:themeColor="text1"/>
          <w14:textFill>
            <w14:solidFill>
              <w14:schemeClr w14:val="tx1"/>
            </w14:solidFill>
          </w14:textFill>
        </w:rPr>
        <w:t>的可行性不做论证</w:t>
      </w:r>
      <w:r>
        <w:rPr>
          <w:color w:val="000000" w:themeColor="text1"/>
          <w14:textFill>
            <w14:solidFill>
              <w14:schemeClr w14:val="tx1"/>
            </w14:solidFill>
          </w14:textFill>
        </w:rPr>
        <w:t>分析。</w:t>
      </w:r>
    </w:p>
    <w:p w14:paraId="0C844842">
      <w:pPr>
        <w:pStyle w:val="3"/>
        <w:rPr>
          <w:color w:val="000000" w:themeColor="text1"/>
          <w14:textFill>
            <w14:solidFill>
              <w14:schemeClr w14:val="tx1"/>
            </w14:solidFill>
          </w14:textFill>
        </w:rPr>
      </w:pPr>
      <w:bookmarkStart w:id="114" w:name="_Toc19849"/>
      <w:r>
        <w:rPr>
          <w:rFonts w:hint="eastAsia"/>
          <w:color w:val="000000" w:themeColor="text1"/>
          <w14:textFill>
            <w14:solidFill>
              <w14:schemeClr w14:val="tx1"/>
            </w14:solidFill>
          </w14:textFill>
        </w:rPr>
        <w:t>6</w:t>
      </w:r>
      <w:r>
        <w:rPr>
          <w:color w:val="000000" w:themeColor="text1"/>
          <w14:textFill>
            <w14:solidFill>
              <w14:schemeClr w14:val="tx1"/>
            </w14:solidFill>
          </w14:textFill>
        </w:rPr>
        <w:t>.2运营期环境保护措施及其可行性</w:t>
      </w:r>
      <w:r>
        <w:rPr>
          <w:rFonts w:hint="eastAsia"/>
          <w:color w:val="000000" w:themeColor="text1"/>
          <w14:textFill>
            <w14:solidFill>
              <w14:schemeClr w14:val="tx1"/>
            </w14:solidFill>
          </w14:textFill>
        </w:rPr>
        <w:t>分析</w:t>
      </w:r>
      <w:bookmarkEnd w:id="114"/>
    </w:p>
    <w:p w14:paraId="49D4D1BC">
      <w:pPr>
        <w:pStyle w:val="4"/>
        <w:rPr>
          <w:color w:val="000000" w:themeColor="text1"/>
          <w14:textFill>
            <w14:solidFill>
              <w14:schemeClr w14:val="tx1"/>
            </w14:solidFill>
          </w14:textFill>
        </w:rPr>
      </w:pPr>
      <w:bookmarkStart w:id="115" w:name="_Toc10041"/>
      <w:r>
        <w:rPr>
          <w:rFonts w:hint="eastAsia"/>
          <w:color w:val="000000" w:themeColor="text1"/>
          <w14:textFill>
            <w14:solidFill>
              <w14:schemeClr w14:val="tx1"/>
            </w14:solidFill>
          </w14:textFill>
        </w:rPr>
        <w:t>6</w:t>
      </w:r>
      <w:r>
        <w:rPr>
          <w:color w:val="000000" w:themeColor="text1"/>
          <w14:textFill>
            <w14:solidFill>
              <w14:schemeClr w14:val="tx1"/>
            </w14:solidFill>
          </w14:textFill>
        </w:rPr>
        <w:t>.2.1大气污染防治措施</w:t>
      </w:r>
      <w:bookmarkEnd w:id="115"/>
    </w:p>
    <w:p w14:paraId="047EF74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.2.1.1 大气污染源控制措施</w:t>
      </w:r>
    </w:p>
    <w:p w14:paraId="15E0704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本项目采用密闭式生产装置，生产过程产生的投料粉尘、研磨废气、干燥废气通过管道接入废气处理系统，经</w:t>
      </w:r>
      <w:r>
        <w:rPr>
          <w:rFonts w:hint="eastAsia"/>
          <w:color w:val="000000" w:themeColor="text1"/>
          <w14:textFill>
            <w14:solidFill>
              <w14:schemeClr w14:val="tx1"/>
            </w14:solidFill>
          </w14:textFill>
        </w:rPr>
        <w:t>碱喷淋+除雾+活性炭吸附</w:t>
      </w:r>
      <w:r>
        <w:rPr>
          <w:color w:val="000000" w:themeColor="text1"/>
          <w14:textFill>
            <w14:solidFill>
              <w14:schemeClr w14:val="tx1"/>
            </w14:solidFill>
          </w14:textFill>
        </w:rPr>
        <w:t>处理后通过15m高的排气筒排放。</w:t>
      </w:r>
      <w:r>
        <w:rPr>
          <w:rFonts w:hint="eastAsia"/>
          <w:color w:val="000000" w:themeColor="text1"/>
          <w14:textFill>
            <w14:solidFill>
              <w14:schemeClr w14:val="tx1"/>
            </w14:solidFill>
          </w14:textFill>
        </w:rPr>
        <w:t>测试残渣处理废气通过通风橱+</w:t>
      </w:r>
      <w:r>
        <w:rPr>
          <w:color w:val="000000" w:themeColor="text1"/>
          <w14:textFill>
            <w14:solidFill>
              <w14:schemeClr w14:val="tx1"/>
            </w14:solidFill>
          </w14:textFill>
        </w:rPr>
        <w:t>管道</w:t>
      </w:r>
      <w:r>
        <w:rPr>
          <w:rFonts w:hint="eastAsia"/>
          <w:color w:val="000000" w:themeColor="text1"/>
          <w14:textFill>
            <w14:solidFill>
              <w14:schemeClr w14:val="tx1"/>
            </w14:solidFill>
          </w14:textFill>
        </w:rPr>
        <w:t>收集后进</w:t>
      </w:r>
      <w:r>
        <w:rPr>
          <w:color w:val="000000" w:themeColor="text1"/>
          <w14:textFill>
            <w14:solidFill>
              <w14:schemeClr w14:val="tx1"/>
            </w14:solidFill>
          </w14:textFill>
        </w:rPr>
        <w:t>入废气处理系统</w:t>
      </w:r>
      <w:r>
        <w:rPr>
          <w:rFonts w:hint="eastAsia"/>
          <w:color w:val="000000" w:themeColor="text1"/>
          <w14:textFill>
            <w14:solidFill>
              <w14:schemeClr w14:val="tx1"/>
            </w14:solidFill>
          </w14:textFill>
        </w:rPr>
        <w:t>处理后排放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废水处理站废气通过废水收集池封闭，池体上方设置集气罩收集后</w:t>
      </w:r>
      <w:r>
        <w:rPr>
          <w:color w:val="000000" w:themeColor="text1"/>
          <w14:textFill>
            <w14:solidFill>
              <w14:schemeClr w14:val="tx1"/>
            </w14:solidFill>
          </w14:textFill>
        </w:rPr>
        <w:t>通过管道接入废气处理系统</w:t>
      </w:r>
      <w:r>
        <w:rPr>
          <w:rFonts w:hint="eastAsia"/>
          <w:color w:val="000000" w:themeColor="text1"/>
          <w14:textFill>
            <w14:solidFill>
              <w14:schemeClr w14:val="tx1"/>
            </w14:solidFill>
          </w14:textFill>
        </w:rPr>
        <w:t>处理后排放。</w:t>
      </w:r>
    </w:p>
    <w:p w14:paraId="5E400A5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.2.1.2 废气</w:t>
      </w:r>
      <w:r>
        <w:rPr>
          <w:rFonts w:hint="eastAsia"/>
          <w:color w:val="000000" w:themeColor="text1"/>
          <w14:textFill>
            <w14:solidFill>
              <w14:schemeClr w14:val="tx1"/>
            </w14:solidFill>
          </w14:textFill>
        </w:rPr>
        <w:t>措施</w:t>
      </w:r>
      <w:r>
        <w:rPr>
          <w:color w:val="000000" w:themeColor="text1"/>
          <w14:textFill>
            <w14:solidFill>
              <w14:schemeClr w14:val="tx1"/>
            </w14:solidFill>
          </w14:textFill>
        </w:rPr>
        <w:t>可行性</w:t>
      </w:r>
      <w:r>
        <w:rPr>
          <w:rFonts w:hint="eastAsia"/>
          <w:color w:val="000000" w:themeColor="text1"/>
          <w14:textFill>
            <w14:solidFill>
              <w14:schemeClr w14:val="tx1"/>
            </w14:solidFill>
          </w14:textFill>
        </w:rPr>
        <w:t>分析</w:t>
      </w:r>
    </w:p>
    <w:p w14:paraId="72E91B7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1、车间废气负压收集合理性分析</w:t>
      </w:r>
    </w:p>
    <w:p w14:paraId="197354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硫化物固态电解质原料及产品粉体粒径极小（多为纳米/微米级）、比表面积大、扬尘性极强、扩散速度快，设备顶部的局部集气罩仅能捕集单点上方的粉尘，无法阻挡粉体在气流作用下向车间全域扩散，捕集效率极低（通常低于30%），难以实现有效控尘。而车间负压收集通过车间进风与排风的压差设计（负压值一般控制在5~20Pa），使车间内空气向集气口单向流动，能将全域扩散的粉尘有效捕集，捕集效率可达90%以上，适配硫化物粉尘的扩散特性。</w:t>
      </w:r>
    </w:p>
    <w:p w14:paraId="623897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车间负压收集通过在车间封闭，设置排风口，结合车间微负压环境，实现 “边产尘、边捕集”，无需针对每台设备单独设计集气装置，同时，负压收集可避免粉尘在车间内积聚，降低粉体交叉污染的风险（硫化物固态电解质对产品纯度要求极高，粉尘积聚易导致产品批次不合格）。</w:t>
      </w:r>
    </w:p>
    <w:p w14:paraId="349D8E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顶部局部集气罩适用于“单点定向产尘、粉尘向上扩散”的情形，而硫化物生产中由于粒径小，粉尘逸出方向为多向（进料口侧方、出料口下方、设备缝隙四周），并非单一向上，若设置局部集气罩会产生局部气流扰动，反而可能加剧纳米 / 微米级硫化物粉体的扩散 ，适得其反。除此之外，本项目原料遇水易分解产生H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S气体，且部分硫化物粉体具有易燃性，设备顶部若设置局部集气罩，其金属构件（如支架、罩体）易与粉体摩擦产生静电，存在静电引燃、H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S气体积聚爆炸的安全风险，而车间负压收集系统的集气口、管道均做防静电、防腐处理，且气流稳定，无局部气流摩擦静电的问题，更符合硫化物生产的安全规范。</w:t>
      </w:r>
    </w:p>
    <w:p w14:paraId="0196A3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综上，本项目车间设置负压收集，无无组织废气环节是合理的。</w:t>
      </w:r>
    </w:p>
    <w:p w14:paraId="59D98E6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2、废气处理工艺可行性分析</w:t>
      </w:r>
    </w:p>
    <w:p w14:paraId="0A3A289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（1）碱喷淋可行性分析</w:t>
      </w:r>
    </w:p>
    <w:p w14:paraId="743320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参照《排污许可证申请与核发技术规范 电子工业》（HJ1031-2019）附录B中表B.1电子工业排污单位废气防治可行性技术参考表，颗粒物治理推荐采用布袋除尘器处理。</w:t>
      </w:r>
    </w:p>
    <w:p w14:paraId="68697F28">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表6.2-1 电子工业排污单位废气防治可行性技术参考表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687"/>
        <w:gridCol w:w="1247"/>
        <w:gridCol w:w="1129"/>
        <w:gridCol w:w="1455"/>
        <w:gridCol w:w="1439"/>
      </w:tblGrid>
      <w:tr w14:paraId="36FE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pct"/>
            <w:gridSpan w:val="2"/>
            <w:vAlign w:val="center"/>
          </w:tcPr>
          <w:p w14:paraId="324013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行业类别</w:t>
            </w:r>
          </w:p>
        </w:tc>
        <w:tc>
          <w:tcPr>
            <w:tcW w:w="731" w:type="pct"/>
            <w:vAlign w:val="center"/>
          </w:tcPr>
          <w:p w14:paraId="5F2794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主要生产单元</w:t>
            </w:r>
          </w:p>
        </w:tc>
        <w:tc>
          <w:tcPr>
            <w:tcW w:w="662" w:type="pct"/>
            <w:vAlign w:val="center"/>
          </w:tcPr>
          <w:p w14:paraId="0C71C2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主要生产设施</w:t>
            </w:r>
          </w:p>
        </w:tc>
        <w:tc>
          <w:tcPr>
            <w:tcW w:w="853" w:type="pct"/>
            <w:vAlign w:val="center"/>
          </w:tcPr>
          <w:p w14:paraId="034F5C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污染物项目</w:t>
            </w:r>
          </w:p>
        </w:tc>
        <w:tc>
          <w:tcPr>
            <w:tcW w:w="844" w:type="pct"/>
            <w:vAlign w:val="center"/>
          </w:tcPr>
          <w:p w14:paraId="169D98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可行技术</w:t>
            </w:r>
          </w:p>
        </w:tc>
      </w:tr>
      <w:tr w14:paraId="466B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pct"/>
            <w:vAlign w:val="center"/>
          </w:tcPr>
          <w:p w14:paraId="4A480C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电子专用材料制造排污单位</w:t>
            </w:r>
          </w:p>
        </w:tc>
        <w:tc>
          <w:tcPr>
            <w:tcW w:w="989" w:type="pct"/>
            <w:vAlign w:val="center"/>
          </w:tcPr>
          <w:p w14:paraId="490E09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工艺与辅助材料制造排污单位</w:t>
            </w:r>
          </w:p>
        </w:tc>
        <w:tc>
          <w:tcPr>
            <w:tcW w:w="731" w:type="pct"/>
            <w:vAlign w:val="center"/>
          </w:tcPr>
          <w:p w14:paraId="3A83A7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配料、粉碎</w:t>
            </w:r>
          </w:p>
        </w:tc>
        <w:tc>
          <w:tcPr>
            <w:tcW w:w="662" w:type="pct"/>
            <w:vAlign w:val="center"/>
          </w:tcPr>
          <w:p w14:paraId="67C60E8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粉碎机</w:t>
            </w:r>
          </w:p>
        </w:tc>
        <w:tc>
          <w:tcPr>
            <w:tcW w:w="853" w:type="pct"/>
            <w:vAlign w:val="center"/>
          </w:tcPr>
          <w:p w14:paraId="3428B6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844" w:type="pct"/>
            <w:vAlign w:val="center"/>
          </w:tcPr>
          <w:p w14:paraId="18DBE1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布袋除尘法</w:t>
            </w:r>
          </w:p>
        </w:tc>
      </w:tr>
    </w:tbl>
    <w:p w14:paraId="194E6A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根据项目实际情况，本项目</w:t>
      </w:r>
      <w:r>
        <w:rPr>
          <w:color w:val="000000" w:themeColor="text1"/>
          <w14:textFill>
            <w14:solidFill>
              <w14:schemeClr w14:val="tx1"/>
            </w14:solidFill>
          </w14:textFill>
        </w:rPr>
        <w:t>原辅料忌水忌氧，若采用布袋处理，收集的粉尘在灰斗里容易接触空气会产生臭气（硫化氢），造成污染，且密闭空间有安全隐患</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该废气采用湿法处理，同时通过加碱来吸收硫化锂、硫化磷遇水产生的酸性物质，确保粉尘颗粒物</w:t>
      </w:r>
      <w:r>
        <w:rPr>
          <w:rFonts w:hint="eastAsia"/>
          <w:color w:val="000000" w:themeColor="text1"/>
          <w14:textFill>
            <w14:solidFill>
              <w14:schemeClr w14:val="tx1"/>
            </w14:solidFill>
          </w14:textFill>
        </w:rPr>
        <w:t>、硫化氢都能处理。</w:t>
      </w:r>
    </w:p>
    <w:p w14:paraId="705A836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（2）除雾可行性分析</w:t>
      </w:r>
    </w:p>
    <w:p w14:paraId="5B70F57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本项目除雾的原理是利用漆雾过滤袋进行过滤除雾，</w:t>
      </w:r>
      <w:r>
        <w:rPr>
          <w:color w:val="000000" w:themeColor="text1"/>
          <w14:textFill>
            <w14:solidFill>
              <w14:schemeClr w14:val="tx1"/>
            </w14:solidFill>
          </w14:textFill>
        </w:rPr>
        <w:t>废气经碱液喷淋工艺后，含湿量增加，故喷淋箱设置脱水装置，对废气进行脱水脱雾处理，降低含湿量的同时延长后续活性炭的使用寿命。</w:t>
      </w:r>
    </w:p>
    <w:p w14:paraId="1786B7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本项目使用的</w:t>
      </w:r>
      <w:r>
        <w:rPr>
          <w:color w:val="000000" w:themeColor="text1"/>
          <w14:textFill>
            <w14:solidFill>
              <w14:schemeClr w14:val="tx1"/>
            </w14:solidFill>
          </w14:textFill>
        </w:rPr>
        <w:t>漆雾过滤袋</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高容尘量、疏水型针刺毡过滤袋，过滤袋</w: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 xml:space="preserve">含 </w:t>
      </w:r>
      <w:r>
        <w:rPr>
          <w:rFonts w:hint="eastAsia"/>
          <w:color w:val="000000" w:themeColor="text1"/>
          <w14:textFill>
            <w14:solidFill>
              <w14:schemeClr w14:val="tx1"/>
            </w14:solidFill>
          </w14:textFill>
        </w:rPr>
        <w:t>DPA（邻苯二甲酸二戊酯）</w:t>
      </w:r>
      <w:r>
        <w:rPr>
          <w:color w:val="000000" w:themeColor="text1"/>
          <w14:textFill>
            <w14:solidFill>
              <w14:schemeClr w14:val="tx1"/>
            </w14:solidFill>
          </w14:textFill>
        </w:rPr>
        <w:t>涂层改性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脱水/ 除雾机制为</w:t>
      </w:r>
      <w:r>
        <w:rPr>
          <w:rFonts w:hint="eastAsia" w:ascii="宋体" w:hAnsi="宋体" w:cs="宋体"/>
          <w:color w:val="000000" w:themeColor="text1"/>
          <w14:textFill>
            <w14:solidFill>
              <w14:schemeClr w14:val="tx1"/>
            </w14:solidFill>
          </w14:textFill>
        </w:rPr>
        <w:t>“物理拦截+惯性碰撞+疏水排斥”</w:t>
      </w:r>
      <w:r>
        <w:rPr>
          <w:color w:val="000000" w:themeColor="text1"/>
          <w14:textFill>
            <w14:solidFill>
              <w14:schemeClr w14:val="tx1"/>
            </w14:solidFill>
          </w14:textFill>
        </w:rPr>
        <w:t>的复合作用：</w:t>
      </w:r>
    </w:p>
    <w:p w14:paraId="262FAE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①物理拦截：过滤袋的纤维编织结构形成致密孔隙（通常为5~20</w:t>
      </w:r>
      <w:r>
        <w:rPr>
          <w:rFonts w:cs="Times New Roman"/>
          <w:color w:val="000000" w:themeColor="text1"/>
          <w14:textFill>
            <w14:solidFill>
              <w14:schemeClr w14:val="tx1"/>
            </w14:solidFill>
          </w14:textFill>
        </w:rPr>
        <w:t>μ</w:t>
      </w:r>
      <w:r>
        <w:rPr>
          <w:rFonts w:hint="eastAsia"/>
          <w:color w:val="000000" w:themeColor="text1"/>
          <w14:textFill>
            <w14:solidFill>
              <w14:schemeClr w14:val="tx1"/>
            </w14:solidFill>
          </w14:textFill>
        </w:rPr>
        <w:t>m），废气中夹带的液滴（如碱喷淋后残留的水雾、液滴）直径大于孔隙时，会被直接截留于滤袋表面；</w:t>
      </w:r>
    </w:p>
    <w:p w14:paraId="0E33C5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②惯性碰撞：含液滴的废气高速通过滤袋纤维时，液滴因惯性脱离气流轨迹，撞击到纤维表面并被黏附；</w:t>
      </w:r>
    </w:p>
    <w:p w14:paraId="731A04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③疏水排斥：</w:t>
      </w:r>
      <w:r>
        <w:rPr>
          <w:color w:val="000000" w:themeColor="text1"/>
          <w14:textFill>
            <w14:solidFill>
              <w14:schemeClr w14:val="tx1"/>
            </w14:solidFill>
          </w14:textFill>
        </w:rPr>
        <w:t>DPA</w:t>
      </w:r>
      <w:r>
        <w:rPr>
          <w:rFonts w:hint="eastAsia"/>
          <w:color w:val="000000" w:themeColor="text1"/>
          <w14:textFill>
            <w14:solidFill>
              <w14:schemeClr w14:val="tx1"/>
            </w14:solidFill>
          </w14:textFill>
        </w:rPr>
        <w:t>涂层本身具有强疏水性，截留的液滴在表面无法浸润，会因表面张力聚集成较大液珠，最终在重力作用下沿滤袋表面滑落至底部收集槽，实现气液分离。</w:t>
      </w:r>
    </w:p>
    <w:p w14:paraId="481AE34E">
      <w:pPr>
        <w:ind w:firstLine="480"/>
        <w:rPr>
          <w:color w:val="000000" w:themeColor="text1"/>
          <w14:textFill>
            <w14:solidFill>
              <w14:schemeClr w14:val="tx1"/>
            </w14:solidFill>
          </w14:textFill>
        </w:rPr>
      </w:pPr>
      <w:r>
        <w:rPr>
          <w:color w:val="000000" w:themeColor="text1"/>
          <w14:textFill>
            <w14:solidFill>
              <w14:schemeClr w14:val="tx1"/>
            </w14:solidFill>
          </w14:textFill>
        </w:rPr>
        <w:t>DPA漆雾过滤袋广泛应用于喷漆、化工喷淋塔后除雾、制药废气脱水等场景，是工业领域验证的成熟技术，本项目属于同类应用延伸，无技术风险；滤袋可直接串联在喷淋塔与活性炭吸附装置之间，无需</w:t>
      </w:r>
      <w:r>
        <w:rPr>
          <w:rFonts w:hint="eastAsia"/>
          <w:color w:val="000000" w:themeColor="text1"/>
          <w14:textFill>
            <w14:solidFill>
              <w14:schemeClr w14:val="tx1"/>
            </w14:solidFill>
          </w14:textFill>
        </w:rPr>
        <w:t>占用大规模用地，</w:t>
      </w:r>
      <w:r>
        <w:rPr>
          <w:color w:val="000000" w:themeColor="text1"/>
          <w14:textFill>
            <w14:solidFill>
              <w14:schemeClr w14:val="tx1"/>
            </w14:solidFill>
          </w14:textFill>
        </w:rPr>
        <w:t>适配项目现有布局。</w:t>
      </w:r>
    </w:p>
    <w:p w14:paraId="4A8F0D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综上，本项目设置的漆雾过滤袋除雾是可行的。</w:t>
      </w:r>
    </w:p>
    <w:p w14:paraId="6CF8D85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（3）活性炭吸附可行性分析</w:t>
      </w:r>
    </w:p>
    <w:p w14:paraId="218FE0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参照其他行业中有机废气</w:t>
      </w:r>
      <w:r>
        <w:rPr>
          <w:color w:val="000000" w:themeColor="text1"/>
          <w14:textFill>
            <w14:solidFill>
              <w14:schemeClr w14:val="tx1"/>
            </w14:solidFill>
          </w14:textFill>
        </w:rPr>
        <w:t>治理</w:t>
      </w:r>
      <w:r>
        <w:rPr>
          <w:rFonts w:hint="eastAsia"/>
          <w:color w:val="000000" w:themeColor="text1"/>
          <w14:textFill>
            <w14:solidFill>
              <w14:schemeClr w14:val="tx1"/>
            </w14:solidFill>
          </w14:textFill>
        </w:rPr>
        <w:t>推荐</w:t>
      </w:r>
      <w:r>
        <w:rPr>
          <w:color w:val="000000" w:themeColor="text1"/>
          <w14:textFill>
            <w14:solidFill>
              <w14:schemeClr w14:val="tx1"/>
            </w14:solidFill>
          </w14:textFill>
        </w:rPr>
        <w:t>采用</w:t>
      </w:r>
      <w:r>
        <w:rPr>
          <w:rFonts w:hint="eastAsia"/>
          <w:color w:val="000000" w:themeColor="text1"/>
          <w14:textFill>
            <w14:solidFill>
              <w14:schemeClr w14:val="tx1"/>
            </w14:solidFill>
          </w14:textFill>
        </w:rPr>
        <w:t>冷凝、吸收、吸附、燃烧</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直接燃烧、热力燃烧、催化燃烧</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、冷凝-吸附、冷凝-吸附-燃烧。</w:t>
      </w:r>
    </w:p>
    <w:p w14:paraId="27AC8A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本项目对常见的有机废气处理方式进行对比分析，如表6.2-2。</w:t>
      </w:r>
    </w:p>
    <w:p w14:paraId="2136DA5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表6.2-2  常见有机废气处理方式</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62"/>
        <w:gridCol w:w="2420"/>
        <w:gridCol w:w="1716"/>
        <w:gridCol w:w="3162"/>
      </w:tblGrid>
      <w:tr w14:paraId="5847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506352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47" w:type="pct"/>
            <w:vAlign w:val="center"/>
          </w:tcPr>
          <w:p w14:paraId="0D641E8F">
            <w:pPr>
              <w:pStyle w:val="28"/>
              <w:rPr>
                <w:color w:val="000000" w:themeColor="text1"/>
                <w14:textFill>
                  <w14:solidFill>
                    <w14:schemeClr w14:val="tx1"/>
                  </w14:solidFill>
                </w14:textFill>
              </w:rPr>
            </w:pPr>
            <w:r>
              <w:rPr>
                <w:color w:val="000000" w:themeColor="text1"/>
                <w14:textFill>
                  <w14:solidFill>
                    <w14:schemeClr w14:val="tx1"/>
                  </w14:solidFill>
                </w14:textFill>
              </w:rPr>
              <w:t>净化方法</w:t>
            </w:r>
          </w:p>
        </w:tc>
        <w:tc>
          <w:tcPr>
            <w:tcW w:w="1419" w:type="pct"/>
            <w:vAlign w:val="center"/>
          </w:tcPr>
          <w:p w14:paraId="54F51429">
            <w:pPr>
              <w:pStyle w:val="28"/>
              <w:rPr>
                <w:color w:val="000000" w:themeColor="text1"/>
                <w14:textFill>
                  <w14:solidFill>
                    <w14:schemeClr w14:val="tx1"/>
                  </w14:solidFill>
                </w14:textFill>
              </w:rPr>
            </w:pPr>
            <w:r>
              <w:rPr>
                <w:color w:val="000000" w:themeColor="text1"/>
                <w14:textFill>
                  <w14:solidFill>
                    <w14:schemeClr w14:val="tx1"/>
                  </w14:solidFill>
                </w14:textFill>
              </w:rPr>
              <w:t>方法要点</w:t>
            </w:r>
          </w:p>
        </w:tc>
        <w:tc>
          <w:tcPr>
            <w:tcW w:w="1006" w:type="pct"/>
            <w:vAlign w:val="center"/>
          </w:tcPr>
          <w:p w14:paraId="59135C48">
            <w:pPr>
              <w:pStyle w:val="28"/>
              <w:rPr>
                <w:color w:val="000000" w:themeColor="text1"/>
                <w14:textFill>
                  <w14:solidFill>
                    <w14:schemeClr w14:val="tx1"/>
                  </w14:solidFill>
                </w14:textFill>
              </w:rPr>
            </w:pPr>
            <w:r>
              <w:rPr>
                <w:color w:val="000000" w:themeColor="text1"/>
                <w14:textFill>
                  <w14:solidFill>
                    <w14:schemeClr w14:val="tx1"/>
                  </w14:solidFill>
                </w14:textFill>
              </w:rPr>
              <w:t>适用范围</w:t>
            </w:r>
          </w:p>
        </w:tc>
        <w:tc>
          <w:tcPr>
            <w:tcW w:w="1854" w:type="pct"/>
            <w:vAlign w:val="center"/>
          </w:tcPr>
          <w:p w14:paraId="56C82BDE">
            <w:pPr>
              <w:pStyle w:val="28"/>
              <w:rPr>
                <w:color w:val="000000" w:themeColor="text1"/>
                <w14:textFill>
                  <w14:solidFill>
                    <w14:schemeClr w14:val="tx1"/>
                  </w14:solidFill>
                </w14:textFill>
              </w:rPr>
            </w:pPr>
            <w:r>
              <w:rPr>
                <w:color w:val="000000" w:themeColor="text1"/>
                <w14:textFill>
                  <w14:solidFill>
                    <w14:schemeClr w14:val="tx1"/>
                  </w14:solidFill>
                </w14:textFill>
              </w:rPr>
              <w:t>优缺点</w:t>
            </w:r>
          </w:p>
        </w:tc>
      </w:tr>
      <w:tr w14:paraId="1E90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554B3E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47" w:type="pct"/>
            <w:vAlign w:val="center"/>
          </w:tcPr>
          <w:p w14:paraId="42A64F03">
            <w:pPr>
              <w:pStyle w:val="28"/>
              <w:rPr>
                <w:color w:val="000000" w:themeColor="text1"/>
                <w14:textFill>
                  <w14:solidFill>
                    <w14:schemeClr w14:val="tx1"/>
                  </w14:solidFill>
                </w14:textFill>
              </w:rPr>
            </w:pPr>
            <w:r>
              <w:rPr>
                <w:color w:val="000000" w:themeColor="text1"/>
                <w14:textFill>
                  <w14:solidFill>
                    <w14:schemeClr w14:val="tx1"/>
                  </w14:solidFill>
                </w14:textFill>
              </w:rPr>
              <w:t>燃烧法</w:t>
            </w:r>
          </w:p>
        </w:tc>
        <w:tc>
          <w:tcPr>
            <w:tcW w:w="1419" w:type="pct"/>
            <w:vAlign w:val="center"/>
          </w:tcPr>
          <w:p w14:paraId="0131EC27">
            <w:pPr>
              <w:pStyle w:val="28"/>
              <w:rPr>
                <w:color w:val="000000" w:themeColor="text1"/>
                <w14:textFill>
                  <w14:solidFill>
                    <w14:schemeClr w14:val="tx1"/>
                  </w14:solidFill>
                </w14:textFill>
              </w:rPr>
            </w:pPr>
            <w:r>
              <w:rPr>
                <w:color w:val="000000" w:themeColor="text1"/>
                <w14:textFill>
                  <w14:solidFill>
                    <w14:schemeClr w14:val="tx1"/>
                  </w14:solidFill>
                </w14:textFill>
              </w:rPr>
              <w:t>将废气中的有机物作为燃料烧掉或将其在高温下进行氧化分解，温度范围为600～1100</w:t>
            </w:r>
            <w:r>
              <w:rPr>
                <w:rFonts w:hint="eastAsia"/>
                <w:color w:val="000000" w:themeColor="text1"/>
                <w14:textFill>
                  <w14:solidFill>
                    <w14:schemeClr w14:val="tx1"/>
                  </w14:solidFill>
                </w14:textFill>
              </w:rPr>
              <w:t>℃</w:t>
            </w:r>
          </w:p>
        </w:tc>
        <w:tc>
          <w:tcPr>
            <w:tcW w:w="1006" w:type="pct"/>
            <w:vAlign w:val="center"/>
          </w:tcPr>
          <w:p w14:paraId="733D4146">
            <w:pPr>
              <w:pStyle w:val="28"/>
              <w:rPr>
                <w:color w:val="000000" w:themeColor="text1"/>
                <w14:textFill>
                  <w14:solidFill>
                    <w14:schemeClr w14:val="tx1"/>
                  </w14:solidFill>
                </w14:textFill>
              </w:rPr>
            </w:pPr>
            <w:r>
              <w:rPr>
                <w:color w:val="000000" w:themeColor="text1"/>
                <w14:textFill>
                  <w14:solidFill>
                    <w14:schemeClr w14:val="tx1"/>
                  </w14:solidFill>
                </w14:textFill>
              </w:rPr>
              <w:t>适用于中、高浓度范围废气的净化</w:t>
            </w:r>
          </w:p>
        </w:tc>
        <w:tc>
          <w:tcPr>
            <w:tcW w:w="1854" w:type="pct"/>
            <w:vAlign w:val="center"/>
          </w:tcPr>
          <w:p w14:paraId="0FFE019C">
            <w:pPr>
              <w:pStyle w:val="28"/>
              <w:rPr>
                <w:color w:val="000000" w:themeColor="text1"/>
                <w14:textFill>
                  <w14:solidFill>
                    <w14:schemeClr w14:val="tx1"/>
                  </w14:solidFill>
                </w14:textFill>
              </w:rPr>
            </w:pPr>
            <w:r>
              <w:rPr>
                <w:color w:val="000000" w:themeColor="text1"/>
                <w14:textFill>
                  <w14:solidFill>
                    <w14:schemeClr w14:val="tx1"/>
                  </w14:solidFill>
                </w14:textFill>
              </w:rPr>
              <w:t>设备简单，操作简便，投资少，净化彻底，效率高，能回收利用热量，但不能回收有机物质。</w:t>
            </w:r>
          </w:p>
        </w:tc>
      </w:tr>
      <w:tr w14:paraId="6CEE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28BE74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47" w:type="pct"/>
            <w:vAlign w:val="center"/>
          </w:tcPr>
          <w:p w14:paraId="2D89CA18">
            <w:pPr>
              <w:pStyle w:val="28"/>
              <w:rPr>
                <w:color w:val="000000" w:themeColor="text1"/>
                <w14:textFill>
                  <w14:solidFill>
                    <w14:schemeClr w14:val="tx1"/>
                  </w14:solidFill>
                </w14:textFill>
              </w:rPr>
            </w:pPr>
            <w:r>
              <w:rPr>
                <w:color w:val="000000" w:themeColor="text1"/>
                <w14:textFill>
                  <w14:solidFill>
                    <w14:schemeClr w14:val="tx1"/>
                  </w14:solidFill>
                </w14:textFill>
              </w:rPr>
              <w:t>催化</w:t>
            </w:r>
          </w:p>
          <w:p w14:paraId="1A1ACD24">
            <w:pPr>
              <w:pStyle w:val="28"/>
              <w:rPr>
                <w:color w:val="000000" w:themeColor="text1"/>
                <w14:textFill>
                  <w14:solidFill>
                    <w14:schemeClr w14:val="tx1"/>
                  </w14:solidFill>
                </w14:textFill>
              </w:rPr>
            </w:pPr>
            <w:r>
              <w:rPr>
                <w:color w:val="000000" w:themeColor="text1"/>
                <w14:textFill>
                  <w14:solidFill>
                    <w14:schemeClr w14:val="tx1"/>
                  </w14:solidFill>
                </w14:textFill>
              </w:rPr>
              <w:t>燃烧法</w:t>
            </w:r>
          </w:p>
        </w:tc>
        <w:tc>
          <w:tcPr>
            <w:tcW w:w="1419" w:type="pct"/>
            <w:vAlign w:val="center"/>
          </w:tcPr>
          <w:p w14:paraId="113CB06D">
            <w:pPr>
              <w:pStyle w:val="28"/>
              <w:rPr>
                <w:color w:val="000000" w:themeColor="text1"/>
                <w14:textFill>
                  <w14:solidFill>
                    <w14:schemeClr w14:val="tx1"/>
                  </w14:solidFill>
                </w14:textFill>
              </w:rPr>
            </w:pPr>
            <w:r>
              <w:rPr>
                <w:color w:val="000000" w:themeColor="text1"/>
                <w14:textFill>
                  <w14:solidFill>
                    <w14:schemeClr w14:val="tx1"/>
                  </w14:solidFill>
                </w14:textFill>
              </w:rPr>
              <w:t>在氧化催化剂作用下，将有机物氧化成CO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O，温度范围为200～400</w:t>
            </w:r>
            <w:r>
              <w:rPr>
                <w:rFonts w:hint="eastAsia"/>
                <w:color w:val="000000" w:themeColor="text1"/>
                <w14:textFill>
                  <w14:solidFill>
                    <w14:schemeClr w14:val="tx1"/>
                  </w14:solidFill>
                </w14:textFill>
              </w:rPr>
              <w:t>℃</w:t>
            </w:r>
          </w:p>
        </w:tc>
        <w:tc>
          <w:tcPr>
            <w:tcW w:w="1006" w:type="pct"/>
            <w:vAlign w:val="center"/>
          </w:tcPr>
          <w:p w14:paraId="604910F9">
            <w:pPr>
              <w:pStyle w:val="28"/>
              <w:rPr>
                <w:color w:val="000000" w:themeColor="text1"/>
                <w14:textFill>
                  <w14:solidFill>
                    <w14:schemeClr w14:val="tx1"/>
                  </w14:solidFill>
                </w14:textFill>
              </w:rPr>
            </w:pPr>
            <w:r>
              <w:rPr>
                <w:color w:val="000000" w:themeColor="text1"/>
                <w14:textFill>
                  <w14:solidFill>
                    <w14:schemeClr w14:val="tx1"/>
                  </w14:solidFill>
                </w14:textFill>
              </w:rPr>
              <w:t>适用于各种浓度废气的净化，适用于连续排气的场合</w:t>
            </w:r>
          </w:p>
        </w:tc>
        <w:tc>
          <w:tcPr>
            <w:tcW w:w="1854" w:type="pct"/>
            <w:vAlign w:val="center"/>
          </w:tcPr>
          <w:p w14:paraId="6E1D1651">
            <w:pPr>
              <w:pStyle w:val="28"/>
              <w:rPr>
                <w:color w:val="000000" w:themeColor="text1"/>
                <w14:textFill>
                  <w14:solidFill>
                    <w14:schemeClr w14:val="tx1"/>
                  </w14:solidFill>
                </w14:textFill>
              </w:rPr>
            </w:pPr>
            <w:r>
              <w:rPr>
                <w:color w:val="000000" w:themeColor="text1"/>
                <w14:textFill>
                  <w14:solidFill>
                    <w14:schemeClr w14:val="tx1"/>
                  </w14:solidFill>
                </w14:textFill>
              </w:rPr>
              <w:t>净化装置和生产装置紧密结合在一起，既有很高的净化效率，又可充分利用能量、节约电力。气体流畅、阻力小，燃烧余热可利用。</w:t>
            </w:r>
          </w:p>
        </w:tc>
      </w:tr>
      <w:tr w14:paraId="551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04F1E1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47" w:type="pct"/>
            <w:vAlign w:val="center"/>
          </w:tcPr>
          <w:p w14:paraId="4E6AAAFE">
            <w:pPr>
              <w:pStyle w:val="28"/>
              <w:rPr>
                <w:color w:val="000000" w:themeColor="text1"/>
                <w14:textFill>
                  <w14:solidFill>
                    <w14:schemeClr w14:val="tx1"/>
                  </w14:solidFill>
                </w14:textFill>
              </w:rPr>
            </w:pPr>
            <w:r>
              <w:rPr>
                <w:color w:val="000000" w:themeColor="text1"/>
                <w14:textFill>
                  <w14:solidFill>
                    <w14:schemeClr w14:val="tx1"/>
                  </w14:solidFill>
                </w14:textFill>
              </w:rPr>
              <w:t>吸附法</w:t>
            </w:r>
          </w:p>
        </w:tc>
        <w:tc>
          <w:tcPr>
            <w:tcW w:w="1419" w:type="pct"/>
            <w:vAlign w:val="center"/>
          </w:tcPr>
          <w:p w14:paraId="6D2EBE9E">
            <w:pPr>
              <w:pStyle w:val="28"/>
              <w:rPr>
                <w:color w:val="000000" w:themeColor="text1"/>
                <w14:textFill>
                  <w14:solidFill>
                    <w14:schemeClr w14:val="tx1"/>
                  </w14:solidFill>
                </w14:textFill>
              </w:rPr>
            </w:pPr>
            <w:r>
              <w:rPr>
                <w:color w:val="000000" w:themeColor="text1"/>
                <w14:textFill>
                  <w14:solidFill>
                    <w14:schemeClr w14:val="tx1"/>
                  </w14:solidFill>
                </w14:textFill>
              </w:rPr>
              <w:t>用适当的</w:t>
            </w:r>
            <w:r>
              <w:rPr>
                <w:rFonts w:hint="eastAsia"/>
                <w:color w:val="000000" w:themeColor="text1"/>
                <w14:textFill>
                  <w14:solidFill>
                    <w14:schemeClr w14:val="tx1"/>
                  </w14:solidFill>
                </w14:textFill>
              </w:rPr>
              <w:t>吸附剂</w:t>
            </w:r>
            <w:r>
              <w:rPr>
                <w:color w:val="000000" w:themeColor="text1"/>
                <w14:textFill>
                  <w14:solidFill>
                    <w14:schemeClr w14:val="tx1"/>
                  </w14:solidFill>
                </w14:textFill>
              </w:rPr>
              <w:t>对废气中有机物组分进行物理吸附，温度范围为常温</w:t>
            </w:r>
          </w:p>
        </w:tc>
        <w:tc>
          <w:tcPr>
            <w:tcW w:w="1006" w:type="pct"/>
            <w:vAlign w:val="center"/>
          </w:tcPr>
          <w:p w14:paraId="3553A644">
            <w:pPr>
              <w:pStyle w:val="28"/>
              <w:rPr>
                <w:color w:val="000000" w:themeColor="text1"/>
                <w14:textFill>
                  <w14:solidFill>
                    <w14:schemeClr w14:val="tx1"/>
                  </w14:solidFill>
                </w14:textFill>
              </w:rPr>
            </w:pPr>
            <w:r>
              <w:rPr>
                <w:color w:val="000000" w:themeColor="text1"/>
                <w14:textFill>
                  <w14:solidFill>
                    <w14:schemeClr w14:val="tx1"/>
                  </w14:solidFill>
                </w14:textFill>
              </w:rPr>
              <w:t>适用于低浓度废气的净化</w:t>
            </w:r>
          </w:p>
        </w:tc>
        <w:tc>
          <w:tcPr>
            <w:tcW w:w="1854" w:type="pct"/>
            <w:vAlign w:val="center"/>
          </w:tcPr>
          <w:p w14:paraId="651E43B6">
            <w:pPr>
              <w:pStyle w:val="28"/>
              <w:rPr>
                <w:color w:val="000000" w:themeColor="text1"/>
                <w14:textFill>
                  <w14:solidFill>
                    <w14:schemeClr w14:val="tx1"/>
                  </w14:solidFill>
                </w14:textFill>
              </w:rPr>
            </w:pPr>
            <w:r>
              <w:rPr>
                <w:color w:val="000000" w:themeColor="text1"/>
                <w14:textFill>
                  <w14:solidFill>
                    <w14:schemeClr w14:val="tx1"/>
                  </w14:solidFill>
                </w14:textFill>
              </w:rPr>
              <w:t>装置简单，易安装，操作简单，但处理量较大，占地面积较大</w:t>
            </w:r>
            <w:r>
              <w:rPr>
                <w:rFonts w:hint="eastAsia"/>
                <w:color w:val="000000" w:themeColor="text1"/>
                <w14:textFill>
                  <w14:solidFill>
                    <w14:schemeClr w14:val="tx1"/>
                  </w14:solidFill>
                </w14:textFill>
              </w:rPr>
              <w:t>，吸附剂吸附容量小，吸附效率不高</w:t>
            </w:r>
            <w:r>
              <w:rPr>
                <w:color w:val="000000" w:themeColor="text1"/>
                <w14:textFill>
                  <w14:solidFill>
                    <w14:schemeClr w14:val="tx1"/>
                  </w14:solidFill>
                </w14:textFill>
              </w:rPr>
              <w:t>。</w:t>
            </w:r>
          </w:p>
        </w:tc>
      </w:tr>
      <w:tr w14:paraId="7680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2844B36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47" w:type="pct"/>
            <w:vAlign w:val="center"/>
          </w:tcPr>
          <w:p w14:paraId="6EA375F2">
            <w:pPr>
              <w:pStyle w:val="28"/>
              <w:rPr>
                <w:color w:val="000000" w:themeColor="text1"/>
                <w14:textFill>
                  <w14:solidFill>
                    <w14:schemeClr w14:val="tx1"/>
                  </w14:solidFill>
                </w14:textFill>
              </w:rPr>
            </w:pPr>
            <w:r>
              <w:rPr>
                <w:color w:val="000000" w:themeColor="text1"/>
                <w14:textFill>
                  <w14:solidFill>
                    <w14:schemeClr w14:val="tx1"/>
                  </w14:solidFill>
                </w14:textFill>
              </w:rPr>
              <w:t>吸收法</w:t>
            </w:r>
          </w:p>
        </w:tc>
        <w:tc>
          <w:tcPr>
            <w:tcW w:w="1419" w:type="pct"/>
            <w:vAlign w:val="center"/>
          </w:tcPr>
          <w:p w14:paraId="0FF0A49A">
            <w:pPr>
              <w:pStyle w:val="28"/>
              <w:rPr>
                <w:color w:val="000000" w:themeColor="text1"/>
                <w14:textFill>
                  <w14:solidFill>
                    <w14:schemeClr w14:val="tx1"/>
                  </w14:solidFill>
                </w14:textFill>
              </w:rPr>
            </w:pPr>
            <w:r>
              <w:rPr>
                <w:color w:val="000000" w:themeColor="text1"/>
                <w14:textFill>
                  <w14:solidFill>
                    <w14:schemeClr w14:val="tx1"/>
                  </w14:solidFill>
                </w14:textFill>
              </w:rPr>
              <w:t>用适当的吸收剂对废气中有机物组分进行物理吸收，温度范围为常温</w:t>
            </w:r>
          </w:p>
        </w:tc>
        <w:tc>
          <w:tcPr>
            <w:tcW w:w="1006" w:type="pct"/>
            <w:vAlign w:val="center"/>
          </w:tcPr>
          <w:p w14:paraId="1DE759C6">
            <w:pPr>
              <w:pStyle w:val="28"/>
              <w:rPr>
                <w:color w:val="000000" w:themeColor="text1"/>
                <w14:textFill>
                  <w14:solidFill>
                    <w14:schemeClr w14:val="tx1"/>
                  </w14:solidFill>
                </w14:textFill>
              </w:rPr>
            </w:pPr>
            <w:r>
              <w:rPr>
                <w:color w:val="000000" w:themeColor="text1"/>
                <w14:textFill>
                  <w14:solidFill>
                    <w14:schemeClr w14:val="tx1"/>
                  </w14:solidFill>
                </w14:textFill>
              </w:rPr>
              <w:t>对废气浓度限制较小，适用于含有颗粒物废气的净化</w:t>
            </w:r>
          </w:p>
        </w:tc>
        <w:tc>
          <w:tcPr>
            <w:tcW w:w="1854" w:type="pct"/>
            <w:vAlign w:val="center"/>
          </w:tcPr>
          <w:p w14:paraId="4F6BD2C0">
            <w:pPr>
              <w:pStyle w:val="28"/>
              <w:rPr>
                <w:color w:val="000000" w:themeColor="text1"/>
                <w14:textFill>
                  <w14:solidFill>
                    <w14:schemeClr w14:val="tx1"/>
                  </w14:solidFill>
                </w14:textFill>
              </w:rPr>
            </w:pPr>
            <w:r>
              <w:rPr>
                <w:color w:val="000000" w:themeColor="text1"/>
                <w14:textFill>
                  <w14:solidFill>
                    <w14:schemeClr w14:val="tx1"/>
                  </w14:solidFill>
                </w14:textFill>
              </w:rPr>
              <w:t>设备结构简单，操作方便，净化率高；但用于净化较大气量时，吸收液耗量很大。</w:t>
            </w:r>
          </w:p>
        </w:tc>
      </w:tr>
      <w:tr w14:paraId="4380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4C9380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47" w:type="pct"/>
            <w:vAlign w:val="center"/>
          </w:tcPr>
          <w:p w14:paraId="51ABE3E7">
            <w:pPr>
              <w:pStyle w:val="28"/>
              <w:rPr>
                <w:color w:val="000000" w:themeColor="text1"/>
                <w14:textFill>
                  <w14:solidFill>
                    <w14:schemeClr w14:val="tx1"/>
                  </w14:solidFill>
                </w14:textFill>
              </w:rPr>
            </w:pPr>
            <w:r>
              <w:rPr>
                <w:color w:val="000000" w:themeColor="text1"/>
                <w14:textFill>
                  <w14:solidFill>
                    <w14:schemeClr w14:val="tx1"/>
                  </w14:solidFill>
                </w14:textFill>
              </w:rPr>
              <w:t>冷凝法</w:t>
            </w:r>
          </w:p>
        </w:tc>
        <w:tc>
          <w:tcPr>
            <w:tcW w:w="1419" w:type="pct"/>
            <w:vAlign w:val="center"/>
          </w:tcPr>
          <w:p w14:paraId="4A52E7CA">
            <w:pPr>
              <w:pStyle w:val="28"/>
              <w:rPr>
                <w:color w:val="000000" w:themeColor="text1"/>
                <w14:textFill>
                  <w14:solidFill>
                    <w14:schemeClr w14:val="tx1"/>
                  </w14:solidFill>
                </w14:textFill>
              </w:rPr>
            </w:pPr>
            <w:r>
              <w:rPr>
                <w:color w:val="000000" w:themeColor="text1"/>
                <w14:textFill>
                  <w14:solidFill>
                    <w14:schemeClr w14:val="tx1"/>
                  </w14:solidFill>
                </w14:textFill>
              </w:rPr>
              <w:t>采用低温，使有机物组分冷却至露点以下，液化回收</w:t>
            </w:r>
          </w:p>
        </w:tc>
        <w:tc>
          <w:tcPr>
            <w:tcW w:w="1006" w:type="pct"/>
            <w:vAlign w:val="center"/>
          </w:tcPr>
          <w:p w14:paraId="6993062C">
            <w:pPr>
              <w:pStyle w:val="28"/>
              <w:rPr>
                <w:color w:val="000000" w:themeColor="text1"/>
                <w14:textFill>
                  <w14:solidFill>
                    <w14:schemeClr w14:val="tx1"/>
                  </w14:solidFill>
                </w14:textFill>
              </w:rPr>
            </w:pPr>
            <w:r>
              <w:rPr>
                <w:color w:val="000000" w:themeColor="text1"/>
                <w14:textFill>
                  <w14:solidFill>
                    <w14:schemeClr w14:val="tx1"/>
                  </w14:solidFill>
                </w14:textFill>
              </w:rPr>
              <w:t>适用于高浓度废气的净化</w:t>
            </w:r>
          </w:p>
        </w:tc>
        <w:tc>
          <w:tcPr>
            <w:tcW w:w="1854" w:type="pct"/>
            <w:vAlign w:val="center"/>
          </w:tcPr>
          <w:p w14:paraId="4860C55D">
            <w:pPr>
              <w:pStyle w:val="28"/>
              <w:rPr>
                <w:color w:val="000000" w:themeColor="text1"/>
                <w14:textFill>
                  <w14:solidFill>
                    <w14:schemeClr w14:val="tx1"/>
                  </w14:solidFill>
                </w14:textFill>
              </w:rPr>
            </w:pPr>
            <w:r>
              <w:rPr>
                <w:color w:val="000000" w:themeColor="text1"/>
                <w14:textFill>
                  <w14:solidFill>
                    <w14:schemeClr w14:val="tx1"/>
                  </w14:solidFill>
                </w14:textFill>
              </w:rPr>
              <w:t>设备结构简单，操作方便；但对废气的净化程度受冷凝温度的限制，要求净化程度高或处理低浓度废气时，需要将废气冷却到很低的温度。</w:t>
            </w:r>
          </w:p>
        </w:tc>
      </w:tr>
    </w:tbl>
    <w:p w14:paraId="2CEB0B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研磨过程中仅少量有机溶剂挥发，浆料离心过程大部分有机溶剂回收，仅少量随浆料进行干燥阶段。根据项目工程分析，本项目有机废气产生量小，属于低浓度有机废气，不易采用燃烧法、催化燃烧法及冷凝法处理。综合考虑本项目采用吸附法（活性炭）进行有机废气处理。</w:t>
      </w:r>
    </w:p>
    <w:p w14:paraId="502F28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参照《排污许可证申请与核发技术规范 电子工业》（HJ1031-2019）附录B中表B.1电子工业排污单位废气防治可行性技术参考表，活性炭吸附法属于可行性技术。</w:t>
      </w:r>
    </w:p>
    <w:p w14:paraId="3C2A2AD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表6.2-3 电子工业排污单位废气防治可行性技术参考表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747"/>
        <w:gridCol w:w="994"/>
        <w:gridCol w:w="1173"/>
        <w:gridCol w:w="941"/>
        <w:gridCol w:w="1923"/>
      </w:tblGrid>
      <w:tr w14:paraId="35BF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8" w:type="pct"/>
            <w:gridSpan w:val="2"/>
            <w:vAlign w:val="center"/>
          </w:tcPr>
          <w:p w14:paraId="38B9CF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行业类别</w:t>
            </w:r>
          </w:p>
        </w:tc>
        <w:tc>
          <w:tcPr>
            <w:tcW w:w="583" w:type="pct"/>
            <w:vAlign w:val="center"/>
          </w:tcPr>
          <w:p w14:paraId="4B5921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主要生产单元</w:t>
            </w:r>
          </w:p>
        </w:tc>
        <w:tc>
          <w:tcPr>
            <w:tcW w:w="688" w:type="pct"/>
            <w:vAlign w:val="center"/>
          </w:tcPr>
          <w:p w14:paraId="355CD1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主要生产设施</w:t>
            </w:r>
          </w:p>
        </w:tc>
        <w:tc>
          <w:tcPr>
            <w:tcW w:w="552" w:type="pct"/>
            <w:vAlign w:val="center"/>
          </w:tcPr>
          <w:p w14:paraId="44D208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污染物项目</w:t>
            </w:r>
          </w:p>
        </w:tc>
        <w:tc>
          <w:tcPr>
            <w:tcW w:w="1128" w:type="pct"/>
            <w:vAlign w:val="center"/>
          </w:tcPr>
          <w:p w14:paraId="48A9D0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可行技术</w:t>
            </w:r>
          </w:p>
        </w:tc>
      </w:tr>
      <w:tr w14:paraId="181B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pct"/>
            <w:vAlign w:val="center"/>
          </w:tcPr>
          <w:p w14:paraId="07A4C9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电子专用材料制造排污单位</w:t>
            </w:r>
          </w:p>
        </w:tc>
        <w:tc>
          <w:tcPr>
            <w:tcW w:w="1024" w:type="pct"/>
            <w:vAlign w:val="center"/>
          </w:tcPr>
          <w:p w14:paraId="57DE7E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工艺与辅助材料制造排污单位</w:t>
            </w:r>
          </w:p>
        </w:tc>
        <w:tc>
          <w:tcPr>
            <w:tcW w:w="583" w:type="pct"/>
            <w:vAlign w:val="center"/>
          </w:tcPr>
          <w:p w14:paraId="0D9CB5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w:t>
            </w:r>
          </w:p>
        </w:tc>
        <w:tc>
          <w:tcPr>
            <w:tcW w:w="688" w:type="pct"/>
            <w:vAlign w:val="center"/>
          </w:tcPr>
          <w:p w14:paraId="4FDAD9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磨砂机、三辊研磨机</w:t>
            </w:r>
          </w:p>
        </w:tc>
        <w:tc>
          <w:tcPr>
            <w:tcW w:w="552" w:type="pct"/>
            <w:vAlign w:val="center"/>
          </w:tcPr>
          <w:p w14:paraId="19CFBC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挥发性有机物</w:t>
            </w:r>
          </w:p>
        </w:tc>
        <w:tc>
          <w:tcPr>
            <w:tcW w:w="1128" w:type="pct"/>
            <w:vAlign w:val="center"/>
          </w:tcPr>
          <w:p w14:paraId="517532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活性炭吸附法、燃烧法、浓缩+燃烧法</w:t>
            </w:r>
          </w:p>
        </w:tc>
      </w:tr>
    </w:tbl>
    <w:p w14:paraId="67E95B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活性炭对有机分子均有吸附效果；活性炭具有高度发达的孔隙结构，其孔隙大小各异，包括微孔（直径小于2nm）、中孔（直径在2-50nm之间）和大孔（直径大于50nm）。当气体或液体分子靠近活性炭表面时，由于分子间存在范德华力，这些分子会被吸附在活性炭的孔隙内。其次活性炭拥有巨大的比表面积，通常可以达到500-1500m²/g。这意味着活性炭有大量的表面可供吸附分子附着。比表面积越大，能够吸附的物质就越多。活性炭吸附法适用于大风量、低浓度的有机废气。</w:t>
      </w:r>
    </w:p>
    <w:p w14:paraId="7E60FD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经对照《国家污染防治技术指导目录》（2025年），本项目采用活性炭吸附工艺处理VOCs，不属于名录中规定的低效类VOCs处理技术。本项目活性炭采用椰壳炭（蜂窝状）活性炭，比表面积约800-1500m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/g，碘值为1000mg/g，</w:t>
      </w:r>
      <w:r>
        <w:rPr>
          <w:color w:val="000000" w:themeColor="text1"/>
          <w14:textFill>
            <w14:solidFill>
              <w14:schemeClr w14:val="tx1"/>
            </w14:solidFill>
          </w14:textFill>
        </w:rPr>
        <w:t>本项目有机废气主要是</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废气产生量少，且浓度低、风量大，因此采用活性炭吸附是可行的。</w:t>
      </w:r>
    </w:p>
    <w:p w14:paraId="69F2B776">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2、达标分析</w:t>
      </w:r>
    </w:p>
    <w:p w14:paraId="1F7523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碱喷淋+除雾+活性炭吸附工艺处理投料粉尘、研磨废气、干燥废气、测试残渣处理废气、废水处理站废气，颗粒物处理效率为90%、硫化氢处理效率为95%，挥发性有机物处理效率为85%，根据本环评核算，本项目有组织颗粒物排放速率为0.0181kg/h，排放浓度为2.2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，非甲烷总烃排放速率为0.04kg/h，排放浓度为5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w:t>
      </w:r>
      <w:r>
        <w:rPr>
          <w:rFonts w:cs="Times New Roman"/>
          <w:color w:val="000000" w:themeColor="text1"/>
          <w14:textFill>
            <w14:solidFill>
              <w14:schemeClr w14:val="tx1"/>
            </w14:solidFill>
          </w14:textFill>
        </w:rPr>
        <w:t>《大气污染物综合排放标准》（GB16297－1996）表2新建污染源大气污染物排放二级排放标准限值</w:t>
      </w:r>
      <w:r>
        <w:rPr>
          <w:rFonts w:hint="eastAsia" w:cs="Times New Roman"/>
          <w:color w:val="000000" w:themeColor="text1"/>
          <w14:textFill>
            <w14:solidFill>
              <w14:schemeClr w14:val="tx1"/>
            </w14:solidFill>
          </w14:textFill>
        </w:rPr>
        <w:t>，即</w:t>
      </w:r>
      <w:r>
        <w:rPr>
          <w:rFonts w:cs="Times New Roman"/>
          <w:color w:val="000000" w:themeColor="text1"/>
          <w14:textFill>
            <w14:solidFill>
              <w14:schemeClr w14:val="tx1"/>
            </w14:solidFill>
          </w14:textFill>
        </w:rPr>
        <w:t>颗粒物</w:t>
      </w:r>
      <w:r>
        <w:rPr>
          <w:rFonts w:hint="eastAsia" w:cs="Times New Roman"/>
          <w:color w:val="000000" w:themeColor="text1"/>
          <w14:textFill>
            <w14:solidFill>
              <w14:schemeClr w14:val="tx1"/>
            </w14:solidFill>
          </w14:textFill>
        </w:rPr>
        <w:t>最高允许排放速率3.5kg/h，</w:t>
      </w:r>
      <w:r>
        <w:rPr>
          <w:rFonts w:cs="Times New Roman"/>
          <w:color w:val="000000" w:themeColor="text1"/>
          <w14:textFill>
            <w14:solidFill>
              <w14:schemeClr w14:val="tx1"/>
            </w14:solidFill>
          </w14:textFill>
        </w:rPr>
        <w:t>最高允许排放浓度为</w:t>
      </w:r>
      <w:r>
        <w:rPr>
          <w:rFonts w:hint="eastAsia" w:cs="Times New Roman"/>
          <w:color w:val="000000" w:themeColor="text1"/>
          <w14:textFill>
            <w14:solidFill>
              <w14:schemeClr w14:val="tx1"/>
            </w14:solidFill>
          </w14:textFill>
        </w:rPr>
        <w:t>120</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，非甲烷总烃最高允许排放速率10kg/h，</w:t>
      </w:r>
      <w:r>
        <w:rPr>
          <w:rFonts w:cs="Times New Roman"/>
          <w:color w:val="000000" w:themeColor="text1"/>
          <w14:textFill>
            <w14:solidFill>
              <w14:schemeClr w14:val="tx1"/>
            </w14:solidFill>
          </w14:textFill>
        </w:rPr>
        <w:t>最高允许排放浓度为</w:t>
      </w:r>
      <w:r>
        <w:rPr>
          <w:rFonts w:hint="eastAsia" w:cs="Times New Roman"/>
          <w:color w:val="000000" w:themeColor="text1"/>
          <w14:textFill>
            <w14:solidFill>
              <w14:schemeClr w14:val="tx1"/>
            </w14:solidFill>
          </w14:textFill>
        </w:rPr>
        <w:t>120</w:t>
      </w:r>
      <w:r>
        <w:rPr>
          <w:rFonts w:cs="Times New Roman"/>
          <w:color w:val="000000" w:themeColor="text1"/>
          <w14:textFill>
            <w14:solidFill>
              <w14:schemeClr w14:val="tx1"/>
            </w14:solidFill>
          </w14:textFill>
        </w:rPr>
        <w:t xml:space="preserve">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硫化氢排放速率为0.0002kg/h，满足《恶臭污染物排放标准》（GB 14554-93）中表2最高允许排放速率：0.33kg/h。</w:t>
      </w:r>
    </w:p>
    <w:p w14:paraId="6BDED197">
      <w:pPr>
        <w:pStyle w:val="4"/>
        <w:rPr>
          <w:color w:val="000000" w:themeColor="text1"/>
          <w14:textFill>
            <w14:solidFill>
              <w14:schemeClr w14:val="tx1"/>
            </w14:solidFill>
          </w14:textFill>
        </w:rPr>
      </w:pPr>
      <w:bookmarkStart w:id="116" w:name="_Toc2095"/>
      <w:r>
        <w:rPr>
          <w:rFonts w:hint="eastAsia"/>
          <w:color w:val="000000" w:themeColor="text1"/>
          <w14:textFill>
            <w14:solidFill>
              <w14:schemeClr w14:val="tx1"/>
            </w14:solidFill>
          </w14:textFill>
        </w:rPr>
        <w:t>6</w:t>
      </w:r>
      <w:r>
        <w:rPr>
          <w:color w:val="000000" w:themeColor="text1"/>
          <w14:textFill>
            <w14:solidFill>
              <w14:schemeClr w14:val="tx1"/>
            </w14:solidFill>
          </w14:textFill>
        </w:rPr>
        <w:t>.2.2 地表水污染防治措施及其可行</w:t>
      </w:r>
      <w:r>
        <w:rPr>
          <w:rFonts w:hint="eastAsia"/>
          <w:color w:val="000000" w:themeColor="text1"/>
          <w14:textFill>
            <w14:solidFill>
              <w14:schemeClr w14:val="tx1"/>
            </w14:solidFill>
          </w14:textFill>
        </w:rPr>
        <w:t>分析</w:t>
      </w:r>
      <w:bookmarkEnd w:id="116"/>
    </w:p>
    <w:p w14:paraId="5E1B78A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.2.1.1 地表水污染防治措施</w:t>
      </w:r>
    </w:p>
    <w:p w14:paraId="5EEF8C2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本项目废水主要是生活污水和生产废水，生产废水主要是纯水制备废水、测试器具清洗废水、车间拖把清洁废水、冷却水循环系统定期排污水。</w:t>
      </w:r>
    </w:p>
    <w:p w14:paraId="3D0F1F2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（1）纯水制备废水、测试器具清洗废水、冷却水循环系统定期排污水经自建一体化污水处理站（1个，处理能为1m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/d）预处理达纳管标准后排至市政污水管网，最终进入玉溪市污水处理厂。</w:t>
      </w:r>
    </w:p>
    <w:p w14:paraId="6171405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（2）喷淋废水经循环沉淀池（1个，容积为15m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）处理后循环使用不外排。</w:t>
      </w:r>
    </w:p>
    <w:p w14:paraId="7ADCD1D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（3）车间拖把清洁废水、生活污水依托现有化粪池（1个，容积为18m3）预处理后排至市政污水管网，最终进入玉溪市污水处理厂。</w:t>
      </w:r>
    </w:p>
    <w:p w14:paraId="211B05C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.2.1.2 废水处理措施可行性论证</w:t>
      </w:r>
    </w:p>
    <w:p w14:paraId="24B9B69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1、一体化污水处理站处理工艺可行性分析</w:t>
      </w:r>
    </w:p>
    <w:p w14:paraId="039F0F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本项目一体化污水处理站处理处理工艺为：PH调节+混凝沉淀，根据《排污许可证申请与核发技术规范 电子工业》附录B中表B.2，未规定含硫废水的处理可行技术。根据《电子工业水污染防治可行技术指南》（HJ 1298—2023）中表7电子工业企业水污染防治可行技术，本项目废水间接排放，本项目采取的废水污染治理技术属于技术指南中规定的可行性技术。电子工业企业水污染防治可行技术见下表：</w:t>
      </w:r>
    </w:p>
    <w:p w14:paraId="082F28B6">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表6.2-4 电子工业企业水污染防治可行技术</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2376"/>
        <w:gridCol w:w="3554"/>
      </w:tblGrid>
      <w:tr w14:paraId="2E78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pct"/>
            <w:vAlign w:val="center"/>
          </w:tcPr>
          <w:p w14:paraId="143988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tc>
        <w:tc>
          <w:tcPr>
            <w:tcW w:w="3479" w:type="pct"/>
            <w:gridSpan w:val="2"/>
            <w:vAlign w:val="center"/>
          </w:tcPr>
          <w:p w14:paraId="7E4169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污染治理技术</w:t>
            </w:r>
          </w:p>
        </w:tc>
      </w:tr>
      <w:tr w14:paraId="7DC8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pct"/>
            <w:vMerge w:val="restart"/>
            <w:vAlign w:val="center"/>
          </w:tcPr>
          <w:p w14:paraId="557197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电子专用材料、电子元件</w:t>
            </w:r>
          </w:p>
        </w:tc>
        <w:tc>
          <w:tcPr>
            <w:tcW w:w="1394" w:type="pct"/>
            <w:vAlign w:val="center"/>
          </w:tcPr>
          <w:p w14:paraId="01BEE7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分质预处理技术</w:t>
            </w:r>
          </w:p>
        </w:tc>
        <w:tc>
          <w:tcPr>
            <w:tcW w:w="2084" w:type="pct"/>
            <w:vAlign w:val="center"/>
          </w:tcPr>
          <w:p w14:paraId="13B40F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综合废水治理技术</w:t>
            </w:r>
          </w:p>
        </w:tc>
      </w:tr>
      <w:tr w14:paraId="4B51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pct"/>
            <w:vMerge w:val="continue"/>
            <w:vAlign w:val="center"/>
          </w:tcPr>
          <w:p w14:paraId="12277DDE">
            <w:pPr>
              <w:pStyle w:val="28"/>
              <w:rPr>
                <w:color w:val="000000" w:themeColor="text1"/>
                <w14:textFill>
                  <w14:solidFill>
                    <w14:schemeClr w14:val="tx1"/>
                  </w14:solidFill>
                </w14:textFill>
              </w:rPr>
            </w:pPr>
          </w:p>
        </w:tc>
        <w:tc>
          <w:tcPr>
            <w:tcW w:w="1394" w:type="pct"/>
            <w:vAlign w:val="center"/>
          </w:tcPr>
          <w:p w14:paraId="10146C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酸碱废水：酸碱中和法</w:t>
            </w:r>
          </w:p>
        </w:tc>
        <w:tc>
          <w:tcPr>
            <w:tcW w:w="2084" w:type="pct"/>
            <w:vAlign w:val="center"/>
          </w:tcPr>
          <w:p w14:paraId="7A9F46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混凝-沉淀/气浮+生化处理/酸碱中和</w:t>
            </w:r>
          </w:p>
        </w:tc>
      </w:tr>
    </w:tbl>
    <w:p w14:paraId="225500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本项目纯水制备废水污染物以SS、盐分为主，</w:t>
      </w:r>
      <w:r>
        <w:rPr>
          <w:color w:val="000000" w:themeColor="text1"/>
          <w14:textFill>
            <w14:solidFill>
              <w14:schemeClr w14:val="tx1"/>
            </w14:solidFill>
          </w14:textFill>
        </w:rPr>
        <w:t>测试器具清洗废水主要污染物是COD、SS、TP、硫化物，间接冷却系统定期排污水，主要污染物SS</w:t>
      </w:r>
      <w:r>
        <w:rPr>
          <w:rFonts w:hint="eastAsia"/>
          <w:color w:val="000000" w:themeColor="text1"/>
          <w14:textFill>
            <w14:solidFill>
              <w14:schemeClr w14:val="tx1"/>
            </w14:solidFill>
          </w14:textFill>
        </w:rPr>
        <w:t>。本项目生产废水不含试验废液及药剂溶液，原料主要为五硫化二磷、硫化锂、氯化锂、有机溶剂，根据原料MSDS分析，生产废水主要为酸性废水（器具清洗废水），处理重点主要为调节pH，</w:t>
      </w:r>
      <w:r>
        <w:rPr>
          <w:color w:val="000000" w:themeColor="text1"/>
          <w14:textFill>
            <w14:solidFill>
              <w14:schemeClr w14:val="tx1"/>
            </w14:solidFill>
          </w14:textFill>
        </w:rPr>
        <w:t>通过投加氢氧化钠，将废水pH值调节至6-9（符合《污水排入城镇下水道水质标准》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 31962-2015）要求。</w:t>
      </w:r>
      <w:r>
        <w:rPr>
          <w:rFonts w:hint="eastAsia"/>
          <w:color w:val="000000" w:themeColor="text1"/>
          <w14:textFill>
            <w14:solidFill>
              <w14:schemeClr w14:val="tx1"/>
            </w14:solidFill>
          </w14:textFill>
        </w:rPr>
        <w:t>生产废水</w:t>
      </w:r>
      <w:r>
        <w:rPr>
          <w:color w:val="000000" w:themeColor="text1"/>
          <w14:textFill>
            <w14:solidFill>
              <w14:schemeClr w14:val="tx1"/>
            </w14:solidFill>
          </w14:textFill>
        </w:rPr>
        <w:t>中的SS</w:t>
      </w:r>
      <w:r>
        <w:rPr>
          <w:rFonts w:hint="eastAsia"/>
          <w:color w:val="000000" w:themeColor="text1"/>
          <w14:textFill>
            <w14:solidFill>
              <w14:schemeClr w14:val="tx1"/>
            </w14:solidFill>
          </w14:textFill>
        </w:rPr>
        <w:t>后续</w:t>
      </w:r>
      <w:r>
        <w:rPr>
          <w:color w:val="000000" w:themeColor="text1"/>
          <w14:textFill>
            <w14:solidFill>
              <w14:schemeClr w14:val="tx1"/>
            </w14:solidFill>
          </w14:textFill>
        </w:rPr>
        <w:t>通过投加絮凝剂（如聚合氯化铝PAC）和助凝剂（如聚丙烯酰胺PAM），使废水中的胶体颗粒（SS）、溶解性污染物（如TP、部分COD、硫化物）形成絮体，经沉淀分离后去除。</w:t>
      </w:r>
    </w:p>
    <w:p w14:paraId="321197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：该工艺对COD的去除主要针对与悬浮物结合的颗粒态COD，</w:t>
      </w:r>
      <w:r>
        <w:rPr>
          <w:color w:val="000000" w:themeColor="text1"/>
          <w14:textFill>
            <w14:solidFill>
              <w14:schemeClr w14:val="tx1"/>
            </w14:solidFill>
          </w14:textFill>
        </w:rPr>
        <w:t>去除率</w:t>
      </w:r>
      <w:r>
        <w:rPr>
          <w:rFonts w:hint="eastAsia"/>
          <w:color w:val="000000" w:themeColor="text1"/>
          <w14:textFill>
            <w14:solidFill>
              <w14:schemeClr w14:val="tx1"/>
            </w14:solidFill>
          </w14:textFill>
        </w:rPr>
        <w:t>为40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处理后</w:t>
      </w:r>
      <w:r>
        <w:rPr>
          <w:rFonts w:ascii="Segoe UI Emoji" w:hAnsi="Segoe UI Emoji" w:eastAsia="Segoe UI Emoji" w:cs="Segoe UI Emoji"/>
          <w:color w:val="000000" w:themeColor="text1"/>
          <w14:textFill>
            <w14:solidFill>
              <w14:schemeClr w14:val="tx1"/>
            </w14:solidFill>
          </w14:textFill>
        </w:rPr>
        <w:t>测试器具清洗废水</w:t>
      </w:r>
      <w:r>
        <w:rPr>
          <w:rFonts w:hint="eastAsia" w:ascii="Segoe UI Emoji" w:hAnsi="Segoe UI Emoji" w:cs="Segoe UI Emoji"/>
          <w:color w:val="000000" w:themeColor="text1"/>
          <w14:textFill>
            <w14:solidFill>
              <w14:schemeClr w14:val="tx1"/>
            </w14:solidFill>
          </w14:textFill>
        </w:rPr>
        <w:t>中</w:t>
      </w:r>
      <w:r>
        <w:rPr>
          <w:rFonts w:hint="eastAsia"/>
          <w:color w:val="000000" w:themeColor="text1"/>
          <w14:textFill>
            <w14:solidFill>
              <w14:schemeClr w14:val="tx1"/>
            </w14:solidFill>
          </w14:textFill>
        </w:rPr>
        <w:t>COD</w:t>
      </w:r>
      <w:r>
        <w:rPr>
          <w:color w:val="000000" w:themeColor="text1"/>
          <w14:textFill>
            <w14:solidFill>
              <w14:schemeClr w14:val="tx1"/>
            </w14:solidFill>
          </w14:textFill>
        </w:rPr>
        <w:t>浓度可降至</w:t>
      </w:r>
      <w:r>
        <w:rPr>
          <w:rFonts w:hint="eastAsia"/>
          <w:color w:val="000000" w:themeColor="text1"/>
          <w14:textFill>
            <w14:solidFill>
              <w14:schemeClr w14:val="tx1"/>
            </w14:solidFill>
          </w14:textFill>
        </w:rPr>
        <w:t>420</w:t>
      </w:r>
      <w:r>
        <w:rPr>
          <w:color w:val="000000" w:themeColor="text1"/>
          <w14:textFill>
            <w14:solidFill>
              <w14:schemeClr w14:val="tx1"/>
            </w14:solidFill>
          </w14:textFill>
        </w:rPr>
        <w:t>mg/L。</w:t>
      </w:r>
    </w:p>
    <w:p w14:paraId="67E48E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SS：絮凝沉淀对SS的去除率可达</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测试器具</w:t>
      </w:r>
      <w:r>
        <w:rPr>
          <w:color w:val="000000" w:themeColor="text1"/>
          <w14:textFill>
            <w14:solidFill>
              <w14:schemeClr w14:val="tx1"/>
            </w14:solidFill>
          </w14:textFill>
        </w:rPr>
        <w:t>清洗废水中的SS多为</w:t>
      </w:r>
      <w:r>
        <w:rPr>
          <w:rFonts w:hint="eastAsia"/>
          <w:color w:val="000000" w:themeColor="text1"/>
          <w14:textFill>
            <w14:solidFill>
              <w14:schemeClr w14:val="tx1"/>
            </w14:solidFill>
          </w14:textFill>
        </w:rPr>
        <w:t>测试残渣</w:t>
      </w:r>
      <w:r>
        <w:rPr>
          <w:color w:val="000000" w:themeColor="text1"/>
          <w14:textFill>
            <w14:solidFill>
              <w14:schemeClr w14:val="tx1"/>
            </w14:solidFill>
          </w14:textFill>
        </w:rPr>
        <w:t>、颗粒物，通过絮凝剂的吸附架桥作用可形成大絮体，在沉淀池中有效分离，处理后SS浓度可降至</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，纯水制备废水SS</w:t>
      </w:r>
      <w:r>
        <w:rPr>
          <w:color w:val="000000" w:themeColor="text1"/>
          <w14:textFill>
            <w14:solidFill>
              <w14:schemeClr w14:val="tx1"/>
            </w14:solidFill>
          </w14:textFill>
        </w:rPr>
        <w:t>可降至</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r>
        <w:rPr>
          <w:rFonts w:ascii="Segoe UI Emoji" w:hAnsi="Segoe UI Emoji" w:eastAsia="Segoe UI Emoji" w:cs="Segoe UI Emoji"/>
          <w:color w:val="000000" w:themeColor="text1"/>
          <w14:textFill>
            <w14:solidFill>
              <w14:schemeClr w14:val="tx1"/>
            </w14:solidFill>
          </w14:textFill>
        </w:rPr>
        <w:t>间接冷却系统定期排污水SS</w:t>
      </w:r>
      <w:r>
        <w:rPr>
          <w:color w:val="000000" w:themeColor="text1"/>
          <w14:textFill>
            <w14:solidFill>
              <w14:schemeClr w14:val="tx1"/>
            </w14:solidFill>
          </w14:textFill>
        </w:rPr>
        <w:t>可降至</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p w14:paraId="464BEC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TP：磷在水中多以磷酸盐形式存在，絮凝沉淀中投加的金属盐（如PAC中的Al³⁺）可与磷酸盐反应生成磷酸铝沉淀，去除率可达</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处理后可降至</w:t>
      </w:r>
      <w:r>
        <w:rPr>
          <w:rFonts w:hint="eastAsia"/>
          <w:color w:val="000000" w:themeColor="text1"/>
          <w14:textFill>
            <w14:solidFill>
              <w14:schemeClr w14:val="tx1"/>
            </w14:solidFill>
          </w14:textFill>
        </w:rPr>
        <w:t>0.4</w:t>
      </w:r>
      <w:r>
        <w:rPr>
          <w:color w:val="000000" w:themeColor="text1"/>
          <w14:textFill>
            <w14:solidFill>
              <w14:schemeClr w14:val="tx1"/>
            </w14:solidFill>
          </w14:textFill>
        </w:rPr>
        <w:t>mg/L。​</w:t>
      </w:r>
    </w:p>
    <w:p w14:paraId="69C33C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硫化物：在酸性条件下，硫化物（S²⁻）会转化为H₂S气体，但若在中和阶段将pH调节至中性偏碱（如pH=8-9），硫化物可与投加的金属离子（如Fe²⁺、Al³⁺）反应生成硫化物沉淀（如FeS、Al₂S₃），结合絮凝作用可去除</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处理后</w:t>
      </w:r>
      <w:r>
        <w:rPr>
          <w:rFonts w:hint="eastAsia"/>
          <w:color w:val="000000" w:themeColor="text1"/>
          <w14:textFill>
            <w14:solidFill>
              <w14:schemeClr w14:val="tx1"/>
            </w14:solidFill>
          </w14:textFill>
        </w:rPr>
        <w:t>硫化物</w:t>
      </w:r>
      <w:r>
        <w:rPr>
          <w:color w:val="000000" w:themeColor="text1"/>
          <w14:textFill>
            <w14:solidFill>
              <w14:schemeClr w14:val="tx1"/>
            </w14:solidFill>
          </w14:textFill>
        </w:rPr>
        <w:t>浓度可降至</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mg/L。</w:t>
      </w:r>
    </w:p>
    <w:p w14:paraId="37AF00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根据“3.2.2.2章节”，本项目纯水制备废水、测试器具清洗废水、冷却水循环系统定期排污水进污水处理站处理后，污水处理站出水水质如下：</w:t>
      </w:r>
    </w:p>
    <w:p w14:paraId="4D22A5A0">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表6.2-5 污水处理站出水水质达标情况</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918"/>
        <w:gridCol w:w="1133"/>
        <w:gridCol w:w="1234"/>
        <w:gridCol w:w="1082"/>
        <w:gridCol w:w="1133"/>
        <w:gridCol w:w="1033"/>
        <w:gridCol w:w="670"/>
      </w:tblGrid>
      <w:tr w14:paraId="0BBD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restart"/>
            <w:shd w:val="clear" w:color="auto" w:fill="auto"/>
            <w:vAlign w:val="center"/>
          </w:tcPr>
          <w:p w14:paraId="0A3A00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废水种类</w:t>
            </w:r>
          </w:p>
        </w:tc>
        <w:tc>
          <w:tcPr>
            <w:tcW w:w="538" w:type="pct"/>
            <w:vMerge w:val="restart"/>
            <w:shd w:val="clear" w:color="auto" w:fill="auto"/>
            <w:vAlign w:val="center"/>
          </w:tcPr>
          <w:p w14:paraId="0EA63F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664" w:type="pct"/>
            <w:vMerge w:val="restart"/>
            <w:shd w:val="clear" w:color="auto" w:fill="auto"/>
            <w:vAlign w:val="center"/>
          </w:tcPr>
          <w:p w14:paraId="4B95A3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治理工艺</w:t>
            </w:r>
          </w:p>
        </w:tc>
        <w:tc>
          <w:tcPr>
            <w:tcW w:w="2024" w:type="pct"/>
            <w:gridSpan w:val="3"/>
            <w:shd w:val="clear" w:color="auto" w:fill="auto"/>
            <w:vAlign w:val="center"/>
          </w:tcPr>
          <w:p w14:paraId="50CE47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排放情况</w:t>
            </w:r>
          </w:p>
        </w:tc>
        <w:tc>
          <w:tcPr>
            <w:tcW w:w="606" w:type="pct"/>
            <w:vMerge w:val="restart"/>
            <w:shd w:val="clear" w:color="auto" w:fill="auto"/>
            <w:vAlign w:val="center"/>
          </w:tcPr>
          <w:p w14:paraId="2E19DF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标准限值（</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393" w:type="pct"/>
            <w:vMerge w:val="restart"/>
            <w:shd w:val="clear" w:color="auto" w:fill="auto"/>
            <w:vAlign w:val="center"/>
          </w:tcPr>
          <w:p w14:paraId="03F5417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40EA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3" w:type="pct"/>
            <w:vMerge w:val="continue"/>
            <w:shd w:val="clear" w:color="auto" w:fill="auto"/>
            <w:vAlign w:val="center"/>
          </w:tcPr>
          <w:p w14:paraId="691AE73B">
            <w:pPr>
              <w:pStyle w:val="28"/>
              <w:rPr>
                <w:color w:val="000000" w:themeColor="text1"/>
                <w14:textFill>
                  <w14:solidFill>
                    <w14:schemeClr w14:val="tx1"/>
                  </w14:solidFill>
                </w14:textFill>
              </w:rPr>
            </w:pPr>
          </w:p>
        </w:tc>
        <w:tc>
          <w:tcPr>
            <w:tcW w:w="538" w:type="pct"/>
            <w:vMerge w:val="continue"/>
            <w:shd w:val="clear" w:color="auto" w:fill="auto"/>
            <w:vAlign w:val="center"/>
          </w:tcPr>
          <w:p w14:paraId="182A2E5E">
            <w:pPr>
              <w:pStyle w:val="28"/>
              <w:rPr>
                <w:color w:val="000000" w:themeColor="text1"/>
                <w14:textFill>
                  <w14:solidFill>
                    <w14:schemeClr w14:val="tx1"/>
                  </w14:solidFill>
                </w14:textFill>
              </w:rPr>
            </w:pPr>
          </w:p>
        </w:tc>
        <w:tc>
          <w:tcPr>
            <w:tcW w:w="664" w:type="pct"/>
            <w:vMerge w:val="continue"/>
            <w:shd w:val="clear" w:color="auto" w:fill="auto"/>
            <w:vAlign w:val="center"/>
          </w:tcPr>
          <w:p w14:paraId="0962B085">
            <w:pPr>
              <w:pStyle w:val="28"/>
              <w:rPr>
                <w:color w:val="000000" w:themeColor="text1"/>
                <w14:textFill>
                  <w14:solidFill>
                    <w14:schemeClr w14:val="tx1"/>
                  </w14:solidFill>
                </w14:textFill>
              </w:rPr>
            </w:pPr>
          </w:p>
        </w:tc>
        <w:tc>
          <w:tcPr>
            <w:tcW w:w="724" w:type="pct"/>
            <w:shd w:val="clear" w:color="auto" w:fill="auto"/>
            <w:vAlign w:val="center"/>
          </w:tcPr>
          <w:p w14:paraId="4DF715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废水排放量（</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635" w:type="pct"/>
            <w:shd w:val="clear" w:color="auto" w:fill="auto"/>
            <w:vAlign w:val="center"/>
          </w:tcPr>
          <w:p w14:paraId="6FBCD2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665" w:type="pct"/>
            <w:shd w:val="clear" w:color="auto" w:fill="auto"/>
            <w:vAlign w:val="center"/>
          </w:tcPr>
          <w:p w14:paraId="7CE5D5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606" w:type="pct"/>
            <w:vMerge w:val="continue"/>
            <w:shd w:val="clear" w:color="auto" w:fill="auto"/>
            <w:vAlign w:val="center"/>
          </w:tcPr>
          <w:p w14:paraId="27D3B86F">
            <w:pPr>
              <w:pStyle w:val="28"/>
              <w:rPr>
                <w:color w:val="000000" w:themeColor="text1"/>
                <w14:textFill>
                  <w14:solidFill>
                    <w14:schemeClr w14:val="tx1"/>
                  </w14:solidFill>
                </w14:textFill>
              </w:rPr>
            </w:pPr>
          </w:p>
        </w:tc>
        <w:tc>
          <w:tcPr>
            <w:tcW w:w="393" w:type="pct"/>
            <w:vMerge w:val="continue"/>
            <w:shd w:val="clear" w:color="auto" w:fill="auto"/>
            <w:vAlign w:val="center"/>
          </w:tcPr>
          <w:p w14:paraId="1CFE7A41">
            <w:pPr>
              <w:pStyle w:val="28"/>
              <w:rPr>
                <w:color w:val="000000" w:themeColor="text1"/>
                <w14:textFill>
                  <w14:solidFill>
                    <w14:schemeClr w14:val="tx1"/>
                  </w14:solidFill>
                </w14:textFill>
              </w:rPr>
            </w:pPr>
          </w:p>
        </w:tc>
      </w:tr>
      <w:tr w14:paraId="6A24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3" w:type="pct"/>
            <w:shd w:val="clear" w:color="auto" w:fill="auto"/>
            <w:vAlign w:val="center"/>
          </w:tcPr>
          <w:p w14:paraId="0ED5E4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纯水制备废水</w:t>
            </w:r>
          </w:p>
        </w:tc>
        <w:tc>
          <w:tcPr>
            <w:tcW w:w="538" w:type="pct"/>
            <w:shd w:val="clear" w:color="auto" w:fill="auto"/>
            <w:vAlign w:val="center"/>
          </w:tcPr>
          <w:p w14:paraId="643D968F">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64" w:type="pct"/>
            <w:vMerge w:val="restart"/>
            <w:shd w:val="clear" w:color="auto" w:fill="auto"/>
            <w:vAlign w:val="center"/>
          </w:tcPr>
          <w:p w14:paraId="743367C9">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调节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混凝沉淀</w:t>
            </w:r>
          </w:p>
          <w:p w14:paraId="5C736747">
            <w:pPr>
              <w:pStyle w:val="28"/>
              <w:rPr>
                <w:color w:val="000000" w:themeColor="text1"/>
                <w14:textFill>
                  <w14:solidFill>
                    <w14:schemeClr w14:val="tx1"/>
                  </w14:solidFill>
                </w14:textFill>
              </w:rPr>
            </w:pPr>
          </w:p>
        </w:tc>
        <w:tc>
          <w:tcPr>
            <w:tcW w:w="724" w:type="pct"/>
            <w:shd w:val="clear" w:color="auto" w:fill="auto"/>
            <w:vAlign w:val="center"/>
          </w:tcPr>
          <w:p w14:paraId="2F3953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9.936</w:t>
            </w:r>
          </w:p>
        </w:tc>
        <w:tc>
          <w:tcPr>
            <w:tcW w:w="635" w:type="pct"/>
            <w:shd w:val="clear" w:color="auto" w:fill="auto"/>
            <w:vAlign w:val="center"/>
          </w:tcPr>
          <w:p w14:paraId="7C583F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665" w:type="pct"/>
            <w:shd w:val="clear" w:color="auto" w:fill="auto"/>
            <w:vAlign w:val="center"/>
          </w:tcPr>
          <w:p w14:paraId="2DA485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w:t>
            </w:r>
          </w:p>
        </w:tc>
        <w:tc>
          <w:tcPr>
            <w:tcW w:w="606" w:type="pct"/>
            <w:shd w:val="clear" w:color="auto" w:fill="auto"/>
            <w:vAlign w:val="center"/>
          </w:tcPr>
          <w:p w14:paraId="5AB5F2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393" w:type="pct"/>
            <w:shd w:val="clear" w:color="auto" w:fill="auto"/>
            <w:vAlign w:val="center"/>
          </w:tcPr>
          <w:p w14:paraId="4DAAEDB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47E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restart"/>
            <w:shd w:val="clear" w:color="auto" w:fill="auto"/>
            <w:vAlign w:val="center"/>
          </w:tcPr>
          <w:p w14:paraId="3067DF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w:t>
            </w:r>
          </w:p>
        </w:tc>
        <w:tc>
          <w:tcPr>
            <w:tcW w:w="538" w:type="pct"/>
            <w:shd w:val="clear" w:color="auto" w:fill="auto"/>
            <w:vAlign w:val="center"/>
          </w:tcPr>
          <w:p w14:paraId="1FD6CBF9">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664" w:type="pct"/>
            <w:vMerge w:val="continue"/>
            <w:shd w:val="clear" w:color="auto" w:fill="auto"/>
            <w:vAlign w:val="center"/>
          </w:tcPr>
          <w:p w14:paraId="5C3E3011">
            <w:pPr>
              <w:pStyle w:val="28"/>
              <w:rPr>
                <w:color w:val="000000" w:themeColor="text1"/>
                <w14:textFill>
                  <w14:solidFill>
                    <w14:schemeClr w14:val="tx1"/>
                  </w14:solidFill>
                </w14:textFill>
              </w:rPr>
            </w:pPr>
          </w:p>
        </w:tc>
        <w:tc>
          <w:tcPr>
            <w:tcW w:w="724" w:type="pct"/>
            <w:shd w:val="clear" w:color="auto" w:fill="auto"/>
            <w:vAlign w:val="center"/>
          </w:tcPr>
          <w:p w14:paraId="1AA738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635" w:type="pct"/>
            <w:shd w:val="clear" w:color="auto" w:fill="auto"/>
            <w:vAlign w:val="center"/>
          </w:tcPr>
          <w:p w14:paraId="25431BD2">
            <w:pPr>
              <w:pStyle w:val="28"/>
              <w:rPr>
                <w:color w:val="000000" w:themeColor="text1"/>
                <w14:textFill>
                  <w14:solidFill>
                    <w14:schemeClr w14:val="tx1"/>
                  </w14:solidFill>
                </w14:textFill>
              </w:rPr>
            </w:pPr>
            <w:r>
              <w:rPr>
                <w:color w:val="000000" w:themeColor="text1"/>
                <w14:textFill>
                  <w14:solidFill>
                    <w14:schemeClr w14:val="tx1"/>
                  </w14:solidFill>
                </w14:textFill>
              </w:rPr>
              <w:t>420</w:t>
            </w:r>
          </w:p>
        </w:tc>
        <w:tc>
          <w:tcPr>
            <w:tcW w:w="665" w:type="pct"/>
            <w:shd w:val="clear" w:color="auto" w:fill="auto"/>
            <w:vAlign w:val="center"/>
          </w:tcPr>
          <w:p w14:paraId="082617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0.0101</w:t>
            </w:r>
          </w:p>
        </w:tc>
        <w:tc>
          <w:tcPr>
            <w:tcW w:w="606" w:type="pct"/>
            <w:shd w:val="clear" w:color="auto" w:fill="auto"/>
            <w:vAlign w:val="center"/>
          </w:tcPr>
          <w:p w14:paraId="1C9EC8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393" w:type="pct"/>
            <w:shd w:val="clear" w:color="auto" w:fill="auto"/>
            <w:vAlign w:val="center"/>
          </w:tcPr>
          <w:p w14:paraId="70281B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B40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continue"/>
            <w:shd w:val="clear" w:color="auto" w:fill="auto"/>
            <w:vAlign w:val="center"/>
          </w:tcPr>
          <w:p w14:paraId="3C4539DF">
            <w:pPr>
              <w:pStyle w:val="28"/>
              <w:rPr>
                <w:color w:val="000000" w:themeColor="text1"/>
                <w14:textFill>
                  <w14:solidFill>
                    <w14:schemeClr w14:val="tx1"/>
                  </w14:solidFill>
                </w14:textFill>
              </w:rPr>
            </w:pPr>
          </w:p>
        </w:tc>
        <w:tc>
          <w:tcPr>
            <w:tcW w:w="538" w:type="pct"/>
            <w:shd w:val="clear" w:color="auto" w:fill="auto"/>
            <w:vAlign w:val="center"/>
          </w:tcPr>
          <w:p w14:paraId="62995E9E">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64" w:type="pct"/>
            <w:vMerge w:val="continue"/>
            <w:shd w:val="clear" w:color="auto" w:fill="auto"/>
            <w:vAlign w:val="center"/>
          </w:tcPr>
          <w:p w14:paraId="10E5E9BC">
            <w:pPr>
              <w:pStyle w:val="28"/>
              <w:rPr>
                <w:color w:val="000000" w:themeColor="text1"/>
                <w14:textFill>
                  <w14:solidFill>
                    <w14:schemeClr w14:val="tx1"/>
                  </w14:solidFill>
                </w14:textFill>
              </w:rPr>
            </w:pPr>
          </w:p>
        </w:tc>
        <w:tc>
          <w:tcPr>
            <w:tcW w:w="724" w:type="pct"/>
            <w:shd w:val="clear" w:color="auto" w:fill="auto"/>
            <w:vAlign w:val="center"/>
          </w:tcPr>
          <w:p w14:paraId="5AFE45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635" w:type="pct"/>
            <w:shd w:val="clear" w:color="auto" w:fill="auto"/>
            <w:vAlign w:val="center"/>
          </w:tcPr>
          <w:p w14:paraId="02B45F3A">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c>
          <w:tcPr>
            <w:tcW w:w="665" w:type="pct"/>
            <w:shd w:val="clear" w:color="auto" w:fill="auto"/>
            <w:vAlign w:val="center"/>
          </w:tcPr>
          <w:p w14:paraId="6EAAD3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0.0022</w:t>
            </w:r>
          </w:p>
        </w:tc>
        <w:tc>
          <w:tcPr>
            <w:tcW w:w="606" w:type="pct"/>
            <w:shd w:val="clear" w:color="auto" w:fill="auto"/>
            <w:vAlign w:val="center"/>
          </w:tcPr>
          <w:p w14:paraId="5C07BA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393" w:type="pct"/>
            <w:shd w:val="clear" w:color="auto" w:fill="auto"/>
            <w:vAlign w:val="center"/>
          </w:tcPr>
          <w:p w14:paraId="29D8C8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88F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continue"/>
            <w:shd w:val="clear" w:color="auto" w:fill="auto"/>
            <w:vAlign w:val="center"/>
          </w:tcPr>
          <w:p w14:paraId="36C0677A">
            <w:pPr>
              <w:pStyle w:val="28"/>
              <w:rPr>
                <w:color w:val="000000" w:themeColor="text1"/>
                <w14:textFill>
                  <w14:solidFill>
                    <w14:schemeClr w14:val="tx1"/>
                  </w14:solidFill>
                </w14:textFill>
              </w:rPr>
            </w:pPr>
          </w:p>
        </w:tc>
        <w:tc>
          <w:tcPr>
            <w:tcW w:w="538" w:type="pct"/>
            <w:shd w:val="clear" w:color="auto" w:fill="auto"/>
            <w:vAlign w:val="center"/>
          </w:tcPr>
          <w:p w14:paraId="247F3884">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664" w:type="pct"/>
            <w:vMerge w:val="continue"/>
            <w:shd w:val="clear" w:color="auto" w:fill="auto"/>
            <w:vAlign w:val="center"/>
          </w:tcPr>
          <w:p w14:paraId="61236A95">
            <w:pPr>
              <w:pStyle w:val="28"/>
              <w:rPr>
                <w:color w:val="000000" w:themeColor="text1"/>
                <w14:textFill>
                  <w14:solidFill>
                    <w14:schemeClr w14:val="tx1"/>
                  </w14:solidFill>
                </w14:textFill>
              </w:rPr>
            </w:pPr>
          </w:p>
        </w:tc>
        <w:tc>
          <w:tcPr>
            <w:tcW w:w="724" w:type="pct"/>
            <w:shd w:val="clear" w:color="auto" w:fill="auto"/>
            <w:vAlign w:val="center"/>
          </w:tcPr>
          <w:p w14:paraId="0FF440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635" w:type="pct"/>
            <w:shd w:val="clear" w:color="auto" w:fill="auto"/>
            <w:vAlign w:val="center"/>
          </w:tcPr>
          <w:p w14:paraId="798C0F26">
            <w:pPr>
              <w:pStyle w:val="28"/>
              <w:rPr>
                <w:color w:val="000000" w:themeColor="text1"/>
                <w14:textFill>
                  <w14:solidFill>
                    <w14:schemeClr w14:val="tx1"/>
                  </w14:solidFill>
                </w14:textFill>
              </w:rPr>
            </w:pPr>
            <w:r>
              <w:rPr>
                <w:color w:val="000000" w:themeColor="text1"/>
                <w14:textFill>
                  <w14:solidFill>
                    <w14:schemeClr w14:val="tx1"/>
                  </w14:solidFill>
                </w14:textFill>
              </w:rPr>
              <w:t>0.4</w:t>
            </w:r>
          </w:p>
        </w:tc>
        <w:tc>
          <w:tcPr>
            <w:tcW w:w="665" w:type="pct"/>
            <w:shd w:val="clear" w:color="auto" w:fill="auto"/>
            <w:vAlign w:val="center"/>
          </w:tcPr>
          <w:p w14:paraId="4B2F20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c>
          <w:tcPr>
            <w:tcW w:w="606" w:type="pct"/>
            <w:shd w:val="clear" w:color="auto" w:fill="auto"/>
            <w:vAlign w:val="center"/>
          </w:tcPr>
          <w:p w14:paraId="2CE988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93" w:type="pct"/>
            <w:shd w:val="clear" w:color="auto" w:fill="auto"/>
            <w:vAlign w:val="center"/>
          </w:tcPr>
          <w:p w14:paraId="093F5D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942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continue"/>
            <w:shd w:val="clear" w:color="auto" w:fill="auto"/>
            <w:vAlign w:val="center"/>
          </w:tcPr>
          <w:p w14:paraId="789B8B61">
            <w:pPr>
              <w:pStyle w:val="28"/>
              <w:rPr>
                <w:color w:val="000000" w:themeColor="text1"/>
                <w14:textFill>
                  <w14:solidFill>
                    <w14:schemeClr w14:val="tx1"/>
                  </w14:solidFill>
                </w14:textFill>
              </w:rPr>
            </w:pPr>
          </w:p>
        </w:tc>
        <w:tc>
          <w:tcPr>
            <w:tcW w:w="538" w:type="pct"/>
            <w:shd w:val="clear" w:color="auto" w:fill="auto"/>
            <w:vAlign w:val="center"/>
          </w:tcPr>
          <w:p w14:paraId="73B453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664" w:type="pct"/>
            <w:vMerge w:val="continue"/>
            <w:shd w:val="clear" w:color="auto" w:fill="auto"/>
            <w:vAlign w:val="center"/>
          </w:tcPr>
          <w:p w14:paraId="1ABC2AE2">
            <w:pPr>
              <w:pStyle w:val="28"/>
              <w:rPr>
                <w:color w:val="000000" w:themeColor="text1"/>
                <w14:textFill>
                  <w14:solidFill>
                    <w14:schemeClr w14:val="tx1"/>
                  </w14:solidFill>
                </w14:textFill>
              </w:rPr>
            </w:pPr>
          </w:p>
        </w:tc>
        <w:tc>
          <w:tcPr>
            <w:tcW w:w="724" w:type="pct"/>
            <w:shd w:val="clear" w:color="auto" w:fill="auto"/>
            <w:vAlign w:val="center"/>
          </w:tcPr>
          <w:p w14:paraId="00BA28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635" w:type="pct"/>
            <w:shd w:val="clear" w:color="auto" w:fill="auto"/>
            <w:vAlign w:val="center"/>
          </w:tcPr>
          <w:p w14:paraId="4F7A867E">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665" w:type="pct"/>
            <w:shd w:val="clear" w:color="auto" w:fill="auto"/>
            <w:vAlign w:val="center"/>
          </w:tcPr>
          <w:p w14:paraId="44BF46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c>
          <w:tcPr>
            <w:tcW w:w="606" w:type="pct"/>
            <w:shd w:val="clear" w:color="auto" w:fill="auto"/>
            <w:vAlign w:val="center"/>
          </w:tcPr>
          <w:p w14:paraId="37393E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93" w:type="pct"/>
            <w:shd w:val="clear" w:color="auto" w:fill="auto"/>
            <w:vAlign w:val="center"/>
          </w:tcPr>
          <w:p w14:paraId="265333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A66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3" w:type="pct"/>
            <w:shd w:val="clear" w:color="auto" w:fill="auto"/>
            <w:vAlign w:val="center"/>
          </w:tcPr>
          <w:p w14:paraId="0A04A1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w:t>
            </w:r>
          </w:p>
        </w:tc>
        <w:tc>
          <w:tcPr>
            <w:tcW w:w="538" w:type="pct"/>
            <w:shd w:val="clear" w:color="auto" w:fill="auto"/>
            <w:vAlign w:val="center"/>
          </w:tcPr>
          <w:p w14:paraId="2491A287">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64" w:type="pct"/>
            <w:vMerge w:val="continue"/>
            <w:shd w:val="clear" w:color="auto" w:fill="auto"/>
            <w:vAlign w:val="center"/>
          </w:tcPr>
          <w:p w14:paraId="6A60601A">
            <w:pPr>
              <w:pStyle w:val="28"/>
              <w:rPr>
                <w:color w:val="000000" w:themeColor="text1"/>
                <w14:textFill>
                  <w14:solidFill>
                    <w14:schemeClr w14:val="tx1"/>
                  </w14:solidFill>
                </w14:textFill>
              </w:rPr>
            </w:pPr>
          </w:p>
        </w:tc>
        <w:tc>
          <w:tcPr>
            <w:tcW w:w="724" w:type="pct"/>
            <w:shd w:val="clear" w:color="auto" w:fill="auto"/>
            <w:vAlign w:val="center"/>
          </w:tcPr>
          <w:p w14:paraId="32F1879B">
            <w:pPr>
              <w:pStyle w:val="28"/>
              <w:rPr>
                <w:color w:val="000000" w:themeColor="text1"/>
                <w14:textFill>
                  <w14:solidFill>
                    <w14:schemeClr w14:val="tx1"/>
                  </w14:solidFill>
                </w14:textFill>
              </w:rPr>
            </w:pPr>
            <w:r>
              <w:rPr>
                <w:color w:val="000000" w:themeColor="text1"/>
                <w14:textFill>
                  <w14:solidFill>
                    <w14:schemeClr w14:val="tx1"/>
                  </w14:solidFill>
                </w14:textFill>
              </w:rPr>
              <w:t>1.8</w:t>
            </w:r>
          </w:p>
        </w:tc>
        <w:tc>
          <w:tcPr>
            <w:tcW w:w="635" w:type="pct"/>
            <w:shd w:val="clear" w:color="auto" w:fill="auto"/>
            <w:vAlign w:val="center"/>
          </w:tcPr>
          <w:p w14:paraId="284B18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65" w:type="pct"/>
            <w:shd w:val="clear" w:color="auto" w:fill="auto"/>
            <w:vAlign w:val="center"/>
          </w:tcPr>
          <w:p w14:paraId="5836D6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0.000018</w:t>
            </w:r>
          </w:p>
        </w:tc>
        <w:tc>
          <w:tcPr>
            <w:tcW w:w="606" w:type="pct"/>
            <w:shd w:val="clear" w:color="auto" w:fill="auto"/>
            <w:vAlign w:val="center"/>
          </w:tcPr>
          <w:p w14:paraId="140BDB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393" w:type="pct"/>
            <w:shd w:val="clear" w:color="auto" w:fill="auto"/>
            <w:vAlign w:val="center"/>
          </w:tcPr>
          <w:p w14:paraId="66045D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A4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73" w:type="pct"/>
            <w:vMerge w:val="restart"/>
            <w:shd w:val="clear" w:color="auto" w:fill="auto"/>
            <w:vAlign w:val="center"/>
          </w:tcPr>
          <w:p w14:paraId="676016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一体化污水处理设施综合出水水质</w:t>
            </w:r>
          </w:p>
        </w:tc>
        <w:tc>
          <w:tcPr>
            <w:tcW w:w="538" w:type="pct"/>
            <w:shd w:val="clear" w:color="auto" w:fill="auto"/>
            <w:vAlign w:val="center"/>
          </w:tcPr>
          <w:p w14:paraId="1AE5284C">
            <w:pPr>
              <w:pStyle w:val="28"/>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664" w:type="pct"/>
            <w:vMerge w:val="restart"/>
            <w:shd w:val="clear" w:color="auto" w:fill="auto"/>
            <w:vAlign w:val="center"/>
          </w:tcPr>
          <w:p w14:paraId="41B29C20">
            <w:pPr>
              <w:pStyle w:val="2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调节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混凝沉淀</w:t>
            </w:r>
          </w:p>
        </w:tc>
        <w:tc>
          <w:tcPr>
            <w:tcW w:w="724" w:type="pct"/>
            <w:shd w:val="clear" w:color="auto" w:fill="auto"/>
            <w:vAlign w:val="center"/>
          </w:tcPr>
          <w:p w14:paraId="3051E9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35.736</w:t>
            </w:r>
          </w:p>
        </w:tc>
        <w:tc>
          <w:tcPr>
            <w:tcW w:w="635" w:type="pct"/>
            <w:shd w:val="clear" w:color="auto" w:fill="auto"/>
            <w:vAlign w:val="center"/>
          </w:tcPr>
          <w:p w14:paraId="1778B7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282.63</w:t>
            </w:r>
          </w:p>
        </w:tc>
        <w:tc>
          <w:tcPr>
            <w:tcW w:w="665" w:type="pct"/>
            <w:shd w:val="clear" w:color="auto" w:fill="auto"/>
            <w:vAlign w:val="center"/>
          </w:tcPr>
          <w:p w14:paraId="6005C3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0.0101</w:t>
            </w:r>
          </w:p>
        </w:tc>
        <w:tc>
          <w:tcPr>
            <w:tcW w:w="606" w:type="pct"/>
            <w:shd w:val="clear" w:color="auto" w:fill="auto"/>
            <w:vAlign w:val="center"/>
          </w:tcPr>
          <w:p w14:paraId="2F6C83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393" w:type="pct"/>
            <w:shd w:val="clear" w:color="auto" w:fill="auto"/>
            <w:vAlign w:val="center"/>
          </w:tcPr>
          <w:p w14:paraId="572B12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290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3" w:type="pct"/>
            <w:vMerge w:val="continue"/>
            <w:shd w:val="clear" w:color="auto" w:fill="auto"/>
            <w:vAlign w:val="center"/>
          </w:tcPr>
          <w:p w14:paraId="446167BC">
            <w:pPr>
              <w:pStyle w:val="28"/>
              <w:rPr>
                <w:color w:val="000000" w:themeColor="text1"/>
                <w14:textFill>
                  <w14:solidFill>
                    <w14:schemeClr w14:val="tx1"/>
                  </w14:solidFill>
                </w14:textFill>
              </w:rPr>
            </w:pPr>
          </w:p>
        </w:tc>
        <w:tc>
          <w:tcPr>
            <w:tcW w:w="538" w:type="pct"/>
            <w:shd w:val="clear" w:color="auto" w:fill="auto"/>
            <w:vAlign w:val="center"/>
          </w:tcPr>
          <w:p w14:paraId="3F1AD8EB">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64" w:type="pct"/>
            <w:vMerge w:val="continue"/>
            <w:shd w:val="clear" w:color="auto" w:fill="auto"/>
            <w:vAlign w:val="center"/>
          </w:tcPr>
          <w:p w14:paraId="5D188D20">
            <w:pPr>
              <w:pStyle w:val="28"/>
              <w:rPr>
                <w:color w:val="000000" w:themeColor="text1"/>
                <w14:textFill>
                  <w14:solidFill>
                    <w14:schemeClr w14:val="tx1"/>
                  </w14:solidFill>
                </w14:textFill>
              </w:rPr>
            </w:pPr>
          </w:p>
        </w:tc>
        <w:tc>
          <w:tcPr>
            <w:tcW w:w="724" w:type="pct"/>
            <w:shd w:val="clear" w:color="auto" w:fill="auto"/>
            <w:vAlign w:val="center"/>
          </w:tcPr>
          <w:p w14:paraId="57EDA8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35.736</w:t>
            </w:r>
          </w:p>
        </w:tc>
        <w:tc>
          <w:tcPr>
            <w:tcW w:w="635" w:type="pct"/>
            <w:shd w:val="clear" w:color="auto" w:fill="auto"/>
            <w:vAlign w:val="center"/>
          </w:tcPr>
          <w:p w14:paraId="77752E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67.66</w:t>
            </w:r>
          </w:p>
        </w:tc>
        <w:tc>
          <w:tcPr>
            <w:tcW w:w="665" w:type="pct"/>
            <w:shd w:val="clear" w:color="auto" w:fill="auto"/>
            <w:vAlign w:val="center"/>
          </w:tcPr>
          <w:p w14:paraId="5EC295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0.002148</w:t>
            </w:r>
          </w:p>
        </w:tc>
        <w:tc>
          <w:tcPr>
            <w:tcW w:w="606" w:type="pct"/>
            <w:shd w:val="clear" w:color="auto" w:fill="auto"/>
            <w:vAlign w:val="center"/>
          </w:tcPr>
          <w:p w14:paraId="637C29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393" w:type="pct"/>
            <w:shd w:val="clear" w:color="auto" w:fill="auto"/>
            <w:vAlign w:val="center"/>
          </w:tcPr>
          <w:p w14:paraId="589014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1D6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3" w:type="pct"/>
            <w:vMerge w:val="continue"/>
            <w:vAlign w:val="center"/>
          </w:tcPr>
          <w:p w14:paraId="482AC3B7">
            <w:pPr>
              <w:pStyle w:val="28"/>
              <w:rPr>
                <w:color w:val="000000" w:themeColor="text1"/>
                <w14:textFill>
                  <w14:solidFill>
                    <w14:schemeClr w14:val="tx1"/>
                  </w14:solidFill>
                </w14:textFill>
              </w:rPr>
            </w:pPr>
          </w:p>
        </w:tc>
        <w:tc>
          <w:tcPr>
            <w:tcW w:w="538" w:type="pct"/>
            <w:shd w:val="clear" w:color="auto" w:fill="auto"/>
            <w:vAlign w:val="center"/>
          </w:tcPr>
          <w:p w14:paraId="346B90A0">
            <w:pPr>
              <w:pStyle w:val="2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664" w:type="pct"/>
            <w:vMerge w:val="continue"/>
            <w:vAlign w:val="center"/>
          </w:tcPr>
          <w:p w14:paraId="7CE15739">
            <w:pPr>
              <w:pStyle w:val="28"/>
              <w:rPr>
                <w:color w:val="000000" w:themeColor="text1"/>
                <w14:textFill>
                  <w14:solidFill>
                    <w14:schemeClr w14:val="tx1"/>
                  </w14:solidFill>
                </w14:textFill>
              </w:rPr>
            </w:pPr>
          </w:p>
        </w:tc>
        <w:tc>
          <w:tcPr>
            <w:tcW w:w="724" w:type="pct"/>
            <w:shd w:val="clear" w:color="auto" w:fill="auto"/>
            <w:vAlign w:val="center"/>
          </w:tcPr>
          <w:p w14:paraId="71A485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35.736</w:t>
            </w:r>
          </w:p>
        </w:tc>
        <w:tc>
          <w:tcPr>
            <w:tcW w:w="635" w:type="pct"/>
            <w:vAlign w:val="center"/>
          </w:tcPr>
          <w:p w14:paraId="7B4E66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0.28</w:t>
            </w:r>
          </w:p>
        </w:tc>
        <w:tc>
          <w:tcPr>
            <w:tcW w:w="665" w:type="pct"/>
            <w:vAlign w:val="center"/>
          </w:tcPr>
          <w:p w14:paraId="2221A9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c>
          <w:tcPr>
            <w:tcW w:w="606" w:type="pct"/>
            <w:shd w:val="clear" w:color="auto" w:fill="auto"/>
            <w:vAlign w:val="center"/>
          </w:tcPr>
          <w:p w14:paraId="67FE9B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93" w:type="pct"/>
            <w:vAlign w:val="center"/>
          </w:tcPr>
          <w:p w14:paraId="4E9AC6F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5A2E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73" w:type="pct"/>
            <w:vMerge w:val="continue"/>
            <w:vAlign w:val="center"/>
          </w:tcPr>
          <w:p w14:paraId="6D49BE14">
            <w:pPr>
              <w:pStyle w:val="28"/>
              <w:rPr>
                <w:color w:val="000000" w:themeColor="text1"/>
                <w14:textFill>
                  <w14:solidFill>
                    <w14:schemeClr w14:val="tx1"/>
                  </w14:solidFill>
                </w14:textFill>
              </w:rPr>
            </w:pPr>
          </w:p>
        </w:tc>
        <w:tc>
          <w:tcPr>
            <w:tcW w:w="538" w:type="pct"/>
            <w:shd w:val="clear" w:color="auto" w:fill="auto"/>
            <w:vAlign w:val="center"/>
          </w:tcPr>
          <w:p w14:paraId="40222F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664" w:type="pct"/>
            <w:vMerge w:val="continue"/>
            <w:vAlign w:val="center"/>
          </w:tcPr>
          <w:p w14:paraId="37D9F87C">
            <w:pPr>
              <w:pStyle w:val="28"/>
              <w:rPr>
                <w:color w:val="000000" w:themeColor="text1"/>
                <w14:textFill>
                  <w14:solidFill>
                    <w14:schemeClr w14:val="tx1"/>
                  </w14:solidFill>
                </w14:textFill>
              </w:rPr>
            </w:pPr>
          </w:p>
        </w:tc>
        <w:tc>
          <w:tcPr>
            <w:tcW w:w="724" w:type="pct"/>
            <w:shd w:val="clear" w:color="auto" w:fill="auto"/>
            <w:vAlign w:val="center"/>
          </w:tcPr>
          <w:p w14:paraId="0134EB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35.736</w:t>
            </w:r>
          </w:p>
        </w:tc>
        <w:tc>
          <w:tcPr>
            <w:tcW w:w="635" w:type="pct"/>
            <w:vAlign w:val="center"/>
          </w:tcPr>
          <w:p w14:paraId="475292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0.56</w:t>
            </w:r>
          </w:p>
        </w:tc>
        <w:tc>
          <w:tcPr>
            <w:tcW w:w="665" w:type="pct"/>
            <w:vAlign w:val="center"/>
          </w:tcPr>
          <w:p w14:paraId="6C69EC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c>
          <w:tcPr>
            <w:tcW w:w="606" w:type="pct"/>
            <w:shd w:val="clear" w:color="auto" w:fill="auto"/>
            <w:vAlign w:val="center"/>
          </w:tcPr>
          <w:p w14:paraId="1E20561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93" w:type="pct"/>
            <w:vAlign w:val="center"/>
          </w:tcPr>
          <w:p w14:paraId="26EBAD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52BA50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根据上表分析，本项目污水处理站出水水质均</w:t>
      </w:r>
      <w:r>
        <w:rPr>
          <w:color w:val="000000" w:themeColor="text1"/>
          <w14:textFill>
            <w14:solidFill>
              <w14:schemeClr w14:val="tx1"/>
            </w14:solidFill>
          </w14:textFill>
        </w:rPr>
        <w:t>满足《电子工业水污染物排放标准》（GB39731-2020）电子专用材料间接排放标准、《污水排入城镇下水道水质标准》（GB/T31962-2015）中表1 A等级标准及《污水综合排放标准》（GB8978-1996）表4三级排放标准。</w:t>
      </w:r>
    </w:p>
    <w:p w14:paraId="646CA6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综上分析，本项目一体化污水处理站处理工艺可行。</w:t>
      </w:r>
    </w:p>
    <w:p w14:paraId="50A075C6">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2、一体化污水处理站处理能力可行性分析</w:t>
      </w:r>
    </w:p>
    <w:p w14:paraId="0017E1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本项目生产废水均为间歇性产生，纯水制备废水产生量为0.036m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/d（间歇），测试器具清洗废水产生量为0.8m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/d（间歇），冷却水循环系统定期排污水产生量为1.8m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/次（一年一次）。</w:t>
      </w:r>
    </w:p>
    <w:p w14:paraId="415D8F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本项目设置的一体化污水处理站处理能力为1m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/d，间歇性运行，配套设置有1个调节池，容积为2m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36D315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由于本项目纯水制备废水、测试器具清洗废水为间歇性产生的，本项目污水处理站设计处理能力大于废水产生的最大量为0.836m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/d，处理规模满足日常废水处理需求，配置的调节池容积大于日均废水量，间歇运行模式下可实现有效调节，可保证进水水量、水质稳定，确保污水处理站正常运行。</w:t>
      </w:r>
    </w:p>
    <w:p w14:paraId="7F7B69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冷却水循环系统定期排污水单次排放量1.8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，大于一体化污水</w:t>
      </w:r>
      <w:r>
        <w:rPr>
          <w:rFonts w:ascii="宋体" w:hAnsi="宋体" w:cs="宋体"/>
          <w:color w:val="000000" w:themeColor="text1"/>
          <w14:textFill>
            <w14:solidFill>
              <w14:schemeClr w14:val="tx1"/>
            </w14:solidFill>
          </w14:textFill>
        </w:rPr>
        <w:t>处理站日处理能力</w:t>
      </w:r>
      <w:r>
        <w:rPr>
          <w:rFonts w:hint="eastAsia"/>
          <w:color w:val="000000" w:themeColor="text1"/>
          <w14:textFill>
            <w14:solidFill>
              <w14:schemeClr w14:val="tx1"/>
            </w14:solidFill>
          </w14:textFill>
        </w:rPr>
        <w:t>，配套设置有1个调节池，容积为2m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，大于单次冷却水循环系统定期排污水最大排水量，可以容纳冷却水循环系统定期排污水最大水量，日常运行时，冷却水循环系统定期排污水可以通过分批次进入+调节池缓冲进行。</w:t>
      </w:r>
    </w:p>
    <w:p w14:paraId="28C8729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综上所述，本项目一体化污水处理站处理能力可行。</w:t>
      </w:r>
    </w:p>
    <w:p w14:paraId="2CE03E3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3、化粪池依托可行性分析</w:t>
      </w:r>
    </w:p>
    <w:p w14:paraId="31BF31B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本项目不提供食宿，生活污水主要是冲厕废水和员工清洗废水</w:t>
      </w:r>
      <w:r>
        <w:rPr>
          <w:rFonts w:hint="eastAsia"/>
          <w:color w:val="000000" w:themeColor="text1"/>
          <w14:textFill>
            <w14:solidFill>
              <w14:schemeClr w14:val="tx1"/>
            </w14:solidFill>
          </w14:textFill>
        </w:rPr>
        <w:t>。项目在运营过程中需要使用到有机溶剂，密闭输送、转移，出现跑冒滴漏的可能性较小，若出现跑冒滴漏，由在岗员工及时使用抹布擦拭，确保车间地面无残留物，因此车间拖把清洁废水中污染物主要为SS，且废水量较少，与生活污水一同经化粪池处理、排放。</w:t>
      </w:r>
    </w:p>
    <w:p w14:paraId="0EE26D9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本项目化粪池依托云南捷辰包装材料有限公司已建成，1个容积为18m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，本项目生活污水产生量为</w:t>
      </w:r>
      <w:r>
        <w:rPr>
          <w:rFonts w:hint="eastAsia" w:cs="Times New Roman"/>
          <w:color w:val="000000" w:themeColor="text1"/>
          <w14:textFill>
            <w14:solidFill>
              <w14:schemeClr w14:val="tx1"/>
            </w14:solidFill>
          </w14:textFill>
        </w:rPr>
        <w:t>1.44</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s="Times New Roman"/>
          <w:color w:val="000000" w:themeColor="text1"/>
          <w14:textFill>
            <w14:solidFill>
              <w14:schemeClr w14:val="tx1"/>
            </w14:solidFill>
          </w14:textFill>
        </w:rPr>
        <w:t>，根据云南捷辰包装材料有限公司环评报告可知，进入化粪池的污水量为6.08</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s="Times New Roman"/>
          <w:color w:val="000000" w:themeColor="text1"/>
          <w14:textFill>
            <w14:solidFill>
              <w14:schemeClr w14:val="tx1"/>
            </w14:solidFill>
          </w14:textFill>
        </w:rPr>
        <w:t>，合计7.52</w:t>
      </w:r>
      <w:r>
        <w:rPr>
          <w:rFonts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s="Times New Roman"/>
          <w:color w:val="000000" w:themeColor="text1"/>
          <w14:textFill>
            <w14:solidFill>
              <w14:schemeClr w14:val="tx1"/>
            </w14:solidFill>
          </w14:textFill>
        </w:rPr>
        <w:t>，生活污水产生量小于化粪池容积，可以保证污水24h的停留时间，因此本项目生活污水依托现有可行。</w:t>
      </w:r>
    </w:p>
    <w:p w14:paraId="1F92A088">
      <w:pPr>
        <w:pStyle w:val="4"/>
        <w:rPr>
          <w:color w:val="000000" w:themeColor="text1"/>
          <w14:textFill>
            <w14:solidFill>
              <w14:schemeClr w14:val="tx1"/>
            </w14:solidFill>
          </w14:textFill>
        </w:rPr>
      </w:pPr>
      <w:bookmarkStart w:id="117" w:name="_Toc3111"/>
      <w:r>
        <w:rPr>
          <w:rFonts w:hint="eastAsia"/>
          <w:color w:val="000000" w:themeColor="text1"/>
          <w14:textFill>
            <w14:solidFill>
              <w14:schemeClr w14:val="tx1"/>
            </w14:solidFill>
          </w14:textFill>
        </w:rPr>
        <w:t>6</w:t>
      </w:r>
      <w:r>
        <w:rPr>
          <w:color w:val="000000" w:themeColor="text1"/>
          <w14:textFill>
            <w14:solidFill>
              <w14:schemeClr w14:val="tx1"/>
            </w14:solidFill>
          </w14:textFill>
        </w:rPr>
        <w:t>.2.3 噪声污染防治措施</w:t>
      </w:r>
      <w:bookmarkEnd w:id="117"/>
    </w:p>
    <w:p w14:paraId="57254C1C">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.2.3.1 噪声治理措施</w:t>
      </w:r>
    </w:p>
    <w:p w14:paraId="4CE5ABAF">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在对主要噪声源设备选择时，应收集和比较同类型设备的噪声</w:t>
      </w:r>
      <w:r>
        <w:rPr>
          <w:rFonts w:hint="eastAsia"/>
          <w:color w:val="000000" w:themeColor="text1"/>
          <w14:textFill>
            <w14:solidFill>
              <w14:schemeClr w14:val="tx1"/>
            </w14:solidFill>
          </w14:textFill>
        </w:rPr>
        <w:t>源强</w:t>
      </w:r>
      <w:r>
        <w:rPr>
          <w:color w:val="000000" w:themeColor="text1"/>
          <w14:textFill>
            <w14:solidFill>
              <w14:schemeClr w14:val="tx1"/>
            </w14:solidFill>
          </w14:textFill>
        </w:rPr>
        <w:t>，尽量选用噪声较低、振动较小的设备；对于噪声较大的设备，应从设备选型开始要求供货商提供符合要求的低噪声设备。</w:t>
      </w:r>
    </w:p>
    <w:p w14:paraId="21F8266D">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生产设备</w:t>
      </w:r>
      <w:r>
        <w:rPr>
          <w:rFonts w:hint="eastAsia"/>
          <w:color w:val="000000" w:themeColor="text1"/>
          <w14:textFill>
            <w14:solidFill>
              <w14:schemeClr w14:val="tx1"/>
            </w14:solidFill>
          </w14:textFill>
        </w:rPr>
        <w:t>固定减振</w:t>
      </w:r>
      <w:r>
        <w:rPr>
          <w:color w:val="000000" w:themeColor="text1"/>
          <w14:textFill>
            <w14:solidFill>
              <w14:schemeClr w14:val="tx1"/>
            </w14:solidFill>
          </w14:textFill>
        </w:rPr>
        <w:t>，全部设备均布置于车间内，利用车间墙体隔声。</w:t>
      </w:r>
    </w:p>
    <w:p w14:paraId="47E6F2DF">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泵与进出口管道间安装软橡胶接头，泵体基础减振</w:t>
      </w:r>
      <w:r>
        <w:rPr>
          <w:rFonts w:hint="eastAsia"/>
          <w:color w:val="000000" w:themeColor="text1"/>
          <w14:textFill>
            <w14:solidFill>
              <w14:schemeClr w14:val="tx1"/>
            </w14:solidFill>
          </w14:textFill>
        </w:rPr>
        <w:t>，风机安装消声器</w:t>
      </w:r>
      <w:r>
        <w:rPr>
          <w:color w:val="000000" w:themeColor="text1"/>
          <w14:textFill>
            <w14:solidFill>
              <w14:schemeClr w14:val="tx1"/>
            </w14:solidFill>
          </w14:textFill>
        </w:rPr>
        <w:t>。</w:t>
      </w:r>
    </w:p>
    <w:p w14:paraId="02003599">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定期对设备进行检修，避免设备异常产生大的噪声。</w:t>
      </w:r>
    </w:p>
    <w:p w14:paraId="5D14E73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.2.3.2 噪声治理措施的可行性</w:t>
      </w:r>
      <w:r>
        <w:rPr>
          <w:rFonts w:hint="eastAsia"/>
          <w:color w:val="000000" w:themeColor="text1"/>
          <w14:textFill>
            <w14:solidFill>
              <w14:schemeClr w14:val="tx1"/>
            </w14:solidFill>
          </w14:textFill>
        </w:rPr>
        <w:t>分析</w:t>
      </w:r>
    </w:p>
    <w:p w14:paraId="26DDD675">
      <w:pPr>
        <w:ind w:firstLine="482"/>
        <w:rPr>
          <w:color w:val="000000" w:themeColor="text1"/>
          <w14:textFill>
            <w14:solidFill>
              <w14:schemeClr w14:val="tx1"/>
            </w14:solidFill>
          </w14:textFill>
        </w:rPr>
      </w:pPr>
      <w:r>
        <w:rPr>
          <w:color w:val="000000" w:themeColor="text1"/>
          <w14:textFill>
            <w14:solidFill>
              <w14:schemeClr w14:val="tx1"/>
            </w14:solidFill>
          </w14:textFill>
        </w:rPr>
        <w:t>根据噪声影响预测结果，本项目生产设备噪声经过有效降噪再经过空间距离衰减后，其厂界</w:t>
      </w:r>
      <w:r>
        <w:rPr>
          <w:rFonts w:hint="eastAsia"/>
          <w:color w:val="000000" w:themeColor="text1"/>
          <w:lang w:val="en-US" w:eastAsia="zh-CN"/>
          <w14:textFill>
            <w14:solidFill>
              <w14:schemeClr w14:val="tx1"/>
            </w14:solidFill>
          </w14:textFill>
        </w:rPr>
        <w:t>东、南、北面</w:t>
      </w:r>
      <w:r>
        <w:rPr>
          <w:color w:val="000000" w:themeColor="text1"/>
          <w14:textFill>
            <w14:solidFill>
              <w14:schemeClr w14:val="tx1"/>
            </w14:solidFill>
          </w14:textFill>
        </w:rPr>
        <w:t>噪声符合《工业企业厂界环境噪声排放标准》（GB12348-2008）中的</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西面噪声</w:t>
      </w:r>
      <w:r>
        <w:rPr>
          <w:rFonts w:hint="eastAsia"/>
          <w:color w:val="000000" w:themeColor="text1"/>
          <w14:textFill>
            <w14:solidFill>
              <w14:schemeClr w14:val="tx1"/>
            </w14:solidFill>
          </w14:textFill>
        </w:rPr>
        <w:t>预测值昼间、夜间均能满足《工业企业厂界环境噪声排放标准》（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类标准要求。 </w:t>
      </w:r>
    </w:p>
    <w:p w14:paraId="034ABF1D">
      <w:pPr>
        <w:pStyle w:val="4"/>
        <w:rPr>
          <w:color w:val="000000" w:themeColor="text1"/>
          <w14:textFill>
            <w14:solidFill>
              <w14:schemeClr w14:val="tx1"/>
            </w14:solidFill>
          </w14:textFill>
        </w:rPr>
      </w:pPr>
      <w:bookmarkStart w:id="118" w:name="_Toc30947"/>
      <w:r>
        <w:rPr>
          <w:rFonts w:hint="eastAsia"/>
          <w:color w:val="000000" w:themeColor="text1"/>
          <w14:textFill>
            <w14:solidFill>
              <w14:schemeClr w14:val="tx1"/>
            </w14:solidFill>
          </w14:textFill>
        </w:rPr>
        <w:t>6</w:t>
      </w:r>
      <w:r>
        <w:rPr>
          <w:color w:val="000000" w:themeColor="text1"/>
          <w14:textFill>
            <w14:solidFill>
              <w14:schemeClr w14:val="tx1"/>
            </w14:solidFill>
          </w14:textFill>
        </w:rPr>
        <w:t>.2.4 固体废物污染防治措施</w:t>
      </w:r>
      <w:bookmarkEnd w:id="118"/>
    </w:p>
    <w:p w14:paraId="6592742E">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.2.4.1固体废物处置措施</w:t>
      </w:r>
    </w:p>
    <w:p w14:paraId="3E7FEE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本项目固废主要为废包装材料、废有机溶剂、砂磨机碱洗废碱液、污水处理污泥、喷淋循环系统定期排污废液、废活性炭、废导热油、测试残渣、废抹布、废手套和生活垃圾。</w:t>
      </w:r>
    </w:p>
    <w:p w14:paraId="4CFA8EB0">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经分类收集后暂存于危废暂存间内，委托有资质的单位清运处置。</w:t>
      </w:r>
    </w:p>
    <w:p w14:paraId="4340D4F2">
      <w:pPr>
        <w:ind w:firstLine="480"/>
        <w:rPr>
          <w:color w:val="000000" w:themeColor="text1"/>
          <w14:textFill>
            <w14:solidFill>
              <w14:schemeClr w14:val="tx1"/>
            </w14:solidFill>
          </w14:textFill>
        </w:rPr>
      </w:pPr>
      <w:r>
        <w:rPr>
          <w:color w:val="000000" w:themeColor="text1"/>
          <w14:textFill>
            <w14:solidFill>
              <w14:schemeClr w14:val="tx1"/>
            </w14:solidFill>
          </w14:textFill>
        </w:rPr>
        <w:t>（2）废有机溶剂</w:t>
      </w:r>
      <w:r>
        <w:rPr>
          <w:rFonts w:hint="eastAsia"/>
          <w:color w:val="000000" w:themeColor="text1"/>
          <w14:textFill>
            <w14:solidFill>
              <w14:schemeClr w14:val="tx1"/>
            </w14:solidFill>
          </w14:textFill>
        </w:rPr>
        <w:t>、砂磨机碱洗废碱液、喷淋循环系统定期排污废液</w:t>
      </w:r>
      <w:r>
        <w:rPr>
          <w:color w:val="000000" w:themeColor="text1"/>
          <w14:textFill>
            <w14:solidFill>
              <w14:schemeClr w14:val="tx1"/>
            </w14:solidFill>
          </w14:textFill>
        </w:rPr>
        <w:t>采用废液桶收集后，暂存于危废暂存间内交由有资质的单位清运处置。</w:t>
      </w:r>
    </w:p>
    <w:p w14:paraId="29362E0B">
      <w:pPr>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污水处理污泥定期清掏后送至周边砖厂制砖使用</w:t>
      </w:r>
      <w:r>
        <w:rPr>
          <w:color w:val="000000" w:themeColor="text1"/>
          <w14:textFill>
            <w14:solidFill>
              <w14:schemeClr w14:val="tx1"/>
            </w14:solidFill>
          </w14:textFill>
        </w:rPr>
        <w:t>。</w:t>
      </w:r>
    </w:p>
    <w:p w14:paraId="1E912594">
      <w:pPr>
        <w:ind w:firstLine="480"/>
        <w:rPr>
          <w:color w:val="000000" w:themeColor="text1"/>
          <w14:textFill>
            <w14:solidFill>
              <w14:schemeClr w14:val="tx1"/>
            </w14:solidFill>
          </w14:textFill>
        </w:rPr>
      </w:pPr>
      <w:r>
        <w:rPr>
          <w:color w:val="000000" w:themeColor="text1"/>
          <w14:textFill>
            <w14:solidFill>
              <w14:schemeClr w14:val="tx1"/>
            </w14:solidFill>
          </w14:textFill>
        </w:rPr>
        <w:t>（4）废活性炭用带盖收集桶收集后暂存于危废暂存间内交由有资质的单位清运处置。</w:t>
      </w:r>
    </w:p>
    <w:p w14:paraId="415B607A">
      <w:pPr>
        <w:ind w:firstLine="480"/>
        <w:rPr>
          <w:color w:val="000000" w:themeColor="text1"/>
          <w14:textFill>
            <w14:solidFill>
              <w14:schemeClr w14:val="tx1"/>
            </w14:solidFill>
          </w14:textFill>
        </w:rPr>
      </w:pPr>
      <w:r>
        <w:rPr>
          <w:color w:val="000000" w:themeColor="text1"/>
          <w14:textFill>
            <w14:solidFill>
              <w14:schemeClr w14:val="tx1"/>
            </w14:solidFill>
          </w14:textFill>
        </w:rPr>
        <w:t>（5）废导热油更换后采用带盖废油桶收集后暂存于危废暂存间内委托有资质的单位进行清运处置。</w:t>
      </w:r>
    </w:p>
    <w:p w14:paraId="69910D9F">
      <w:pPr>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测试残渣</w:t>
      </w:r>
      <w:r>
        <w:rPr>
          <w:color w:val="000000" w:themeColor="text1"/>
          <w14:textFill>
            <w14:solidFill>
              <w14:schemeClr w14:val="tx1"/>
            </w14:solidFill>
          </w14:textFill>
        </w:rPr>
        <w:t>收集后放置于通风橱内，待其性质稳定</w:t>
      </w:r>
      <w:r>
        <w:rPr>
          <w:rFonts w:hint="eastAsia"/>
          <w:color w:val="000000" w:themeColor="text1"/>
          <w14:textFill>
            <w14:solidFill>
              <w14:schemeClr w14:val="tx1"/>
            </w14:solidFill>
          </w14:textFill>
        </w:rPr>
        <w:t>收集后送至周边砖厂制砖使用</w:t>
      </w:r>
      <w:r>
        <w:rPr>
          <w:color w:val="000000" w:themeColor="text1"/>
          <w14:textFill>
            <w14:solidFill>
              <w14:schemeClr w14:val="tx1"/>
            </w14:solidFill>
          </w14:textFill>
        </w:rPr>
        <w:t>。‌</w:t>
      </w:r>
    </w:p>
    <w:p w14:paraId="7CC47CC7">
      <w:pPr>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废抹布</w:t>
      </w:r>
      <w:r>
        <w:rPr>
          <w:color w:val="000000" w:themeColor="text1"/>
          <w14:textFill>
            <w14:solidFill>
              <w14:schemeClr w14:val="tx1"/>
            </w14:solidFill>
          </w14:textFill>
        </w:rPr>
        <w:t>采用带盖容器收集后暂存于危废暂存间内委托有资质的单位进行清运处置。‌</w:t>
      </w:r>
    </w:p>
    <w:p w14:paraId="18F3CD57">
      <w:pPr>
        <w:ind w:firstLine="480"/>
        <w:rPr>
          <w:color w:val="000000" w:themeColor="text1"/>
          <w14:textFill>
            <w14:solidFill>
              <w14:schemeClr w14:val="tx1"/>
            </w14:solidFill>
          </w14:textFill>
        </w:rPr>
      </w:pPr>
      <w:r>
        <w:rPr>
          <w:color w:val="000000" w:themeColor="text1"/>
          <w14:textFill>
            <w14:solidFill>
              <w14:schemeClr w14:val="tx1"/>
            </w14:solidFill>
          </w14:textFill>
        </w:rPr>
        <w:t>（8）</w:t>
      </w:r>
      <w:r>
        <w:rPr>
          <w:rFonts w:hint="eastAsia"/>
          <w:color w:val="000000" w:themeColor="text1"/>
          <w14:textFill>
            <w14:solidFill>
              <w14:schemeClr w14:val="tx1"/>
            </w14:solidFill>
          </w14:textFill>
        </w:rPr>
        <w:t>废手套、</w:t>
      </w:r>
      <w:r>
        <w:rPr>
          <w:color w:val="000000" w:themeColor="text1"/>
          <w14:textFill>
            <w14:solidFill>
              <w14:schemeClr w14:val="tx1"/>
            </w14:solidFill>
          </w14:textFill>
        </w:rPr>
        <w:t>生活垃圾统一收集后委托当地环卫部门清运。</w:t>
      </w:r>
    </w:p>
    <w:p w14:paraId="5C193D9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.2.4.2 固体废物治理措施的</w:t>
      </w:r>
      <w:r>
        <w:rPr>
          <w:rFonts w:hint="eastAsia"/>
          <w:color w:val="000000" w:themeColor="text1"/>
          <w14:textFill>
            <w14:solidFill>
              <w14:schemeClr w14:val="tx1"/>
            </w14:solidFill>
          </w14:textFill>
        </w:rPr>
        <w:t>可行性分析</w:t>
      </w:r>
    </w:p>
    <w:p w14:paraId="4F5C085E">
      <w:pPr>
        <w:ind w:firstLine="480"/>
        <w:rPr>
          <w:color w:val="000000" w:themeColor="text1"/>
          <w14:textFill>
            <w14:solidFill>
              <w14:schemeClr w14:val="tx1"/>
            </w14:solidFill>
          </w14:textFill>
        </w:rPr>
      </w:pPr>
      <w:r>
        <w:rPr>
          <w:color w:val="000000" w:themeColor="text1"/>
          <w14:textFill>
            <w14:solidFill>
              <w14:schemeClr w14:val="tx1"/>
            </w14:solidFill>
          </w14:textFill>
        </w:rPr>
        <w:t>废有机溶剂、废导热油、废活性炭、</w:t>
      </w:r>
      <w:r>
        <w:rPr>
          <w:rFonts w:hint="eastAsia"/>
          <w:color w:val="000000" w:themeColor="text1"/>
          <w14:textFill>
            <w14:solidFill>
              <w14:schemeClr w14:val="tx1"/>
            </w14:solidFill>
          </w14:textFill>
        </w:rPr>
        <w:t>砂磨机碱洗废碱液、喷淋循环系统定期排污废液</w:t>
      </w:r>
      <w:r>
        <w:rPr>
          <w:color w:val="000000" w:themeColor="text1"/>
          <w14:textFill>
            <w14:solidFill>
              <w14:schemeClr w14:val="tx1"/>
            </w14:solidFill>
          </w14:textFill>
        </w:rPr>
        <w:t>采用带盖容器收集，可有效减少挥发和泄漏，符合《危险废物收集贮存运输技术规范》要求；</w:t>
      </w:r>
      <w:r>
        <w:rPr>
          <w:rFonts w:hint="eastAsia"/>
          <w:color w:val="000000" w:themeColor="text1"/>
          <w14:textFill>
            <w14:solidFill>
              <w14:schemeClr w14:val="tx1"/>
            </w14:solidFill>
          </w14:textFill>
        </w:rPr>
        <w:t>测试残渣</w:t>
      </w:r>
      <w:r>
        <w:rPr>
          <w:color w:val="000000" w:themeColor="text1"/>
          <w14:textFill>
            <w14:solidFill>
              <w14:schemeClr w14:val="tx1"/>
            </w14:solidFill>
          </w14:textFill>
        </w:rPr>
        <w:t>先在通风橱内</w:t>
      </w:r>
      <w:r>
        <w:rPr>
          <w:rFonts w:hint="eastAsia"/>
          <w:color w:val="000000" w:themeColor="text1"/>
          <w14:textFill>
            <w14:solidFill>
              <w14:schemeClr w14:val="tx1"/>
            </w14:solidFill>
          </w14:textFill>
        </w:rPr>
        <w:t>与空气中的水分接触反应</w:t>
      </w:r>
      <w:r>
        <w:rPr>
          <w:color w:val="000000" w:themeColor="text1"/>
          <w14:textFill>
            <w14:solidFill>
              <w14:schemeClr w14:val="tx1"/>
            </w14:solidFill>
          </w14:textFill>
        </w:rPr>
        <w:t>，避免收集过程中有毒气体扩散，措施合理。</w:t>
      </w:r>
    </w:p>
    <w:p w14:paraId="7A55374E">
      <w:pPr>
        <w:ind w:firstLine="480"/>
        <w:rPr>
          <w:color w:val="000000" w:themeColor="text1"/>
          <w14:textFill>
            <w14:solidFill>
              <w14:schemeClr w14:val="tx1"/>
            </w14:solidFill>
          </w14:textFill>
        </w:rPr>
      </w:pPr>
      <w:r>
        <w:rPr>
          <w:color w:val="000000" w:themeColor="text1"/>
          <w14:textFill>
            <w14:solidFill>
              <w14:schemeClr w14:val="tx1"/>
            </w14:solidFill>
          </w14:textFill>
        </w:rPr>
        <w:t>各类危废统一暂存于危废暂存间，需满足《危险废物贮存污染控制标准》（GB 18597）：如设置防渗地面（环氧树脂或防腐瓷砖）、导流沟及</w:t>
      </w:r>
      <w:r>
        <w:rPr>
          <w:rFonts w:hint="eastAsia"/>
          <w:color w:val="000000" w:themeColor="text1"/>
          <w14:textFill>
            <w14:solidFill>
              <w14:schemeClr w14:val="tx1"/>
            </w14:solidFill>
          </w14:textFill>
        </w:rPr>
        <w:t>集液池</w:t>
      </w:r>
      <w:r>
        <w:rPr>
          <w:color w:val="000000" w:themeColor="text1"/>
          <w14:textFill>
            <w14:solidFill>
              <w14:schemeClr w14:val="tx1"/>
            </w14:solidFill>
          </w14:textFill>
        </w:rPr>
        <w:t>（防止渗滤液外泄）、分类分区存放（如废有机溶剂与废活性炭分开堆放）、</w:t>
      </w:r>
      <w:r>
        <w:rPr>
          <w:rFonts w:hint="eastAsia"/>
          <w:color w:val="000000" w:themeColor="text1"/>
          <w14:textFill>
            <w14:solidFill>
              <w14:schemeClr w14:val="tx1"/>
            </w14:solidFill>
          </w14:textFill>
        </w:rPr>
        <w:t>设置台账、</w:t>
      </w:r>
      <w:r>
        <w:rPr>
          <w:color w:val="000000" w:themeColor="text1"/>
          <w14:textFill>
            <w14:solidFill>
              <w14:schemeClr w14:val="tx1"/>
            </w14:solidFill>
          </w14:textFill>
        </w:rPr>
        <w:t>张贴危废标识及管理制度，</w:t>
      </w:r>
      <w:r>
        <w:rPr>
          <w:rFonts w:hint="eastAsia"/>
          <w:color w:val="000000" w:themeColor="text1"/>
          <w14:textFill>
            <w14:solidFill>
              <w14:schemeClr w14:val="tx1"/>
            </w14:solidFill>
          </w14:textFill>
        </w:rPr>
        <w:t>危险废物委托有资质单位清运处置，需确保合作单位具备对应危废类别（如废有机溶剂对应 HW06、废导热油对应 HW08）的处置资质，签订规范合同并留存转移联单，符合《危险废物转移联单管理办法》，处置路径合法可行。</w:t>
      </w:r>
    </w:p>
    <w:p w14:paraId="229F21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本项目各类危险固废均根据其理化形态（固/液/半固）、危险特性（有毒、腐蚀性、反应性等） 采取了针对性的收集、暂存措施，全部委托有资质单位清运处置，符合《固体废物污染环境防治法》中 危险废物必须交由具备相应处置资质的单位处理”的强制要求，且收集暂存方式匹配各类危废的特性，无混存、无随意丢弃，可实现危废的全过程规范化管控，处置措施可行。</w:t>
      </w:r>
    </w:p>
    <w:p w14:paraId="2E0A06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r>
        <w:rPr>
          <w:color w:val="000000" w:themeColor="text1"/>
          <w14:textFill>
            <w14:solidFill>
              <w14:schemeClr w14:val="tx1"/>
            </w14:solidFill>
          </w14:textFill>
        </w:rPr>
        <w:t>统一收集后委托当地环卫部门清运，符合《城市生活垃圾管理办法》，处置路径成熟可靠。</w:t>
      </w:r>
      <w:r>
        <w:rPr>
          <w:rFonts w:hint="eastAsia"/>
          <w:color w:val="000000" w:themeColor="text1"/>
          <w14:textFill>
            <w14:solidFill>
              <w14:schemeClr w14:val="tx1"/>
            </w14:solidFill>
          </w14:textFill>
        </w:rPr>
        <w:t>企业仅需在车间、办公区设置标准化生活垃圾收集桶（带盖、防渗漏）进行统一收集，由环卫部门按固定频次上门清运，该方式无需企业额外建设贮存、处置设施，操作流程简单，匹配企业日常运营的管理能力，无实操难度。</w:t>
      </w:r>
    </w:p>
    <w:p w14:paraId="51A009B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综上所述，项目运营过程中所产生的固体废物均可得到妥善的处置，且处置方式合理可行。</w:t>
      </w:r>
    </w:p>
    <w:p w14:paraId="4E6CEFD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6.2.4.3固体废水环境管理要求</w:t>
      </w:r>
    </w:p>
    <w:p w14:paraId="24CFB3FB">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（一）危险</w:t>
      </w:r>
      <w:r>
        <w:rPr>
          <w:rFonts w:hint="eastAsia"/>
          <w:b/>
          <w:bCs/>
          <w:color w:val="000000" w:themeColor="text1"/>
          <w14:textFill>
            <w14:solidFill>
              <w14:schemeClr w14:val="tx1"/>
            </w14:solidFill>
          </w14:textFill>
        </w:rPr>
        <w:t>废物</w:t>
      </w:r>
      <w:r>
        <w:rPr>
          <w:b/>
          <w:bCs/>
          <w:color w:val="000000" w:themeColor="text1"/>
          <w14:textFill>
            <w14:solidFill>
              <w14:schemeClr w14:val="tx1"/>
            </w14:solidFill>
          </w14:textFill>
        </w:rPr>
        <w:t>环境管理要求</w:t>
      </w:r>
    </w:p>
    <w:p w14:paraId="7F5C2A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有机溶剂废包装物、废有机溶剂、砂磨机碱洗废碱液、喷淋循环系统定期排污废液、废活性炭、废导热油、废抹布等属于危险废物，按照《中华人民共和国固体废物污染环境防治法》《危险废物贮存污染控制标准》等相关规定，提出以下环境管理要求</w:t>
      </w:r>
      <w:r>
        <w:rPr>
          <w:color w:val="000000" w:themeColor="text1"/>
          <w14:textFill>
            <w14:solidFill>
              <w14:schemeClr w14:val="tx1"/>
            </w14:solidFill>
          </w14:textFill>
        </w:rPr>
        <w:t>：</w:t>
      </w:r>
    </w:p>
    <w:p w14:paraId="256F42B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收集环节</w:t>
      </w:r>
    </w:p>
    <w:p w14:paraId="07861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（1）严格按照危险废物类别分类、分质收集，严禁混存、混装，禁止与一般固废、生活垃圾混放。</w:t>
      </w:r>
    </w:p>
    <w:p w14:paraId="7EB194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（2）废有机溶剂、砂磨机碱洗废碱液、喷淋废液等采用专用防渗、耐腐蚀、带盖废液桶收集；废导热油采用专用带盖废油桶收集；废活性炭、废抹布、废包装材料采用密闭、防渗、耐腐蚀容器收集。</w:t>
      </w:r>
    </w:p>
    <w:p w14:paraId="5BBC0AB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（3）收集容器完好无损、无渗漏、无锈蚀，张贴清晰、规范的危险废物标签，注明废物名称、类别、危险特性、产生日期等信息。</w:t>
      </w:r>
    </w:p>
    <w:p w14:paraId="0A50F46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贮存环节（危废暂存间）</w:t>
      </w:r>
    </w:p>
    <w:p w14:paraId="3F68141C">
      <w:pPr>
        <w:ind w:firstLine="480"/>
        <w:rPr>
          <w:color w:val="000000" w:themeColor="text1"/>
          <w14:textFill>
            <w14:solidFill>
              <w14:schemeClr w14:val="tx1"/>
            </w14:solidFill>
          </w14:textFill>
        </w:rPr>
      </w:pPr>
      <w:r>
        <w:rPr>
          <w:color w:val="000000" w:themeColor="text1"/>
          <w14:textFill>
            <w14:solidFill>
              <w14:schemeClr w14:val="tx1"/>
            </w14:solidFill>
          </w14:textFill>
        </w:rPr>
        <w:t>危废暂存间必须满足《危险废物贮存污染控制标准》（GB 18597-2023）的强制要求：防渗、防漏、防雨、防晒、防风、防渗，地面采用环氧树脂 + 防渗膜双层防渗处理（防渗层渗透系数≤10⁻¹⁰cm/s），设置围堰、集油沟、渗滤液收集池，防止液态危废渗漏污染土壤、地下水；设置独立的通风、防爆、消防设施，适配有机溶剂、硫化物等危废的安全贮存要求。</w:t>
      </w:r>
    </w:p>
    <w:p w14:paraId="6948F848">
      <w:pPr>
        <w:ind w:firstLine="480"/>
        <w:rPr>
          <w:color w:val="000000" w:themeColor="text1"/>
          <w14:textFill>
            <w14:solidFill>
              <w14:schemeClr w14:val="tx1"/>
            </w14:solidFill>
          </w14:textFill>
        </w:rPr>
      </w:pPr>
      <w:r>
        <w:rPr>
          <w:color w:val="000000" w:themeColor="text1"/>
          <w14:textFill>
            <w14:solidFill>
              <w14:schemeClr w14:val="tx1"/>
            </w14:solidFill>
          </w14:textFill>
        </w:rPr>
        <w:t>危废暂存间内按危废品类分区贮存，分区设置明显的标识牌（标注危废名称、类别、代码），不同品类危废之间保持安全间距，液态危废贮存区设置防渗围堰，废导热油等易燃危废单独分区贮存并远离火源。</w:t>
      </w:r>
    </w:p>
    <w:p w14:paraId="76FC0442">
      <w:pPr>
        <w:ind w:firstLine="480"/>
        <w:rPr>
          <w:color w:val="000000" w:themeColor="text1"/>
          <w14:textFill>
            <w14:solidFill>
              <w14:schemeClr w14:val="tx1"/>
            </w14:solidFill>
          </w14:textFill>
        </w:rPr>
      </w:pPr>
      <w:r>
        <w:rPr>
          <w:color w:val="000000" w:themeColor="text1"/>
          <w14:textFill>
            <w14:solidFill>
              <w14:schemeClr w14:val="tx1"/>
            </w14:solidFill>
          </w14:textFill>
        </w:rPr>
        <w:t>危废暂存期限严格遵守法规要求，不得超过</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年；确因特殊原因需延长的，必须向当地生态环境部门申请备案。</w:t>
      </w:r>
    </w:p>
    <w:p w14:paraId="33AD4C07">
      <w:pPr>
        <w:ind w:firstLine="480"/>
        <w:rPr>
          <w:color w:val="000000" w:themeColor="text1"/>
          <w14:textFill>
            <w14:solidFill>
              <w14:schemeClr w14:val="tx1"/>
            </w14:solidFill>
          </w14:textFill>
        </w:rPr>
      </w:pPr>
      <w:r>
        <w:rPr>
          <w:color w:val="000000" w:themeColor="text1"/>
          <w14:textFill>
            <w14:solidFill>
              <w14:schemeClr w14:val="tx1"/>
            </w14:solidFill>
          </w14:textFill>
        </w:rPr>
        <w:t>建立危废暂存台账，详细记录各类危废的产生量、收集量、暂存量、转移量、处置量，台账信息与转移联单一致，保存期限不少于5年。</w:t>
      </w:r>
    </w:p>
    <w:p w14:paraId="1913BA3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转运与处置环节</w:t>
      </w:r>
    </w:p>
    <w:p w14:paraId="6B0751A6">
      <w:pPr>
        <w:ind w:firstLine="480"/>
        <w:rPr>
          <w:color w:val="000000" w:themeColor="text1"/>
          <w14:textFill>
            <w14:solidFill>
              <w14:schemeClr w14:val="tx1"/>
            </w14:solidFill>
          </w14:textFill>
        </w:rPr>
      </w:pPr>
      <w:r>
        <w:rPr>
          <w:color w:val="000000" w:themeColor="text1"/>
          <w14:textFill>
            <w14:solidFill>
              <w14:schemeClr w14:val="tx1"/>
            </w14:solidFill>
          </w14:textFill>
        </w:rPr>
        <w:t>危废转移必须严格执行《危险废物转移联单管理办法》，转移前向当地生态环境部门报备转移计划，转移过程中随附电子 / 纸质转移联单，联单内容完整、签字齐全，实现 “产废 - 转运 - 处置” 全流程追溯。</w:t>
      </w:r>
    </w:p>
    <w:p w14:paraId="5A85C600">
      <w:pPr>
        <w:ind w:firstLine="480"/>
        <w:rPr>
          <w:color w:val="000000" w:themeColor="text1"/>
          <w14:textFill>
            <w14:solidFill>
              <w14:schemeClr w14:val="tx1"/>
            </w14:solidFill>
          </w14:textFill>
        </w:rPr>
      </w:pPr>
      <w:r>
        <w:rPr>
          <w:color w:val="000000" w:themeColor="text1"/>
          <w14:textFill>
            <w14:solidFill>
              <w14:schemeClr w14:val="tx1"/>
            </w14:solidFill>
          </w14:textFill>
        </w:rPr>
        <w:t>委托的清运、处置单位必须具备对应危废品类的《危险废物经营许可证》，企业需留存资质复印件备案，严禁委托无资质单位处置危废；转运车辆必须为危废专用运输车辆，具备防渗漏、防撒漏、防爆等安全设施，转运路线避开居民区、饮用水源地等敏感区域。</w:t>
      </w:r>
    </w:p>
    <w:p w14:paraId="23C1CDFE">
      <w:pPr>
        <w:ind w:firstLine="480"/>
        <w:rPr>
          <w:color w:val="000000" w:themeColor="text1"/>
          <w14:textFill>
            <w14:solidFill>
              <w14:schemeClr w14:val="tx1"/>
            </w14:solidFill>
          </w14:textFill>
        </w:rPr>
      </w:pPr>
      <w:r>
        <w:rPr>
          <w:color w:val="000000" w:themeColor="text1"/>
          <w14:textFill>
            <w14:solidFill>
              <w14:schemeClr w14:val="tx1"/>
            </w14:solidFill>
          </w14:textFill>
        </w:rPr>
        <w:t>危废清运过程由专人现场监督，做好转运记录，确保危废全部转运至处置单位，无中途滴漏、撒漏、丢弃等情况。</w:t>
      </w:r>
    </w:p>
    <w:p w14:paraId="78A7FC0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人员与台账管理</w:t>
      </w:r>
    </w:p>
    <w:p w14:paraId="57C1C72F">
      <w:pPr>
        <w:ind w:firstLine="480"/>
        <w:rPr>
          <w:color w:val="000000" w:themeColor="text1"/>
          <w14:textFill>
            <w14:solidFill>
              <w14:schemeClr w14:val="tx1"/>
            </w14:solidFill>
          </w14:textFill>
        </w:rPr>
      </w:pPr>
      <w:r>
        <w:rPr>
          <w:color w:val="000000" w:themeColor="text1"/>
          <w14:textFill>
            <w14:solidFill>
              <w14:schemeClr w14:val="tx1"/>
            </w14:solidFill>
          </w14:textFill>
        </w:rPr>
        <w:t>配备专人负责危废的收集、暂存、转运管理，管理人员必须经专业培训合格后上岗，熟悉危废特性、安全防护措施和应急处置方法。</w:t>
      </w:r>
    </w:p>
    <w:p w14:paraId="4345F682">
      <w:pPr>
        <w:ind w:firstLine="480"/>
        <w:rPr>
          <w:color w:val="000000" w:themeColor="text1"/>
          <w14:textFill>
            <w14:solidFill>
              <w14:schemeClr w14:val="tx1"/>
            </w14:solidFill>
          </w14:textFill>
        </w:rPr>
      </w:pPr>
      <w:r>
        <w:rPr>
          <w:color w:val="000000" w:themeColor="text1"/>
          <w14:textFill>
            <w14:solidFill>
              <w14:schemeClr w14:val="tx1"/>
            </w14:solidFill>
          </w14:textFill>
        </w:rPr>
        <w:t>建立完善的危废环境管理档案，包括：危废产生环节说明、收集暂存操作规程、危废暂存间验收资料、处置单位资质、转移联单、暂存台账、培训记录、应急处置预案等，档案妥善保存，接受生态环境部门监督检查。</w:t>
      </w:r>
    </w:p>
    <w:p w14:paraId="0133511B">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（二）一般固体废物环境管理要求</w:t>
      </w:r>
    </w:p>
    <w:p w14:paraId="7BEA33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本项目一般固体废物主要为废包装物、污水处理污泥、测试残渣、废手套、生活垃圾，结合其产生与处置方式，提出以下环境管理要求：</w:t>
      </w:r>
    </w:p>
    <w:p w14:paraId="73F5EB2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1、分类收集与存放</w:t>
      </w:r>
    </w:p>
    <w:p w14:paraId="665B95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严格区分一般固废与危险废物，严禁混存、混放、混运。污水处理污泥、测试残渣、废手套、生活垃圾应分别设置专用收集容器，做到密闭、防渗、防扬散、防渗漏。收集点布局合理，便于清运，避免对生产、生活及周边环境造成影响。</w:t>
      </w:r>
    </w:p>
    <w:p w14:paraId="424DF50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2、污水处理污泥环境管理</w:t>
      </w:r>
    </w:p>
    <w:p w14:paraId="476EAD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污泥定期清掏，清掏前应进行性状检测，确认不属于危险废物后方可综合利用。运输过程采取密闭、防渗、防遗撒措施，严格落实资源化利用台账，记录产生量、清运量、接收单位、利用去向等信息。</w:t>
      </w:r>
    </w:p>
    <w:p w14:paraId="388AA7E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3、测试残渣环境管理</w:t>
      </w:r>
    </w:p>
    <w:p w14:paraId="5D1CE1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测试残渣应在通风橱内暂存，待性质稳定后再集中收集。需经成分与危险特性鉴别，符合制砖原料要求后方可送至砖厂综合利用。建立产生、收集、暂存、外运全过程记录，确保可追溯、可核查。</w:t>
      </w:r>
    </w:p>
    <w:p w14:paraId="292F177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4、废手套与生活垃圾管理</w:t>
      </w:r>
    </w:p>
    <w:p w14:paraId="3C0398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手套应确认未沾染危险化学品、有机溶剂，方可按一般固废管理。生活垃圾采用带盖、防渗漏的标准化收集桶统一收集，收集桶设置在车间、办公区指定位置，严禁与危废混合收集、堆放。生活垃圾做到“日产日清”或“按环卫部门规定频次清运”，不得在厂区内长期堆放，防止生活垃圾腐烂产生恶臭、滋生蚊蝇，影响厂区及周边环境。</w:t>
      </w:r>
    </w:p>
    <w:p w14:paraId="0379A6E6">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5、暂存与运输管理</w:t>
      </w:r>
    </w:p>
    <w:p w14:paraId="23518D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一般固废暂存区应防雨、防渗、防晒，与危废暂存间分开设置，设置明显标识。运输车辆密闭化，沿途不得丢弃、遗撒、泄漏。转运过程遵守地方环卫及交通管理相关规定。</w:t>
      </w:r>
    </w:p>
    <w:p w14:paraId="3598F64D">
      <w:pPr>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6、台账与档案管理</w:t>
      </w:r>
    </w:p>
    <w:p w14:paraId="2D76C6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（1）建立一般固体废物管理台账，详细记录：</w:t>
      </w:r>
    </w:p>
    <w:p w14:paraId="616B1C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①产生种类、产生量、产生环节；</w:t>
      </w:r>
    </w:p>
    <w:p w14:paraId="677B5C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②收集、暂存、清运时间与数量；</w:t>
      </w:r>
    </w:p>
    <w:p w14:paraId="7D46E5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③接收单位名称、资质 / 经营范围、利用处置方式；</w:t>
      </w:r>
    </w:p>
    <w:p w14:paraId="6327DE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（2）台账及相关票据、协议、检测报告等按规定期限归档留存，以备环保检查。</w:t>
      </w:r>
    </w:p>
    <w:p w14:paraId="1F88BFA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（三）全厂通用环境管理要求</w:t>
      </w:r>
    </w:p>
    <w:p w14:paraId="6A9E6C26">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分区管理：</w:t>
      </w:r>
      <w:r>
        <w:rPr>
          <w:color w:val="000000" w:themeColor="text1"/>
          <w14:textFill>
            <w14:solidFill>
              <w14:schemeClr w14:val="tx1"/>
            </w14:solidFill>
          </w14:textFill>
        </w:rPr>
        <w:t>厂区内明确划分危废收集区、危废暂存区、一般固废收集区，各区设置明显标识，严禁固废跨区堆放、混合贮存。</w:t>
      </w:r>
    </w:p>
    <w:p w14:paraId="4652AF9D">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应急管理：</w:t>
      </w:r>
      <w:r>
        <w:rPr>
          <w:color w:val="000000" w:themeColor="text1"/>
          <w14:textFill>
            <w14:solidFill>
              <w14:schemeClr w14:val="tx1"/>
            </w14:solidFill>
          </w14:textFill>
        </w:rPr>
        <w:t>制定固废污染事故应急处置预案，针对危废泄漏、火灾、爆炸等突发情况，明确应急处置流程、责任人员、应急物资（如防渗沙袋、吸附棉、灭火器、中和药剂等），并定期组织应急演练。</w:t>
      </w:r>
    </w:p>
    <w:p w14:paraId="6333A9C4">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监督检查：</w:t>
      </w:r>
      <w:r>
        <w:rPr>
          <w:color w:val="000000" w:themeColor="text1"/>
          <w14:textFill>
            <w14:solidFill>
              <w14:schemeClr w14:val="tx1"/>
            </w14:solidFill>
          </w14:textFill>
        </w:rPr>
        <w:t>建立固废管理日常检查制度，定期对固废收集容器、危废暂存间、转运环节进行检查，及时发现并整改渗漏、破损、标识不清等问题，确保固废管理措施落实到位。</w:t>
      </w:r>
    </w:p>
    <w:p w14:paraId="61716BCD">
      <w:pPr>
        <w:ind w:firstLine="482"/>
        <w:rPr>
          <w:color w:val="000000" w:themeColor="text1"/>
          <w14:textFill>
            <w14:solidFill>
              <w14:schemeClr w14:val="tx1"/>
            </w14:solidFill>
          </w14:textFill>
        </w:rPr>
      </w:pPr>
      <w:r>
        <w:rPr>
          <w:b/>
          <w:bCs/>
          <w:color w:val="000000" w:themeColor="text1"/>
          <w14:textFill>
            <w14:solidFill>
              <w14:schemeClr w14:val="tx1"/>
            </w14:solidFill>
          </w14:textFill>
        </w:rPr>
        <w:t>环保备案：</w:t>
      </w:r>
      <w:r>
        <w:rPr>
          <w:color w:val="000000" w:themeColor="text1"/>
          <w14:textFill>
            <w14:solidFill>
              <w14:schemeClr w14:val="tx1"/>
            </w14:solidFill>
          </w14:textFill>
        </w:rPr>
        <w:t>项目投运前，将危废管理计划、处置单位资质、危废暂存间验收资料等报当地生态环境部门备案；运营过程中，按要求完成固废污染防治的年度环境统计、排污申报等工作。</w:t>
      </w:r>
    </w:p>
    <w:p w14:paraId="66CEA444">
      <w:pPr>
        <w:ind w:firstLine="482"/>
        <w:rPr>
          <w:color w:val="000000" w:themeColor="text1"/>
          <w14:textFill>
            <w14:solidFill>
              <w14:schemeClr w14:val="tx1"/>
            </w14:solidFill>
          </w14:textFill>
        </w:rPr>
      </w:pPr>
      <w:r>
        <w:rPr>
          <w:b/>
          <w:bCs/>
          <w:color w:val="000000" w:themeColor="text1"/>
          <w14:textFill>
            <w14:solidFill>
              <w14:schemeClr w14:val="tx1"/>
            </w14:solidFill>
          </w14:textFill>
        </w:rPr>
        <w:t>（四）环保设施运维要求</w:t>
      </w:r>
    </w:p>
    <w:p w14:paraId="66F4C0DE">
      <w:pPr>
        <w:ind w:firstLine="480"/>
        <w:rPr>
          <w:color w:val="000000" w:themeColor="text1"/>
          <w14:textFill>
            <w14:solidFill>
              <w14:schemeClr w14:val="tx1"/>
            </w14:solidFill>
          </w14:textFill>
        </w:rPr>
      </w:pPr>
      <w:r>
        <w:rPr>
          <w:color w:val="000000" w:themeColor="text1"/>
          <w14:textFill>
            <w14:solidFill>
              <w14:schemeClr w14:val="tx1"/>
            </w14:solidFill>
          </w14:textFill>
        </w:rPr>
        <w:t>危废暂存间的防渗、通风、消防、防渗围堰等设施定期检查、维护，发现破损、失效立即停工整改，整改合格后方可继续使用。</w:t>
      </w:r>
    </w:p>
    <w:p w14:paraId="04E9B7F1">
      <w:pPr>
        <w:ind w:firstLine="480"/>
        <w:rPr>
          <w:color w:val="000000" w:themeColor="text1"/>
          <w14:textFill>
            <w14:solidFill>
              <w14:schemeClr w14:val="tx1"/>
            </w14:solidFill>
          </w14:textFill>
        </w:rPr>
      </w:pPr>
      <w:r>
        <w:rPr>
          <w:color w:val="000000" w:themeColor="text1"/>
          <w14:textFill>
            <w14:solidFill>
              <w14:schemeClr w14:val="tx1"/>
            </w14:solidFill>
          </w14:textFill>
        </w:rPr>
        <w:t>固废收集桶、废液桶、废油桶等专用容器定期检查，及时更换破损、渗漏容器，避免危废泄漏。</w:t>
      </w:r>
    </w:p>
    <w:p w14:paraId="54997EEA">
      <w:pPr>
        <w:ind w:firstLine="480"/>
        <w:rPr>
          <w:color w:val="000000" w:themeColor="text1"/>
          <w14:textFill>
            <w14:solidFill>
              <w14:schemeClr w14:val="tx1"/>
            </w14:solidFill>
          </w14:textFill>
        </w:rPr>
      </w:pPr>
      <w:r>
        <w:rPr>
          <w:color w:val="000000" w:themeColor="text1"/>
          <w14:textFill>
            <w14:solidFill>
              <w14:schemeClr w14:val="tx1"/>
            </w14:solidFill>
          </w14:textFill>
        </w:rPr>
        <w:t>喷淋循环系统、污水处理站产生的污泥和排污水，做到及时清掏、及时转运，不得在设施内长期堆放，防止变质产生二次污染。</w:t>
      </w:r>
    </w:p>
    <w:p w14:paraId="03A29518">
      <w:pPr>
        <w:pStyle w:val="4"/>
        <w:rPr>
          <w:color w:val="000000" w:themeColor="text1"/>
          <w14:textFill>
            <w14:solidFill>
              <w14:schemeClr w14:val="tx1"/>
            </w14:solidFill>
          </w14:textFill>
        </w:rPr>
      </w:pPr>
      <w:bookmarkStart w:id="119" w:name="_Toc16693"/>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.2.5 </w:t>
      </w: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土壤</w:t>
      </w:r>
      <w:r>
        <w:rPr>
          <w:rFonts w:hint="eastAsia"/>
          <w:color w:val="000000" w:themeColor="text1"/>
          <w14:textFill>
            <w14:solidFill>
              <w14:schemeClr w14:val="tx1"/>
            </w14:solidFill>
          </w14:textFill>
        </w:rPr>
        <w:t>污染</w:t>
      </w:r>
      <w:r>
        <w:rPr>
          <w:color w:val="000000" w:themeColor="text1"/>
          <w14:textFill>
            <w14:solidFill>
              <w14:schemeClr w14:val="tx1"/>
            </w14:solidFill>
          </w14:textFill>
        </w:rPr>
        <w:t>防治措施</w:t>
      </w:r>
      <w:bookmarkEnd w:id="119"/>
    </w:p>
    <w:p w14:paraId="0F3E6FBF">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一、源头防控措施</w:t>
      </w:r>
    </w:p>
    <w:p w14:paraId="6951A47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 物料储存与转运污染防控</w:t>
      </w:r>
    </w:p>
    <w:p w14:paraId="7C1E43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原料采用耐腐蚀、密封性强的包装容器，对有机溶剂包装加装二次防渗托盘。原料暂存间建立物料台账，明确储存量、转运路径和使用量，避免过量堆放导致的泄漏风险。</w:t>
      </w:r>
    </w:p>
    <w:p w14:paraId="300D14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设置专用清洗槽，调节池、一体化污水处理设备、循环水池槽体为不锈钢材质，废水收集管道采用耐腐蚀的聚丙烯材质，能抵抗常用酸、碱、有机溶剂等试剂的侵蚀，在长期使用中不易老化，不会造成废水泄漏。</w:t>
      </w:r>
    </w:p>
    <w:p w14:paraId="00D72D3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2、生产工艺与设备优化</w:t>
      </w:r>
    </w:p>
    <w:p w14:paraId="59EE66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密闭生产强化：确保混合、砂磨、离心等密闭装置的密封性，定期检查设备法兰、轴封、管道接口等易泄漏部位，避免物料泄漏和有机溶剂挥发后冷凝渗入土壤。</w:t>
      </w:r>
    </w:p>
    <w:p w14:paraId="29ECAB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测试器具清洗废水源头减量：测试器具清洗采用“分批次、小流量”清洗模式，本项目设置清洗间，集中清洗，清洗过程中产生的废水全部收集进自建污水处理站处理。</w:t>
      </w:r>
    </w:p>
    <w:p w14:paraId="776F33C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3、固废源头分类管理</w:t>
      </w:r>
    </w:p>
    <w:p w14:paraId="0021A0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r>
        <w:rPr>
          <w:color w:val="000000" w:themeColor="text1"/>
          <w14:textFill>
            <w14:solidFill>
              <w14:schemeClr w14:val="tx1"/>
            </w14:solidFill>
          </w14:textFill>
        </w:rPr>
        <w:t>、废有机溶剂、废活性炭等严格按危废类别分类，使用专用带盖防渗容器收集，容器表面标注危废类别和标识，避免混存导致的交叉污染。</w:t>
      </w:r>
    </w:p>
    <w:p w14:paraId="25284D5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二、过程防护措施</w:t>
      </w:r>
    </w:p>
    <w:p w14:paraId="162BCBE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1、分区防渗处理</w:t>
      </w:r>
    </w:p>
    <w:p w14:paraId="29399E0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原料暂存间、危废暂存间地面按重点防渗要求采用环氧树脂防渗漆进行重点防渗处理，防渗系数≤1×10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，其余区域通过一般水泥硬化进行简单防渗。</w:t>
      </w:r>
    </w:p>
    <w:p w14:paraId="227149B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 污染物治理过程防控</w:t>
      </w:r>
    </w:p>
    <w:p w14:paraId="6F25C80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（1）废气处理系统防控</w:t>
      </w:r>
    </w:p>
    <w:p w14:paraId="177760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废气处理系统（碱喷淋+除雾+活性炭吸附）的循环水池、管道做防渗防腐处理，定期清理废液并检测池体防渗性能，避免废液泄漏污染土壤。</w:t>
      </w:r>
    </w:p>
    <w:p w14:paraId="59B0873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通风橱、集气罩与废气收集管道的连接处做好密封处理，提高废气收集效率，减少废气处理过程中可能产生的无组织排放的污染。</w:t>
      </w:r>
    </w:p>
    <w:p w14:paraId="64403B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加强日常废气处理系统的维护与检修，杜绝废气非正常排放。</w:t>
      </w:r>
    </w:p>
    <w:p w14:paraId="0F251A3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（2）废水处理过程防控</w:t>
      </w:r>
    </w:p>
    <w:p w14:paraId="1D6A887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测试器具清洗废水经收集后，通过密闭管道接入自建污水处理站，废气处理系统喷淋水经循环水池处理后循环使用，本项目采用的是一体化设备，不锈钢结构。本项目调节池、一体化污水处理设备、循环水池、废水收集管网均为地上布设，日常运行过程中可以通过目视检查是否发生废水泄漏。一体化污水处理设备配备液位仪和泄漏报警装置，防止废水溢出。废水收集管网每季度进行一次防渗检测和疏通，重点检查接头和转角部位，确保无破损渗漏。</w:t>
      </w:r>
    </w:p>
    <w:p w14:paraId="1B012B3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（3）固废处置过程防控</w:t>
      </w:r>
    </w:p>
    <w:p w14:paraId="16E2F6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包装材料、废有机溶剂、废活性炭、砂磨机碱洗废碱液、喷淋塔定期排污废液等分类存放于危废暂存间内，及时委托有资质单位处置。危废残存间内废有机溶剂等液态危废采用盖带收集桶收集后盛放于不锈钢托盘内。危险废物转移、处置委托有资质单位进行，转移过程中确保标识标签完整，包装无破损、无渗漏。选择具备防渗漏、防遗撒功能的专用危废转运车，制定专项转运方案，明确转运时间（避开上下班高峰及恶劣天气）、装卸作业流程、应急处置措施，对参与转运的人员进行岗前培训（考核合格后方可上岗），确保熟悉危废特性及防控要求。交接过程双方人员共同核对危废类别、数量、包装完整性，填写《危废转运联单》（含交接时间、地点、数量、包装状况），联单需签字确认并留存（保存期限≥5 年），确保责任可追溯。装卸完成后，立即清理装卸区地面，检查车辆及工具是否残留危废，确保无污染物遗留。</w:t>
      </w:r>
    </w:p>
    <w:p w14:paraId="1C10D43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三、末端治理与风险管控措施</w:t>
      </w:r>
    </w:p>
    <w:p w14:paraId="4CA980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配备应急处理物资（如吸附棉、砂土、耐腐蚀容器、防渗膜），一旦发生物料泄漏，立即用吸附棉或砂土覆盖吸收，收集至专用容器中作为危废处置，严禁直接丢弃至土壤。</w:t>
      </w:r>
    </w:p>
    <w:p w14:paraId="1DB904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配料、上料过程中若因操作失误发生有机溶剂泄漏，应立即撤离泄漏污染区人员至安全区，禁止无关人员进入污染区。应急处理人员应佩戴好防护用品，用干燥的沙土或惰性材料覆盖泄漏物，避免与水接触，然后收集转移至安全场所进行处理。​</w:t>
      </w:r>
    </w:p>
    <w:p w14:paraId="5DF9CB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废导热油泄漏后，应立即采取措施防止泄漏物扩散，用沙土等吸附泄漏物，收集后按照危险废物处理规定进行处置，避免泄漏物渗入土壤和水体。</w:t>
      </w:r>
    </w:p>
    <w:p w14:paraId="52F502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生产废水泄漏后，用沙袋拦截泄漏废水，引导至应急空桶内；检查泄漏管网，破损处用快速修补剂封堵，待泄漏控制后更换管道；事故水池内的废水送入生产废水处理站，处理达标后排放。​</w:t>
      </w:r>
    </w:p>
    <w:p w14:paraId="1C7835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若泄漏物料已接触土壤，立即划定污染范围，用防渗膜覆盖防止扩散，对污染土壤进行采样检测；根据检测结果，采用土壤淋洗、固化稳定化等技术进行修复，修复后土壤需达到《土壤环境质量 建设用地土壤污染风险管控标准》（GB 36600-2018）第二类用地要求。</w:t>
      </w:r>
    </w:p>
    <w:p w14:paraId="4ABAAB2E">
      <w:pPr>
        <w:pStyle w:val="4"/>
        <w:rPr>
          <w:color w:val="000000" w:themeColor="text1"/>
          <w14:textFill>
            <w14:solidFill>
              <w14:schemeClr w14:val="tx1"/>
            </w14:solidFill>
          </w14:textFill>
        </w:rPr>
      </w:pPr>
      <w:bookmarkStart w:id="120" w:name="_Toc4959"/>
      <w:r>
        <w:rPr>
          <w:rStyle w:val="34"/>
          <w:rFonts w:hint="eastAsia"/>
          <w:b/>
          <w:color w:val="000000" w:themeColor="text1"/>
          <w14:textFill>
            <w14:solidFill>
              <w14:schemeClr w14:val="tx1"/>
            </w14:solidFill>
          </w14:textFill>
        </w:rPr>
        <w:t>6.2.6生态环境保护措施</w:t>
      </w:r>
      <w:bookmarkEnd w:id="120"/>
    </w:p>
    <w:p w14:paraId="6EF847D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废气污染防治与生态防护</w:t>
      </w:r>
    </w:p>
    <w:p w14:paraId="1E24A7F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生产废气经收集 + 处理设施处理后稳定达标排放，降低无组织废气逸散，避免对周边农田作物、绿化植被产生影响。</w:t>
      </w:r>
    </w:p>
    <w:p w14:paraId="4DAE83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厂界设置废气监测点位，定期监测，确保废气长期稳定达标，杜绝废气污染土壤、植被。</w:t>
      </w:r>
    </w:p>
    <w:p w14:paraId="67A020C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废水污染防治与水土保护</w:t>
      </w:r>
    </w:p>
    <w:p w14:paraId="18652E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生产废水、生活污水经厂区污水处理设施处理后达标排放，严禁未经处理直排，防止污染周边土壤、农田及地下水。</w:t>
      </w:r>
    </w:p>
    <w:p w14:paraId="2D3C19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生产区、原料区、固废暂存区采取防渗、防漏、防雨措施，设置导流沟与收集系统，避免废水渗漏污染土壤与浅层地下水。</w:t>
      </w:r>
    </w:p>
    <w:p w14:paraId="3AC5826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噪声与固废生态防护</w:t>
      </w:r>
    </w:p>
    <w:p w14:paraId="421A53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选用低噪声设备，采取减振、隔声、消声措施，确保厂界噪声达标，不干扰周边生态环境及农田作业。</w:t>
      </w:r>
    </w:p>
    <w:p w14:paraId="1B2547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一般工业固废合规综合利用，危险固废分类暂存、委托有资质单位处置，杜绝固废乱堆乱放污染土壤、植被。</w:t>
      </w:r>
    </w:p>
    <w:p w14:paraId="6AB1DD3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厂区绿化与生态管护</w:t>
      </w:r>
    </w:p>
    <w:p w14:paraId="14FB59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充分利用厂区空地优化绿化布局，优先选用本土绿植，维护现有人工绿化带，提升厂区生态质量，阻隔粉尘、噪声对外扩散。</w:t>
      </w:r>
    </w:p>
    <w:p w14:paraId="736270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加强绿化日常养护，不使用高毒农药，避免养护废水、废料污染周边农田。</w:t>
      </w:r>
    </w:p>
    <w:p w14:paraId="7645DFDF">
      <w:pPr>
        <w:pStyle w:val="2"/>
        <w:rPr>
          <w:color w:val="000000" w:themeColor="text1"/>
          <w14:textFill>
            <w14:solidFill>
              <w14:schemeClr w14:val="tx1"/>
            </w14:solidFill>
          </w14:textFill>
        </w:rPr>
      </w:pPr>
      <w:bookmarkStart w:id="121" w:name="_Toc22390"/>
      <w:r>
        <w:rPr>
          <w:rFonts w:hint="eastAsia"/>
          <w:color w:val="000000" w:themeColor="text1"/>
          <w14:textFill>
            <w14:solidFill>
              <w14:schemeClr w14:val="tx1"/>
            </w14:solidFill>
          </w14:textFill>
        </w:rPr>
        <w:t>7</w:t>
      </w:r>
      <w:r>
        <w:rPr>
          <w:color w:val="000000" w:themeColor="text1"/>
          <w14:textFill>
            <w14:solidFill>
              <w14:schemeClr w14:val="tx1"/>
            </w14:solidFill>
          </w14:textFill>
        </w:rPr>
        <w:t>、环境影响经济损益分析</w:t>
      </w:r>
      <w:bookmarkEnd w:id="121"/>
    </w:p>
    <w:p w14:paraId="71AA57E2">
      <w:pPr>
        <w:ind w:firstLine="480"/>
        <w:rPr>
          <w:color w:val="000000" w:themeColor="text1"/>
          <w14:textFill>
            <w14:solidFill>
              <w14:schemeClr w14:val="tx1"/>
            </w14:solidFill>
          </w14:textFill>
        </w:rPr>
      </w:pPr>
      <w:r>
        <w:rPr>
          <w:color w:val="000000" w:themeColor="text1"/>
          <w14:textFill>
            <w14:solidFill>
              <w14:schemeClr w14:val="tx1"/>
            </w14:solidFill>
          </w14:textFill>
        </w:rPr>
        <w:t>环境经济损益分析是建设项目环境影响评价的一个重要组成部分，它是综合评价判断建设项目的环保投资是否能够补偿或多大程度上补偿了由此可能造成的环境损失的重要依据。环境经济损益分析与工程经济分析不同，除了需计算用于治理、控制污染所需的投资和费用外，还要同时核算可能收到的环境经济效益、社会环境效益和环境污染损失，通过对建设项目环境的经济损益分析，综合反映项目开发建设的社会环境效益和环境经济效益。</w:t>
      </w:r>
    </w:p>
    <w:p w14:paraId="2EFA6C45">
      <w:pPr>
        <w:pStyle w:val="3"/>
        <w:rPr>
          <w:color w:val="000000" w:themeColor="text1"/>
          <w14:textFill>
            <w14:solidFill>
              <w14:schemeClr w14:val="tx1"/>
            </w14:solidFill>
          </w14:textFill>
        </w:rPr>
      </w:pPr>
      <w:bookmarkStart w:id="122" w:name="_Toc26529"/>
      <w:r>
        <w:rPr>
          <w:rFonts w:hint="eastAsia"/>
          <w:color w:val="000000" w:themeColor="text1"/>
          <w14:textFill>
            <w14:solidFill>
              <w14:schemeClr w14:val="tx1"/>
            </w14:solidFill>
          </w14:textFill>
        </w:rPr>
        <w:t>7</w:t>
      </w:r>
      <w:r>
        <w:rPr>
          <w:color w:val="000000" w:themeColor="text1"/>
          <w14:textFill>
            <w14:solidFill>
              <w14:schemeClr w14:val="tx1"/>
            </w14:solidFill>
          </w14:textFill>
        </w:rPr>
        <w:t>.1 社会效益分析</w:t>
      </w:r>
      <w:bookmarkEnd w:id="122"/>
    </w:p>
    <w:p w14:paraId="58184D96">
      <w:pPr>
        <w:ind w:firstLine="480"/>
        <w:rPr>
          <w:color w:val="000000" w:themeColor="text1"/>
          <w14:textFill>
            <w14:solidFill>
              <w14:schemeClr w14:val="tx1"/>
            </w14:solidFill>
          </w14:textFill>
        </w:rPr>
      </w:pPr>
      <w:r>
        <w:rPr>
          <w:color w:val="000000" w:themeColor="text1"/>
          <w14:textFill>
            <w14:solidFill>
              <w14:schemeClr w14:val="tx1"/>
            </w14:solidFill>
          </w14:textFill>
        </w:rPr>
        <w:t>随着新能源汽车市场快速增长和储能技术不断进步，固态电解质材料的市场需求预计将持续扩大。新能源汽车等大型器件对锂离子电池提出更高倍率的充放电和使用安全等要求，而硫化物固态电解质材料因其优异的电化学性能，能够满足这些需求。全固态锂电池采用固体电解质，大部分材料不可燃，解决了电解液的易燃性的问题。本项目的实施将积极推动硫化锂材料与锂磷硫氯固态电解质材料生产工艺的研究与发展，为全固态锂电池产业的快速发展提供基础。</w:t>
      </w:r>
    </w:p>
    <w:p w14:paraId="3765480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本项目产品主要应用于储能体系和汽车动力电池体系等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产品性能将达到国际一流水平，不仅辐射拉动储能产业的上下游产业的发展，同时可推动我国动力电池和储能体系制造产业迈向一个新的台阶。</w:t>
      </w:r>
    </w:p>
    <w:p w14:paraId="438870BC">
      <w:pPr>
        <w:pStyle w:val="3"/>
        <w:rPr>
          <w:color w:val="000000" w:themeColor="text1"/>
          <w14:textFill>
            <w14:solidFill>
              <w14:schemeClr w14:val="tx1"/>
            </w14:solidFill>
          </w14:textFill>
        </w:rPr>
      </w:pPr>
      <w:bookmarkStart w:id="123" w:name="_Toc15678"/>
      <w:r>
        <w:rPr>
          <w:rFonts w:hint="eastAsia"/>
          <w:color w:val="000000" w:themeColor="text1"/>
          <w14:textFill>
            <w14:solidFill>
              <w14:schemeClr w14:val="tx1"/>
            </w14:solidFill>
          </w14:textFill>
        </w:rPr>
        <w:t>7</w:t>
      </w:r>
      <w:r>
        <w:rPr>
          <w:color w:val="000000" w:themeColor="text1"/>
          <w14:textFill>
            <w14:solidFill>
              <w14:schemeClr w14:val="tx1"/>
            </w14:solidFill>
          </w14:textFill>
        </w:rPr>
        <w:t>.2经济效益分析</w:t>
      </w:r>
      <w:bookmarkEnd w:id="123"/>
    </w:p>
    <w:p w14:paraId="6459A760">
      <w:pPr>
        <w:ind w:firstLine="480"/>
        <w:rPr>
          <w:color w:val="000000" w:themeColor="text1"/>
          <w14:textFill>
            <w14:solidFill>
              <w14:schemeClr w14:val="tx1"/>
            </w14:solidFill>
          </w14:textFill>
        </w:rPr>
      </w:pPr>
      <w:r>
        <w:rPr>
          <w:color w:val="000000" w:themeColor="text1"/>
          <w14:textFill>
            <w14:solidFill>
              <w14:schemeClr w14:val="tx1"/>
            </w14:solidFill>
          </w14:textFill>
        </w:rPr>
        <w:t>项目总投资</w:t>
      </w:r>
      <w:r>
        <w:rPr>
          <w:rFonts w:hint="eastAsia"/>
          <w:color w:val="000000" w:themeColor="text1"/>
          <w14:textFill>
            <w14:solidFill>
              <w14:schemeClr w14:val="tx1"/>
            </w14:solidFill>
          </w14:textFill>
        </w:rPr>
        <w:t>2000</w:t>
      </w:r>
      <w:r>
        <w:rPr>
          <w:color w:val="000000" w:themeColor="text1"/>
          <w14:textFill>
            <w14:solidFill>
              <w14:schemeClr w14:val="tx1"/>
            </w14:solidFill>
          </w14:textFill>
        </w:rPr>
        <w:t>万元，建成投产后年产</w:t>
      </w:r>
      <w:r>
        <w:rPr>
          <w:rFonts w:hint="eastAsia"/>
          <w:color w:val="000000" w:themeColor="text1"/>
          <w14:textFill>
            <w14:solidFill>
              <w14:schemeClr w14:val="tx1"/>
            </w14:solidFill>
          </w14:textFill>
        </w:rPr>
        <w:t>10t固态电解质材料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根据可研按照市场预测的，项目运营后达产年营业收入（含增值税）6000万元，不含税收入为5310万元，年均不含税收入为5310万元</w:t>
      </w:r>
      <w:r>
        <w:rPr>
          <w:color w:val="000000" w:themeColor="text1"/>
          <w14:textFill>
            <w14:solidFill>
              <w14:schemeClr w14:val="tx1"/>
            </w14:solidFill>
          </w14:textFill>
        </w:rPr>
        <w:t>，盈利能力较好。</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具有较好的经济效益，抗风险能力较强，能带来直观的经济效益。</w:t>
      </w:r>
    </w:p>
    <w:p w14:paraId="5E76E7DD">
      <w:pPr>
        <w:ind w:firstLine="480"/>
        <w:rPr>
          <w:color w:val="000000" w:themeColor="text1"/>
          <w14:textFill>
            <w14:solidFill>
              <w14:schemeClr w14:val="tx1"/>
            </w14:solidFill>
          </w14:textFill>
        </w:rPr>
      </w:pPr>
      <w:r>
        <w:rPr>
          <w:color w:val="000000" w:themeColor="text1"/>
          <w14:textFill>
            <w14:solidFill>
              <w14:schemeClr w14:val="tx1"/>
            </w14:solidFill>
          </w14:textFill>
        </w:rPr>
        <w:t>项目的建设在取得直接经济效益的同时，带来了一系列的间接经济效益：</w:t>
      </w:r>
    </w:p>
    <w:p w14:paraId="12A9E8E6">
      <w:pPr>
        <w:ind w:firstLine="480"/>
        <w:rPr>
          <w:color w:val="000000" w:themeColor="text1"/>
          <w14:textFill>
            <w14:solidFill>
              <w14:schemeClr w14:val="tx1"/>
            </w14:solidFill>
          </w14:textFill>
        </w:rPr>
      </w:pPr>
      <w:r>
        <w:rPr>
          <w:color w:val="000000" w:themeColor="text1"/>
          <w14:textFill>
            <w14:solidFill>
              <w14:schemeClr w14:val="tx1"/>
            </w14:solidFill>
          </w14:textFill>
        </w:rPr>
        <w:t>（1）建设期可为建筑公司提供市场，产生明显的经济效益，并为建筑工人提供就业机会。</w:t>
      </w:r>
    </w:p>
    <w:p w14:paraId="1B586A57">
      <w:pPr>
        <w:ind w:firstLine="480"/>
        <w:rPr>
          <w:color w:val="000000" w:themeColor="text1"/>
          <w14:textFill>
            <w14:solidFill>
              <w14:schemeClr w14:val="tx1"/>
            </w14:solidFill>
          </w14:textFill>
        </w:rPr>
      </w:pPr>
      <w:r>
        <w:rPr>
          <w:color w:val="000000" w:themeColor="text1"/>
          <w14:textFill>
            <w14:solidFill>
              <w14:schemeClr w14:val="tx1"/>
            </w14:solidFill>
          </w14:textFill>
        </w:rPr>
        <w:t>（2）项目的建设消耗大量建材、装饰材料，将扩大市场需求。</w:t>
      </w:r>
    </w:p>
    <w:p w14:paraId="29F45A95">
      <w:pPr>
        <w:ind w:firstLine="480"/>
        <w:rPr>
          <w:color w:val="000000" w:themeColor="text1"/>
          <w14:textFill>
            <w14:solidFill>
              <w14:schemeClr w14:val="tx1"/>
            </w14:solidFill>
          </w14:textFill>
        </w:rPr>
      </w:pPr>
      <w:r>
        <w:rPr>
          <w:color w:val="000000" w:themeColor="text1"/>
          <w14:textFill>
            <w14:solidFill>
              <w14:schemeClr w14:val="tx1"/>
            </w14:solidFill>
          </w14:textFill>
        </w:rPr>
        <w:t>（3）项目水、电等公用工程的消耗为当地带来间接经济效益。</w:t>
      </w:r>
    </w:p>
    <w:p w14:paraId="1E43CAD7">
      <w:pPr>
        <w:ind w:firstLine="480"/>
        <w:rPr>
          <w:color w:val="000000" w:themeColor="text1"/>
          <w14:textFill>
            <w14:solidFill>
              <w14:schemeClr w14:val="tx1"/>
            </w14:solidFill>
          </w14:textFill>
        </w:rPr>
      </w:pPr>
      <w:r>
        <w:rPr>
          <w:color w:val="000000" w:themeColor="text1"/>
          <w14:textFill>
            <w14:solidFill>
              <w14:schemeClr w14:val="tx1"/>
            </w14:solidFill>
          </w14:textFill>
        </w:rPr>
        <w:t>（4）项目部分配套设备的购买使用，将扩大市场需求，带来间接经济效益。</w:t>
      </w:r>
    </w:p>
    <w:p w14:paraId="29C9633D">
      <w:pPr>
        <w:ind w:firstLine="480"/>
        <w:rPr>
          <w:color w:val="000000" w:themeColor="text1"/>
          <w14:textFill>
            <w14:solidFill>
              <w14:schemeClr w14:val="tx1"/>
            </w14:solidFill>
          </w14:textFill>
        </w:rPr>
      </w:pPr>
      <w:r>
        <w:rPr>
          <w:color w:val="000000" w:themeColor="text1"/>
          <w14:textFill>
            <w14:solidFill>
              <w14:schemeClr w14:val="tx1"/>
            </w14:solidFill>
          </w14:textFill>
        </w:rPr>
        <w:t>（5）该项目建成后，将增加地方财政及税收。</w:t>
      </w:r>
    </w:p>
    <w:p w14:paraId="2DF0D96D">
      <w:pPr>
        <w:ind w:firstLine="480"/>
        <w:rPr>
          <w:color w:val="000000" w:themeColor="text1"/>
          <w14:textFill>
            <w14:solidFill>
              <w14:schemeClr w14:val="tx1"/>
            </w14:solidFill>
          </w14:textFill>
        </w:rPr>
      </w:pPr>
      <w:r>
        <w:rPr>
          <w:color w:val="000000" w:themeColor="text1"/>
          <w14:textFill>
            <w14:solidFill>
              <w14:schemeClr w14:val="tx1"/>
            </w14:solidFill>
          </w14:textFill>
        </w:rPr>
        <w:t>由此可见，项目能够为企业及地方带来可观的经济效益，项目具有较强的抗风险性和较好的经济效益。</w:t>
      </w:r>
    </w:p>
    <w:p w14:paraId="0BD20244">
      <w:pPr>
        <w:pStyle w:val="3"/>
        <w:rPr>
          <w:color w:val="000000" w:themeColor="text1"/>
          <w14:textFill>
            <w14:solidFill>
              <w14:schemeClr w14:val="tx1"/>
            </w14:solidFill>
          </w14:textFill>
        </w:rPr>
      </w:pPr>
      <w:bookmarkStart w:id="124" w:name="_Toc6074"/>
      <w:r>
        <w:rPr>
          <w:rFonts w:hint="eastAsia"/>
          <w:color w:val="000000" w:themeColor="text1"/>
          <w14:textFill>
            <w14:solidFill>
              <w14:schemeClr w14:val="tx1"/>
            </w14:solidFill>
          </w14:textFill>
        </w:rPr>
        <w:t>7</w:t>
      </w:r>
      <w:r>
        <w:rPr>
          <w:color w:val="000000" w:themeColor="text1"/>
          <w14:textFill>
            <w14:solidFill>
              <w14:schemeClr w14:val="tx1"/>
            </w14:solidFill>
          </w14:textFill>
        </w:rPr>
        <w:t>.3 环境效益分析</w:t>
      </w:r>
      <w:bookmarkEnd w:id="124"/>
    </w:p>
    <w:p w14:paraId="12ADB21D">
      <w:pPr>
        <w:pStyle w:val="4"/>
        <w:rPr>
          <w:color w:val="000000" w:themeColor="text1"/>
          <w14:textFill>
            <w14:solidFill>
              <w14:schemeClr w14:val="tx1"/>
            </w14:solidFill>
          </w14:textFill>
        </w:rPr>
      </w:pPr>
      <w:bookmarkStart w:id="125" w:name="_Toc27970"/>
      <w:r>
        <w:rPr>
          <w:rFonts w:hint="eastAsia"/>
          <w:color w:val="000000" w:themeColor="text1"/>
          <w14:textFill>
            <w14:solidFill>
              <w14:schemeClr w14:val="tx1"/>
            </w14:solidFill>
          </w14:textFill>
        </w:rPr>
        <w:t>7</w:t>
      </w:r>
      <w:r>
        <w:rPr>
          <w:color w:val="000000" w:themeColor="text1"/>
          <w14:textFill>
            <w14:solidFill>
              <w14:schemeClr w14:val="tx1"/>
            </w14:solidFill>
          </w14:textFill>
        </w:rPr>
        <w:t>.3.1环保工程投资概算</w:t>
      </w:r>
      <w:bookmarkEnd w:id="125"/>
    </w:p>
    <w:p w14:paraId="2C96B9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本项目总投资</w:t>
      </w:r>
      <w:r>
        <w:rPr>
          <w:rFonts w:hint="eastAsia" w:cs="Times New Roman"/>
          <w:color w:val="000000" w:themeColor="text1"/>
          <w14:textFill>
            <w14:solidFill>
              <w14:schemeClr w14:val="tx1"/>
            </w14:solidFill>
          </w14:textFill>
        </w:rPr>
        <w:t>2000</w:t>
      </w:r>
      <w:r>
        <w:rPr>
          <w:rFonts w:cs="Times New Roman"/>
          <w:color w:val="000000" w:themeColor="text1"/>
          <w14:textFill>
            <w14:solidFill>
              <w14:schemeClr w14:val="tx1"/>
            </w14:solidFill>
          </w14:textFill>
        </w:rPr>
        <w:t>万元，其中环保投资估算为</w:t>
      </w:r>
      <w:r>
        <w:rPr>
          <w:rFonts w:hint="eastAsia" w:cs="Times New Roman"/>
          <w:color w:val="000000" w:themeColor="text1"/>
          <w14:textFill>
            <w14:solidFill>
              <w14:schemeClr w14:val="tx1"/>
            </w14:solidFill>
          </w14:textFill>
        </w:rPr>
        <w:t>29</w:t>
      </w:r>
      <w:r>
        <w:rPr>
          <w:rFonts w:cs="Times New Roman"/>
          <w:color w:val="000000" w:themeColor="text1"/>
          <w14:textFill>
            <w14:solidFill>
              <w14:schemeClr w14:val="tx1"/>
            </w14:solidFill>
          </w14:textFill>
        </w:rPr>
        <w:t>万元，占总投资</w:t>
      </w:r>
      <w:r>
        <w:rPr>
          <w:rFonts w:hint="eastAsia" w:cs="Times New Roman"/>
          <w:color w:val="000000" w:themeColor="text1"/>
          <w14:textFill>
            <w14:solidFill>
              <w14:schemeClr w14:val="tx1"/>
            </w14:solidFill>
          </w14:textFill>
        </w:rPr>
        <w:t>1.45</w:t>
      </w:r>
      <w:r>
        <w:rPr>
          <w:rFonts w:cs="Times New Roman"/>
          <w:color w:val="000000" w:themeColor="text1"/>
          <w14:textFill>
            <w14:solidFill>
              <w14:schemeClr w14:val="tx1"/>
            </w14:solidFill>
          </w14:textFill>
        </w:rPr>
        <w:t>%，具体见下表。</w:t>
      </w:r>
    </w:p>
    <w:p w14:paraId="2D69BBE9">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表7.3-1 环保投资估算一览表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742"/>
        <w:gridCol w:w="1783"/>
        <w:gridCol w:w="3367"/>
        <w:gridCol w:w="1023"/>
      </w:tblGrid>
      <w:tr w14:paraId="0B36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78" w:type="pct"/>
            <w:gridSpan w:val="2"/>
            <w:vAlign w:val="center"/>
          </w:tcPr>
          <w:p w14:paraId="4C5A986F">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046" w:type="pct"/>
            <w:vAlign w:val="center"/>
          </w:tcPr>
          <w:p w14:paraId="4A96BC68">
            <w:pPr>
              <w:pStyle w:val="28"/>
              <w:rPr>
                <w:color w:val="000000" w:themeColor="text1"/>
                <w14:textFill>
                  <w14:solidFill>
                    <w14:schemeClr w14:val="tx1"/>
                  </w14:solidFill>
                </w14:textFill>
              </w:rPr>
            </w:pPr>
            <w:r>
              <w:rPr>
                <w:color w:val="000000" w:themeColor="text1"/>
                <w14:textFill>
                  <w14:solidFill>
                    <w14:schemeClr w14:val="tx1"/>
                  </w14:solidFill>
                </w14:textFill>
              </w:rPr>
              <w:t>环保设施</w:t>
            </w:r>
          </w:p>
        </w:tc>
        <w:tc>
          <w:tcPr>
            <w:tcW w:w="1975" w:type="pct"/>
            <w:vAlign w:val="center"/>
          </w:tcPr>
          <w:p w14:paraId="13C6B2B5">
            <w:pPr>
              <w:pStyle w:val="28"/>
              <w:rPr>
                <w:color w:val="000000" w:themeColor="text1"/>
                <w14:textFill>
                  <w14:solidFill>
                    <w14:schemeClr w14:val="tx1"/>
                  </w14:solidFill>
                </w14:textFill>
              </w:rPr>
            </w:pPr>
            <w:r>
              <w:rPr>
                <w:color w:val="000000" w:themeColor="text1"/>
                <w14:textFill>
                  <w14:solidFill>
                    <w14:schemeClr w14:val="tx1"/>
                  </w14:solidFill>
                </w14:textFill>
              </w:rPr>
              <w:t>数量/规模</w:t>
            </w:r>
          </w:p>
        </w:tc>
        <w:tc>
          <w:tcPr>
            <w:tcW w:w="600" w:type="pct"/>
            <w:vAlign w:val="center"/>
          </w:tcPr>
          <w:p w14:paraId="48C283D3">
            <w:pPr>
              <w:pStyle w:val="28"/>
              <w:rPr>
                <w:color w:val="000000" w:themeColor="text1"/>
                <w14:textFill>
                  <w14:solidFill>
                    <w14:schemeClr w14:val="tx1"/>
                  </w14:solidFill>
                </w14:textFill>
              </w:rPr>
            </w:pPr>
            <w:r>
              <w:rPr>
                <w:color w:val="000000" w:themeColor="text1"/>
                <w14:textFill>
                  <w14:solidFill>
                    <w14:schemeClr w14:val="tx1"/>
                  </w14:solidFill>
                </w14:textFill>
              </w:rPr>
              <w:t>投资</w:t>
            </w:r>
          </w:p>
          <w:p w14:paraId="694806B9">
            <w:pPr>
              <w:pStyle w:val="28"/>
              <w:rPr>
                <w:color w:val="000000" w:themeColor="text1"/>
                <w14:textFill>
                  <w14:solidFill>
                    <w14:schemeClr w14:val="tx1"/>
                  </w14:solidFill>
                </w14:textFill>
              </w:rPr>
            </w:pPr>
            <w:r>
              <w:rPr>
                <w:color w:val="000000" w:themeColor="text1"/>
                <w14:textFill>
                  <w14:solidFill>
                    <w14:schemeClr w14:val="tx1"/>
                  </w14:solidFill>
                </w14:textFill>
              </w:rPr>
              <w:t>（万元）</w:t>
            </w:r>
          </w:p>
        </w:tc>
      </w:tr>
      <w:tr w14:paraId="5877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restart"/>
            <w:shd w:val="clear" w:color="auto" w:fill="auto"/>
            <w:vAlign w:val="center"/>
          </w:tcPr>
          <w:p w14:paraId="51AC57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022" w:type="pct"/>
            <w:vMerge w:val="restart"/>
            <w:shd w:val="clear" w:color="auto" w:fill="auto"/>
            <w:vAlign w:val="center"/>
          </w:tcPr>
          <w:p w14:paraId="5BA951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投料粉尘、研磨废气、干燥废气、测试残渣和废水处理站废气</w:t>
            </w:r>
          </w:p>
        </w:tc>
        <w:tc>
          <w:tcPr>
            <w:tcW w:w="1046" w:type="pct"/>
            <w:shd w:val="clear" w:color="auto" w:fill="auto"/>
            <w:vAlign w:val="center"/>
          </w:tcPr>
          <w:p w14:paraId="09A238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碱液喷淋箱</w:t>
            </w:r>
          </w:p>
        </w:tc>
        <w:tc>
          <w:tcPr>
            <w:tcW w:w="1975" w:type="pct"/>
            <w:vAlign w:val="center"/>
          </w:tcPr>
          <w:p w14:paraId="2F5A40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600" w:type="pct"/>
            <w:vAlign w:val="center"/>
          </w:tcPr>
          <w:p w14:paraId="346D19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7B3A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shd w:val="clear" w:color="auto" w:fill="auto"/>
            <w:vAlign w:val="center"/>
          </w:tcPr>
          <w:p w14:paraId="73C7CC51">
            <w:pPr>
              <w:pStyle w:val="28"/>
              <w:rPr>
                <w:color w:val="000000" w:themeColor="text1"/>
                <w14:textFill>
                  <w14:solidFill>
                    <w14:schemeClr w14:val="tx1"/>
                  </w14:solidFill>
                </w14:textFill>
              </w:rPr>
            </w:pPr>
          </w:p>
        </w:tc>
        <w:tc>
          <w:tcPr>
            <w:tcW w:w="1022" w:type="pct"/>
            <w:vMerge w:val="continue"/>
            <w:shd w:val="clear" w:color="auto" w:fill="auto"/>
            <w:vAlign w:val="center"/>
          </w:tcPr>
          <w:p w14:paraId="52F64193">
            <w:pPr>
              <w:pStyle w:val="28"/>
              <w:rPr>
                <w:color w:val="000000" w:themeColor="text1"/>
                <w14:textFill>
                  <w14:solidFill>
                    <w14:schemeClr w14:val="tx1"/>
                  </w14:solidFill>
                </w14:textFill>
              </w:rPr>
            </w:pPr>
          </w:p>
        </w:tc>
        <w:tc>
          <w:tcPr>
            <w:tcW w:w="1046" w:type="pct"/>
            <w:shd w:val="clear" w:color="auto" w:fill="auto"/>
            <w:vAlign w:val="center"/>
          </w:tcPr>
          <w:p w14:paraId="4C3E91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除雾装置</w:t>
            </w:r>
          </w:p>
        </w:tc>
        <w:tc>
          <w:tcPr>
            <w:tcW w:w="1975" w:type="pct"/>
            <w:vAlign w:val="center"/>
          </w:tcPr>
          <w:p w14:paraId="176F00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600" w:type="pct"/>
            <w:vAlign w:val="center"/>
          </w:tcPr>
          <w:p w14:paraId="186BD0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2654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56" w:type="pct"/>
            <w:vMerge w:val="continue"/>
            <w:shd w:val="clear" w:color="auto" w:fill="auto"/>
            <w:vAlign w:val="center"/>
          </w:tcPr>
          <w:p w14:paraId="0380BBFF">
            <w:pPr>
              <w:pStyle w:val="28"/>
              <w:rPr>
                <w:color w:val="000000" w:themeColor="text1"/>
                <w14:textFill>
                  <w14:solidFill>
                    <w14:schemeClr w14:val="tx1"/>
                  </w14:solidFill>
                </w14:textFill>
              </w:rPr>
            </w:pPr>
          </w:p>
        </w:tc>
        <w:tc>
          <w:tcPr>
            <w:tcW w:w="1022" w:type="pct"/>
            <w:vMerge w:val="continue"/>
            <w:shd w:val="clear" w:color="auto" w:fill="auto"/>
            <w:vAlign w:val="center"/>
          </w:tcPr>
          <w:p w14:paraId="7CB8D5F6">
            <w:pPr>
              <w:pStyle w:val="28"/>
              <w:rPr>
                <w:color w:val="000000" w:themeColor="text1"/>
                <w14:textFill>
                  <w14:solidFill>
                    <w14:schemeClr w14:val="tx1"/>
                  </w14:solidFill>
                </w14:textFill>
              </w:rPr>
            </w:pPr>
          </w:p>
        </w:tc>
        <w:tc>
          <w:tcPr>
            <w:tcW w:w="1046" w:type="pct"/>
            <w:shd w:val="clear" w:color="auto" w:fill="auto"/>
            <w:vAlign w:val="center"/>
          </w:tcPr>
          <w:p w14:paraId="59F544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活性炭吸附装置</w:t>
            </w:r>
          </w:p>
        </w:tc>
        <w:tc>
          <w:tcPr>
            <w:tcW w:w="1975" w:type="pct"/>
            <w:vAlign w:val="center"/>
          </w:tcPr>
          <w:p w14:paraId="31570E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600" w:type="pct"/>
            <w:vAlign w:val="center"/>
          </w:tcPr>
          <w:p w14:paraId="73C9F8A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78C2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shd w:val="clear" w:color="auto" w:fill="auto"/>
            <w:vAlign w:val="center"/>
          </w:tcPr>
          <w:p w14:paraId="21DD46DC">
            <w:pPr>
              <w:pStyle w:val="28"/>
              <w:rPr>
                <w:color w:val="000000" w:themeColor="text1"/>
                <w14:textFill>
                  <w14:solidFill>
                    <w14:schemeClr w14:val="tx1"/>
                  </w14:solidFill>
                </w14:textFill>
              </w:rPr>
            </w:pPr>
          </w:p>
        </w:tc>
        <w:tc>
          <w:tcPr>
            <w:tcW w:w="1022" w:type="pct"/>
            <w:vMerge w:val="continue"/>
            <w:shd w:val="clear" w:color="auto" w:fill="auto"/>
            <w:vAlign w:val="center"/>
          </w:tcPr>
          <w:p w14:paraId="40F42576">
            <w:pPr>
              <w:pStyle w:val="28"/>
              <w:rPr>
                <w:color w:val="000000" w:themeColor="text1"/>
                <w14:textFill>
                  <w14:solidFill>
                    <w14:schemeClr w14:val="tx1"/>
                  </w14:solidFill>
                </w14:textFill>
              </w:rPr>
            </w:pPr>
          </w:p>
        </w:tc>
        <w:tc>
          <w:tcPr>
            <w:tcW w:w="1046" w:type="pct"/>
            <w:shd w:val="clear" w:color="auto" w:fill="auto"/>
            <w:vAlign w:val="center"/>
          </w:tcPr>
          <w:p w14:paraId="714DFA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15m高的排气筒</w:t>
            </w:r>
          </w:p>
        </w:tc>
        <w:tc>
          <w:tcPr>
            <w:tcW w:w="1975" w:type="pct"/>
            <w:vAlign w:val="center"/>
          </w:tcPr>
          <w:p w14:paraId="579F64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1根</w:t>
            </w:r>
          </w:p>
        </w:tc>
        <w:tc>
          <w:tcPr>
            <w:tcW w:w="600" w:type="pct"/>
            <w:vAlign w:val="center"/>
          </w:tcPr>
          <w:p w14:paraId="18D9DB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778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shd w:val="clear" w:color="auto" w:fill="auto"/>
            <w:vAlign w:val="center"/>
          </w:tcPr>
          <w:p w14:paraId="502F4827">
            <w:pPr>
              <w:pStyle w:val="28"/>
              <w:rPr>
                <w:color w:val="000000" w:themeColor="text1"/>
                <w14:textFill>
                  <w14:solidFill>
                    <w14:schemeClr w14:val="tx1"/>
                  </w14:solidFill>
                </w14:textFill>
              </w:rPr>
            </w:pPr>
          </w:p>
        </w:tc>
        <w:tc>
          <w:tcPr>
            <w:tcW w:w="1022" w:type="pct"/>
            <w:vMerge w:val="continue"/>
            <w:shd w:val="clear" w:color="auto" w:fill="auto"/>
            <w:vAlign w:val="center"/>
          </w:tcPr>
          <w:p w14:paraId="40EFDC8E">
            <w:pPr>
              <w:pStyle w:val="28"/>
              <w:rPr>
                <w:color w:val="000000" w:themeColor="text1"/>
                <w14:textFill>
                  <w14:solidFill>
                    <w14:schemeClr w14:val="tx1"/>
                  </w14:solidFill>
                </w14:textFill>
              </w:rPr>
            </w:pPr>
          </w:p>
        </w:tc>
        <w:tc>
          <w:tcPr>
            <w:tcW w:w="1046" w:type="pct"/>
            <w:shd w:val="clear" w:color="auto" w:fill="auto"/>
            <w:vAlign w:val="center"/>
          </w:tcPr>
          <w:p w14:paraId="4CED0C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通风橱</w:t>
            </w:r>
          </w:p>
        </w:tc>
        <w:tc>
          <w:tcPr>
            <w:tcW w:w="1975" w:type="pct"/>
            <w:vAlign w:val="center"/>
          </w:tcPr>
          <w:p w14:paraId="3CF242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3套</w:t>
            </w:r>
          </w:p>
        </w:tc>
        <w:tc>
          <w:tcPr>
            <w:tcW w:w="600" w:type="pct"/>
            <w:vAlign w:val="center"/>
          </w:tcPr>
          <w:p w14:paraId="34F6B4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14:paraId="4247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shd w:val="clear" w:color="auto" w:fill="auto"/>
            <w:vAlign w:val="center"/>
          </w:tcPr>
          <w:p w14:paraId="6C7323AC">
            <w:pPr>
              <w:pStyle w:val="28"/>
              <w:rPr>
                <w:color w:val="000000" w:themeColor="text1"/>
                <w14:textFill>
                  <w14:solidFill>
                    <w14:schemeClr w14:val="tx1"/>
                  </w14:solidFill>
                </w14:textFill>
              </w:rPr>
            </w:pPr>
          </w:p>
        </w:tc>
        <w:tc>
          <w:tcPr>
            <w:tcW w:w="1022" w:type="pct"/>
            <w:vMerge w:val="continue"/>
            <w:shd w:val="clear" w:color="auto" w:fill="auto"/>
            <w:vAlign w:val="center"/>
          </w:tcPr>
          <w:p w14:paraId="182C77B2">
            <w:pPr>
              <w:pStyle w:val="28"/>
              <w:rPr>
                <w:color w:val="000000" w:themeColor="text1"/>
                <w14:text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集气罩</w:t>
            </w:r>
          </w:p>
        </w:tc>
        <w:tc>
          <w:tcPr>
            <w:tcW w:w="1975" w:type="pct"/>
            <w:vAlign w:val="center"/>
          </w:tcPr>
          <w:p w14:paraId="69DFF4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600" w:type="pct"/>
            <w:vAlign w:val="center"/>
          </w:tcPr>
          <w:p w14:paraId="4FBA89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r>
      <w:tr w14:paraId="6CA0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restart"/>
            <w:shd w:val="clear" w:color="auto" w:fill="auto"/>
            <w:vAlign w:val="center"/>
          </w:tcPr>
          <w:p w14:paraId="4BB253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022" w:type="pct"/>
            <w:vMerge w:val="restart"/>
            <w:shd w:val="clear" w:color="auto" w:fill="auto"/>
            <w:vAlign w:val="center"/>
          </w:tcPr>
          <w:p w14:paraId="133D2564">
            <w:pPr>
              <w:pStyle w:val="28"/>
              <w:rPr>
                <w:color w:val="000000" w:themeColor="text1"/>
                <w14:textFill>
                  <w14:solidFill>
                    <w14:schemeClr w14:val="tx1"/>
                  </w14:solidFill>
                </w14:textFill>
              </w:rPr>
            </w:pPr>
            <w:r>
              <w:rPr>
                <w:color w:val="000000" w:themeColor="text1"/>
                <w14:textFill>
                  <w14:solidFill>
                    <w14:schemeClr w14:val="tx1"/>
                  </w14:solidFill>
                </w14:textFill>
              </w:rPr>
              <w:t>纯水制备废水</w:t>
            </w:r>
            <w:r>
              <w:rPr>
                <w:rFonts w:hint="eastAsia"/>
                <w:color w:val="000000" w:themeColor="text1"/>
                <w14:textFill>
                  <w14:solidFill>
                    <w14:schemeClr w14:val="tx1"/>
                  </w14:solidFill>
                </w14:textFill>
              </w:rPr>
              <w:t>、测试器具清洗废水、冷却水循环系统定期排污水</w:t>
            </w:r>
          </w:p>
        </w:tc>
        <w:tc>
          <w:tcPr>
            <w:tcW w:w="1046" w:type="pct"/>
            <w:shd w:val="clear" w:color="auto" w:fill="auto"/>
            <w:vAlign w:val="center"/>
          </w:tcPr>
          <w:p w14:paraId="2BD031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一体化污水处理站</w:t>
            </w:r>
          </w:p>
        </w:tc>
        <w:tc>
          <w:tcPr>
            <w:tcW w:w="1975" w:type="pct"/>
            <w:vAlign w:val="center"/>
          </w:tcPr>
          <w:p w14:paraId="6D16B3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1套，处理能为1m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tc>
        <w:tc>
          <w:tcPr>
            <w:tcW w:w="600" w:type="pct"/>
            <w:vAlign w:val="center"/>
          </w:tcPr>
          <w:p w14:paraId="1ADEB3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14:paraId="5911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shd w:val="clear" w:color="auto" w:fill="auto"/>
            <w:vAlign w:val="center"/>
          </w:tcPr>
          <w:p w14:paraId="710EF232">
            <w:pPr>
              <w:pStyle w:val="28"/>
              <w:rPr>
                <w:color w:val="000000" w:themeColor="text1"/>
                <w14:textFill>
                  <w14:solidFill>
                    <w14:schemeClr w14:val="tx1"/>
                  </w14:solidFill>
                </w14:textFill>
              </w:rPr>
            </w:pPr>
          </w:p>
        </w:tc>
        <w:tc>
          <w:tcPr>
            <w:tcW w:w="1022" w:type="pct"/>
            <w:vMerge w:val="continue"/>
            <w:shd w:val="clear" w:color="auto" w:fill="auto"/>
            <w:vAlign w:val="center"/>
          </w:tcPr>
          <w:p w14:paraId="0154C6FF">
            <w:pPr>
              <w:pStyle w:val="28"/>
              <w:rPr>
                <w:color w:val="000000" w:themeColor="text1"/>
                <w14:textFill>
                  <w14:solidFill>
                    <w14:schemeClr w14:val="tx1"/>
                  </w14:solidFill>
                </w14:textFill>
              </w:rPr>
            </w:pPr>
          </w:p>
        </w:tc>
        <w:tc>
          <w:tcPr>
            <w:tcW w:w="1046" w:type="pct"/>
            <w:shd w:val="clear" w:color="auto" w:fill="auto"/>
            <w:vAlign w:val="center"/>
          </w:tcPr>
          <w:p w14:paraId="194F57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调节池</w:t>
            </w:r>
          </w:p>
        </w:tc>
        <w:tc>
          <w:tcPr>
            <w:tcW w:w="1975" w:type="pct"/>
            <w:vAlign w:val="center"/>
          </w:tcPr>
          <w:p w14:paraId="3D9987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1个，容积为2m</w:t>
            </w:r>
            <w:r>
              <w:rPr>
                <w:rFonts w:hint="eastAsia"/>
                <w:color w:val="000000" w:themeColor="text1"/>
                <w:vertAlign w:val="superscript"/>
                <w14:textFill>
                  <w14:solidFill>
                    <w14:schemeClr w14:val="tx1"/>
                  </w14:solidFill>
                </w14:textFill>
              </w:rPr>
              <w:t>3</w:t>
            </w:r>
          </w:p>
        </w:tc>
        <w:tc>
          <w:tcPr>
            <w:tcW w:w="600" w:type="pct"/>
            <w:vAlign w:val="center"/>
          </w:tcPr>
          <w:p w14:paraId="743D3B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269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vMerge w:val="continue"/>
            <w:vAlign w:val="center"/>
          </w:tcPr>
          <w:p w14:paraId="32DA7F0C">
            <w:pPr>
              <w:pStyle w:val="28"/>
              <w:rPr>
                <w:color w:val="000000" w:themeColor="text1"/>
                <w14:textFill>
                  <w14:solidFill>
                    <w14:schemeClr w14:val="tx1"/>
                  </w14:solidFill>
                </w14:textFill>
              </w:rPr>
            </w:pPr>
          </w:p>
        </w:tc>
        <w:tc>
          <w:tcPr>
            <w:tcW w:w="1022" w:type="pct"/>
            <w:shd w:val="clear" w:color="auto" w:fill="auto"/>
            <w:vAlign w:val="center"/>
          </w:tcPr>
          <w:p w14:paraId="487F9C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喷淋废水</w:t>
            </w:r>
          </w:p>
        </w:tc>
        <w:tc>
          <w:tcPr>
            <w:tcW w:w="1046" w:type="pct"/>
            <w:shd w:val="clear" w:color="auto" w:fill="auto"/>
            <w:vAlign w:val="center"/>
          </w:tcPr>
          <w:p w14:paraId="629B0F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循环沉淀池</w:t>
            </w:r>
          </w:p>
        </w:tc>
        <w:tc>
          <w:tcPr>
            <w:tcW w:w="1975" w:type="pct"/>
            <w:vAlign w:val="center"/>
          </w:tcPr>
          <w:p w14:paraId="71B94A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1个，容积为15m</w:t>
            </w:r>
            <w:r>
              <w:rPr>
                <w:rFonts w:hint="eastAsia"/>
                <w:color w:val="000000" w:themeColor="text1"/>
                <w:vertAlign w:val="superscript"/>
                <w14:textFill>
                  <w14:solidFill>
                    <w14:schemeClr w14:val="tx1"/>
                  </w14:solidFill>
                </w14:textFill>
              </w:rPr>
              <w:t>3</w:t>
            </w:r>
          </w:p>
        </w:tc>
        <w:tc>
          <w:tcPr>
            <w:tcW w:w="600" w:type="pct"/>
            <w:vAlign w:val="center"/>
          </w:tcPr>
          <w:p w14:paraId="6C5E22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26D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56" w:type="pct"/>
            <w:shd w:val="clear" w:color="auto" w:fill="auto"/>
            <w:vAlign w:val="center"/>
          </w:tcPr>
          <w:p w14:paraId="553F3B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022" w:type="pct"/>
            <w:shd w:val="clear" w:color="auto" w:fill="auto"/>
            <w:vAlign w:val="center"/>
          </w:tcPr>
          <w:p w14:paraId="75E32D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w:t>
            </w:r>
          </w:p>
        </w:tc>
        <w:tc>
          <w:tcPr>
            <w:tcW w:w="1046" w:type="pct"/>
            <w:shd w:val="clear" w:color="auto" w:fill="auto"/>
            <w:vAlign w:val="center"/>
          </w:tcPr>
          <w:p w14:paraId="274A0D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减振垫、风机安装消声器</w:t>
            </w:r>
          </w:p>
        </w:tc>
        <w:tc>
          <w:tcPr>
            <w:tcW w:w="1975" w:type="pct"/>
            <w:vAlign w:val="center"/>
          </w:tcPr>
          <w:p w14:paraId="5EF645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若干</w:t>
            </w:r>
          </w:p>
        </w:tc>
        <w:tc>
          <w:tcPr>
            <w:tcW w:w="600" w:type="pct"/>
            <w:vAlign w:val="center"/>
          </w:tcPr>
          <w:p w14:paraId="28D3DA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14:paraId="175C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78" w:type="pct"/>
            <w:gridSpan w:val="2"/>
            <w:shd w:val="clear" w:color="auto" w:fill="auto"/>
            <w:vAlign w:val="center"/>
          </w:tcPr>
          <w:p w14:paraId="12DCD4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046" w:type="pct"/>
            <w:shd w:val="clear" w:color="auto" w:fill="auto"/>
            <w:vAlign w:val="center"/>
          </w:tcPr>
          <w:p w14:paraId="3CD603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1975" w:type="pct"/>
            <w:vAlign w:val="center"/>
          </w:tcPr>
          <w:p w14:paraId="7942A5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1个，占地面积为10m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，危废暂存间地面采用环氧树脂防渗漆进行重点防渗处理，防渗系数≤1×10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w:t>
            </w:r>
          </w:p>
        </w:tc>
        <w:tc>
          <w:tcPr>
            <w:tcW w:w="600" w:type="pct"/>
            <w:vAlign w:val="center"/>
          </w:tcPr>
          <w:p w14:paraId="0CE3B9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360A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78" w:type="pct"/>
            <w:gridSpan w:val="2"/>
            <w:shd w:val="clear" w:color="auto" w:fill="auto"/>
            <w:vAlign w:val="center"/>
          </w:tcPr>
          <w:p w14:paraId="611574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风险</w:t>
            </w:r>
          </w:p>
        </w:tc>
        <w:tc>
          <w:tcPr>
            <w:tcW w:w="1046" w:type="pct"/>
            <w:shd w:val="clear" w:color="auto" w:fill="auto"/>
            <w:vAlign w:val="center"/>
          </w:tcPr>
          <w:p w14:paraId="0F2D3C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应急空桶、沙袋</w:t>
            </w:r>
          </w:p>
        </w:tc>
        <w:tc>
          <w:tcPr>
            <w:tcW w:w="1975" w:type="pct"/>
            <w:vAlign w:val="center"/>
          </w:tcPr>
          <w:p w14:paraId="557D78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若干</w:t>
            </w:r>
          </w:p>
        </w:tc>
        <w:tc>
          <w:tcPr>
            <w:tcW w:w="600" w:type="pct"/>
            <w:vAlign w:val="center"/>
          </w:tcPr>
          <w:p w14:paraId="498608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r>
      <w:tr w14:paraId="6A8C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9" w:type="pct"/>
            <w:gridSpan w:val="4"/>
            <w:vAlign w:val="center"/>
          </w:tcPr>
          <w:p w14:paraId="444142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00" w:type="pct"/>
            <w:vAlign w:val="center"/>
          </w:tcPr>
          <w:p w14:paraId="169844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r>
    </w:tbl>
    <w:p w14:paraId="366B6587">
      <w:pPr>
        <w:pStyle w:val="4"/>
        <w:rPr>
          <w:color w:val="000000" w:themeColor="text1"/>
          <w14:textFill>
            <w14:solidFill>
              <w14:schemeClr w14:val="tx1"/>
            </w14:solidFill>
          </w14:textFill>
        </w:rPr>
      </w:pPr>
      <w:bookmarkStart w:id="126" w:name="_Toc6369"/>
      <w:r>
        <w:rPr>
          <w:rFonts w:hint="eastAsia"/>
          <w:color w:val="000000" w:themeColor="text1"/>
          <w14:textFill>
            <w14:solidFill>
              <w14:schemeClr w14:val="tx1"/>
            </w14:solidFill>
          </w14:textFill>
        </w:rPr>
        <w:t>7</w:t>
      </w:r>
      <w:r>
        <w:rPr>
          <w:color w:val="000000" w:themeColor="text1"/>
          <w14:textFill>
            <w14:solidFill>
              <w14:schemeClr w14:val="tx1"/>
            </w14:solidFill>
          </w14:textFill>
        </w:rPr>
        <w:t>.3.2 环境经济损益分析</w:t>
      </w:r>
      <w:bookmarkEnd w:id="126"/>
    </w:p>
    <w:p w14:paraId="5122C7AE">
      <w:pPr>
        <w:ind w:firstLine="480"/>
        <w:rPr>
          <w:color w:val="000000" w:themeColor="text1"/>
          <w14:textFill>
            <w14:solidFill>
              <w14:schemeClr w14:val="tx1"/>
            </w14:solidFill>
          </w14:textFill>
        </w:rPr>
      </w:pPr>
      <w:r>
        <w:rPr>
          <w:color w:val="000000" w:themeColor="text1"/>
          <w14:textFill>
            <w14:solidFill>
              <w14:schemeClr w14:val="tx1"/>
            </w14:solidFill>
          </w14:textFill>
        </w:rPr>
        <w:t>项目各类环保措施具有显着地环境正效益，主要体现在：</w:t>
      </w:r>
    </w:p>
    <w:p w14:paraId="3E533DAC">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项目废气处理系统的建设，可大大降低项目运营过程中产生的颗粒物、有机废气、硫化氢其他对大气环境的影响。</w:t>
      </w:r>
    </w:p>
    <w:p w14:paraId="1A71B2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2、一体化污水处理站的建设可确保本项目废水达标排放，</w:t>
      </w:r>
      <w:r>
        <w:rPr>
          <w:color w:val="000000" w:themeColor="text1"/>
          <w14:textFill>
            <w14:solidFill>
              <w14:schemeClr w14:val="tx1"/>
            </w14:solidFill>
          </w14:textFill>
        </w:rPr>
        <w:t>在很大程度上减轻了污染物排放对</w:t>
      </w:r>
      <w:r>
        <w:rPr>
          <w:rFonts w:hint="eastAsia"/>
          <w:color w:val="000000" w:themeColor="text1"/>
          <w14:textFill>
            <w14:solidFill>
              <w14:schemeClr w14:val="tx1"/>
            </w14:solidFill>
          </w14:textFill>
        </w:rPr>
        <w:t>市政污水处理厂的负荷</w:t>
      </w:r>
      <w:r>
        <w:rPr>
          <w:color w:val="000000" w:themeColor="text1"/>
          <w14:textFill>
            <w14:solidFill>
              <w14:schemeClr w14:val="tx1"/>
            </w14:solidFill>
          </w14:textFill>
        </w:rPr>
        <w:t>。</w:t>
      </w:r>
    </w:p>
    <w:p w14:paraId="16E12DE2">
      <w:pPr>
        <w:ind w:firstLine="480"/>
        <w:rPr>
          <w:color w:val="000000" w:themeColor="text1"/>
          <w14:textFill>
            <w14:solidFill>
              <w14:schemeClr w14:val="tx1"/>
            </w14:solidFill>
          </w14:textFill>
        </w:rPr>
      </w:pPr>
      <w:r>
        <w:rPr>
          <w:color w:val="000000" w:themeColor="text1"/>
          <w14:textFill>
            <w14:solidFill>
              <w14:schemeClr w14:val="tx1"/>
            </w14:solidFill>
          </w14:textFill>
        </w:rPr>
        <w:t>3、对高噪声设备进行噪声治理，以减轻设备噪声对厂区员工及周边声环境的影响。</w:t>
      </w:r>
    </w:p>
    <w:p w14:paraId="57A9FB0F">
      <w:pPr>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按要求建设危废暂存间对</w:t>
      </w:r>
      <w:r>
        <w:rPr>
          <w:color w:val="000000" w:themeColor="text1"/>
          <w14:textFill>
            <w14:solidFill>
              <w14:schemeClr w14:val="tx1"/>
            </w14:solidFill>
          </w14:textFill>
        </w:rPr>
        <w:t>生产过程中各类</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的分类</w:t>
      </w:r>
      <w:r>
        <w:rPr>
          <w:rFonts w:hint="eastAsia"/>
          <w:color w:val="000000" w:themeColor="text1"/>
          <w14:textFill>
            <w14:solidFill>
              <w14:schemeClr w14:val="tx1"/>
            </w14:solidFill>
          </w14:textFill>
        </w:rPr>
        <w:t>收集</w:t>
      </w:r>
      <w:r>
        <w:rPr>
          <w:color w:val="000000" w:themeColor="text1"/>
          <w14:textFill>
            <w14:solidFill>
              <w14:schemeClr w14:val="tx1"/>
            </w14:solidFill>
          </w14:textFill>
        </w:rPr>
        <w:t>，极大程度上降低了项目污染地下水和土壤的风险，避免地下水、土壤污染后威胁周边人群健康和环境质量下降，从而造成巨大经济损失和污染后治理的巨大花费。</w:t>
      </w:r>
    </w:p>
    <w:p w14:paraId="2F1164FD">
      <w:pPr>
        <w:pStyle w:val="3"/>
        <w:rPr>
          <w:color w:val="000000" w:themeColor="text1"/>
          <w14:textFill>
            <w14:solidFill>
              <w14:schemeClr w14:val="tx1"/>
            </w14:solidFill>
          </w14:textFill>
        </w:rPr>
      </w:pPr>
      <w:bookmarkStart w:id="127" w:name="_Toc16330"/>
      <w:r>
        <w:rPr>
          <w:rFonts w:hint="eastAsia"/>
          <w:color w:val="000000" w:themeColor="text1"/>
          <w14:textFill>
            <w14:solidFill>
              <w14:schemeClr w14:val="tx1"/>
            </w14:solidFill>
          </w14:textFill>
        </w:rPr>
        <w:t>7</w:t>
      </w:r>
      <w:r>
        <w:rPr>
          <w:color w:val="000000" w:themeColor="text1"/>
          <w14:textFill>
            <w14:solidFill>
              <w14:schemeClr w14:val="tx1"/>
            </w14:solidFill>
          </w14:textFill>
        </w:rPr>
        <w:t>.4小结</w:t>
      </w:r>
      <w:bookmarkEnd w:id="127"/>
    </w:p>
    <w:p w14:paraId="495BFF06">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综上所述，项目的实施具有良好的社会效益和经济效益，同时由于工程采取必要的污染防治措施后，不会对区域环境产生明显影响，做到了社会效益、经济效益和环境效益的同步发展。</w:t>
      </w:r>
    </w:p>
    <w:p w14:paraId="69535D19">
      <w:pPr>
        <w:pStyle w:val="2"/>
        <w:rPr>
          <w:color w:val="000000" w:themeColor="text1"/>
          <w14:textFill>
            <w14:solidFill>
              <w14:schemeClr w14:val="tx1"/>
            </w14:solidFill>
          </w14:textFill>
        </w:rPr>
      </w:pPr>
      <w:bookmarkStart w:id="128" w:name="_Toc624"/>
      <w:r>
        <w:rPr>
          <w:rFonts w:hint="eastAsia"/>
          <w:color w:val="000000" w:themeColor="text1"/>
          <w14:textFill>
            <w14:solidFill>
              <w14:schemeClr w14:val="tx1"/>
            </w14:solidFill>
          </w14:textFill>
        </w:rPr>
        <w:t>8</w:t>
      </w:r>
      <w:r>
        <w:rPr>
          <w:color w:val="000000" w:themeColor="text1"/>
          <w14:textFill>
            <w14:solidFill>
              <w14:schemeClr w14:val="tx1"/>
            </w14:solidFill>
          </w14:textFill>
        </w:rPr>
        <w:t>、环境管理及环境监测</w:t>
      </w:r>
      <w:bookmarkEnd w:id="128"/>
    </w:p>
    <w:p w14:paraId="3E2772B5">
      <w:pPr>
        <w:pStyle w:val="3"/>
        <w:rPr>
          <w:color w:val="000000" w:themeColor="text1"/>
          <w14:textFill>
            <w14:solidFill>
              <w14:schemeClr w14:val="tx1"/>
            </w14:solidFill>
          </w14:textFill>
        </w:rPr>
      </w:pPr>
      <w:bookmarkStart w:id="129" w:name="_Toc13902"/>
      <w:bookmarkStart w:id="130" w:name="_Toc8453"/>
      <w:r>
        <w:rPr>
          <w:rFonts w:hint="eastAsia"/>
          <w:color w:val="000000" w:themeColor="text1"/>
          <w14:textFill>
            <w14:solidFill>
              <w14:schemeClr w14:val="tx1"/>
            </w14:solidFill>
          </w14:textFill>
        </w:rPr>
        <w:t>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环境管理</w:t>
      </w:r>
      <w:bookmarkEnd w:id="129"/>
      <w:bookmarkEnd w:id="130"/>
    </w:p>
    <w:p w14:paraId="0A684F71">
      <w:pPr>
        <w:pStyle w:val="4"/>
        <w:rPr>
          <w:color w:val="000000" w:themeColor="text1"/>
          <w14:textFill>
            <w14:solidFill>
              <w14:schemeClr w14:val="tx1"/>
            </w14:solidFill>
          </w14:textFill>
        </w:rPr>
      </w:pPr>
      <w:bookmarkStart w:id="131" w:name="_Toc370"/>
      <w:bookmarkStart w:id="132" w:name="_Toc25689"/>
      <w:r>
        <w:rPr>
          <w:rFonts w:hint="eastAsia"/>
          <w:color w:val="000000" w:themeColor="text1"/>
          <w14:textFill>
            <w14:solidFill>
              <w14:schemeClr w14:val="tx1"/>
            </w14:solidFill>
          </w14:textFill>
        </w:rPr>
        <w:t>8</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环境管理要求</w:t>
      </w:r>
      <w:bookmarkEnd w:id="131"/>
      <w:bookmarkEnd w:id="132"/>
    </w:p>
    <w:p w14:paraId="5EBC52AD">
      <w:pPr>
        <w:ind w:firstLine="480"/>
        <w:rPr>
          <w:rFonts w:eastAsia="仿宋"/>
          <w:color w:val="000000" w:themeColor="text1"/>
          <w:szCs w:val="20"/>
          <w14:textFill>
            <w14:solidFill>
              <w14:schemeClr w14:val="tx1"/>
            </w14:solidFill>
          </w14:textFill>
        </w:rPr>
      </w:pPr>
      <w:r>
        <w:rPr>
          <w:color w:val="000000" w:themeColor="text1"/>
          <w14:textFill>
            <w14:solidFill>
              <w14:schemeClr w14:val="tx1"/>
            </w14:solidFill>
          </w14:textFill>
        </w:rPr>
        <w:t>本项目在营运期将对周围环境产生一定的影响，因此建设单位应加强环境管理，关管理要求见下表。</w:t>
      </w:r>
    </w:p>
    <w:p w14:paraId="79BCB2A0">
      <w:pPr>
        <w:pStyle w:val="27"/>
        <w:rPr>
          <w:color w:val="000000" w:themeColor="text1"/>
          <w14:textFill>
            <w14:solidFill>
              <w14:schemeClr w14:val="tx1"/>
            </w14:solidFill>
          </w14:textFill>
        </w:rPr>
      </w:pPr>
      <w:bookmarkStart w:id="133" w:name="_Ref472458053"/>
      <w:r>
        <w:rPr>
          <w:color w:val="000000" w:themeColor="text1"/>
          <w14:textFill>
            <w14:solidFill>
              <w14:schemeClr w14:val="tx1"/>
            </w14:solidFill>
          </w14:textFill>
        </w:rPr>
        <w:t>表</w:t>
      </w:r>
      <w:bookmarkEnd w:id="133"/>
      <w:r>
        <w:rPr>
          <w:rFonts w:hint="eastAsia"/>
          <w:color w:val="000000" w:themeColor="text1"/>
          <w14:textFill>
            <w14:solidFill>
              <w14:schemeClr w14:val="tx1"/>
            </w14:solidFill>
          </w14:textFill>
        </w:rPr>
        <w:t>8</w:t>
      </w:r>
      <w:r>
        <w:rPr>
          <w:color w:val="000000" w:themeColor="text1"/>
          <w14:textFill>
            <w14:solidFill>
              <w14:schemeClr w14:val="tx1"/>
            </w14:solidFill>
          </w14:textFill>
        </w:rPr>
        <w:t>.1-1   运营期环境管理要求</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7358"/>
      </w:tblGrid>
      <w:tr w14:paraId="5F02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3" w:type="pct"/>
            <w:vAlign w:val="center"/>
          </w:tcPr>
          <w:p w14:paraId="571DA706">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316" w:type="pct"/>
            <w:vAlign w:val="center"/>
          </w:tcPr>
          <w:p w14:paraId="279D779C">
            <w:pPr>
              <w:pStyle w:val="28"/>
              <w:rPr>
                <w:color w:val="000000" w:themeColor="text1"/>
                <w14:textFill>
                  <w14:solidFill>
                    <w14:schemeClr w14:val="tx1"/>
                  </w14:solidFill>
                </w14:textFill>
              </w:rPr>
            </w:pPr>
            <w:r>
              <w:rPr>
                <w:color w:val="000000" w:themeColor="text1"/>
                <w14:textFill>
                  <w14:solidFill>
                    <w14:schemeClr w14:val="tx1"/>
                  </w14:solidFill>
                </w14:textFill>
              </w:rPr>
              <w:t>运营期环境管理要求及内容</w:t>
            </w:r>
          </w:p>
        </w:tc>
      </w:tr>
      <w:tr w14:paraId="4C5D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7860C26E">
            <w:pPr>
              <w:pStyle w:val="28"/>
              <w:rPr>
                <w:color w:val="000000" w:themeColor="text1"/>
                <w14:textFill>
                  <w14:solidFill>
                    <w14:schemeClr w14:val="tx1"/>
                  </w14:solidFill>
                </w14:textFill>
              </w:rPr>
            </w:pPr>
            <w:r>
              <w:rPr>
                <w:color w:val="000000" w:themeColor="text1"/>
                <w14:textFill>
                  <w14:solidFill>
                    <w14:schemeClr w14:val="tx1"/>
                  </w14:solidFill>
                </w14:textFill>
              </w:rPr>
              <w:t>环境管理措施</w:t>
            </w:r>
          </w:p>
        </w:tc>
        <w:tc>
          <w:tcPr>
            <w:tcW w:w="4316" w:type="pct"/>
            <w:vAlign w:val="center"/>
          </w:tcPr>
          <w:p w14:paraId="330FDCC3">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设立内部环境保护管理机构，专人负责环境保护工作，实行定岗定员，岗位责任制，负责各生产环节的环境保护管理。</w:t>
            </w:r>
          </w:p>
          <w:p w14:paraId="029506C6">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加强对厂内职工的环保宣传、教育工作，制定厂内生产环境管理规章制度要上墙张贴。</w:t>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t>各项环保设施的管理纳入到日常管理工作的范畴，落实责任人、操作人员、维修人员，确保运行经费、设备的备品备件和其他原辅材料完善。</w:t>
            </w:r>
          </w:p>
          <w:p w14:paraId="2A319CEB">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配备1-2名环境管理人员，负责运营期各项环保措施落实、运行情况。</w:t>
            </w:r>
          </w:p>
        </w:tc>
      </w:tr>
      <w:tr w14:paraId="3E2C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3FAA11E7">
            <w:pPr>
              <w:pStyle w:val="28"/>
              <w:rPr>
                <w:color w:val="000000" w:themeColor="text1"/>
                <w14:textFill>
                  <w14:solidFill>
                    <w14:schemeClr w14:val="tx1"/>
                  </w14:solidFill>
                </w14:textFill>
              </w:rPr>
            </w:pPr>
            <w:r>
              <w:rPr>
                <w:color w:val="000000" w:themeColor="text1"/>
                <w14:textFill>
                  <w14:solidFill>
                    <w14:schemeClr w14:val="tx1"/>
                  </w14:solidFill>
                </w14:textFill>
              </w:rPr>
              <w:t>废水控制措施</w:t>
            </w:r>
          </w:p>
        </w:tc>
        <w:tc>
          <w:tcPr>
            <w:tcW w:w="4316" w:type="pct"/>
            <w:vAlign w:val="center"/>
          </w:tcPr>
          <w:p w14:paraId="7A7D90E6">
            <w:pPr>
              <w:pStyle w:val="28"/>
              <w:jc w:val="left"/>
              <w:rPr>
                <w:color w:val="000000" w:themeColor="text1"/>
                <w14:textFill>
                  <w14:solidFill>
                    <w14:schemeClr w14:val="tx1"/>
                  </w14:solidFill>
                </w14:textFill>
              </w:rPr>
            </w:pPr>
            <w:r>
              <w:rPr>
                <w:color w:val="000000" w:themeColor="text1"/>
                <w14:textFill>
                  <w14:solidFill>
                    <w14:schemeClr w14:val="tx1"/>
                  </w14:solidFill>
                </w14:textFill>
              </w:rPr>
              <w:t>落实专人负责制度，废水处理设施需由专人维护保养并挂牌明示。做好废水设施的日常运行记录，建立健全管理台帐，了解处理设施的动态信息，确保废水处理设施的正常运行。</w:t>
            </w:r>
          </w:p>
        </w:tc>
      </w:tr>
      <w:tr w14:paraId="3442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54F8863E">
            <w:pPr>
              <w:pStyle w:val="28"/>
              <w:rPr>
                <w:color w:val="000000" w:themeColor="text1"/>
                <w14:textFill>
                  <w14:solidFill>
                    <w14:schemeClr w14:val="tx1"/>
                  </w14:solidFill>
                </w14:textFill>
              </w:rPr>
            </w:pPr>
            <w:r>
              <w:rPr>
                <w:color w:val="000000" w:themeColor="text1"/>
                <w14:textFill>
                  <w14:solidFill>
                    <w14:schemeClr w14:val="tx1"/>
                  </w14:solidFill>
                </w14:textFill>
              </w:rPr>
              <w:t>废气控制措施</w:t>
            </w:r>
          </w:p>
        </w:tc>
        <w:tc>
          <w:tcPr>
            <w:tcW w:w="4316" w:type="pct"/>
            <w:vAlign w:val="center"/>
          </w:tcPr>
          <w:p w14:paraId="5D42DD86">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按照</w:t>
            </w:r>
            <w:r>
              <w:rPr>
                <w:rFonts w:hint="eastAsia"/>
                <w:color w:val="000000" w:themeColor="text1"/>
                <w14:textFill>
                  <w14:solidFill>
                    <w14:schemeClr w14:val="tx1"/>
                  </w14:solidFill>
                </w14:textFill>
              </w:rPr>
              <w:t>《排污单位污染物排放口监测点位设置技术规范》（HJ1405-2024）</w:t>
            </w:r>
            <w:r>
              <w:rPr>
                <w:color w:val="000000" w:themeColor="text1"/>
                <w14:textFill>
                  <w14:solidFill>
                    <w14:schemeClr w14:val="tx1"/>
                  </w14:solidFill>
                </w14:textFill>
              </w:rPr>
              <w:t>，建设项目废气排放口，废气排气筒高度应符合国家大气污染物排放标准的有关规定，排气筒均应设置便于采样、监测的采样口和采样监测平台，在排气筒附近地面醒目处设置环保图形标志牌，标明排气筒高度、出口内径、排放污染物种类等。</w:t>
            </w:r>
          </w:p>
          <w:p w14:paraId="6939582F">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严格执行安全操作规程和劳动防护制度，建立维检制度，由专人负责定期检查、记录设施情况，定期检修；建立健全岗位责任制、制定正确的操作规程、建立管理台账。</w:t>
            </w:r>
          </w:p>
          <w:p w14:paraId="57F9029A">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废气净化装置排放口定期进行定期监测。</w:t>
            </w:r>
          </w:p>
          <w:p w14:paraId="06E5ADA2">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废气处理设施均应安装电力监控。</w:t>
            </w:r>
          </w:p>
        </w:tc>
      </w:tr>
      <w:tr w14:paraId="7C45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026FF22B">
            <w:pPr>
              <w:pStyle w:val="28"/>
              <w:rPr>
                <w:color w:val="000000" w:themeColor="text1"/>
                <w14:textFill>
                  <w14:solidFill>
                    <w14:schemeClr w14:val="tx1"/>
                  </w14:solidFill>
                </w14:textFill>
              </w:rPr>
            </w:pPr>
            <w:r>
              <w:rPr>
                <w:color w:val="000000" w:themeColor="text1"/>
                <w14:textFill>
                  <w14:solidFill>
                    <w14:schemeClr w14:val="tx1"/>
                  </w14:solidFill>
                </w14:textFill>
              </w:rPr>
              <w:t>噪声控制措施</w:t>
            </w:r>
          </w:p>
        </w:tc>
        <w:tc>
          <w:tcPr>
            <w:tcW w:w="4316" w:type="pct"/>
            <w:vAlign w:val="center"/>
          </w:tcPr>
          <w:p w14:paraId="1BA9FA58">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固定噪声污染源对边界影响最大处，设置噪声</w:t>
            </w:r>
            <w:bookmarkStart w:id="202" w:name="_GoBack"/>
            <w:bookmarkEnd w:id="202"/>
            <w:r>
              <w:rPr>
                <w:color w:val="000000" w:themeColor="text1"/>
                <w14:textFill>
                  <w14:solidFill>
                    <w14:schemeClr w14:val="tx1"/>
                  </w14:solidFill>
                </w14:textFill>
              </w:rPr>
              <w:t>监测点，同时设置标志牌。</w:t>
            </w:r>
          </w:p>
          <w:p w14:paraId="62F5C794">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合理布局，尽可能将噪声设备集中布置、集中管理，在主体建筑设计中，墙体要采取隔声、吸声效果好的建筑材料，采用隔声门窗；并充分利用距离衰减。</w:t>
            </w:r>
          </w:p>
          <w:p w14:paraId="09F65FCC">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选用低噪声设备，在设备运行时，加强设备维修与日常保养，使之正常运转。</w:t>
            </w:r>
          </w:p>
          <w:p w14:paraId="4BC5BF38">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较大的噪声源在设备安装时，须对噪声源进行屏蔽、隔声、减振、消声，以控制厂界噪声的达标排放。</w:t>
            </w:r>
          </w:p>
        </w:tc>
      </w:tr>
      <w:tr w14:paraId="54CA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83" w:type="pct"/>
            <w:vAlign w:val="center"/>
          </w:tcPr>
          <w:p w14:paraId="16BE1451">
            <w:pPr>
              <w:pStyle w:val="28"/>
              <w:rPr>
                <w:color w:val="000000" w:themeColor="text1"/>
                <w14:textFill>
                  <w14:solidFill>
                    <w14:schemeClr w14:val="tx1"/>
                  </w14:solidFill>
                </w14:textFill>
              </w:rPr>
            </w:pPr>
            <w:r>
              <w:rPr>
                <w:color w:val="000000" w:themeColor="text1"/>
                <w14:textFill>
                  <w14:solidFill>
                    <w14:schemeClr w14:val="tx1"/>
                  </w14:solidFill>
                </w14:textFill>
              </w:rPr>
              <w:t>固废处理措施</w:t>
            </w:r>
          </w:p>
        </w:tc>
        <w:tc>
          <w:tcPr>
            <w:tcW w:w="4316" w:type="pct"/>
            <w:vAlign w:val="center"/>
          </w:tcPr>
          <w:p w14:paraId="151E2D30">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危险废物在厂区暂存，按照《危险废物贮存污染控制标准》(GB18597-20</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 建设，按照《环境保护图形标志—固体废物贮存（处置场）》（GB15562.2-1995）</w:t>
            </w:r>
            <w:r>
              <w:rPr>
                <w:rFonts w:hint="eastAsia"/>
                <w:color w:val="000000" w:themeColor="text1"/>
                <w14:textFill>
                  <w14:solidFill>
                    <w14:schemeClr w14:val="tx1"/>
                  </w14:solidFill>
                </w14:textFill>
              </w:rPr>
              <w:t>修改单</w:t>
            </w:r>
            <w:r>
              <w:rPr>
                <w:color w:val="000000" w:themeColor="text1"/>
                <w14:textFill>
                  <w14:solidFill>
                    <w14:schemeClr w14:val="tx1"/>
                  </w14:solidFill>
                </w14:textFill>
              </w:rPr>
              <w:t>中的要求设置环境保护图形标志。</w:t>
            </w:r>
          </w:p>
          <w:p w14:paraId="41B84209">
            <w:pPr>
              <w:pStyle w:val="2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项目所有危险废物均委托有资质单位无害化处置，不得给环境带来二次污染；生活垃圾集中收集，及时运出。</w:t>
            </w:r>
          </w:p>
        </w:tc>
      </w:tr>
    </w:tbl>
    <w:p w14:paraId="69E9AB96">
      <w:pPr>
        <w:pStyle w:val="4"/>
        <w:rPr>
          <w:color w:val="000000" w:themeColor="text1"/>
          <w14:textFill>
            <w14:solidFill>
              <w14:schemeClr w14:val="tx1"/>
            </w14:solidFill>
          </w14:textFill>
        </w:rPr>
      </w:pPr>
      <w:bookmarkStart w:id="134" w:name="_Toc5832"/>
      <w:bookmarkStart w:id="135" w:name="_Toc7486"/>
      <w:r>
        <w:rPr>
          <w:rFonts w:hint="eastAsia"/>
          <w:color w:val="000000" w:themeColor="text1"/>
          <w14:textFill>
            <w14:solidFill>
              <w14:schemeClr w14:val="tx1"/>
            </w14:solidFill>
          </w14:textFill>
        </w:rPr>
        <w:t>8.1.2环境管理制度</w:t>
      </w:r>
      <w:bookmarkEnd w:id="134"/>
      <w:bookmarkEnd w:id="135"/>
    </w:p>
    <w:p w14:paraId="44687C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公司在运行过程，应依据当前环境保护管理要求，分别制定公司内部的环境管理制度：</w:t>
      </w:r>
    </w:p>
    <w:p w14:paraId="777646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环境影响评价制度。公司在新建、改建、扩建相关工程时，应按《中华人民共和国生态环境法典》（2026年3月12日第十四届全国人民代表大会第四次会议通过）要求，委托有资质环评单位开展环境影响评价工作。</w:t>
      </w:r>
    </w:p>
    <w:p w14:paraId="0F697E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三同时”制度。建设项目需要配套建设的环境保护设施，必须与主体工程同时设计、同时施工、同时投产使用；主体工程完工后，其配套建设的环境保护设施必须与主体工程同时投入运行。待建设项目稳定运行后，建设单位应当按照国务院环境保护行政主管部门规定的标准和程序，对配套建设的环境保护设施进行验收。</w:t>
      </w:r>
    </w:p>
    <w:p w14:paraId="5D267C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（3）排污许可证制度。公司投运后，为了控制和减少污染物排放，规范排污许可行为，应按《排污许可管理条例》规定申请领取排污许可证。</w:t>
      </w:r>
    </w:p>
    <w:p w14:paraId="28897E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（4）“环保税”制度，公司应当依照《中华人民共和国环境保护税法》规定缴纳环境保护税。</w:t>
      </w:r>
    </w:p>
    <w:p w14:paraId="3DBCED5C">
      <w:pPr>
        <w:pStyle w:val="4"/>
        <w:rPr>
          <w:color w:val="000000" w:themeColor="text1"/>
          <w14:textFill>
            <w14:solidFill>
              <w14:schemeClr w14:val="tx1"/>
            </w14:solidFill>
          </w14:textFill>
        </w:rPr>
      </w:pPr>
      <w:bookmarkStart w:id="136" w:name="_Toc2157"/>
      <w:bookmarkStart w:id="137" w:name="_Toc32228"/>
      <w:r>
        <w:rPr>
          <w:rFonts w:hint="eastAsia"/>
          <w:color w:val="000000" w:themeColor="text1"/>
          <w14:textFill>
            <w14:solidFill>
              <w14:schemeClr w14:val="tx1"/>
            </w14:solidFill>
          </w14:textFill>
        </w:rPr>
        <w:t>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3建立环境管理机构</w:t>
      </w:r>
      <w:bookmarkEnd w:id="136"/>
      <w:bookmarkEnd w:id="137"/>
    </w:p>
    <w:p w14:paraId="13EABE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企业应加强环境管理机构，配置专职负责人和技术人员，负责全厂运营期环境监测，日常环境管理工作。工厂的法定负责人是控制污染、保护环境的法律责任者，应建立相应的环境管理体系和监控计划，形成一套有效的环境管理办法，实施该项目的环境管理和监督。环境管理机构设置示意图，见图8</w:t>
      </w:r>
      <w:r>
        <w:rPr>
          <w:color w:val="000000" w:themeColor="text1"/>
          <w14:textFill>
            <w14:solidFill>
              <w14:schemeClr w14:val="tx1"/>
            </w14:solidFill>
          </w14:textFill>
        </w:rPr>
        <w:t>.1-1</w:t>
      </w:r>
    </w:p>
    <w:p w14:paraId="2F92C485">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19625" cy="3102610"/>
            <wp:effectExtent l="0" t="0" r="9525" b="2540"/>
            <wp:docPr id="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4"/>
                    <pic:cNvPicPr>
                      <a:picLocks noChangeAspect="1"/>
                    </pic:cNvPicPr>
                  </pic:nvPicPr>
                  <pic:blipFill>
                    <a:blip r:embed="rId72"/>
                    <a:stretch>
                      <a:fillRect/>
                    </a:stretch>
                  </pic:blipFill>
                  <pic:spPr>
                    <a:xfrm>
                      <a:off x="0" y="0"/>
                      <a:ext cx="4619625" cy="3102610"/>
                    </a:xfrm>
                    <a:prstGeom prst="rect">
                      <a:avLst/>
                    </a:prstGeom>
                    <a:noFill/>
                    <a:ln>
                      <a:noFill/>
                    </a:ln>
                  </pic:spPr>
                </pic:pic>
              </a:graphicData>
            </a:graphic>
          </wp:inline>
        </w:drawing>
      </w:r>
    </w:p>
    <w:p w14:paraId="2C89FF8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图8</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环境管理机构设置示意图</w:t>
      </w:r>
    </w:p>
    <w:p w14:paraId="451CB66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主要职责：</w:t>
      </w:r>
    </w:p>
    <w:p w14:paraId="798DAD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①根据有关法规，结合本项目实际情况，制定环境管理与行动计划，监督、落实监测计划的实施；</w:t>
      </w:r>
    </w:p>
    <w:p w14:paraId="4B4081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②加强设备养护，堵截跑、冒、滴、漏；</w:t>
      </w:r>
    </w:p>
    <w:p w14:paraId="04B51F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③大修期间应同时对环保设施进行检修，清除杂物，保证管路畅通，需要更换的零部件应予更换；</w:t>
      </w:r>
    </w:p>
    <w:p w14:paraId="337468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④负责监督管理污水处理设施、固废堆场及其他“三废”治理设施的运转和维护工作；</w:t>
      </w:r>
    </w:p>
    <w:p w14:paraId="13E158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⑤定期进行清洁生产的审计，提高企业的清洁生产水平；</w:t>
      </w:r>
    </w:p>
    <w:p w14:paraId="471FEA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⑥负责环境管理及监测档案管理和统计上报工作；</w:t>
      </w:r>
    </w:p>
    <w:p w14:paraId="2E7155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⑦与有关生态环境主管部门密切联系，做好其他环保工作。</w:t>
      </w:r>
    </w:p>
    <w:p w14:paraId="4CF76882">
      <w:pPr>
        <w:pStyle w:val="4"/>
        <w:rPr>
          <w:color w:val="000000" w:themeColor="text1"/>
          <w14:textFill>
            <w14:solidFill>
              <w14:schemeClr w14:val="tx1"/>
            </w14:solidFill>
          </w14:textFill>
        </w:rPr>
      </w:pPr>
      <w:bookmarkStart w:id="138" w:name="_Toc24085"/>
      <w:bookmarkStart w:id="139" w:name="_Toc31938"/>
      <w:r>
        <w:rPr>
          <w:rFonts w:hint="eastAsia"/>
          <w:color w:val="000000" w:themeColor="text1"/>
          <w14:textFill>
            <w14:solidFill>
              <w14:schemeClr w14:val="tx1"/>
            </w14:solidFill>
          </w14:textFill>
        </w:rPr>
        <w:t>8.1.4环境管理台账</w:t>
      </w:r>
      <w:bookmarkEnd w:id="138"/>
      <w:bookmarkEnd w:id="139"/>
    </w:p>
    <w:p w14:paraId="01FF5BE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（1）危险化学品管理台账</w:t>
      </w:r>
    </w:p>
    <w:p w14:paraId="0389AB50">
      <w:pPr>
        <w:ind w:firstLine="480"/>
        <w:rPr>
          <w:color w:val="000000" w:themeColor="text1"/>
          <w14:textFill>
            <w14:solidFill>
              <w14:schemeClr w14:val="tx1"/>
            </w14:solidFill>
          </w14:textFill>
        </w:rPr>
      </w:pPr>
      <w:r>
        <w:rPr>
          <w:color w:val="000000" w:themeColor="text1"/>
          <w14:textFill>
            <w14:solidFill>
              <w14:schemeClr w14:val="tx1"/>
            </w14:solidFill>
          </w14:textFill>
        </w:rPr>
        <w:t>危险化学品管理台账需遵循 “全流程覆盖、信息真实完整、动态更新、责任可追溯” 原则，核心依据《危险化学品安全管理条例》《危险化学品仓库储存通则》等法规标准，覆盖采购、储存、使用、运输、废弃处置全环节，剧毒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易制爆等特殊品类需执行 “五双” 管理并强化电子追溯</w:t>
      </w:r>
      <w:r>
        <w:rPr>
          <w:rFonts w:hint="eastAsia"/>
          <w:color w:val="000000" w:themeColor="text1"/>
          <w14:textFill>
            <w14:solidFill>
              <w14:schemeClr w14:val="tx1"/>
            </w14:solidFill>
          </w14:textFill>
        </w:rPr>
        <w:t>。</w:t>
      </w:r>
    </w:p>
    <w:p w14:paraId="4A7114A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（2）废气、废水处理设施</w:t>
      </w:r>
    </w:p>
    <w:p w14:paraId="6F32F5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落实专人负责制度，废气、废水处理设施需由专人维护保养并挂牌明示。做好废气、废水设施的日常运行记录，建立健全管理台帐，了解处理设施的动态信息，确保废气、废水处理设施的正常运行。</w:t>
      </w:r>
    </w:p>
    <w:p w14:paraId="10FA987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（3）固废规范管理台账</w:t>
      </w:r>
    </w:p>
    <w:p w14:paraId="78B7FE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司应通过“云南省危险废物动态管理信息系统”进行危险废物申报登记，将危险废物的实际产生、贮存、利用、处置等情况纳入生产记录，建立危险废物管理台账和企业内部产生和收集、贮存、转移等部门危险废物交接制度。</w:t>
      </w:r>
    </w:p>
    <w:p w14:paraId="6087F705">
      <w:pPr>
        <w:pStyle w:val="3"/>
        <w:rPr>
          <w:color w:val="000000" w:themeColor="text1"/>
          <w14:textFill>
            <w14:solidFill>
              <w14:schemeClr w14:val="tx1"/>
            </w14:solidFill>
          </w14:textFill>
        </w:rPr>
      </w:pPr>
      <w:bookmarkStart w:id="140" w:name="_Toc9957"/>
      <w:r>
        <w:rPr>
          <w:rFonts w:hint="eastAsia"/>
          <w:color w:val="000000" w:themeColor="text1"/>
          <w14:textFill>
            <w14:solidFill>
              <w14:schemeClr w14:val="tx1"/>
            </w14:solidFill>
          </w14:textFill>
        </w:rPr>
        <w:t>8.2环境监理</w:t>
      </w:r>
      <w:bookmarkEnd w:id="140"/>
    </w:p>
    <w:p w14:paraId="24F6DE9F">
      <w:pPr>
        <w:ind w:firstLine="480"/>
        <w:rPr>
          <w:color w:val="000000" w:themeColor="text1"/>
          <w:sz w:val="28"/>
          <w14:textFill>
            <w14:solidFill>
              <w14:schemeClr w14:val="tx1"/>
            </w14:solidFill>
          </w14:textFill>
        </w:rPr>
      </w:pPr>
      <w:r>
        <w:rPr>
          <w:rFonts w:hint="eastAsia"/>
          <w:color w:val="000000" w:themeColor="text1"/>
          <w14:textFill>
            <w14:solidFill>
              <w14:schemeClr w14:val="tx1"/>
            </w14:solidFill>
          </w14:textFill>
        </w:rPr>
        <w:t>本项目环境监理内容见表8.2</w:t>
      </w:r>
      <w:r>
        <w:rPr>
          <w:color w:val="000000" w:themeColor="text1"/>
          <w14:textFill>
            <w14:solidFill>
              <w14:schemeClr w14:val="tx1"/>
            </w14:solidFill>
          </w14:textFill>
        </w:rPr>
        <w:t>-1</w:t>
      </w:r>
      <w:r>
        <w:rPr>
          <w:rFonts w:hint="eastAsia"/>
          <w:color w:val="000000" w:themeColor="text1"/>
          <w:sz w:val="28"/>
          <w14:textFill>
            <w14:solidFill>
              <w14:schemeClr w14:val="tx1"/>
            </w14:solidFill>
          </w14:textFill>
        </w:rPr>
        <w:t>。</w:t>
      </w:r>
    </w:p>
    <w:p w14:paraId="7D506228">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环境监理内容一览表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515"/>
        <w:gridCol w:w="7542"/>
      </w:tblGrid>
      <w:tr w14:paraId="585A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743A77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02" w:type="pct"/>
            <w:vAlign w:val="center"/>
          </w:tcPr>
          <w:p w14:paraId="778CEE8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阶段</w:t>
            </w:r>
          </w:p>
        </w:tc>
        <w:tc>
          <w:tcPr>
            <w:tcW w:w="4423" w:type="pct"/>
            <w:vAlign w:val="center"/>
          </w:tcPr>
          <w:p w14:paraId="2508C8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监理内容</w:t>
            </w:r>
          </w:p>
        </w:tc>
      </w:tr>
      <w:tr w14:paraId="518F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67A567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02" w:type="pct"/>
            <w:vMerge w:val="restart"/>
            <w:vAlign w:val="center"/>
          </w:tcPr>
          <w:p w14:paraId="1BC2897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tc>
        <w:tc>
          <w:tcPr>
            <w:tcW w:w="4423" w:type="pct"/>
            <w:vAlign w:val="center"/>
          </w:tcPr>
          <w:p w14:paraId="4639AF0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土建与环保设施施工：核查一体化污水处理站、危废暂存间、粉尘收集系统、喷淋系统等环保设施的施工图纸落实情况，检查设备选型、安装精度是否符合设计要求，留存施工记录与设备资质文件。</w:t>
            </w:r>
          </w:p>
        </w:tc>
      </w:tr>
      <w:tr w14:paraId="5298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31327B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02" w:type="pct"/>
            <w:vMerge w:val="continue"/>
            <w:vAlign w:val="center"/>
          </w:tcPr>
          <w:p w14:paraId="421E111E">
            <w:pPr>
              <w:pStyle w:val="28"/>
              <w:rPr>
                <w:color w:val="000000" w:themeColor="text1"/>
                <w14:textFill>
                  <w14:solidFill>
                    <w14:schemeClr w14:val="tx1"/>
                  </w14:solidFill>
                </w14:textFill>
              </w:rPr>
            </w:pPr>
          </w:p>
        </w:tc>
        <w:tc>
          <w:tcPr>
            <w:tcW w:w="4423" w:type="pct"/>
            <w:vAlign w:val="center"/>
          </w:tcPr>
          <w:p w14:paraId="0BCD6AD3">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防渗工程监理：重点监督危废暂存间、废水池、喷淋排污水暂存区的防渗施工，核查防渗材料（HDPE膜、黏土、防渗混凝土等）的检测报告，检查施工工艺（如HDPE膜焊接、黏土压实）是否合规，参与防渗性能检测（渗透系数、等效黏土层厚度），确保满足K≤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cm/s、等效黏土层Mb≥6.0m（重点防渗区）要求。</w:t>
            </w:r>
          </w:p>
        </w:tc>
      </w:tr>
      <w:tr w14:paraId="718D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18E4D2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02" w:type="pct"/>
            <w:vMerge w:val="continue"/>
            <w:vAlign w:val="center"/>
          </w:tcPr>
          <w:p w14:paraId="548F54AC">
            <w:pPr>
              <w:pStyle w:val="28"/>
              <w:rPr>
                <w:color w:val="000000" w:themeColor="text1"/>
                <w14:textFill>
                  <w14:solidFill>
                    <w14:schemeClr w14:val="tx1"/>
                  </w14:solidFill>
                </w14:textFill>
              </w:rPr>
            </w:pPr>
          </w:p>
        </w:tc>
        <w:tc>
          <w:tcPr>
            <w:tcW w:w="4423" w:type="pct"/>
            <w:vAlign w:val="center"/>
          </w:tcPr>
          <w:p w14:paraId="415EFE7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施工期污染控制：监督施工扬尘（洒水降尘、围挡防护）、施工废水（沉淀池处理后回用）、施工噪声（避开敏感时段、选用低噪声设备）、施工固废（分类处置，建筑垃圾回收利用，生活垃圾委托环卫清运）的管控措施落实情况。</w:t>
            </w:r>
          </w:p>
        </w:tc>
      </w:tr>
      <w:tr w14:paraId="508D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D9E41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02" w:type="pct"/>
            <w:vMerge w:val="continue"/>
            <w:vAlign w:val="center"/>
          </w:tcPr>
          <w:p w14:paraId="77C65B53">
            <w:pPr>
              <w:pStyle w:val="28"/>
              <w:rPr>
                <w:color w:val="000000" w:themeColor="text1"/>
                <w14:textFill>
                  <w14:solidFill>
                    <w14:schemeClr w14:val="tx1"/>
                  </w14:solidFill>
                </w14:textFill>
              </w:rPr>
            </w:pPr>
          </w:p>
        </w:tc>
        <w:tc>
          <w:tcPr>
            <w:tcW w:w="4423" w:type="pct"/>
            <w:vAlign w:val="center"/>
          </w:tcPr>
          <w:p w14:paraId="6BC97B21">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生态保护：监督施工区域绿化恢复工程，核查绿化面积、植被选型是否符合环评要求，避免施工破坏周边生态环境。</w:t>
            </w:r>
          </w:p>
        </w:tc>
      </w:tr>
      <w:tr w14:paraId="1894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137722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02" w:type="pct"/>
            <w:vMerge w:val="restart"/>
            <w:vAlign w:val="center"/>
          </w:tcPr>
          <w:p w14:paraId="3DEF55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c>
          <w:tcPr>
            <w:tcW w:w="4423" w:type="pct"/>
            <w:vAlign w:val="center"/>
          </w:tcPr>
          <w:p w14:paraId="18C9FFD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废气治理：监督粉尘负压收集系统、废气吸附装置（如活性炭吸附）的运行状态，核查风机、吸附剂更换记录，定期检查废气排放口监测数据，确保粉尘、硫化物、有机溶剂等污染物达标排放。​</w:t>
            </w:r>
          </w:p>
        </w:tc>
      </w:tr>
      <w:tr w14:paraId="47B3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4A16AB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02" w:type="pct"/>
            <w:vMerge w:val="continue"/>
            <w:vAlign w:val="center"/>
          </w:tcPr>
          <w:p w14:paraId="13FAAA4F">
            <w:pPr>
              <w:pStyle w:val="28"/>
              <w:rPr>
                <w:color w:val="000000" w:themeColor="text1"/>
                <w14:textFill>
                  <w14:solidFill>
                    <w14:schemeClr w14:val="tx1"/>
                  </w14:solidFill>
                </w14:textFill>
              </w:rPr>
            </w:pPr>
          </w:p>
        </w:tc>
        <w:tc>
          <w:tcPr>
            <w:tcW w:w="4423" w:type="pct"/>
            <w:vAlign w:val="center"/>
          </w:tcPr>
          <w:p w14:paraId="46BCFEB6">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监督一体化污水处理站运行，核查处理工艺（物化/生化）、药剂投加量、水力停留时间是否符合要求，检查进出水水质监测数据，确保处理后废水达标排放，跟踪污泥清掏、处置情况，留存处置单位资质与转移记录。​</w:t>
            </w:r>
          </w:p>
        </w:tc>
      </w:tr>
      <w:tr w14:paraId="4993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03059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02" w:type="pct"/>
            <w:vMerge w:val="continue"/>
            <w:vAlign w:val="center"/>
          </w:tcPr>
          <w:p w14:paraId="69C55EAF">
            <w:pPr>
              <w:pStyle w:val="28"/>
              <w:rPr>
                <w:color w:val="000000" w:themeColor="text1"/>
                <w14:textFill>
                  <w14:solidFill>
                    <w14:schemeClr w14:val="tx1"/>
                  </w14:solidFill>
                </w14:textFill>
              </w:rPr>
            </w:pPr>
          </w:p>
        </w:tc>
        <w:tc>
          <w:tcPr>
            <w:tcW w:w="4423" w:type="pct"/>
            <w:vAlign w:val="center"/>
          </w:tcPr>
          <w:p w14:paraId="52D2E5B1">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固废处置：严格监督危废全流程管理，核查废包装材料、废有机溶剂、废活性炭、测试残渣等危废的分类收集、带盖容器贮存、危废暂存间分区摆放情况，检查危废标签、暂存台账、转移联单的规范性，确保委托有资质单位处置；监督生活垃圾统一收集、环卫清运情况，禁止混存混运。​</w:t>
            </w:r>
          </w:p>
        </w:tc>
      </w:tr>
      <w:tr w14:paraId="7F55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229F9D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02" w:type="pct"/>
            <w:vMerge w:val="continue"/>
            <w:vAlign w:val="center"/>
          </w:tcPr>
          <w:p w14:paraId="63B01A44">
            <w:pPr>
              <w:pStyle w:val="28"/>
              <w:rPr>
                <w:color w:val="000000" w:themeColor="text1"/>
                <w14:textFill>
                  <w14:solidFill>
                    <w14:schemeClr w14:val="tx1"/>
                  </w14:solidFill>
                </w14:textFill>
              </w:rPr>
            </w:pPr>
          </w:p>
        </w:tc>
        <w:tc>
          <w:tcPr>
            <w:tcW w:w="4423" w:type="pct"/>
            <w:vAlign w:val="center"/>
          </w:tcPr>
          <w:p w14:paraId="44833F32">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噪声控制：定期检查生产设备噪声治理措施（减振垫、隔声罩）的运行状态，监测厂界噪声是否达标，避免影响周边敏感点。​</w:t>
            </w:r>
          </w:p>
        </w:tc>
      </w:tr>
      <w:tr w14:paraId="5069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FADA1A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02" w:type="pct"/>
            <w:vMerge w:val="continue"/>
            <w:vAlign w:val="center"/>
          </w:tcPr>
          <w:p w14:paraId="4EA486D1">
            <w:pPr>
              <w:pStyle w:val="28"/>
              <w:rPr>
                <w:color w:val="000000" w:themeColor="text1"/>
                <w14:textFill>
                  <w14:solidFill>
                    <w14:schemeClr w14:val="tx1"/>
                  </w14:solidFill>
                </w14:textFill>
              </w:rPr>
            </w:pPr>
          </w:p>
        </w:tc>
        <w:tc>
          <w:tcPr>
            <w:tcW w:w="4423" w:type="pct"/>
            <w:vAlign w:val="center"/>
          </w:tcPr>
          <w:p w14:paraId="422F435C">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地下水与土壤防控：定期检查防渗区域是否存在渗漏、破损，核查地下水监测井的监测数据（pH、硫化物、重金属等），若发现异常及时督促排查整改，防范土壤与地下水污染。​</w:t>
            </w:r>
          </w:p>
        </w:tc>
      </w:tr>
      <w:tr w14:paraId="1BA7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68271C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02" w:type="pct"/>
            <w:vMerge w:val="continue"/>
            <w:vAlign w:val="center"/>
          </w:tcPr>
          <w:p w14:paraId="4EEB96A5">
            <w:pPr>
              <w:pStyle w:val="28"/>
              <w:rPr>
                <w:color w:val="000000" w:themeColor="text1"/>
                <w14:textFill>
                  <w14:solidFill>
                    <w14:schemeClr w14:val="tx1"/>
                  </w14:solidFill>
                </w14:textFill>
              </w:rPr>
            </w:pPr>
          </w:p>
        </w:tc>
        <w:tc>
          <w:tcPr>
            <w:tcW w:w="4423" w:type="pct"/>
            <w:vAlign w:val="center"/>
          </w:tcPr>
          <w:p w14:paraId="27E38CB9">
            <w:pPr>
              <w:pStyle w:val="28"/>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环保设施运维：核查环保设施运维台账（运行记录、维修记录、药剂采购记录、吸附剂更换记录等）的完整性、真实性，确保设施正常运行率100%，杜绝擅自停运、闲置环保设施。</w:t>
            </w:r>
          </w:p>
        </w:tc>
      </w:tr>
    </w:tbl>
    <w:p w14:paraId="45A3871F">
      <w:pPr>
        <w:pStyle w:val="3"/>
        <w:rPr>
          <w:color w:val="000000" w:themeColor="text1"/>
          <w14:textFill>
            <w14:solidFill>
              <w14:schemeClr w14:val="tx1"/>
            </w14:solidFill>
          </w14:textFill>
        </w:rPr>
      </w:pPr>
      <w:bookmarkStart w:id="141" w:name="_Toc22706"/>
      <w:r>
        <w:rPr>
          <w:rFonts w:hint="eastAsia"/>
          <w:color w:val="000000" w:themeColor="text1"/>
          <w14:textFill>
            <w14:solidFill>
              <w14:schemeClr w14:val="tx1"/>
            </w14:solidFill>
          </w14:textFill>
        </w:rPr>
        <w:t>8.3环境监测</w:t>
      </w:r>
      <w:bookmarkEnd w:id="141"/>
    </w:p>
    <w:p w14:paraId="2D837E1D">
      <w:pPr>
        <w:pStyle w:val="4"/>
        <w:rPr>
          <w:color w:val="000000" w:themeColor="text1"/>
          <w14:textFill>
            <w14:solidFill>
              <w14:schemeClr w14:val="tx1"/>
            </w14:solidFill>
          </w14:textFill>
        </w:rPr>
      </w:pPr>
      <w:bookmarkStart w:id="142" w:name="_Toc1374"/>
      <w:r>
        <w:rPr>
          <w:rFonts w:hint="eastAsia"/>
          <w:color w:val="000000" w:themeColor="text1"/>
          <w14:textFill>
            <w14:solidFill>
              <w14:schemeClr w14:val="tx1"/>
            </w14:solidFill>
          </w14:textFill>
        </w:rPr>
        <w:t>8.3.1验收监测计划</w:t>
      </w:r>
      <w:bookmarkEnd w:id="142"/>
    </w:p>
    <w:p w14:paraId="2889ED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按照“环保三同时”要求，项目建成投产后及时组织竣工环境保护验收，项目环保竣工验收监测见下表。</w:t>
      </w:r>
    </w:p>
    <w:p w14:paraId="4E74FEC8">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8.3</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验收</w:t>
      </w:r>
      <w:r>
        <w:rPr>
          <w:color w:val="000000" w:themeColor="text1"/>
          <w14:textFill>
            <w14:solidFill>
              <w14:schemeClr w14:val="tx1"/>
            </w14:solidFill>
          </w14:textFill>
        </w:rPr>
        <w:t>监测计划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699"/>
        <w:gridCol w:w="2585"/>
        <w:gridCol w:w="1917"/>
        <w:gridCol w:w="2539"/>
      </w:tblGrid>
      <w:tr w14:paraId="7C91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14:paraId="795F1D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监测类型</w:t>
            </w:r>
          </w:p>
        </w:tc>
        <w:tc>
          <w:tcPr>
            <w:tcW w:w="410" w:type="pct"/>
            <w:vAlign w:val="center"/>
          </w:tcPr>
          <w:p w14:paraId="5101E8E2">
            <w:pPr>
              <w:pStyle w:val="28"/>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517" w:type="pct"/>
            <w:vAlign w:val="center"/>
          </w:tcPr>
          <w:p w14:paraId="5150161E">
            <w:pPr>
              <w:pStyle w:val="28"/>
              <w:rPr>
                <w:color w:val="000000" w:themeColor="text1"/>
                <w14:textFill>
                  <w14:solidFill>
                    <w14:schemeClr w14:val="tx1"/>
                  </w14:solidFill>
                </w14:textFill>
              </w:rPr>
            </w:pPr>
            <w:r>
              <w:rPr>
                <w:color w:val="000000" w:themeColor="text1"/>
                <w14:textFill>
                  <w14:solidFill>
                    <w14:schemeClr w14:val="tx1"/>
                  </w14:solidFill>
                </w14:textFill>
              </w:rPr>
              <w:t>监测位置</w:t>
            </w:r>
          </w:p>
        </w:tc>
        <w:tc>
          <w:tcPr>
            <w:tcW w:w="1125" w:type="pct"/>
            <w:vAlign w:val="center"/>
          </w:tcPr>
          <w:p w14:paraId="086D6BF2">
            <w:pPr>
              <w:pStyle w:val="28"/>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1490" w:type="pct"/>
            <w:vAlign w:val="center"/>
          </w:tcPr>
          <w:p w14:paraId="68D2DDBB">
            <w:pPr>
              <w:pStyle w:val="28"/>
              <w:rPr>
                <w:color w:val="000000" w:themeColor="text1"/>
                <w14:textFill>
                  <w14:solidFill>
                    <w14:schemeClr w14:val="tx1"/>
                  </w14:solidFill>
                </w14:textFill>
              </w:rPr>
            </w:pPr>
            <w:r>
              <w:rPr>
                <w:color w:val="000000" w:themeColor="text1"/>
                <w14:textFill>
                  <w14:solidFill>
                    <w14:schemeClr w14:val="tx1"/>
                  </w14:solidFill>
                </w14:textFill>
              </w:rPr>
              <w:t>监测频率</w:t>
            </w:r>
          </w:p>
        </w:tc>
      </w:tr>
      <w:tr w14:paraId="7F57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57" w:type="pct"/>
            <w:vMerge w:val="restart"/>
            <w:vAlign w:val="center"/>
          </w:tcPr>
          <w:p w14:paraId="6B373E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污染源监测</w:t>
            </w:r>
          </w:p>
        </w:tc>
        <w:tc>
          <w:tcPr>
            <w:tcW w:w="410" w:type="pct"/>
            <w:vMerge w:val="restart"/>
            <w:vAlign w:val="center"/>
          </w:tcPr>
          <w:p w14:paraId="416C3F80">
            <w:pPr>
              <w:pStyle w:val="28"/>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1517" w:type="pct"/>
            <w:vAlign w:val="center"/>
          </w:tcPr>
          <w:p w14:paraId="70CCE4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综合废气</w:t>
            </w:r>
            <w:r>
              <w:rPr>
                <w:color w:val="000000" w:themeColor="text1"/>
                <w14:textFill>
                  <w14:solidFill>
                    <w14:schemeClr w14:val="tx1"/>
                  </w14:solidFill>
                </w14:textFill>
              </w:rPr>
              <w:t>排气筒（DA001）</w:t>
            </w:r>
          </w:p>
        </w:tc>
        <w:tc>
          <w:tcPr>
            <w:tcW w:w="1125" w:type="pct"/>
            <w:vAlign w:val="center"/>
          </w:tcPr>
          <w:p w14:paraId="7F64C6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颗粒物、非甲烷总烃、硫化氢</w:t>
            </w:r>
          </w:p>
        </w:tc>
        <w:tc>
          <w:tcPr>
            <w:tcW w:w="1490" w:type="pct"/>
            <w:vAlign w:val="center"/>
          </w:tcPr>
          <w:p w14:paraId="581381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连续监测2天，每天3次</w:t>
            </w:r>
          </w:p>
        </w:tc>
      </w:tr>
      <w:tr w14:paraId="265E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7" w:type="pct"/>
            <w:vMerge w:val="continue"/>
            <w:vAlign w:val="center"/>
          </w:tcPr>
          <w:p w14:paraId="6372BF6E">
            <w:pPr>
              <w:pStyle w:val="28"/>
              <w:rPr>
                <w:color w:val="000000" w:themeColor="text1"/>
                <w14:textFill>
                  <w14:solidFill>
                    <w14:schemeClr w14:val="tx1"/>
                  </w14:solidFill>
                </w14:textFill>
              </w:rPr>
            </w:pPr>
          </w:p>
        </w:tc>
        <w:tc>
          <w:tcPr>
            <w:tcW w:w="410" w:type="pct"/>
            <w:vMerge w:val="continue"/>
            <w:vAlign w:val="center"/>
          </w:tcPr>
          <w:p w14:paraId="4426B79A">
            <w:pPr>
              <w:pStyle w:val="28"/>
              <w:rPr>
                <w:color w:val="000000" w:themeColor="text1"/>
                <w14:textFill>
                  <w14:solidFill>
                    <w14:schemeClr w14:val="tx1"/>
                  </w14:solidFill>
                </w14:textFill>
              </w:rPr>
            </w:pPr>
          </w:p>
        </w:tc>
        <w:tc>
          <w:tcPr>
            <w:tcW w:w="1517" w:type="pct"/>
            <w:vAlign w:val="center"/>
          </w:tcPr>
          <w:p w14:paraId="1C5E6437">
            <w:pPr>
              <w:pStyle w:val="28"/>
              <w:rPr>
                <w:color w:val="000000" w:themeColor="text1"/>
                <w14:textFill>
                  <w14:solidFill>
                    <w14:schemeClr w14:val="tx1"/>
                  </w14:solidFill>
                </w14:textFill>
              </w:rPr>
            </w:pPr>
            <w:r>
              <w:rPr>
                <w:rFonts w:cs="Times New Roman"/>
                <w:color w:val="000000" w:themeColor="text1"/>
                <w14:textFill>
                  <w14:solidFill>
                    <w14:schemeClr w14:val="tx1"/>
                  </w14:solidFill>
                </w14:textFill>
              </w:rPr>
              <w:t>厂界上</w:t>
            </w:r>
            <w:r>
              <w:rPr>
                <w:rFonts w:hint="eastAsia" w:cs="Times New Roman"/>
                <w:color w:val="000000" w:themeColor="text1"/>
                <w14:textFill>
                  <w14:solidFill>
                    <w14:schemeClr w14:val="tx1"/>
                  </w14:solidFill>
                </w14:textFill>
              </w:rPr>
              <w:t>风</w:t>
            </w:r>
            <w:r>
              <w:rPr>
                <w:rFonts w:cs="Times New Roman"/>
                <w:color w:val="000000" w:themeColor="text1"/>
                <w14:textFill>
                  <w14:solidFill>
                    <w14:schemeClr w14:val="tx1"/>
                  </w14:solidFill>
                </w14:textFill>
              </w:rPr>
              <w:t>向1个，下</w:t>
            </w:r>
            <w:r>
              <w:rPr>
                <w:rFonts w:hint="eastAsia" w:cs="Times New Roman"/>
                <w:color w:val="000000" w:themeColor="text1"/>
                <w14:textFill>
                  <w14:solidFill>
                    <w14:schemeClr w14:val="tx1"/>
                  </w14:solidFill>
                </w14:textFill>
              </w:rPr>
              <w:t>风</w:t>
            </w:r>
            <w:r>
              <w:rPr>
                <w:rFonts w:cs="Times New Roman"/>
                <w:color w:val="000000" w:themeColor="text1"/>
                <w14:textFill>
                  <w14:solidFill>
                    <w14:schemeClr w14:val="tx1"/>
                  </w14:solidFill>
                </w14:textFill>
              </w:rPr>
              <w:t>向3个</w:t>
            </w:r>
          </w:p>
        </w:tc>
        <w:tc>
          <w:tcPr>
            <w:tcW w:w="1125" w:type="pct"/>
            <w:vAlign w:val="center"/>
          </w:tcPr>
          <w:p w14:paraId="6C3760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颗粒物、非甲烷总烃、硫化氢</w:t>
            </w:r>
          </w:p>
        </w:tc>
        <w:tc>
          <w:tcPr>
            <w:tcW w:w="1490" w:type="pct"/>
            <w:vAlign w:val="center"/>
          </w:tcPr>
          <w:p w14:paraId="2380FC5D">
            <w:pPr>
              <w:pStyle w:val="28"/>
              <w:rPr>
                <w:color w:val="000000" w:themeColor="text1"/>
                <w14:textFill>
                  <w14:solidFill>
                    <w14:schemeClr w14:val="tx1"/>
                  </w14:solidFill>
                </w14:textFill>
              </w:rPr>
            </w:pPr>
            <w:r>
              <w:rPr>
                <w:color w:val="000000" w:themeColor="text1"/>
                <w14:textFill>
                  <w14:solidFill>
                    <w14:schemeClr w14:val="tx1"/>
                  </w14:solidFill>
                </w14:textFill>
              </w:rPr>
              <w:t>连续监测2天，每天采样3次</w:t>
            </w:r>
          </w:p>
        </w:tc>
      </w:tr>
      <w:tr w14:paraId="6374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7" w:type="pct"/>
            <w:vMerge w:val="continue"/>
            <w:vAlign w:val="center"/>
          </w:tcPr>
          <w:p w14:paraId="06DD684A">
            <w:pPr>
              <w:pStyle w:val="28"/>
              <w:rPr>
                <w:color w:val="000000" w:themeColor="text1"/>
                <w14:textFill>
                  <w14:solidFill>
                    <w14:schemeClr w14:val="tx1"/>
                  </w14:solidFill>
                </w14:textFill>
              </w:rPr>
            </w:pPr>
          </w:p>
        </w:tc>
        <w:tc>
          <w:tcPr>
            <w:tcW w:w="410" w:type="pct"/>
            <w:vMerge w:val="continue"/>
            <w:vAlign w:val="center"/>
          </w:tcPr>
          <w:p w14:paraId="76F6A1CA">
            <w:pPr>
              <w:pStyle w:val="28"/>
              <w:rPr>
                <w:color w:val="000000" w:themeColor="text1"/>
                <w14:textFill>
                  <w14:solidFill>
                    <w14:schemeClr w14:val="tx1"/>
                  </w14:solidFill>
                </w14:textFill>
              </w:rPr>
            </w:pPr>
          </w:p>
        </w:tc>
        <w:tc>
          <w:tcPr>
            <w:tcW w:w="1517" w:type="pct"/>
            <w:shd w:val="clear" w:color="auto" w:fill="auto"/>
            <w:vAlign w:val="center"/>
          </w:tcPr>
          <w:p w14:paraId="6EA9CA73">
            <w:pPr>
              <w:pStyle w:val="28"/>
              <w:keepLines/>
              <w:rPr>
                <w:color w:val="000000" w:themeColor="text1"/>
                <w14:textFill>
                  <w14:solidFill>
                    <w14:schemeClr w14:val="tx1"/>
                  </w14:solidFill>
                </w14:textFill>
              </w:rPr>
            </w:pPr>
            <w:r>
              <w:rPr>
                <w:rFonts w:hint="eastAsia"/>
                <w:color w:val="000000" w:themeColor="text1"/>
                <w14:textFill>
                  <w14:solidFill>
                    <w14:schemeClr w14:val="tx1"/>
                  </w14:solidFill>
                </w14:textFill>
              </w:rPr>
              <w:t>厂区内1个</w:t>
            </w:r>
          </w:p>
        </w:tc>
        <w:tc>
          <w:tcPr>
            <w:tcW w:w="1125" w:type="pct"/>
            <w:shd w:val="clear" w:color="auto" w:fill="auto"/>
            <w:vAlign w:val="center"/>
          </w:tcPr>
          <w:p w14:paraId="02C89897">
            <w:pPr>
              <w:pStyle w:val="28"/>
              <w:keepLines/>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非甲烷总烃</w:t>
            </w:r>
          </w:p>
        </w:tc>
        <w:tc>
          <w:tcPr>
            <w:tcW w:w="1490" w:type="pct"/>
            <w:shd w:val="clear" w:color="auto" w:fill="auto"/>
            <w:vAlign w:val="center"/>
          </w:tcPr>
          <w:p w14:paraId="6492813D">
            <w:pPr>
              <w:pStyle w:val="28"/>
              <w:keepLines/>
              <w:rPr>
                <w:rFonts w:cs="黑体"/>
                <w:color w:val="000000" w:themeColor="text1"/>
                <w:szCs w:val="22"/>
                <w14:textFill>
                  <w14:solidFill>
                    <w14:schemeClr w14:val="tx1"/>
                  </w14:solidFill>
                </w14:textFill>
              </w:rPr>
            </w:pPr>
            <w:r>
              <w:rPr>
                <w:color w:val="000000" w:themeColor="text1"/>
                <w14:textFill>
                  <w14:solidFill>
                    <w14:schemeClr w14:val="tx1"/>
                  </w14:solidFill>
                </w14:textFill>
              </w:rPr>
              <w:t>连续监测2天，每天采样3次</w:t>
            </w:r>
          </w:p>
        </w:tc>
      </w:tr>
      <w:tr w14:paraId="085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14:paraId="1A355BCD">
            <w:pPr>
              <w:pStyle w:val="28"/>
              <w:rPr>
                <w:color w:val="000000" w:themeColor="text1"/>
                <w14:textFill>
                  <w14:solidFill>
                    <w14:schemeClr w14:val="tx1"/>
                  </w14:solidFill>
                </w14:textFill>
              </w:rPr>
            </w:pPr>
          </w:p>
        </w:tc>
        <w:tc>
          <w:tcPr>
            <w:tcW w:w="410" w:type="pct"/>
            <w:vAlign w:val="center"/>
          </w:tcPr>
          <w:p w14:paraId="0C0F7B8D">
            <w:pPr>
              <w:pStyle w:val="28"/>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517" w:type="pct"/>
            <w:vAlign w:val="center"/>
          </w:tcPr>
          <w:p w14:paraId="49038CEA">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东、南、西、北、大莲池村</w:t>
            </w:r>
            <w:r>
              <w:rPr>
                <w:color w:val="000000" w:themeColor="text1"/>
                <w14:textFill>
                  <w14:solidFill>
                    <w14:schemeClr w14:val="tx1"/>
                  </w14:solidFill>
                </w14:textFill>
              </w:rPr>
              <w:t>，共设置</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个</w:t>
            </w:r>
          </w:p>
        </w:tc>
        <w:tc>
          <w:tcPr>
            <w:tcW w:w="1125" w:type="pct"/>
            <w:vAlign w:val="center"/>
          </w:tcPr>
          <w:p w14:paraId="2841CBCB">
            <w:pPr>
              <w:pStyle w:val="28"/>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c>
          <w:tcPr>
            <w:tcW w:w="1490" w:type="pct"/>
            <w:vAlign w:val="center"/>
          </w:tcPr>
          <w:p w14:paraId="7F33FBF7">
            <w:pPr>
              <w:pStyle w:val="28"/>
              <w:rPr>
                <w:color w:val="000000" w:themeColor="text1"/>
                <w14:textFill>
                  <w14:solidFill>
                    <w14:schemeClr w14:val="tx1"/>
                  </w14:solidFill>
                </w14:textFill>
              </w:rPr>
            </w:pPr>
            <w:r>
              <w:rPr>
                <w:color w:val="000000" w:themeColor="text1"/>
                <w14:textFill>
                  <w14:solidFill>
                    <w14:schemeClr w14:val="tx1"/>
                  </w14:solidFill>
                </w14:textFill>
              </w:rPr>
              <w:t>监测2天，昼间、夜间各1次</w:t>
            </w:r>
          </w:p>
        </w:tc>
      </w:tr>
      <w:tr w14:paraId="3E93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14:paraId="6D57534B">
            <w:pPr>
              <w:pStyle w:val="28"/>
              <w:rPr>
                <w:color w:val="000000" w:themeColor="text1"/>
                <w14:textFill>
                  <w14:solidFill>
                    <w14:schemeClr w14:val="tx1"/>
                  </w14:solidFill>
                </w14:textFill>
              </w:rPr>
            </w:pPr>
          </w:p>
        </w:tc>
        <w:tc>
          <w:tcPr>
            <w:tcW w:w="410" w:type="pct"/>
            <w:vMerge w:val="restart"/>
            <w:vAlign w:val="center"/>
          </w:tcPr>
          <w:p w14:paraId="4A235B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517" w:type="pct"/>
            <w:shd w:val="clear" w:color="auto" w:fill="auto"/>
            <w:vAlign w:val="center"/>
          </w:tcPr>
          <w:p w14:paraId="496A11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一体化污水处理站进口</w:t>
            </w:r>
          </w:p>
        </w:tc>
        <w:tc>
          <w:tcPr>
            <w:tcW w:w="1125" w:type="pct"/>
            <w:vMerge w:val="restart"/>
            <w:shd w:val="clear" w:color="auto" w:fill="auto"/>
            <w:vAlign w:val="center"/>
          </w:tcPr>
          <w:p w14:paraId="05385D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TP</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硫化物</w:t>
            </w:r>
          </w:p>
        </w:tc>
        <w:tc>
          <w:tcPr>
            <w:tcW w:w="1490" w:type="pct"/>
            <w:shd w:val="clear" w:color="auto" w:fill="auto"/>
            <w:vAlign w:val="center"/>
          </w:tcPr>
          <w:p w14:paraId="5E6AB448">
            <w:pPr>
              <w:pStyle w:val="28"/>
              <w:rPr>
                <w:color w:val="000000" w:themeColor="text1"/>
                <w14:textFill>
                  <w14:solidFill>
                    <w14:schemeClr w14:val="tx1"/>
                  </w14:solidFill>
                </w14:textFill>
              </w:rPr>
            </w:pPr>
            <w:r>
              <w:rPr>
                <w:color w:val="000000" w:themeColor="text1"/>
                <w14:textFill>
                  <w14:solidFill>
                    <w14:schemeClr w14:val="tx1"/>
                  </w14:solidFill>
                </w14:textFill>
              </w:rPr>
              <w:t>监测</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每天1</w:t>
            </w:r>
            <w:r>
              <w:rPr>
                <w:color w:val="000000" w:themeColor="text1"/>
                <w14:textFill>
                  <w14:solidFill>
                    <w14:schemeClr w14:val="tx1"/>
                  </w14:solidFill>
                </w14:textFill>
              </w:rPr>
              <w:t>次</w:t>
            </w:r>
          </w:p>
        </w:tc>
      </w:tr>
      <w:tr w14:paraId="6141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Pr>
          <w:p w14:paraId="443EBE87">
            <w:pPr>
              <w:pStyle w:val="28"/>
              <w:rPr>
                <w:color w:val="000000" w:themeColor="text1"/>
                <w14:textFill>
                  <w14:solidFill>
                    <w14:schemeClr w14:val="tx1"/>
                  </w14:solidFill>
                </w14:textFill>
              </w:rPr>
            </w:pPr>
          </w:p>
        </w:tc>
        <w:tc>
          <w:tcPr>
            <w:tcW w:w="410" w:type="pct"/>
            <w:vMerge w:val="continue"/>
          </w:tcPr>
          <w:p w14:paraId="36202406">
            <w:pPr>
              <w:pStyle w:val="28"/>
              <w:rPr>
                <w:color w:val="000000" w:themeColor="text1"/>
                <w14:textFill>
                  <w14:solidFill>
                    <w14:schemeClr w14:val="tx1"/>
                  </w14:solidFill>
                </w14:textFill>
              </w:rPr>
            </w:pPr>
          </w:p>
        </w:tc>
        <w:tc>
          <w:tcPr>
            <w:tcW w:w="1517" w:type="pct"/>
            <w:shd w:val="clear" w:color="auto" w:fill="auto"/>
            <w:vAlign w:val="center"/>
          </w:tcPr>
          <w:p w14:paraId="0A12D2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本项目废水排放口（DW002）</w:t>
            </w:r>
          </w:p>
        </w:tc>
        <w:tc>
          <w:tcPr>
            <w:tcW w:w="1125" w:type="pct"/>
            <w:vMerge w:val="continue"/>
          </w:tcPr>
          <w:p w14:paraId="0F0EF8FC">
            <w:pPr>
              <w:pStyle w:val="28"/>
              <w:rPr>
                <w:color w:val="000000" w:themeColor="text1"/>
                <w14:textFill>
                  <w14:solidFill>
                    <w14:schemeClr w14:val="tx1"/>
                  </w14:solidFill>
                </w14:textFill>
              </w:rPr>
            </w:pPr>
          </w:p>
        </w:tc>
        <w:tc>
          <w:tcPr>
            <w:tcW w:w="1490" w:type="pct"/>
            <w:shd w:val="clear" w:color="auto" w:fill="auto"/>
            <w:vAlign w:val="center"/>
          </w:tcPr>
          <w:p w14:paraId="4C728AC0">
            <w:pPr>
              <w:pStyle w:val="28"/>
              <w:rPr>
                <w:color w:val="000000" w:themeColor="text1"/>
                <w14:textFill>
                  <w14:solidFill>
                    <w14:schemeClr w14:val="tx1"/>
                  </w14:solidFill>
                </w14:textFill>
              </w:rPr>
            </w:pPr>
            <w:r>
              <w:rPr>
                <w:color w:val="000000" w:themeColor="text1"/>
                <w14:textFill>
                  <w14:solidFill>
                    <w14:schemeClr w14:val="tx1"/>
                  </w14:solidFill>
                </w14:textFill>
              </w:rPr>
              <w:t>连续监测</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每天1</w:t>
            </w:r>
            <w:r>
              <w:rPr>
                <w:color w:val="000000" w:themeColor="text1"/>
                <w14:textFill>
                  <w14:solidFill>
                    <w14:schemeClr w14:val="tx1"/>
                  </w14:solidFill>
                </w14:textFill>
              </w:rPr>
              <w:t>次</w:t>
            </w:r>
          </w:p>
        </w:tc>
      </w:tr>
      <w:tr w14:paraId="4E67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Pr>
          <w:p w14:paraId="7369FF14">
            <w:pPr>
              <w:pStyle w:val="28"/>
              <w:rPr>
                <w:color w:val="000000" w:themeColor="text1"/>
                <w14:textFill>
                  <w14:solidFill>
                    <w14:schemeClr w14:val="tx1"/>
                  </w14:solidFill>
                </w14:textFill>
              </w:rPr>
            </w:pPr>
          </w:p>
        </w:tc>
        <w:tc>
          <w:tcPr>
            <w:tcW w:w="410" w:type="pct"/>
            <w:vMerge w:val="continue"/>
          </w:tcPr>
          <w:p w14:paraId="0E3E2BAE">
            <w:pPr>
              <w:pStyle w:val="28"/>
              <w:rPr>
                <w:color w:val="000000" w:themeColor="text1"/>
                <w14:textFill>
                  <w14:solidFill>
                    <w14:schemeClr w14:val="tx1"/>
                  </w14:solidFill>
                </w14:textFill>
              </w:rPr>
            </w:pPr>
          </w:p>
        </w:tc>
        <w:tc>
          <w:tcPr>
            <w:tcW w:w="1517" w:type="pct"/>
            <w:shd w:val="clear" w:color="auto" w:fill="auto"/>
            <w:vAlign w:val="center"/>
          </w:tcPr>
          <w:p w14:paraId="108CBC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废水排放口（DW001）</w:t>
            </w:r>
          </w:p>
        </w:tc>
        <w:tc>
          <w:tcPr>
            <w:tcW w:w="1125" w:type="pct"/>
          </w:tcPr>
          <w:p w14:paraId="1EA059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pH、</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TP</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硫化物</w:t>
            </w:r>
          </w:p>
        </w:tc>
        <w:tc>
          <w:tcPr>
            <w:tcW w:w="1490" w:type="pct"/>
            <w:shd w:val="clear" w:color="auto" w:fill="auto"/>
            <w:vAlign w:val="center"/>
          </w:tcPr>
          <w:p w14:paraId="5624F59C">
            <w:pPr>
              <w:pStyle w:val="28"/>
              <w:rPr>
                <w:color w:val="000000" w:themeColor="text1"/>
                <w14:textFill>
                  <w14:solidFill>
                    <w14:schemeClr w14:val="tx1"/>
                  </w14:solidFill>
                </w14:textFill>
              </w:rPr>
            </w:pPr>
            <w:r>
              <w:rPr>
                <w:color w:val="000000" w:themeColor="text1"/>
                <w14:textFill>
                  <w14:solidFill>
                    <w14:schemeClr w14:val="tx1"/>
                  </w14:solidFill>
                </w14:textFill>
              </w:rPr>
              <w:t>连续监测</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每天1</w:t>
            </w:r>
            <w:r>
              <w:rPr>
                <w:color w:val="000000" w:themeColor="text1"/>
                <w14:textFill>
                  <w14:solidFill>
                    <w14:schemeClr w14:val="tx1"/>
                  </w14:solidFill>
                </w14:textFill>
              </w:rPr>
              <w:t>次</w:t>
            </w:r>
          </w:p>
        </w:tc>
      </w:tr>
      <w:tr w14:paraId="3BFB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14:paraId="352AB2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环境质量监测</w:t>
            </w:r>
          </w:p>
        </w:tc>
        <w:tc>
          <w:tcPr>
            <w:tcW w:w="410" w:type="pct"/>
            <w:vAlign w:val="center"/>
          </w:tcPr>
          <w:p w14:paraId="421ADB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1517" w:type="pct"/>
            <w:shd w:val="clear" w:color="auto" w:fill="auto"/>
            <w:vAlign w:val="center"/>
          </w:tcPr>
          <w:p w14:paraId="1B56889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大莲池村</w:t>
            </w:r>
          </w:p>
        </w:tc>
        <w:tc>
          <w:tcPr>
            <w:tcW w:w="1125" w:type="pct"/>
            <w:shd w:val="clear" w:color="auto" w:fill="auto"/>
            <w:vAlign w:val="center"/>
          </w:tcPr>
          <w:p w14:paraId="61C1DF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颗粒物、非甲烷总烃、硫化氢</w:t>
            </w:r>
          </w:p>
        </w:tc>
        <w:tc>
          <w:tcPr>
            <w:tcW w:w="1490" w:type="pct"/>
            <w:shd w:val="clear" w:color="auto" w:fill="auto"/>
            <w:vAlign w:val="center"/>
          </w:tcPr>
          <w:p w14:paraId="65B717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连续监测2天，每天采样3次</w:t>
            </w:r>
          </w:p>
        </w:tc>
      </w:tr>
    </w:tbl>
    <w:p w14:paraId="312A9CB9">
      <w:pPr>
        <w:pStyle w:val="4"/>
        <w:rPr>
          <w:color w:val="000000" w:themeColor="text1"/>
          <w14:textFill>
            <w14:solidFill>
              <w14:schemeClr w14:val="tx1"/>
            </w14:solidFill>
          </w14:textFill>
        </w:rPr>
      </w:pPr>
      <w:bookmarkStart w:id="143" w:name="_Toc278"/>
      <w:r>
        <w:rPr>
          <w:rFonts w:hint="eastAsia"/>
          <w:color w:val="000000" w:themeColor="text1"/>
          <w14:textFill>
            <w14:solidFill>
              <w14:schemeClr w14:val="tx1"/>
            </w14:solidFill>
          </w14:textFill>
        </w:rPr>
        <w:t>8.3.2自行监测计划</w:t>
      </w:r>
      <w:bookmarkEnd w:id="143"/>
    </w:p>
    <w:p w14:paraId="4ACB33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本项目年使用有机溶剂100.016t，大于10t，根据《固定污染源排污许可分类管理名录》（2019年版），本项目属于简化管理。</w:t>
      </w:r>
    </w:p>
    <w:p w14:paraId="197C6618">
      <w:pPr>
        <w:pStyle w:val="27"/>
        <w:rPr>
          <w:color w:val="000000" w:themeColor="text1"/>
          <w14:textFill>
            <w14:solidFill>
              <w14:schemeClr w14:val="tx1"/>
            </w14:solidFill>
          </w14:textFill>
        </w:rPr>
      </w:pPr>
    </w:p>
    <w:p w14:paraId="050C4968">
      <w:pPr>
        <w:pStyle w:val="27"/>
        <w:rPr>
          <w:color w:val="000000" w:themeColor="text1"/>
          <w14:textFill>
            <w14:solidFill>
              <w14:schemeClr w14:val="tx1"/>
            </w14:solidFill>
          </w14:textFill>
        </w:rPr>
      </w:pPr>
    </w:p>
    <w:p w14:paraId="688AE4E8">
      <w:pPr>
        <w:pStyle w:val="27"/>
        <w:rPr>
          <w:color w:val="000000" w:themeColor="text1"/>
          <w14:textFill>
            <w14:solidFill>
              <w14:schemeClr w14:val="tx1"/>
            </w14:solidFill>
          </w14:textFill>
        </w:rPr>
      </w:pPr>
    </w:p>
    <w:p w14:paraId="5BC91FE2">
      <w:pPr>
        <w:pStyle w:val="27"/>
        <w:rPr>
          <w:color w:val="000000" w:themeColor="text1"/>
          <w14:textFill>
            <w14:solidFill>
              <w14:schemeClr w14:val="tx1"/>
            </w14:solidFill>
          </w14:textFill>
        </w:rPr>
      </w:pPr>
    </w:p>
    <w:p w14:paraId="7083D4F2">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固定污染源排污许可分类管理名录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3787"/>
        <w:gridCol w:w="1168"/>
        <w:gridCol w:w="2415"/>
        <w:gridCol w:w="653"/>
      </w:tblGrid>
      <w:tr w14:paraId="0643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vAlign w:val="center"/>
          </w:tcPr>
          <w:p w14:paraId="0C8D36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222" w:type="pct"/>
            <w:vAlign w:val="center"/>
          </w:tcPr>
          <w:p w14:paraId="206297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行业类别</w:t>
            </w:r>
          </w:p>
        </w:tc>
        <w:tc>
          <w:tcPr>
            <w:tcW w:w="685" w:type="pct"/>
            <w:vAlign w:val="center"/>
          </w:tcPr>
          <w:p w14:paraId="0161EC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重点管理</w:t>
            </w:r>
          </w:p>
        </w:tc>
        <w:tc>
          <w:tcPr>
            <w:tcW w:w="1417" w:type="pct"/>
            <w:vAlign w:val="center"/>
          </w:tcPr>
          <w:p w14:paraId="24BC4D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简化管理</w:t>
            </w:r>
          </w:p>
        </w:tc>
        <w:tc>
          <w:tcPr>
            <w:tcW w:w="380" w:type="pct"/>
            <w:vAlign w:val="center"/>
          </w:tcPr>
          <w:p w14:paraId="66F2A8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登记管理</w:t>
            </w:r>
          </w:p>
        </w:tc>
      </w:tr>
      <w:tr w14:paraId="1364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7678CD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三十四、计算机、通信和其他电子设备制造业39</w:t>
            </w:r>
          </w:p>
        </w:tc>
      </w:tr>
      <w:tr w14:paraId="122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93" w:type="pct"/>
            <w:vAlign w:val="center"/>
          </w:tcPr>
          <w:p w14:paraId="2189F8E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222" w:type="pct"/>
            <w:vAlign w:val="center"/>
          </w:tcPr>
          <w:p w14:paraId="451DBA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计算机制造391，电子器件制造397，电80子元件及电子专用材料制造398，其他电子设备制造399</w:t>
            </w:r>
          </w:p>
        </w:tc>
        <w:tc>
          <w:tcPr>
            <w:tcW w:w="685" w:type="pct"/>
            <w:vAlign w:val="center"/>
          </w:tcPr>
          <w:p w14:paraId="207AA7D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纳入重点排污单位名录的</w:t>
            </w:r>
          </w:p>
        </w:tc>
        <w:tc>
          <w:tcPr>
            <w:tcW w:w="1417" w:type="pct"/>
            <w:vAlign w:val="center"/>
          </w:tcPr>
          <w:p w14:paraId="1C865F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除重点管理以外的年使用10吨及以上溶剂型涂料(含稀释剂)的</w:t>
            </w:r>
          </w:p>
        </w:tc>
        <w:tc>
          <w:tcPr>
            <w:tcW w:w="380" w:type="pct"/>
            <w:vAlign w:val="center"/>
          </w:tcPr>
          <w:p w14:paraId="6A1A68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bl>
    <w:p w14:paraId="793A65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根据《排污许可证申请与核发技术规范 电子工业》（HJ 1031—2019）中表2-4电子专用材料制造排污单位废气产污环节、污染物项目、排放形式及污染防治设施一览表，本项目废气排放口为一般排放口，依托云南捷辰包装材料有限公司废水排放口。</w:t>
      </w:r>
    </w:p>
    <w:p w14:paraId="504EB9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根据项目使用的原辅材料及生产工艺，参照《排污单位自行监测技术指南 电子工业》（HJ 12539-2022），本项目自行监测计划见表8.2-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p>
    <w:p w14:paraId="773C0AB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表8.3-</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自行监测方案一览表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759"/>
        <w:gridCol w:w="2597"/>
        <w:gridCol w:w="2875"/>
        <w:gridCol w:w="1761"/>
      </w:tblGrid>
      <w:tr w14:paraId="7E2A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shd w:val="clear" w:color="auto" w:fill="auto"/>
            <w:vAlign w:val="center"/>
          </w:tcPr>
          <w:p w14:paraId="55736B90">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45" w:type="pct"/>
            <w:shd w:val="clear" w:color="auto" w:fill="auto"/>
            <w:vAlign w:val="center"/>
          </w:tcPr>
          <w:p w14:paraId="47F25AF0">
            <w:pPr>
              <w:pStyle w:val="28"/>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1523" w:type="pct"/>
            <w:shd w:val="clear" w:color="auto" w:fill="auto"/>
            <w:vAlign w:val="center"/>
          </w:tcPr>
          <w:p w14:paraId="37978B0B">
            <w:pPr>
              <w:pStyle w:val="28"/>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1686" w:type="pct"/>
            <w:shd w:val="clear" w:color="auto" w:fill="auto"/>
            <w:vAlign w:val="center"/>
          </w:tcPr>
          <w:p w14:paraId="4BBE0760">
            <w:pPr>
              <w:pStyle w:val="28"/>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1032" w:type="pct"/>
            <w:shd w:val="clear" w:color="auto" w:fill="auto"/>
            <w:vAlign w:val="center"/>
          </w:tcPr>
          <w:p w14:paraId="542DDAAC">
            <w:pPr>
              <w:pStyle w:val="28"/>
              <w:rPr>
                <w:color w:val="000000" w:themeColor="text1"/>
                <w14:textFill>
                  <w14:solidFill>
                    <w14:schemeClr w14:val="tx1"/>
                  </w14:solidFill>
                </w14:textFill>
              </w:rPr>
            </w:pPr>
            <w:r>
              <w:rPr>
                <w:color w:val="000000" w:themeColor="text1"/>
                <w14:textFill>
                  <w14:solidFill>
                    <w14:schemeClr w14:val="tx1"/>
                  </w14:solidFill>
                </w14:textFill>
              </w:rPr>
              <w:t>时间及频率</w:t>
            </w:r>
          </w:p>
        </w:tc>
      </w:tr>
      <w:tr w14:paraId="4892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shd w:val="clear" w:color="auto" w:fill="auto"/>
            <w:vAlign w:val="center"/>
          </w:tcPr>
          <w:p w14:paraId="4A581CE5">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445" w:type="pct"/>
            <w:vMerge w:val="restart"/>
            <w:shd w:val="clear" w:color="auto" w:fill="auto"/>
            <w:vAlign w:val="center"/>
          </w:tcPr>
          <w:p w14:paraId="31595DA0">
            <w:pPr>
              <w:pStyle w:val="28"/>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1523" w:type="pct"/>
            <w:shd w:val="clear" w:color="auto" w:fill="auto"/>
            <w:vAlign w:val="center"/>
          </w:tcPr>
          <w:p w14:paraId="4C6994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排气筒（DA001）</w:t>
            </w:r>
          </w:p>
        </w:tc>
        <w:tc>
          <w:tcPr>
            <w:tcW w:w="1686" w:type="pct"/>
            <w:shd w:val="clear" w:color="auto" w:fill="auto"/>
            <w:vAlign w:val="center"/>
          </w:tcPr>
          <w:p w14:paraId="09673089">
            <w:pPr>
              <w:pStyle w:val="28"/>
              <w:rPr>
                <w:color w:val="000000" w:themeColor="text1"/>
                <w14:textFill>
                  <w14:solidFill>
                    <w14:schemeClr w14:val="tx1"/>
                  </w14:solidFill>
                </w14:textFill>
              </w:rPr>
            </w:pP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、硫化氢、非甲烷总烃</w:t>
            </w:r>
          </w:p>
        </w:tc>
        <w:tc>
          <w:tcPr>
            <w:tcW w:w="1032" w:type="pct"/>
            <w:shd w:val="clear" w:color="auto" w:fill="auto"/>
            <w:vAlign w:val="center"/>
          </w:tcPr>
          <w:p w14:paraId="56BDC0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每年1次</w:t>
            </w:r>
          </w:p>
        </w:tc>
      </w:tr>
      <w:tr w14:paraId="464B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shd w:val="clear" w:color="auto" w:fill="auto"/>
            <w:vAlign w:val="center"/>
          </w:tcPr>
          <w:p w14:paraId="3B9267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45" w:type="pct"/>
            <w:vMerge w:val="continue"/>
            <w:shd w:val="clear" w:color="auto" w:fill="auto"/>
            <w:vAlign w:val="center"/>
          </w:tcPr>
          <w:p w14:paraId="7A8D159E">
            <w:pPr>
              <w:pStyle w:val="28"/>
              <w:rPr>
                <w:color w:val="000000" w:themeColor="text1"/>
                <w14:textFill>
                  <w14:solidFill>
                    <w14:schemeClr w14:val="tx1"/>
                  </w14:solidFill>
                </w14:textFill>
              </w:rPr>
            </w:pPr>
          </w:p>
        </w:tc>
        <w:tc>
          <w:tcPr>
            <w:tcW w:w="1523" w:type="pct"/>
            <w:shd w:val="clear" w:color="auto" w:fill="auto"/>
            <w:vAlign w:val="center"/>
          </w:tcPr>
          <w:p w14:paraId="11833A4C">
            <w:pPr>
              <w:pStyle w:val="28"/>
              <w:rPr>
                <w:color w:val="000000" w:themeColor="text1"/>
                <w14:textFill>
                  <w14:solidFill>
                    <w14:schemeClr w14:val="tx1"/>
                  </w14:solidFill>
                </w14:textFill>
              </w:rPr>
            </w:pPr>
            <w:r>
              <w:rPr>
                <w:color w:val="000000" w:themeColor="text1"/>
                <w14:textFill>
                  <w14:solidFill>
                    <w14:schemeClr w14:val="tx1"/>
                  </w14:solidFill>
                </w14:textFill>
              </w:rPr>
              <w:t>4个，厂界上风向1个、下风向3个</w:t>
            </w:r>
          </w:p>
        </w:tc>
        <w:tc>
          <w:tcPr>
            <w:tcW w:w="1686" w:type="pct"/>
            <w:shd w:val="clear" w:color="auto" w:fill="auto"/>
            <w:vAlign w:val="center"/>
          </w:tcPr>
          <w:p w14:paraId="72603EA9">
            <w:pPr>
              <w:pStyle w:val="28"/>
              <w:rPr>
                <w:color w:val="000000" w:themeColor="text1"/>
                <w14:textFill>
                  <w14:solidFill>
                    <w14:schemeClr w14:val="tx1"/>
                  </w14:solidFill>
                </w14:textFill>
              </w:rPr>
            </w:pP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硫化氢、非甲烷总烃</w:t>
            </w:r>
          </w:p>
        </w:tc>
        <w:tc>
          <w:tcPr>
            <w:tcW w:w="1032" w:type="pct"/>
            <w:shd w:val="clear" w:color="auto" w:fill="auto"/>
            <w:vAlign w:val="center"/>
          </w:tcPr>
          <w:p w14:paraId="7150DD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每年1次</w:t>
            </w:r>
          </w:p>
        </w:tc>
      </w:tr>
      <w:tr w14:paraId="18E7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shd w:val="clear" w:color="auto" w:fill="auto"/>
            <w:vAlign w:val="center"/>
          </w:tcPr>
          <w:p w14:paraId="4D2933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45" w:type="pct"/>
            <w:shd w:val="clear" w:color="auto" w:fill="auto"/>
            <w:vAlign w:val="center"/>
          </w:tcPr>
          <w:p w14:paraId="409FB1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523" w:type="pct"/>
            <w:shd w:val="clear" w:color="auto" w:fill="auto"/>
            <w:vAlign w:val="center"/>
          </w:tcPr>
          <w:p w14:paraId="496C75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废水排放口（DW002）</w:t>
            </w:r>
          </w:p>
        </w:tc>
        <w:tc>
          <w:tcPr>
            <w:tcW w:w="1686" w:type="pct"/>
            <w:shd w:val="clear" w:color="auto" w:fill="auto"/>
            <w:vAlign w:val="center"/>
          </w:tcPr>
          <w:p w14:paraId="60ED16D1">
            <w:pPr>
              <w:pStyle w:val="28"/>
              <w:rPr>
                <w:color w:val="000000" w:themeColor="text1"/>
                <w14:textFill>
                  <w14:solidFill>
                    <w14:schemeClr w14:val="tx1"/>
                  </w14:solidFill>
                </w14:textFill>
              </w:rPr>
            </w:pPr>
            <w:r>
              <w:rPr>
                <w:color w:val="000000" w:themeColor="text1"/>
                <w14:textFill>
                  <w14:solidFill>
                    <w14:schemeClr w14:val="tx1"/>
                  </w14:solidFill>
                </w14:textFill>
              </w:rPr>
              <w:t>pH、BOD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-N、TP、硫化物</w:t>
            </w:r>
          </w:p>
        </w:tc>
        <w:tc>
          <w:tcPr>
            <w:tcW w:w="1032" w:type="pct"/>
            <w:shd w:val="clear" w:color="auto" w:fill="auto"/>
            <w:vAlign w:val="center"/>
          </w:tcPr>
          <w:p w14:paraId="02913D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每年1次</w:t>
            </w:r>
          </w:p>
        </w:tc>
      </w:tr>
      <w:tr w14:paraId="0EFA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shd w:val="clear" w:color="auto" w:fill="auto"/>
            <w:vAlign w:val="center"/>
          </w:tcPr>
          <w:p w14:paraId="026397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45" w:type="pct"/>
            <w:shd w:val="clear" w:color="auto" w:fill="auto"/>
            <w:vAlign w:val="center"/>
          </w:tcPr>
          <w:p w14:paraId="41B1B827">
            <w:pPr>
              <w:pStyle w:val="28"/>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523" w:type="pct"/>
            <w:shd w:val="clear" w:color="auto" w:fill="auto"/>
            <w:vAlign w:val="center"/>
          </w:tcPr>
          <w:p w14:paraId="59F277F3">
            <w:pPr>
              <w:pStyle w:val="28"/>
              <w:rPr>
                <w:color w:val="000000" w:themeColor="text1"/>
                <w14:textFill>
                  <w14:solidFill>
                    <w14:schemeClr w14:val="tx1"/>
                  </w14:solidFill>
                </w14:textFill>
              </w:rPr>
            </w:pPr>
            <w:r>
              <w:rPr>
                <w:color w:val="000000" w:themeColor="text1"/>
                <w14:textFill>
                  <w14:solidFill>
                    <w14:schemeClr w14:val="tx1"/>
                  </w14:solidFill>
                </w14:textFill>
              </w:rPr>
              <w:t>厂界</w:t>
            </w:r>
            <w:r>
              <w:rPr>
                <w:rFonts w:hint="eastAsia"/>
                <w:color w:val="000000" w:themeColor="text1"/>
                <w14:textFill>
                  <w14:solidFill>
                    <w14:schemeClr w14:val="tx1"/>
                  </w14:solidFill>
                </w14:textFill>
              </w:rPr>
              <w:t>东、南、西、北</w:t>
            </w:r>
            <w:r>
              <w:rPr>
                <w:color w:val="000000" w:themeColor="text1"/>
                <w14:textFill>
                  <w14:solidFill>
                    <w14:schemeClr w14:val="tx1"/>
                  </w14:solidFill>
                </w14:textFill>
              </w:rPr>
              <w:t>，共设置4个</w:t>
            </w:r>
          </w:p>
        </w:tc>
        <w:tc>
          <w:tcPr>
            <w:tcW w:w="1686" w:type="pct"/>
            <w:shd w:val="clear" w:color="auto" w:fill="auto"/>
            <w:vAlign w:val="center"/>
          </w:tcPr>
          <w:p w14:paraId="45F09692">
            <w:pPr>
              <w:pStyle w:val="28"/>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c>
          <w:tcPr>
            <w:tcW w:w="1032" w:type="pct"/>
            <w:shd w:val="clear" w:color="auto" w:fill="auto"/>
            <w:vAlign w:val="center"/>
          </w:tcPr>
          <w:p w14:paraId="39CD2B18">
            <w:pPr>
              <w:pStyle w:val="28"/>
              <w:rPr>
                <w:color w:val="000000" w:themeColor="text1"/>
                <w14:textFill>
                  <w14:solidFill>
                    <w14:schemeClr w14:val="tx1"/>
                  </w14:solidFill>
                </w14:textFill>
              </w:rPr>
            </w:pPr>
            <w:r>
              <w:rPr>
                <w:color w:val="000000" w:themeColor="text1"/>
                <w14:textFill>
                  <w14:solidFill>
                    <w14:schemeClr w14:val="tx1"/>
                  </w14:solidFill>
                </w14:textFill>
              </w:rPr>
              <w:t>每个季度1次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昼夜各监测1次</w:t>
            </w:r>
          </w:p>
        </w:tc>
      </w:tr>
    </w:tbl>
    <w:p w14:paraId="4D3736A7">
      <w:pPr>
        <w:pStyle w:val="3"/>
        <w:rPr>
          <w:color w:val="000000" w:themeColor="text1"/>
          <w14:textFill>
            <w14:solidFill>
              <w14:schemeClr w14:val="tx1"/>
            </w14:solidFill>
          </w14:textFill>
        </w:rPr>
      </w:pPr>
      <w:bookmarkStart w:id="144" w:name="_Toc28903"/>
      <w:r>
        <w:rPr>
          <w:rFonts w:hint="eastAsia"/>
          <w:color w:val="000000" w:themeColor="text1"/>
          <w14:textFill>
            <w14:solidFill>
              <w14:schemeClr w14:val="tx1"/>
            </w14:solidFill>
          </w14:textFill>
        </w:rPr>
        <w:t>8.4总量控制</w:t>
      </w:r>
      <w:bookmarkEnd w:id="144"/>
    </w:p>
    <w:p w14:paraId="5A387AA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1、废气</w:t>
      </w:r>
    </w:p>
    <w:p w14:paraId="43C7797E">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表8.4-1   废气总量控制指标一览表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198"/>
        <w:gridCol w:w="2198"/>
        <w:gridCol w:w="1927"/>
      </w:tblGrid>
      <w:tr w14:paraId="2E88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tcPr>
          <w:p w14:paraId="568CC2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289" w:type="pct"/>
          </w:tcPr>
          <w:p w14:paraId="710F49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289" w:type="pct"/>
          </w:tcPr>
          <w:p w14:paraId="728EFD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130" w:type="pct"/>
          </w:tcPr>
          <w:p w14:paraId="728D37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r>
      <w:tr w14:paraId="4467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tcPr>
          <w:p w14:paraId="4E8018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有组织（t/a）</w:t>
            </w:r>
          </w:p>
        </w:tc>
        <w:tc>
          <w:tcPr>
            <w:tcW w:w="1289" w:type="pct"/>
          </w:tcPr>
          <w:p w14:paraId="234986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c>
          <w:tcPr>
            <w:tcW w:w="1289" w:type="pct"/>
          </w:tcPr>
          <w:p w14:paraId="56B048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c>
          <w:tcPr>
            <w:tcW w:w="1130" w:type="pct"/>
          </w:tcPr>
          <w:p w14:paraId="43C700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r w14:paraId="21E9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tcPr>
          <w:p w14:paraId="5C9FDD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无组织（t/a）</w:t>
            </w:r>
          </w:p>
        </w:tc>
        <w:tc>
          <w:tcPr>
            <w:tcW w:w="1289" w:type="pct"/>
          </w:tcPr>
          <w:p w14:paraId="7C0B48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89" w:type="pct"/>
          </w:tcPr>
          <w:p w14:paraId="57FA54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1130" w:type="pct"/>
          </w:tcPr>
          <w:p w14:paraId="397D95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D4F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tcPr>
          <w:p w14:paraId="1B2AD7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合计（t/a）</w:t>
            </w:r>
          </w:p>
        </w:tc>
        <w:tc>
          <w:tcPr>
            <w:tcW w:w="1289" w:type="pct"/>
          </w:tcPr>
          <w:p w14:paraId="559A467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c>
          <w:tcPr>
            <w:tcW w:w="1289" w:type="pct"/>
          </w:tcPr>
          <w:p w14:paraId="1A8EB5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0.0055</w:t>
            </w:r>
          </w:p>
        </w:tc>
        <w:tc>
          <w:tcPr>
            <w:tcW w:w="1130" w:type="pct"/>
          </w:tcPr>
          <w:p w14:paraId="6FDA85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r>
    </w:tbl>
    <w:p w14:paraId="6A6DB9DB">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2、废水</w:t>
      </w:r>
    </w:p>
    <w:p w14:paraId="0E8003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本项目废水处理达标后排入玉溪市污水处理站处理。废水排放量为467.736m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/a，COD排放为0.0462t/a，NH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-H排放量为0.0061t/a，总量纳入玉溪市城市污水处理厂总量控制。</w:t>
      </w:r>
    </w:p>
    <w:p w14:paraId="60149E1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3、固废</w:t>
      </w:r>
    </w:p>
    <w:p w14:paraId="120109A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固体废物处置率100%。</w:t>
      </w:r>
    </w:p>
    <w:p w14:paraId="103523E7">
      <w:pPr>
        <w:pStyle w:val="3"/>
        <w:rPr>
          <w:color w:val="000000" w:themeColor="text1"/>
          <w14:textFill>
            <w14:solidFill>
              <w14:schemeClr w14:val="tx1"/>
            </w14:solidFill>
          </w14:textFill>
        </w:rPr>
      </w:pPr>
      <w:bookmarkStart w:id="145" w:name="_Toc32756"/>
      <w:r>
        <w:rPr>
          <w:rFonts w:hint="eastAsia"/>
          <w:color w:val="000000" w:themeColor="text1"/>
          <w14:textFill>
            <w14:solidFill>
              <w14:schemeClr w14:val="tx1"/>
            </w14:solidFill>
          </w14:textFill>
        </w:rPr>
        <w:t>8.5项目污染物排放清单</w:t>
      </w:r>
      <w:bookmarkEnd w:id="145"/>
    </w:p>
    <w:p w14:paraId="020E99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为便于当地行政主管部门管理，便于对社会公开项目信息，根据导则要求，制定项目污染物排放清单，明确污染物排放的管理要求。项目污染物排放清单具体见下表。</w:t>
      </w:r>
    </w:p>
    <w:p w14:paraId="09414735">
      <w:pPr>
        <w:pStyle w:val="27"/>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6531E1ED">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表8.5-1  本项目污染物排放清单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42"/>
        <w:gridCol w:w="992"/>
        <w:gridCol w:w="1041"/>
        <w:gridCol w:w="2033"/>
        <w:gridCol w:w="1409"/>
        <w:gridCol w:w="1235"/>
        <w:gridCol w:w="1293"/>
        <w:gridCol w:w="3909"/>
      </w:tblGrid>
      <w:tr w14:paraId="5F0C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1C96E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522" w:type="pct"/>
            <w:vAlign w:val="center"/>
          </w:tcPr>
          <w:p w14:paraId="6594D6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污染源/污染环节</w:t>
            </w:r>
          </w:p>
        </w:tc>
        <w:tc>
          <w:tcPr>
            <w:tcW w:w="359" w:type="pct"/>
            <w:vAlign w:val="center"/>
          </w:tcPr>
          <w:p w14:paraId="1DB3872B">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污染物</w:t>
            </w:r>
          </w:p>
        </w:tc>
        <w:tc>
          <w:tcPr>
            <w:tcW w:w="1112" w:type="pct"/>
            <w:gridSpan w:val="2"/>
            <w:vAlign w:val="center"/>
          </w:tcPr>
          <w:p w14:paraId="4AEFF170">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治理措施</w:t>
            </w:r>
          </w:p>
        </w:tc>
        <w:tc>
          <w:tcPr>
            <w:tcW w:w="510" w:type="pct"/>
            <w:vAlign w:val="center"/>
          </w:tcPr>
          <w:p w14:paraId="03158E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排放口信息</w:t>
            </w:r>
          </w:p>
        </w:tc>
        <w:tc>
          <w:tcPr>
            <w:tcW w:w="447" w:type="pct"/>
            <w:vAlign w:val="center"/>
          </w:tcPr>
          <w:p w14:paraId="515DD86C">
            <w:pPr>
              <w:pStyle w:val="28"/>
              <w:rPr>
                <w:color w:val="000000" w:themeColor="text1"/>
                <w14:textFill>
                  <w14:solidFill>
                    <w14:schemeClr w14:val="tx1"/>
                  </w14:solidFill>
                </w14:textFill>
              </w:rPr>
            </w:pPr>
            <w:r>
              <w:rPr>
                <w:color w:val="000000" w:themeColor="text1"/>
                <w14:textFill>
                  <w14:solidFill>
                    <w14:schemeClr w14:val="tx1"/>
                  </w14:solidFill>
                </w14:textFill>
              </w:rPr>
              <w:t>排放量</w:t>
            </w:r>
          </w:p>
          <w:p w14:paraId="6E29090B">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（t/a）</w:t>
            </w:r>
          </w:p>
        </w:tc>
        <w:tc>
          <w:tcPr>
            <w:tcW w:w="468" w:type="pct"/>
            <w:vAlign w:val="center"/>
          </w:tcPr>
          <w:p w14:paraId="4C11B81B">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414" w:type="pct"/>
            <w:vAlign w:val="center"/>
          </w:tcPr>
          <w:p w14:paraId="1BFF9D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14:paraId="60D0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restart"/>
            <w:vAlign w:val="center"/>
          </w:tcPr>
          <w:p w14:paraId="357A98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522" w:type="pct"/>
            <w:vAlign w:val="center"/>
          </w:tcPr>
          <w:p w14:paraId="2978F5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359" w:type="pct"/>
            <w:vAlign w:val="center"/>
          </w:tcPr>
          <w:p w14:paraId="575BC3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112" w:type="pct"/>
            <w:gridSpan w:val="2"/>
            <w:vMerge w:val="restart"/>
            <w:vAlign w:val="center"/>
          </w:tcPr>
          <w:p w14:paraId="3170D0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设备密闭+风管+碱喷淋+除雾+活性炭吸附+15m高的排气筒（DA001）</w:t>
            </w:r>
          </w:p>
        </w:tc>
        <w:tc>
          <w:tcPr>
            <w:tcW w:w="510" w:type="pct"/>
            <w:vMerge w:val="restart"/>
            <w:shd w:val="clear" w:color="auto" w:fill="auto"/>
            <w:vAlign w:val="center"/>
          </w:tcPr>
          <w:p w14:paraId="478B84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447" w:type="pct"/>
            <w:shd w:val="clear" w:color="auto" w:fill="auto"/>
            <w:vAlign w:val="center"/>
          </w:tcPr>
          <w:p w14:paraId="6E6471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0.0001</w:t>
            </w:r>
          </w:p>
        </w:tc>
        <w:tc>
          <w:tcPr>
            <w:tcW w:w="468" w:type="pct"/>
            <w:shd w:val="clear" w:color="auto" w:fill="auto"/>
            <w:vAlign w:val="center"/>
          </w:tcPr>
          <w:p w14:paraId="114DC9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414" w:type="pct"/>
            <w:vMerge w:val="restart"/>
            <w:shd w:val="clear" w:color="auto" w:fill="auto"/>
            <w:vAlign w:val="center"/>
          </w:tcPr>
          <w:p w14:paraId="175BFA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《大气污染物综合排放标准》（GB16297-1996）、《恶臭污染物排放标准》（GB 14554-93）、《挥发性有机物无组织排放控制标准》（GB37822-2019）</w:t>
            </w:r>
          </w:p>
        </w:tc>
      </w:tr>
      <w:tr w14:paraId="75BF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52B7CD40">
            <w:pPr>
              <w:pStyle w:val="28"/>
              <w:rPr>
                <w:color w:val="000000" w:themeColor="text1"/>
                <w14:textFill>
                  <w14:solidFill>
                    <w14:schemeClr w14:val="tx1"/>
                  </w14:solidFill>
                </w14:textFill>
              </w:rPr>
            </w:pPr>
          </w:p>
        </w:tc>
        <w:tc>
          <w:tcPr>
            <w:tcW w:w="522" w:type="pct"/>
            <w:vAlign w:val="center"/>
          </w:tcPr>
          <w:p w14:paraId="1A3C79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研磨、干燥</w:t>
            </w:r>
          </w:p>
        </w:tc>
        <w:tc>
          <w:tcPr>
            <w:tcW w:w="359" w:type="pct"/>
            <w:vAlign w:val="center"/>
          </w:tcPr>
          <w:p w14:paraId="6BD616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112" w:type="pct"/>
            <w:gridSpan w:val="2"/>
            <w:vMerge w:val="continue"/>
            <w:vAlign w:val="center"/>
          </w:tcPr>
          <w:p w14:paraId="0160861E">
            <w:pPr>
              <w:pStyle w:val="28"/>
              <w:rPr>
                <w:color w:val="000000" w:themeColor="text1"/>
                <w14:textFill>
                  <w14:solidFill>
                    <w14:schemeClr w14:val="tx1"/>
                  </w14:solidFill>
                </w14:textFill>
              </w:rPr>
            </w:pPr>
          </w:p>
        </w:tc>
        <w:tc>
          <w:tcPr>
            <w:tcW w:w="510" w:type="pct"/>
            <w:vMerge w:val="continue"/>
            <w:shd w:val="clear" w:color="auto" w:fill="auto"/>
            <w:vAlign w:val="center"/>
          </w:tcPr>
          <w:p w14:paraId="57150F25">
            <w:pPr>
              <w:pStyle w:val="28"/>
              <w:rPr>
                <w:color w:val="000000" w:themeColor="text1"/>
                <w14:textFill>
                  <w14:solidFill>
                    <w14:schemeClr w14:val="tx1"/>
                  </w14:solidFill>
                </w14:textFill>
              </w:rPr>
            </w:pPr>
          </w:p>
        </w:tc>
        <w:tc>
          <w:tcPr>
            <w:tcW w:w="447" w:type="pct"/>
            <w:shd w:val="clear" w:color="auto" w:fill="auto"/>
            <w:vAlign w:val="center"/>
          </w:tcPr>
          <w:p w14:paraId="1697DE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468" w:type="pct"/>
            <w:shd w:val="clear" w:color="auto" w:fill="auto"/>
            <w:vAlign w:val="center"/>
          </w:tcPr>
          <w:p w14:paraId="4F2CBD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14" w:type="pct"/>
            <w:vMerge w:val="continue"/>
            <w:shd w:val="clear" w:color="auto" w:fill="auto"/>
            <w:vAlign w:val="center"/>
          </w:tcPr>
          <w:p w14:paraId="38571C6D">
            <w:pPr>
              <w:pStyle w:val="28"/>
              <w:rPr>
                <w:color w:val="000000" w:themeColor="text1"/>
                <w14:textFill>
                  <w14:solidFill>
                    <w14:schemeClr w14:val="tx1"/>
                  </w14:solidFill>
                </w14:textFill>
              </w:rPr>
            </w:pPr>
          </w:p>
        </w:tc>
      </w:tr>
      <w:tr w14:paraId="56BA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78871A4F">
            <w:pPr>
              <w:pStyle w:val="28"/>
              <w:rPr>
                <w:color w:val="000000" w:themeColor="text1"/>
                <w14:textFill>
                  <w14:solidFill>
                    <w14:schemeClr w14:val="tx1"/>
                  </w14:solidFill>
                </w14:textFill>
              </w:rPr>
            </w:pPr>
          </w:p>
        </w:tc>
        <w:tc>
          <w:tcPr>
            <w:tcW w:w="522" w:type="pct"/>
            <w:vMerge w:val="restart"/>
            <w:vAlign w:val="center"/>
          </w:tcPr>
          <w:p w14:paraId="7C2973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测试残渣和清洗废水处理</w:t>
            </w:r>
          </w:p>
        </w:tc>
        <w:tc>
          <w:tcPr>
            <w:tcW w:w="359" w:type="pct"/>
            <w:vMerge w:val="restart"/>
            <w:vAlign w:val="center"/>
          </w:tcPr>
          <w:p w14:paraId="4BAA4E6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112" w:type="pct"/>
            <w:gridSpan w:val="2"/>
            <w:vAlign w:val="center"/>
          </w:tcPr>
          <w:p w14:paraId="50221FD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碱喷淋+除雾+活性炭吸附+15m高的排气筒（DA001）</w:t>
            </w:r>
          </w:p>
        </w:tc>
        <w:tc>
          <w:tcPr>
            <w:tcW w:w="510" w:type="pct"/>
            <w:vMerge w:val="continue"/>
            <w:shd w:val="clear" w:color="auto" w:fill="auto"/>
            <w:vAlign w:val="center"/>
          </w:tcPr>
          <w:p w14:paraId="32EBE249">
            <w:pPr>
              <w:pStyle w:val="28"/>
              <w:rPr>
                <w:color w:val="000000" w:themeColor="text1"/>
                <w14:textFill>
                  <w14:solidFill>
                    <w14:schemeClr w14:val="tx1"/>
                  </w14:solidFill>
                </w14:textFill>
              </w:rPr>
            </w:pPr>
          </w:p>
        </w:tc>
        <w:tc>
          <w:tcPr>
            <w:tcW w:w="447" w:type="pct"/>
            <w:shd w:val="clear" w:color="auto" w:fill="auto"/>
            <w:vAlign w:val="center"/>
          </w:tcPr>
          <w:p w14:paraId="462D36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c>
          <w:tcPr>
            <w:tcW w:w="468" w:type="pct"/>
            <w:shd w:val="clear" w:color="auto" w:fill="auto"/>
            <w:vAlign w:val="center"/>
          </w:tcPr>
          <w:p w14:paraId="5ED1D3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1414" w:type="pct"/>
            <w:vMerge w:val="continue"/>
            <w:shd w:val="clear" w:color="auto" w:fill="auto"/>
            <w:vAlign w:val="center"/>
          </w:tcPr>
          <w:p w14:paraId="40647E0F">
            <w:pPr>
              <w:pStyle w:val="28"/>
              <w:rPr>
                <w:color w:val="000000" w:themeColor="text1"/>
                <w14:textFill>
                  <w14:solidFill>
                    <w14:schemeClr w14:val="tx1"/>
                  </w14:solidFill>
                </w14:textFill>
              </w:rPr>
            </w:pPr>
          </w:p>
        </w:tc>
      </w:tr>
      <w:tr w14:paraId="0F27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164E96FB">
            <w:pPr>
              <w:pStyle w:val="28"/>
              <w:rPr>
                <w:color w:val="000000" w:themeColor="text1"/>
                <w14:textFill>
                  <w14:solidFill>
                    <w14:schemeClr w14:val="tx1"/>
                  </w14:solidFill>
                </w14:textFill>
              </w:rPr>
            </w:pPr>
          </w:p>
        </w:tc>
        <w:tc>
          <w:tcPr>
            <w:tcW w:w="522" w:type="pct"/>
            <w:vMerge w:val="continue"/>
            <w:vAlign w:val="center"/>
          </w:tcPr>
          <w:p w14:paraId="60225BBD">
            <w:pPr>
              <w:pStyle w:val="28"/>
              <w:rPr>
                <w:color w:val="000000" w:themeColor="text1"/>
                <w14:textFill>
                  <w14:solidFill>
                    <w14:schemeClr w14:val="tx1"/>
                  </w14:solidFill>
                </w14:textFill>
              </w:rPr>
            </w:pPr>
          </w:p>
        </w:tc>
        <w:tc>
          <w:tcPr>
            <w:tcW w:w="359" w:type="pct"/>
            <w:vMerge w:val="continue"/>
            <w:vAlign w:val="center"/>
          </w:tcPr>
          <w:p w14:paraId="35AA3D92">
            <w:pPr>
              <w:pStyle w:val="28"/>
              <w:rPr>
                <w:color w:val="000000" w:themeColor="text1"/>
                <w14:textFill>
                  <w14:solidFill>
                    <w14:schemeClr w14:val="tx1"/>
                  </w14:solidFill>
                </w14:textFill>
              </w:rPr>
            </w:pPr>
          </w:p>
        </w:tc>
        <w:tc>
          <w:tcPr>
            <w:tcW w:w="1112" w:type="pct"/>
            <w:gridSpan w:val="2"/>
            <w:vAlign w:val="center"/>
          </w:tcPr>
          <w:p w14:paraId="7FA35DD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车间封闭</w:t>
            </w:r>
          </w:p>
        </w:tc>
        <w:tc>
          <w:tcPr>
            <w:tcW w:w="510" w:type="pct"/>
            <w:shd w:val="clear" w:color="auto" w:fill="auto"/>
            <w:vAlign w:val="center"/>
          </w:tcPr>
          <w:p w14:paraId="6BB9F8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47" w:type="pct"/>
            <w:shd w:val="clear" w:color="auto" w:fill="auto"/>
            <w:vAlign w:val="center"/>
          </w:tcPr>
          <w:p w14:paraId="5328FEA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468" w:type="pct"/>
            <w:shd w:val="clear" w:color="auto" w:fill="auto"/>
            <w:vAlign w:val="center"/>
          </w:tcPr>
          <w:p w14:paraId="62C68F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14" w:type="pct"/>
            <w:vMerge w:val="continue"/>
            <w:shd w:val="clear" w:color="auto" w:fill="auto"/>
            <w:vAlign w:val="center"/>
          </w:tcPr>
          <w:p w14:paraId="240FD26E">
            <w:pPr>
              <w:pStyle w:val="28"/>
              <w:rPr>
                <w:color w:val="000000" w:themeColor="text1"/>
                <w14:textFill>
                  <w14:solidFill>
                    <w14:schemeClr w14:val="tx1"/>
                  </w14:solidFill>
                </w14:textFill>
              </w:rPr>
            </w:pPr>
          </w:p>
        </w:tc>
      </w:tr>
      <w:tr w14:paraId="2C36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restart"/>
            <w:vAlign w:val="center"/>
          </w:tcPr>
          <w:p w14:paraId="065B99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522" w:type="pct"/>
            <w:shd w:val="clear" w:color="auto" w:fill="auto"/>
            <w:vAlign w:val="center"/>
          </w:tcPr>
          <w:p w14:paraId="3D4FB67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纯水制备废水</w:t>
            </w:r>
          </w:p>
        </w:tc>
        <w:tc>
          <w:tcPr>
            <w:tcW w:w="359" w:type="pct"/>
            <w:shd w:val="clear" w:color="auto" w:fill="auto"/>
            <w:vAlign w:val="center"/>
          </w:tcPr>
          <w:p w14:paraId="4232A71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SS</w:t>
            </w:r>
          </w:p>
        </w:tc>
        <w:tc>
          <w:tcPr>
            <w:tcW w:w="1112" w:type="pct"/>
            <w:gridSpan w:val="2"/>
            <w:shd w:val="clear" w:color="auto" w:fill="auto"/>
            <w:vAlign w:val="center"/>
          </w:tcPr>
          <w:p w14:paraId="4CC29719">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510" w:type="pct"/>
            <w:vMerge w:val="restart"/>
            <w:shd w:val="clear" w:color="auto" w:fill="auto"/>
            <w:vAlign w:val="center"/>
          </w:tcPr>
          <w:p w14:paraId="42EB19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DW001</w:t>
            </w:r>
          </w:p>
        </w:tc>
        <w:tc>
          <w:tcPr>
            <w:tcW w:w="447" w:type="pct"/>
            <w:shd w:val="clear" w:color="auto" w:fill="auto"/>
            <w:vAlign w:val="center"/>
          </w:tcPr>
          <w:p w14:paraId="0B9E3F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0.00020</w:t>
            </w:r>
          </w:p>
        </w:tc>
        <w:tc>
          <w:tcPr>
            <w:tcW w:w="468" w:type="pct"/>
            <w:shd w:val="clear" w:color="auto" w:fill="auto"/>
            <w:vAlign w:val="center"/>
          </w:tcPr>
          <w:p w14:paraId="15AFA8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414" w:type="pct"/>
            <w:vMerge w:val="restart"/>
            <w:shd w:val="clear" w:color="auto" w:fill="auto"/>
            <w:vAlign w:val="center"/>
          </w:tcPr>
          <w:p w14:paraId="484F57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《电子工业水污染物排放标准》（GB39731-2020）电子专用材料间接排放标准、《污水排入城镇下水道水质标准》（GB/T31962-2015）中表1 A等级标准及《污水综合排放标准》（GB8978-1996）表4三级，三者取严执行</w:t>
            </w:r>
          </w:p>
        </w:tc>
      </w:tr>
      <w:tr w14:paraId="0C36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6475B0D9">
            <w:pPr>
              <w:pStyle w:val="28"/>
              <w:rPr>
                <w:color w:val="000000" w:themeColor="text1"/>
                <w14:textFill>
                  <w14:solidFill>
                    <w14:schemeClr w14:val="tx1"/>
                  </w14:solidFill>
                </w14:textFill>
              </w:rPr>
            </w:pPr>
          </w:p>
        </w:tc>
        <w:tc>
          <w:tcPr>
            <w:tcW w:w="522" w:type="pct"/>
            <w:vMerge w:val="restart"/>
            <w:shd w:val="clear" w:color="auto" w:fill="auto"/>
            <w:vAlign w:val="center"/>
          </w:tcPr>
          <w:p w14:paraId="282B4CC7">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测试器具清洗废水</w:t>
            </w:r>
          </w:p>
        </w:tc>
        <w:tc>
          <w:tcPr>
            <w:tcW w:w="359" w:type="pct"/>
            <w:shd w:val="clear" w:color="auto" w:fill="auto"/>
            <w:vAlign w:val="center"/>
          </w:tcPr>
          <w:p w14:paraId="6B2028F3">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p>
        </w:tc>
        <w:tc>
          <w:tcPr>
            <w:tcW w:w="1112" w:type="pct"/>
            <w:gridSpan w:val="2"/>
            <w:vMerge w:val="restart"/>
            <w:shd w:val="clear" w:color="auto" w:fill="auto"/>
            <w:vAlign w:val="center"/>
          </w:tcPr>
          <w:p w14:paraId="458D2F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510" w:type="pct"/>
            <w:vMerge w:val="continue"/>
            <w:shd w:val="solid" w:color="FFFFFF" w:fill="auto"/>
            <w:vAlign w:val="center"/>
          </w:tcPr>
          <w:p w14:paraId="50B8048C">
            <w:pPr>
              <w:pStyle w:val="28"/>
              <w:rPr>
                <w:color w:val="000000" w:themeColor="text1"/>
                <w14:textFill>
                  <w14:solidFill>
                    <w14:schemeClr w14:val="tx1"/>
                  </w14:solidFill>
                </w14:textFill>
              </w:rPr>
            </w:pPr>
          </w:p>
        </w:tc>
        <w:tc>
          <w:tcPr>
            <w:tcW w:w="447" w:type="pct"/>
            <w:shd w:val="solid" w:color="FFFFFF" w:fill="auto"/>
            <w:vAlign w:val="center"/>
          </w:tcPr>
          <w:p w14:paraId="4F095B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0.0101</w:t>
            </w:r>
          </w:p>
        </w:tc>
        <w:tc>
          <w:tcPr>
            <w:tcW w:w="468" w:type="pct"/>
            <w:shd w:val="clear" w:color="auto" w:fill="auto"/>
            <w:vAlign w:val="center"/>
          </w:tcPr>
          <w:p w14:paraId="52936287">
            <w:pPr>
              <w:pStyle w:val="28"/>
              <w:rPr>
                <w:color w:val="000000" w:themeColor="text1"/>
                <w14:textFill>
                  <w14:solidFill>
                    <w14:schemeClr w14:val="tx1"/>
                  </w14:solidFill>
                </w14:textFill>
              </w:rPr>
            </w:pPr>
            <w:r>
              <w:rPr>
                <w:color w:val="000000" w:themeColor="text1"/>
                <w14:textFill>
                  <w14:solidFill>
                    <w14:schemeClr w14:val="tx1"/>
                  </w14:solidFill>
                </w14:textFill>
              </w:rPr>
              <w:t>420</w:t>
            </w:r>
          </w:p>
        </w:tc>
        <w:tc>
          <w:tcPr>
            <w:tcW w:w="1414" w:type="pct"/>
            <w:vMerge w:val="continue"/>
            <w:shd w:val="clear" w:color="auto" w:fill="auto"/>
            <w:vAlign w:val="center"/>
          </w:tcPr>
          <w:p w14:paraId="0E1D8A94">
            <w:pPr>
              <w:pStyle w:val="28"/>
              <w:rPr>
                <w:color w:val="000000" w:themeColor="text1"/>
                <w14:textFill>
                  <w14:solidFill>
                    <w14:schemeClr w14:val="tx1"/>
                  </w14:solidFill>
                </w14:textFill>
              </w:rPr>
            </w:pPr>
          </w:p>
        </w:tc>
      </w:tr>
      <w:tr w14:paraId="484F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159F822B">
            <w:pPr>
              <w:pStyle w:val="28"/>
              <w:rPr>
                <w:color w:val="000000" w:themeColor="text1"/>
                <w14:textFill>
                  <w14:solidFill>
                    <w14:schemeClr w14:val="tx1"/>
                  </w14:solidFill>
                </w14:textFill>
              </w:rPr>
            </w:pPr>
          </w:p>
        </w:tc>
        <w:tc>
          <w:tcPr>
            <w:tcW w:w="522" w:type="pct"/>
            <w:vMerge w:val="continue"/>
            <w:shd w:val="clear" w:color="auto" w:fill="auto"/>
            <w:vAlign w:val="center"/>
          </w:tcPr>
          <w:p w14:paraId="3E411F02">
            <w:pPr>
              <w:pStyle w:val="28"/>
              <w:rPr>
                <w:color w:val="000000" w:themeColor="text1"/>
                <w14:textFill>
                  <w14:solidFill>
                    <w14:schemeClr w14:val="tx1"/>
                  </w14:solidFill>
                </w14:textFill>
              </w:rPr>
            </w:pPr>
          </w:p>
        </w:tc>
        <w:tc>
          <w:tcPr>
            <w:tcW w:w="359" w:type="pct"/>
            <w:shd w:val="clear" w:color="auto" w:fill="auto"/>
            <w:vAlign w:val="center"/>
          </w:tcPr>
          <w:p w14:paraId="0A3D2C05">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SS</w:t>
            </w:r>
          </w:p>
        </w:tc>
        <w:tc>
          <w:tcPr>
            <w:tcW w:w="1112" w:type="pct"/>
            <w:gridSpan w:val="2"/>
            <w:vMerge w:val="continue"/>
            <w:shd w:val="clear" w:color="auto" w:fill="auto"/>
            <w:vAlign w:val="center"/>
          </w:tcPr>
          <w:p w14:paraId="3BB77D6B">
            <w:pPr>
              <w:pStyle w:val="28"/>
              <w:rPr>
                <w:color w:val="000000" w:themeColor="text1"/>
                <w14:textFill>
                  <w14:solidFill>
                    <w14:schemeClr w14:val="tx1"/>
                  </w14:solidFill>
                </w14:textFill>
              </w:rPr>
            </w:pPr>
          </w:p>
        </w:tc>
        <w:tc>
          <w:tcPr>
            <w:tcW w:w="510" w:type="pct"/>
            <w:vMerge w:val="continue"/>
            <w:shd w:val="solid" w:color="FFFFFF" w:fill="auto"/>
            <w:vAlign w:val="center"/>
          </w:tcPr>
          <w:p w14:paraId="2D298BFF">
            <w:pPr>
              <w:pStyle w:val="28"/>
              <w:rPr>
                <w:color w:val="000000" w:themeColor="text1"/>
                <w14:textFill>
                  <w14:solidFill>
                    <w14:schemeClr w14:val="tx1"/>
                  </w14:solidFill>
                </w14:textFill>
              </w:rPr>
            </w:pPr>
          </w:p>
        </w:tc>
        <w:tc>
          <w:tcPr>
            <w:tcW w:w="447" w:type="pct"/>
            <w:shd w:val="solid" w:color="FFFFFF" w:fill="auto"/>
            <w:vAlign w:val="center"/>
          </w:tcPr>
          <w:p w14:paraId="73A7EA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0.0022</w:t>
            </w:r>
          </w:p>
        </w:tc>
        <w:tc>
          <w:tcPr>
            <w:tcW w:w="468" w:type="pct"/>
            <w:shd w:val="clear" w:color="auto" w:fill="auto"/>
            <w:vAlign w:val="center"/>
          </w:tcPr>
          <w:p w14:paraId="5E176C94">
            <w:pPr>
              <w:pStyle w:val="28"/>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414" w:type="pct"/>
            <w:vMerge w:val="continue"/>
            <w:shd w:val="clear" w:color="auto" w:fill="auto"/>
            <w:vAlign w:val="center"/>
          </w:tcPr>
          <w:p w14:paraId="3088EDDA">
            <w:pPr>
              <w:pStyle w:val="28"/>
              <w:rPr>
                <w:color w:val="000000" w:themeColor="text1"/>
                <w14:textFill>
                  <w14:solidFill>
                    <w14:schemeClr w14:val="tx1"/>
                  </w14:solidFill>
                </w14:textFill>
              </w:rPr>
            </w:pPr>
          </w:p>
        </w:tc>
      </w:tr>
      <w:tr w14:paraId="7B2C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09ECF37E">
            <w:pPr>
              <w:pStyle w:val="28"/>
              <w:rPr>
                <w:color w:val="000000" w:themeColor="text1"/>
                <w14:textFill>
                  <w14:solidFill>
                    <w14:schemeClr w14:val="tx1"/>
                  </w14:solidFill>
                </w14:textFill>
              </w:rPr>
            </w:pPr>
          </w:p>
        </w:tc>
        <w:tc>
          <w:tcPr>
            <w:tcW w:w="522" w:type="pct"/>
            <w:vMerge w:val="continue"/>
            <w:shd w:val="clear" w:color="auto" w:fill="auto"/>
            <w:vAlign w:val="center"/>
          </w:tcPr>
          <w:p w14:paraId="7E462857">
            <w:pPr>
              <w:pStyle w:val="28"/>
              <w:rPr>
                <w:color w:val="000000" w:themeColor="text1"/>
                <w14:textFill>
                  <w14:solidFill>
                    <w14:schemeClr w14:val="tx1"/>
                  </w14:solidFill>
                </w14:textFill>
              </w:rPr>
            </w:pPr>
          </w:p>
        </w:tc>
        <w:tc>
          <w:tcPr>
            <w:tcW w:w="359" w:type="pct"/>
            <w:shd w:val="clear" w:color="auto" w:fill="auto"/>
            <w:vAlign w:val="center"/>
          </w:tcPr>
          <w:p w14:paraId="6F6C3A7C">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TP</w:t>
            </w:r>
          </w:p>
        </w:tc>
        <w:tc>
          <w:tcPr>
            <w:tcW w:w="1112" w:type="pct"/>
            <w:gridSpan w:val="2"/>
            <w:vMerge w:val="continue"/>
            <w:shd w:val="clear" w:color="auto" w:fill="auto"/>
            <w:vAlign w:val="center"/>
          </w:tcPr>
          <w:p w14:paraId="547869DA">
            <w:pPr>
              <w:pStyle w:val="28"/>
              <w:rPr>
                <w:color w:val="000000" w:themeColor="text1"/>
                <w14:textFill>
                  <w14:solidFill>
                    <w14:schemeClr w14:val="tx1"/>
                  </w14:solidFill>
                </w14:textFill>
              </w:rPr>
            </w:pPr>
          </w:p>
        </w:tc>
        <w:tc>
          <w:tcPr>
            <w:tcW w:w="510" w:type="pct"/>
            <w:vMerge w:val="continue"/>
            <w:shd w:val="solid" w:color="FFFFFF" w:fill="auto"/>
            <w:vAlign w:val="center"/>
          </w:tcPr>
          <w:p w14:paraId="2328021B">
            <w:pPr>
              <w:pStyle w:val="28"/>
              <w:rPr>
                <w:color w:val="000000" w:themeColor="text1"/>
                <w14:textFill>
                  <w14:solidFill>
                    <w14:schemeClr w14:val="tx1"/>
                  </w14:solidFill>
                </w14:textFill>
              </w:rPr>
            </w:pPr>
          </w:p>
        </w:tc>
        <w:tc>
          <w:tcPr>
            <w:tcW w:w="447" w:type="pct"/>
            <w:shd w:val="solid" w:color="FFFFFF" w:fill="auto"/>
            <w:vAlign w:val="center"/>
          </w:tcPr>
          <w:p w14:paraId="3BEC14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w:t>
            </w:r>
          </w:p>
        </w:tc>
        <w:tc>
          <w:tcPr>
            <w:tcW w:w="468" w:type="pct"/>
            <w:shd w:val="clear" w:color="auto" w:fill="auto"/>
            <w:vAlign w:val="center"/>
          </w:tcPr>
          <w:p w14:paraId="10778648">
            <w:pPr>
              <w:pStyle w:val="28"/>
              <w:rPr>
                <w:color w:val="000000" w:themeColor="text1"/>
                <w14:textFill>
                  <w14:solidFill>
                    <w14:schemeClr w14:val="tx1"/>
                  </w14:solidFill>
                </w14:textFill>
              </w:rPr>
            </w:pPr>
            <w:r>
              <w:rPr>
                <w:color w:val="000000" w:themeColor="text1"/>
                <w14:textFill>
                  <w14:solidFill>
                    <w14:schemeClr w14:val="tx1"/>
                  </w14:solidFill>
                </w14:textFill>
              </w:rPr>
              <w:t>0.4</w:t>
            </w:r>
          </w:p>
        </w:tc>
        <w:tc>
          <w:tcPr>
            <w:tcW w:w="1414" w:type="pct"/>
            <w:vMerge w:val="continue"/>
            <w:shd w:val="clear" w:color="auto" w:fill="auto"/>
            <w:vAlign w:val="center"/>
          </w:tcPr>
          <w:p w14:paraId="7BC0D26A">
            <w:pPr>
              <w:pStyle w:val="28"/>
              <w:rPr>
                <w:color w:val="000000" w:themeColor="text1"/>
                <w14:textFill>
                  <w14:solidFill>
                    <w14:schemeClr w14:val="tx1"/>
                  </w14:solidFill>
                </w14:textFill>
              </w:rPr>
            </w:pPr>
          </w:p>
        </w:tc>
      </w:tr>
      <w:tr w14:paraId="60FA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2415530D">
            <w:pPr>
              <w:pStyle w:val="28"/>
              <w:rPr>
                <w:color w:val="000000" w:themeColor="text1"/>
                <w14:textFill>
                  <w14:solidFill>
                    <w14:schemeClr w14:val="tx1"/>
                  </w14:solidFill>
                </w14:textFill>
              </w:rPr>
            </w:pPr>
          </w:p>
        </w:tc>
        <w:tc>
          <w:tcPr>
            <w:tcW w:w="522" w:type="pct"/>
            <w:vMerge w:val="continue"/>
            <w:shd w:val="clear" w:color="auto" w:fill="auto"/>
            <w:vAlign w:val="center"/>
          </w:tcPr>
          <w:p w14:paraId="1BFAA647">
            <w:pPr>
              <w:pStyle w:val="28"/>
              <w:rPr>
                <w:color w:val="000000" w:themeColor="text1"/>
                <w14:textFill>
                  <w14:solidFill>
                    <w14:schemeClr w14:val="tx1"/>
                  </w14:solidFill>
                </w14:textFill>
              </w:rPr>
            </w:pPr>
          </w:p>
        </w:tc>
        <w:tc>
          <w:tcPr>
            <w:tcW w:w="359" w:type="pct"/>
            <w:shd w:val="clear" w:color="auto" w:fill="auto"/>
            <w:vAlign w:val="center"/>
          </w:tcPr>
          <w:p w14:paraId="61BD7885">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硫化物</w:t>
            </w:r>
          </w:p>
        </w:tc>
        <w:tc>
          <w:tcPr>
            <w:tcW w:w="1112" w:type="pct"/>
            <w:gridSpan w:val="2"/>
            <w:vMerge w:val="continue"/>
            <w:shd w:val="clear" w:color="auto" w:fill="auto"/>
            <w:vAlign w:val="center"/>
          </w:tcPr>
          <w:p w14:paraId="25D5C0BC">
            <w:pPr>
              <w:pStyle w:val="28"/>
              <w:rPr>
                <w:color w:val="000000" w:themeColor="text1"/>
                <w14:textFill>
                  <w14:solidFill>
                    <w14:schemeClr w14:val="tx1"/>
                  </w14:solidFill>
                </w14:textFill>
              </w:rPr>
            </w:pPr>
          </w:p>
        </w:tc>
        <w:tc>
          <w:tcPr>
            <w:tcW w:w="510" w:type="pct"/>
            <w:vMerge w:val="continue"/>
            <w:shd w:val="solid" w:color="FFFFFF" w:fill="auto"/>
            <w:vAlign w:val="center"/>
          </w:tcPr>
          <w:p w14:paraId="55D5F940">
            <w:pPr>
              <w:pStyle w:val="28"/>
              <w:rPr>
                <w:color w:val="000000" w:themeColor="text1"/>
                <w14:textFill>
                  <w14:solidFill>
                    <w14:schemeClr w14:val="tx1"/>
                  </w14:solidFill>
                </w14:textFill>
              </w:rPr>
            </w:pPr>
          </w:p>
        </w:tc>
        <w:tc>
          <w:tcPr>
            <w:tcW w:w="447" w:type="pct"/>
            <w:shd w:val="solid" w:color="FFFFFF" w:fill="auto"/>
            <w:vAlign w:val="center"/>
          </w:tcPr>
          <w:p w14:paraId="676285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c>
          <w:tcPr>
            <w:tcW w:w="468" w:type="pct"/>
            <w:shd w:val="clear" w:color="auto" w:fill="auto"/>
            <w:vAlign w:val="center"/>
          </w:tcPr>
          <w:p w14:paraId="610287EF">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4" w:type="pct"/>
            <w:vMerge w:val="continue"/>
            <w:shd w:val="clear" w:color="auto" w:fill="auto"/>
            <w:vAlign w:val="center"/>
          </w:tcPr>
          <w:p w14:paraId="4C73B3F1">
            <w:pPr>
              <w:pStyle w:val="28"/>
              <w:rPr>
                <w:color w:val="000000" w:themeColor="text1"/>
                <w14:textFill>
                  <w14:solidFill>
                    <w14:schemeClr w14:val="tx1"/>
                  </w14:solidFill>
                </w14:textFill>
              </w:rPr>
            </w:pPr>
          </w:p>
        </w:tc>
      </w:tr>
      <w:tr w14:paraId="291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2921A43B">
            <w:pPr>
              <w:pStyle w:val="28"/>
              <w:rPr>
                <w:color w:val="000000" w:themeColor="text1"/>
                <w14:textFill>
                  <w14:solidFill>
                    <w14:schemeClr w14:val="tx1"/>
                  </w14:solidFill>
                </w14:textFill>
              </w:rPr>
            </w:pPr>
          </w:p>
        </w:tc>
        <w:tc>
          <w:tcPr>
            <w:tcW w:w="522" w:type="pct"/>
            <w:vMerge w:val="restart"/>
            <w:shd w:val="clear" w:color="auto" w:fill="auto"/>
            <w:vAlign w:val="center"/>
          </w:tcPr>
          <w:p w14:paraId="2C7034AD">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生活污水、车间拖把清洁废水</w:t>
            </w:r>
          </w:p>
        </w:tc>
        <w:tc>
          <w:tcPr>
            <w:tcW w:w="359" w:type="pct"/>
            <w:shd w:val="clear" w:color="auto" w:fill="auto"/>
            <w:vAlign w:val="center"/>
          </w:tcPr>
          <w:p w14:paraId="48934B3E">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p>
        </w:tc>
        <w:tc>
          <w:tcPr>
            <w:tcW w:w="1112" w:type="pct"/>
            <w:gridSpan w:val="2"/>
            <w:vMerge w:val="restart"/>
            <w:shd w:val="clear" w:color="auto" w:fill="auto"/>
            <w:vAlign w:val="center"/>
          </w:tcPr>
          <w:p w14:paraId="416DA0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生活污水依托租用厂房现有化粪池收集后排至市政污水管网，最终进入玉溪市污水处理厂</w:t>
            </w:r>
          </w:p>
        </w:tc>
        <w:tc>
          <w:tcPr>
            <w:tcW w:w="510" w:type="pct"/>
            <w:vMerge w:val="continue"/>
            <w:shd w:val="clear" w:color="auto" w:fill="auto"/>
            <w:vAlign w:val="center"/>
          </w:tcPr>
          <w:p w14:paraId="677891A7">
            <w:pPr>
              <w:pStyle w:val="28"/>
              <w:rPr>
                <w:color w:val="000000" w:themeColor="text1"/>
                <w14:textFill>
                  <w14:solidFill>
                    <w14:schemeClr w14:val="tx1"/>
                  </w14:solidFill>
                </w14:textFill>
              </w:rPr>
            </w:pPr>
          </w:p>
        </w:tc>
        <w:tc>
          <w:tcPr>
            <w:tcW w:w="447" w:type="pct"/>
            <w:shd w:val="clear" w:color="auto" w:fill="auto"/>
            <w:vAlign w:val="center"/>
          </w:tcPr>
          <w:p w14:paraId="76D9EF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0.0361</w:t>
            </w:r>
          </w:p>
        </w:tc>
        <w:tc>
          <w:tcPr>
            <w:tcW w:w="468" w:type="pct"/>
            <w:shd w:val="clear" w:color="auto" w:fill="auto"/>
            <w:vAlign w:val="center"/>
          </w:tcPr>
          <w:p w14:paraId="46069F73">
            <w:pPr>
              <w:pStyle w:val="28"/>
              <w:rPr>
                <w:color w:val="000000" w:themeColor="text1"/>
                <w14:textFill>
                  <w14:solidFill>
                    <w14:schemeClr w14:val="tx1"/>
                  </w14:solidFill>
                </w14:textFill>
              </w:rPr>
            </w:pPr>
            <w:r>
              <w:rPr>
                <w:color w:val="000000" w:themeColor="text1"/>
                <w14:textFill>
                  <w14:solidFill>
                    <w14:schemeClr w14:val="tx1"/>
                  </w14:solidFill>
                </w14:textFill>
              </w:rPr>
              <w:t>83.5</w:t>
            </w:r>
          </w:p>
        </w:tc>
        <w:tc>
          <w:tcPr>
            <w:tcW w:w="1414" w:type="pct"/>
            <w:vMerge w:val="continue"/>
            <w:shd w:val="clear" w:color="auto" w:fill="auto"/>
            <w:vAlign w:val="center"/>
          </w:tcPr>
          <w:p w14:paraId="2E8048B4">
            <w:pPr>
              <w:pStyle w:val="28"/>
              <w:rPr>
                <w:color w:val="000000" w:themeColor="text1"/>
                <w14:textFill>
                  <w14:solidFill>
                    <w14:schemeClr w14:val="tx1"/>
                  </w14:solidFill>
                </w14:textFill>
              </w:rPr>
            </w:pPr>
          </w:p>
        </w:tc>
      </w:tr>
      <w:tr w14:paraId="069B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05A461D7">
            <w:pPr>
              <w:pStyle w:val="28"/>
              <w:rPr>
                <w:color w:val="000000" w:themeColor="text1"/>
                <w14:textFill>
                  <w14:solidFill>
                    <w14:schemeClr w14:val="tx1"/>
                  </w14:solidFill>
                </w14:textFill>
              </w:rPr>
            </w:pPr>
          </w:p>
        </w:tc>
        <w:tc>
          <w:tcPr>
            <w:tcW w:w="522" w:type="pct"/>
            <w:vMerge w:val="continue"/>
            <w:shd w:val="clear" w:color="auto" w:fill="auto"/>
            <w:vAlign w:val="center"/>
          </w:tcPr>
          <w:p w14:paraId="020C159B">
            <w:pPr>
              <w:pStyle w:val="28"/>
              <w:rPr>
                <w:color w:val="000000" w:themeColor="text1"/>
                <w14:textFill>
                  <w14:solidFill>
                    <w14:schemeClr w14:val="tx1"/>
                  </w14:solidFill>
                </w14:textFill>
              </w:rPr>
            </w:pPr>
          </w:p>
        </w:tc>
        <w:tc>
          <w:tcPr>
            <w:tcW w:w="359" w:type="pct"/>
            <w:shd w:val="clear" w:color="auto" w:fill="auto"/>
            <w:vAlign w:val="center"/>
          </w:tcPr>
          <w:p w14:paraId="4DEFDF41">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112" w:type="pct"/>
            <w:gridSpan w:val="2"/>
            <w:vMerge w:val="continue"/>
            <w:shd w:val="clear" w:color="auto" w:fill="auto"/>
            <w:vAlign w:val="center"/>
          </w:tcPr>
          <w:p w14:paraId="6C7F8FB2">
            <w:pPr>
              <w:pStyle w:val="28"/>
              <w:rPr>
                <w:color w:val="000000" w:themeColor="text1"/>
                <w14:textFill>
                  <w14:solidFill>
                    <w14:schemeClr w14:val="tx1"/>
                  </w14:solidFill>
                </w14:textFill>
              </w:rPr>
            </w:pPr>
          </w:p>
        </w:tc>
        <w:tc>
          <w:tcPr>
            <w:tcW w:w="510" w:type="pct"/>
            <w:vMerge w:val="continue"/>
            <w:shd w:val="clear" w:color="auto" w:fill="auto"/>
            <w:vAlign w:val="center"/>
          </w:tcPr>
          <w:p w14:paraId="36B14478">
            <w:pPr>
              <w:pStyle w:val="28"/>
              <w:rPr>
                <w:color w:val="000000" w:themeColor="text1"/>
                <w14:textFill>
                  <w14:solidFill>
                    <w14:schemeClr w14:val="tx1"/>
                  </w14:solidFill>
                </w14:textFill>
              </w:rPr>
            </w:pPr>
          </w:p>
        </w:tc>
        <w:tc>
          <w:tcPr>
            <w:tcW w:w="447" w:type="pct"/>
            <w:shd w:val="clear" w:color="auto" w:fill="auto"/>
            <w:vAlign w:val="center"/>
          </w:tcPr>
          <w:p w14:paraId="41C570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0.0196</w:t>
            </w:r>
          </w:p>
        </w:tc>
        <w:tc>
          <w:tcPr>
            <w:tcW w:w="468" w:type="pct"/>
            <w:shd w:val="clear" w:color="auto" w:fill="auto"/>
            <w:vAlign w:val="center"/>
          </w:tcPr>
          <w:p w14:paraId="60F8E18C">
            <w:pPr>
              <w:pStyle w:val="28"/>
              <w:rPr>
                <w:color w:val="000000" w:themeColor="text1"/>
                <w14:textFill>
                  <w14:solidFill>
                    <w14:schemeClr w14:val="tx1"/>
                  </w14:solidFill>
                </w14:textFill>
              </w:rPr>
            </w:pPr>
            <w:r>
              <w:rPr>
                <w:color w:val="000000" w:themeColor="text1"/>
                <w14:textFill>
                  <w14:solidFill>
                    <w14:schemeClr w14:val="tx1"/>
                  </w14:solidFill>
                </w14:textFill>
              </w:rPr>
              <w:t>45.35</w:t>
            </w:r>
          </w:p>
        </w:tc>
        <w:tc>
          <w:tcPr>
            <w:tcW w:w="1414" w:type="pct"/>
            <w:vMerge w:val="continue"/>
            <w:shd w:val="clear" w:color="auto" w:fill="auto"/>
            <w:vAlign w:val="center"/>
          </w:tcPr>
          <w:p w14:paraId="3FDEC718">
            <w:pPr>
              <w:pStyle w:val="28"/>
              <w:rPr>
                <w:color w:val="000000" w:themeColor="text1"/>
                <w14:textFill>
                  <w14:solidFill>
                    <w14:schemeClr w14:val="tx1"/>
                  </w14:solidFill>
                </w14:textFill>
              </w:rPr>
            </w:pPr>
          </w:p>
        </w:tc>
      </w:tr>
      <w:tr w14:paraId="222A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7727C2A2">
            <w:pPr>
              <w:pStyle w:val="28"/>
              <w:rPr>
                <w:color w:val="000000" w:themeColor="text1"/>
                <w14:textFill>
                  <w14:solidFill>
                    <w14:schemeClr w14:val="tx1"/>
                  </w14:solidFill>
                </w14:textFill>
              </w:rPr>
            </w:pPr>
          </w:p>
        </w:tc>
        <w:tc>
          <w:tcPr>
            <w:tcW w:w="522" w:type="pct"/>
            <w:vMerge w:val="continue"/>
            <w:shd w:val="clear" w:color="auto" w:fill="auto"/>
            <w:vAlign w:val="center"/>
          </w:tcPr>
          <w:p w14:paraId="39901DEB">
            <w:pPr>
              <w:pStyle w:val="28"/>
              <w:rPr>
                <w:color w:val="000000" w:themeColor="text1"/>
                <w14:textFill>
                  <w14:solidFill>
                    <w14:schemeClr w14:val="tx1"/>
                  </w14:solidFill>
                </w14:textFill>
              </w:rPr>
            </w:pPr>
          </w:p>
        </w:tc>
        <w:tc>
          <w:tcPr>
            <w:tcW w:w="359" w:type="pct"/>
            <w:shd w:val="clear" w:color="auto" w:fill="auto"/>
            <w:vAlign w:val="center"/>
          </w:tcPr>
          <w:p w14:paraId="3467F94B">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SS</w:t>
            </w:r>
          </w:p>
        </w:tc>
        <w:tc>
          <w:tcPr>
            <w:tcW w:w="1112" w:type="pct"/>
            <w:gridSpan w:val="2"/>
            <w:vMerge w:val="continue"/>
            <w:shd w:val="clear" w:color="auto" w:fill="auto"/>
            <w:vAlign w:val="center"/>
          </w:tcPr>
          <w:p w14:paraId="249145AF">
            <w:pPr>
              <w:pStyle w:val="28"/>
              <w:rPr>
                <w:color w:val="000000" w:themeColor="text1"/>
                <w14:textFill>
                  <w14:solidFill>
                    <w14:schemeClr w14:val="tx1"/>
                  </w14:solidFill>
                </w14:textFill>
              </w:rPr>
            </w:pPr>
          </w:p>
        </w:tc>
        <w:tc>
          <w:tcPr>
            <w:tcW w:w="510" w:type="pct"/>
            <w:vMerge w:val="continue"/>
            <w:shd w:val="clear" w:color="auto" w:fill="auto"/>
            <w:vAlign w:val="center"/>
          </w:tcPr>
          <w:p w14:paraId="76346DBB">
            <w:pPr>
              <w:pStyle w:val="28"/>
              <w:rPr>
                <w:color w:val="000000" w:themeColor="text1"/>
                <w14:textFill>
                  <w14:solidFill>
                    <w14:schemeClr w14:val="tx1"/>
                  </w14:solidFill>
                </w14:textFill>
              </w:rPr>
            </w:pPr>
          </w:p>
        </w:tc>
        <w:tc>
          <w:tcPr>
            <w:tcW w:w="447" w:type="pct"/>
            <w:shd w:val="clear" w:color="auto" w:fill="auto"/>
            <w:vAlign w:val="center"/>
          </w:tcPr>
          <w:p w14:paraId="35FCBF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0.0030</w:t>
            </w:r>
          </w:p>
        </w:tc>
        <w:tc>
          <w:tcPr>
            <w:tcW w:w="468" w:type="pct"/>
            <w:shd w:val="clear" w:color="auto" w:fill="auto"/>
            <w:vAlign w:val="center"/>
          </w:tcPr>
          <w:p w14:paraId="6F103F51">
            <w:pPr>
              <w:pStyle w:val="28"/>
              <w:rPr>
                <w:color w:val="000000" w:themeColor="text1"/>
                <w14:textFill>
                  <w14:solidFill>
                    <w14:schemeClr w14:val="tx1"/>
                  </w14:solidFill>
                </w14:textFill>
              </w:rPr>
            </w:pPr>
            <w:r>
              <w:rPr>
                <w:color w:val="000000" w:themeColor="text1"/>
                <w14:textFill>
                  <w14:solidFill>
                    <w14:schemeClr w14:val="tx1"/>
                  </w14:solidFill>
                </w14:textFill>
              </w:rPr>
              <w:t>7</w:t>
            </w:r>
          </w:p>
        </w:tc>
        <w:tc>
          <w:tcPr>
            <w:tcW w:w="1414" w:type="pct"/>
            <w:vMerge w:val="continue"/>
            <w:shd w:val="clear" w:color="auto" w:fill="auto"/>
            <w:vAlign w:val="center"/>
          </w:tcPr>
          <w:p w14:paraId="18B49B1A">
            <w:pPr>
              <w:pStyle w:val="28"/>
              <w:rPr>
                <w:color w:val="000000" w:themeColor="text1"/>
                <w14:textFill>
                  <w14:solidFill>
                    <w14:schemeClr w14:val="tx1"/>
                  </w14:solidFill>
                </w14:textFill>
              </w:rPr>
            </w:pPr>
          </w:p>
        </w:tc>
      </w:tr>
      <w:tr w14:paraId="5DD3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70CF3CBB">
            <w:pPr>
              <w:pStyle w:val="28"/>
              <w:rPr>
                <w:color w:val="000000" w:themeColor="text1"/>
                <w14:textFill>
                  <w14:solidFill>
                    <w14:schemeClr w14:val="tx1"/>
                  </w14:solidFill>
                </w14:textFill>
              </w:rPr>
            </w:pPr>
          </w:p>
        </w:tc>
        <w:tc>
          <w:tcPr>
            <w:tcW w:w="522" w:type="pct"/>
            <w:vMerge w:val="continue"/>
            <w:shd w:val="clear" w:color="auto" w:fill="auto"/>
            <w:vAlign w:val="center"/>
          </w:tcPr>
          <w:p w14:paraId="47BE7828">
            <w:pPr>
              <w:pStyle w:val="28"/>
              <w:rPr>
                <w:color w:val="000000" w:themeColor="text1"/>
                <w14:textFill>
                  <w14:solidFill>
                    <w14:schemeClr w14:val="tx1"/>
                  </w14:solidFill>
                </w14:textFill>
              </w:rPr>
            </w:pPr>
          </w:p>
        </w:tc>
        <w:tc>
          <w:tcPr>
            <w:tcW w:w="359" w:type="pct"/>
            <w:shd w:val="clear" w:color="auto" w:fill="auto"/>
            <w:vAlign w:val="center"/>
          </w:tcPr>
          <w:p w14:paraId="0E16D600">
            <w:pPr>
              <w:pStyle w:val="28"/>
              <w:rPr>
                <w:rFonts w:cs="黑体"/>
                <w:color w:val="000000" w:themeColor="text1"/>
                <w:szCs w:val="22"/>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112" w:type="pct"/>
            <w:gridSpan w:val="2"/>
            <w:vMerge w:val="continue"/>
            <w:shd w:val="clear" w:color="auto" w:fill="auto"/>
            <w:vAlign w:val="center"/>
          </w:tcPr>
          <w:p w14:paraId="53625BA5">
            <w:pPr>
              <w:pStyle w:val="28"/>
              <w:rPr>
                <w:color w:val="000000" w:themeColor="text1"/>
                <w14:textFill>
                  <w14:solidFill>
                    <w14:schemeClr w14:val="tx1"/>
                  </w14:solidFill>
                </w14:textFill>
              </w:rPr>
            </w:pPr>
          </w:p>
        </w:tc>
        <w:tc>
          <w:tcPr>
            <w:tcW w:w="510" w:type="pct"/>
            <w:vMerge w:val="continue"/>
            <w:shd w:val="clear" w:color="auto" w:fill="auto"/>
            <w:vAlign w:val="center"/>
          </w:tcPr>
          <w:p w14:paraId="5E0FF91F">
            <w:pPr>
              <w:pStyle w:val="28"/>
              <w:rPr>
                <w:color w:val="000000" w:themeColor="text1"/>
                <w14:textFill>
                  <w14:solidFill>
                    <w14:schemeClr w14:val="tx1"/>
                  </w14:solidFill>
                </w14:textFill>
              </w:rPr>
            </w:pPr>
          </w:p>
        </w:tc>
        <w:tc>
          <w:tcPr>
            <w:tcW w:w="447" w:type="pct"/>
            <w:shd w:val="clear" w:color="auto" w:fill="auto"/>
            <w:vAlign w:val="center"/>
          </w:tcPr>
          <w:p w14:paraId="540486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0.0061</w:t>
            </w:r>
          </w:p>
        </w:tc>
        <w:tc>
          <w:tcPr>
            <w:tcW w:w="468" w:type="pct"/>
            <w:shd w:val="clear" w:color="auto" w:fill="auto"/>
            <w:vAlign w:val="center"/>
          </w:tcPr>
          <w:p w14:paraId="55AE6CF0">
            <w:pPr>
              <w:pStyle w:val="28"/>
              <w:rPr>
                <w:color w:val="000000" w:themeColor="text1"/>
                <w14:textFill>
                  <w14:solidFill>
                    <w14:schemeClr w14:val="tx1"/>
                  </w14:solidFill>
                </w14:textFill>
              </w:rPr>
            </w:pPr>
            <w:r>
              <w:rPr>
                <w:color w:val="000000" w:themeColor="text1"/>
                <w14:textFill>
                  <w14:solidFill>
                    <w14:schemeClr w14:val="tx1"/>
                  </w14:solidFill>
                </w14:textFill>
              </w:rPr>
              <w:t>14.075</w:t>
            </w:r>
          </w:p>
        </w:tc>
        <w:tc>
          <w:tcPr>
            <w:tcW w:w="1414" w:type="pct"/>
            <w:vMerge w:val="continue"/>
            <w:shd w:val="clear" w:color="auto" w:fill="auto"/>
            <w:vAlign w:val="center"/>
          </w:tcPr>
          <w:p w14:paraId="65E12DB1">
            <w:pPr>
              <w:pStyle w:val="28"/>
              <w:rPr>
                <w:color w:val="000000" w:themeColor="text1"/>
                <w14:textFill>
                  <w14:solidFill>
                    <w14:schemeClr w14:val="tx1"/>
                  </w14:solidFill>
                </w14:textFill>
              </w:rPr>
            </w:pPr>
          </w:p>
        </w:tc>
      </w:tr>
      <w:tr w14:paraId="33C5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25D292CF">
            <w:pPr>
              <w:pStyle w:val="28"/>
              <w:rPr>
                <w:color w:val="000000" w:themeColor="text1"/>
                <w14:textFill>
                  <w14:solidFill>
                    <w14:schemeClr w14:val="tx1"/>
                  </w14:solidFill>
                </w14:textFill>
              </w:rPr>
            </w:pPr>
          </w:p>
        </w:tc>
        <w:tc>
          <w:tcPr>
            <w:tcW w:w="522" w:type="pct"/>
            <w:shd w:val="clear" w:color="auto" w:fill="auto"/>
            <w:vAlign w:val="center"/>
          </w:tcPr>
          <w:p w14:paraId="0ED1E8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冷却水循环系统定期排污水</w:t>
            </w:r>
          </w:p>
        </w:tc>
        <w:tc>
          <w:tcPr>
            <w:tcW w:w="359" w:type="pct"/>
            <w:shd w:val="clear" w:color="auto" w:fill="auto"/>
            <w:vAlign w:val="center"/>
          </w:tcPr>
          <w:p w14:paraId="61EDE63E">
            <w:pPr>
              <w:pStyle w:val="2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112" w:type="pct"/>
            <w:gridSpan w:val="2"/>
            <w:shd w:val="clear" w:color="auto" w:fill="auto"/>
            <w:vAlign w:val="center"/>
          </w:tcPr>
          <w:p w14:paraId="57C93284">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经自建一体化污水处理站处理达标后排至市政污水管网，最终进入玉溪市污水处理厂</w:t>
            </w:r>
          </w:p>
        </w:tc>
        <w:tc>
          <w:tcPr>
            <w:tcW w:w="510" w:type="pct"/>
            <w:vMerge w:val="continue"/>
            <w:shd w:val="clear" w:color="auto" w:fill="auto"/>
            <w:vAlign w:val="center"/>
          </w:tcPr>
          <w:p w14:paraId="40728106">
            <w:pPr>
              <w:pStyle w:val="28"/>
              <w:rPr>
                <w:color w:val="000000" w:themeColor="text1"/>
                <w14:textFill>
                  <w14:solidFill>
                    <w14:schemeClr w14:val="tx1"/>
                  </w14:solidFill>
                </w14:textFill>
              </w:rPr>
            </w:pPr>
          </w:p>
        </w:tc>
        <w:tc>
          <w:tcPr>
            <w:tcW w:w="447" w:type="pct"/>
            <w:shd w:val="clear" w:color="auto" w:fill="auto"/>
            <w:vAlign w:val="center"/>
          </w:tcPr>
          <w:p w14:paraId="23980D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0.000018</w:t>
            </w:r>
          </w:p>
        </w:tc>
        <w:tc>
          <w:tcPr>
            <w:tcW w:w="468" w:type="pct"/>
            <w:shd w:val="clear" w:color="auto" w:fill="auto"/>
            <w:vAlign w:val="center"/>
          </w:tcPr>
          <w:p w14:paraId="4EA23E54">
            <w:pPr>
              <w:pStyle w:val="2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414" w:type="pct"/>
            <w:vMerge w:val="continue"/>
            <w:shd w:val="clear" w:color="auto" w:fill="auto"/>
            <w:vAlign w:val="center"/>
          </w:tcPr>
          <w:p w14:paraId="197EF418">
            <w:pPr>
              <w:pStyle w:val="28"/>
              <w:rPr>
                <w:color w:val="000000" w:themeColor="text1"/>
                <w14:textFill>
                  <w14:solidFill>
                    <w14:schemeClr w14:val="tx1"/>
                  </w14:solidFill>
                </w14:textFill>
              </w:rPr>
            </w:pPr>
          </w:p>
        </w:tc>
      </w:tr>
      <w:tr w14:paraId="4E24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049A62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522" w:type="pct"/>
            <w:vAlign w:val="center"/>
          </w:tcPr>
          <w:p w14:paraId="31FC829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c>
          <w:tcPr>
            <w:tcW w:w="1472" w:type="pct"/>
            <w:gridSpan w:val="3"/>
            <w:vAlign w:val="center"/>
          </w:tcPr>
          <w:p w14:paraId="5BFCC6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选用低噪声设备，固定减振，利用车间墙体隔声，水泵与进出口管道间安装软橡胶接头，泵体基础减振，利用车间墙体隔声</w:t>
            </w:r>
          </w:p>
        </w:tc>
        <w:tc>
          <w:tcPr>
            <w:tcW w:w="510" w:type="pct"/>
            <w:shd w:val="clear" w:color="auto" w:fill="auto"/>
            <w:vAlign w:val="center"/>
          </w:tcPr>
          <w:p w14:paraId="55F6DD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4A26B116">
            <w:pPr>
              <w:pStyle w:val="28"/>
              <w:rPr>
                <w:rFonts w:cs="黑体"/>
                <w:color w:val="000000" w:themeColor="text1"/>
                <w:szCs w:val="22"/>
                <w14:textFill>
                  <w14:solidFill>
                    <w14:schemeClr w14:val="tx1"/>
                  </w14:solidFill>
                </w14:textFill>
              </w:rPr>
            </w:pPr>
            <w:r>
              <w:rPr>
                <w:rFonts w:hint="eastAsia"/>
                <w:color w:val="000000" w:themeColor="text1"/>
                <w14:textFill>
                  <w14:solidFill>
                    <w14:schemeClr w14:val="tx1"/>
                  </w14:solidFill>
                </w14:textFill>
              </w:rPr>
              <w:t>60~90dB（A）</w:t>
            </w:r>
          </w:p>
        </w:tc>
        <w:tc>
          <w:tcPr>
            <w:tcW w:w="1414" w:type="pct"/>
            <w:shd w:val="clear" w:color="auto" w:fill="auto"/>
            <w:vAlign w:val="center"/>
          </w:tcPr>
          <w:p w14:paraId="658AFC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《工业企业厂界环境噪声排放标准》（GB12348-2008）中3类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4类</w:t>
            </w:r>
            <w:r>
              <w:rPr>
                <w:rFonts w:hint="eastAsia"/>
                <w:color w:val="000000" w:themeColor="text1"/>
                <w14:textFill>
                  <w14:solidFill>
                    <w14:schemeClr w14:val="tx1"/>
                  </w14:solidFill>
                </w14:textFill>
              </w:rPr>
              <w:t>标准</w:t>
            </w:r>
          </w:p>
        </w:tc>
      </w:tr>
      <w:tr w14:paraId="24CA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restart"/>
            <w:vAlign w:val="center"/>
          </w:tcPr>
          <w:p w14:paraId="272D97B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522" w:type="pct"/>
            <w:shd w:val="clear" w:color="auto" w:fill="auto"/>
            <w:vAlign w:val="center"/>
          </w:tcPr>
          <w:p w14:paraId="6F9FCD6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736" w:type="pct"/>
            <w:gridSpan w:val="2"/>
            <w:shd w:val="clear" w:color="auto" w:fill="auto"/>
            <w:vAlign w:val="center"/>
          </w:tcPr>
          <w:p w14:paraId="5D10621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原料废包装物</w:t>
            </w:r>
          </w:p>
        </w:tc>
        <w:tc>
          <w:tcPr>
            <w:tcW w:w="736" w:type="pct"/>
            <w:shd w:val="clear" w:color="auto" w:fill="auto"/>
            <w:vAlign w:val="center"/>
          </w:tcPr>
          <w:p w14:paraId="7E5A78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统一收集后外售至废品回收站</w:t>
            </w:r>
          </w:p>
        </w:tc>
        <w:tc>
          <w:tcPr>
            <w:tcW w:w="510" w:type="pct"/>
            <w:shd w:val="clear" w:color="auto" w:fill="auto"/>
            <w:vAlign w:val="center"/>
          </w:tcPr>
          <w:p w14:paraId="2B5BA3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4605FE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restart"/>
            <w:shd w:val="clear" w:color="auto" w:fill="auto"/>
            <w:vAlign w:val="center"/>
          </w:tcPr>
          <w:p w14:paraId="1AB2A9E1">
            <w:pPr>
              <w:pStyle w:val="28"/>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387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75563EAB">
            <w:pPr>
              <w:pStyle w:val="28"/>
              <w:rPr>
                <w:color w:val="000000" w:themeColor="text1"/>
                <w14:textFill>
                  <w14:solidFill>
                    <w14:schemeClr w14:val="tx1"/>
                  </w14:solidFill>
                </w14:textFill>
              </w:rPr>
            </w:pPr>
          </w:p>
        </w:tc>
        <w:tc>
          <w:tcPr>
            <w:tcW w:w="522" w:type="pct"/>
            <w:shd w:val="clear" w:color="auto" w:fill="auto"/>
            <w:vAlign w:val="center"/>
          </w:tcPr>
          <w:p w14:paraId="729862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投料、打包</w:t>
            </w:r>
          </w:p>
        </w:tc>
        <w:tc>
          <w:tcPr>
            <w:tcW w:w="736" w:type="pct"/>
            <w:gridSpan w:val="2"/>
            <w:shd w:val="clear" w:color="auto" w:fill="auto"/>
            <w:vAlign w:val="center"/>
          </w:tcPr>
          <w:p w14:paraId="33684D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有机溶剂废包装物</w:t>
            </w:r>
          </w:p>
        </w:tc>
        <w:tc>
          <w:tcPr>
            <w:tcW w:w="736" w:type="pct"/>
            <w:shd w:val="clear" w:color="auto" w:fill="auto"/>
            <w:vAlign w:val="center"/>
          </w:tcPr>
          <w:p w14:paraId="4F4897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vAlign w:val="center"/>
          </w:tcPr>
          <w:p w14:paraId="79848A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vAlign w:val="center"/>
          </w:tcPr>
          <w:p w14:paraId="161967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vAlign w:val="center"/>
          </w:tcPr>
          <w:p w14:paraId="3BBF0953">
            <w:pPr>
              <w:pStyle w:val="28"/>
              <w:rPr>
                <w:color w:val="000000" w:themeColor="text1"/>
                <w14:textFill>
                  <w14:solidFill>
                    <w14:schemeClr w14:val="tx1"/>
                  </w14:solidFill>
                </w14:textFill>
              </w:rPr>
            </w:pPr>
          </w:p>
        </w:tc>
      </w:tr>
      <w:tr w14:paraId="0556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45E877B5">
            <w:pPr>
              <w:pStyle w:val="28"/>
              <w:rPr>
                <w:color w:val="000000" w:themeColor="text1"/>
                <w14:textFill>
                  <w14:solidFill>
                    <w14:schemeClr w14:val="tx1"/>
                  </w14:solidFill>
                </w14:textFill>
              </w:rPr>
            </w:pPr>
          </w:p>
        </w:tc>
        <w:tc>
          <w:tcPr>
            <w:tcW w:w="522" w:type="pct"/>
            <w:shd w:val="clear" w:color="auto" w:fill="auto"/>
            <w:vAlign w:val="center"/>
          </w:tcPr>
          <w:p w14:paraId="2511F7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离心</w:t>
            </w:r>
          </w:p>
        </w:tc>
        <w:tc>
          <w:tcPr>
            <w:tcW w:w="736" w:type="pct"/>
            <w:gridSpan w:val="2"/>
            <w:shd w:val="clear" w:color="auto" w:fill="auto"/>
            <w:vAlign w:val="center"/>
          </w:tcPr>
          <w:p w14:paraId="0CA9C1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废有机溶剂</w:t>
            </w:r>
          </w:p>
        </w:tc>
        <w:tc>
          <w:tcPr>
            <w:tcW w:w="736" w:type="pct"/>
            <w:shd w:val="clear" w:color="auto" w:fill="auto"/>
            <w:vAlign w:val="center"/>
          </w:tcPr>
          <w:p w14:paraId="47EC40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74CD49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4DB7CB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0CEC87C1">
            <w:pPr>
              <w:pStyle w:val="28"/>
              <w:rPr>
                <w:color w:val="000000" w:themeColor="text1"/>
                <w14:textFill>
                  <w14:solidFill>
                    <w14:schemeClr w14:val="tx1"/>
                  </w14:solidFill>
                </w14:textFill>
              </w:rPr>
            </w:pPr>
          </w:p>
        </w:tc>
      </w:tr>
      <w:tr w14:paraId="71CB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31807E01">
            <w:pPr>
              <w:pStyle w:val="28"/>
              <w:rPr>
                <w:color w:val="000000" w:themeColor="text1"/>
                <w14:textFill>
                  <w14:solidFill>
                    <w14:schemeClr w14:val="tx1"/>
                  </w14:solidFill>
                </w14:textFill>
              </w:rPr>
            </w:pPr>
          </w:p>
        </w:tc>
        <w:tc>
          <w:tcPr>
            <w:tcW w:w="522" w:type="pct"/>
            <w:shd w:val="clear" w:color="auto" w:fill="auto"/>
            <w:vAlign w:val="center"/>
          </w:tcPr>
          <w:p w14:paraId="71DEC7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设备清洗</w:t>
            </w:r>
          </w:p>
        </w:tc>
        <w:tc>
          <w:tcPr>
            <w:tcW w:w="736" w:type="pct"/>
            <w:gridSpan w:val="2"/>
            <w:shd w:val="clear" w:color="auto" w:fill="auto"/>
            <w:vAlign w:val="center"/>
          </w:tcPr>
          <w:p w14:paraId="49BA8F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砂磨机碱洗废碱液</w:t>
            </w:r>
          </w:p>
        </w:tc>
        <w:tc>
          <w:tcPr>
            <w:tcW w:w="736" w:type="pct"/>
            <w:shd w:val="clear" w:color="auto" w:fill="auto"/>
            <w:vAlign w:val="center"/>
          </w:tcPr>
          <w:p w14:paraId="47ACD4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4DE842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03CDE1A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2ADDFF5B">
            <w:pPr>
              <w:pStyle w:val="28"/>
              <w:rPr>
                <w:color w:val="000000" w:themeColor="text1"/>
                <w14:textFill>
                  <w14:solidFill>
                    <w14:schemeClr w14:val="tx1"/>
                  </w14:solidFill>
                </w14:textFill>
              </w:rPr>
            </w:pPr>
          </w:p>
        </w:tc>
      </w:tr>
      <w:tr w14:paraId="199B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221ABB8F">
            <w:pPr>
              <w:pStyle w:val="28"/>
              <w:rPr>
                <w:color w:val="000000" w:themeColor="text1"/>
                <w14:textFill>
                  <w14:solidFill>
                    <w14:schemeClr w14:val="tx1"/>
                  </w14:solidFill>
                </w14:textFill>
              </w:rPr>
            </w:pPr>
          </w:p>
        </w:tc>
        <w:tc>
          <w:tcPr>
            <w:tcW w:w="522" w:type="pct"/>
            <w:shd w:val="clear" w:color="auto" w:fill="auto"/>
            <w:vAlign w:val="center"/>
          </w:tcPr>
          <w:p w14:paraId="48015C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736" w:type="pct"/>
            <w:gridSpan w:val="2"/>
            <w:shd w:val="clear" w:color="auto" w:fill="auto"/>
            <w:vAlign w:val="center"/>
          </w:tcPr>
          <w:p w14:paraId="602AC6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w:t>
            </w:r>
          </w:p>
        </w:tc>
        <w:tc>
          <w:tcPr>
            <w:tcW w:w="736" w:type="pct"/>
            <w:shd w:val="clear" w:color="auto" w:fill="auto"/>
            <w:vAlign w:val="center"/>
          </w:tcPr>
          <w:p w14:paraId="0E0FFA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c>
          <w:tcPr>
            <w:tcW w:w="510" w:type="pct"/>
            <w:shd w:val="clear" w:color="auto" w:fill="auto"/>
            <w:vAlign w:val="center"/>
          </w:tcPr>
          <w:p w14:paraId="0709CF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7DADF4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59C9EACF">
            <w:pPr>
              <w:pStyle w:val="28"/>
              <w:rPr>
                <w:color w:val="000000" w:themeColor="text1"/>
                <w14:textFill>
                  <w14:solidFill>
                    <w14:schemeClr w14:val="tx1"/>
                  </w14:solidFill>
                </w14:textFill>
              </w:rPr>
            </w:pPr>
          </w:p>
        </w:tc>
      </w:tr>
      <w:tr w14:paraId="11F3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78D4F405">
            <w:pPr>
              <w:pStyle w:val="28"/>
              <w:rPr>
                <w:color w:val="000000" w:themeColor="text1"/>
                <w14:textFill>
                  <w14:solidFill>
                    <w14:schemeClr w14:val="tx1"/>
                  </w14:solidFill>
                </w14:textFill>
              </w:rPr>
            </w:pPr>
          </w:p>
        </w:tc>
        <w:tc>
          <w:tcPr>
            <w:tcW w:w="522" w:type="pct"/>
            <w:shd w:val="clear" w:color="auto" w:fill="auto"/>
            <w:vAlign w:val="center"/>
          </w:tcPr>
          <w:p w14:paraId="335A4E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736" w:type="pct"/>
            <w:gridSpan w:val="2"/>
            <w:shd w:val="clear" w:color="auto" w:fill="auto"/>
            <w:vAlign w:val="center"/>
          </w:tcPr>
          <w:p w14:paraId="36896A3D">
            <w:pPr>
              <w:pStyle w:val="28"/>
              <w:rPr>
                <w:color w:val="000000" w:themeColor="text1"/>
                <w14:textFill>
                  <w14:solidFill>
                    <w14:schemeClr w14:val="tx1"/>
                  </w14:solidFill>
                </w14:textFill>
              </w:rPr>
            </w:pPr>
            <w:r>
              <w:rPr>
                <w:color w:val="000000" w:themeColor="text1"/>
                <w14:textFill>
                  <w14:solidFill>
                    <w14:schemeClr w14:val="tx1"/>
                  </w14:solidFill>
                </w14:textFill>
              </w:rPr>
              <w:t>喷淋循环系统定期排污水</w:t>
            </w:r>
          </w:p>
        </w:tc>
        <w:tc>
          <w:tcPr>
            <w:tcW w:w="736" w:type="pct"/>
            <w:shd w:val="clear" w:color="auto" w:fill="auto"/>
            <w:vAlign w:val="center"/>
          </w:tcPr>
          <w:p w14:paraId="61B1E8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42A323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4B0A06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4D51C1FA">
            <w:pPr>
              <w:pStyle w:val="28"/>
              <w:rPr>
                <w:color w:val="000000" w:themeColor="text1"/>
                <w14:textFill>
                  <w14:solidFill>
                    <w14:schemeClr w14:val="tx1"/>
                  </w14:solidFill>
                </w14:textFill>
              </w:rPr>
            </w:pPr>
          </w:p>
        </w:tc>
      </w:tr>
      <w:tr w14:paraId="1720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6AB64041">
            <w:pPr>
              <w:pStyle w:val="28"/>
              <w:rPr>
                <w:color w:val="000000" w:themeColor="text1"/>
                <w14:textFill>
                  <w14:solidFill>
                    <w14:schemeClr w14:val="tx1"/>
                  </w14:solidFill>
                </w14:textFill>
              </w:rPr>
            </w:pPr>
          </w:p>
        </w:tc>
        <w:tc>
          <w:tcPr>
            <w:tcW w:w="522" w:type="pct"/>
            <w:shd w:val="clear" w:color="auto" w:fill="auto"/>
            <w:vAlign w:val="center"/>
          </w:tcPr>
          <w:p w14:paraId="573526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736" w:type="pct"/>
            <w:gridSpan w:val="2"/>
            <w:shd w:val="clear" w:color="auto" w:fill="auto"/>
            <w:vAlign w:val="center"/>
          </w:tcPr>
          <w:p w14:paraId="0E32B8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736" w:type="pct"/>
            <w:shd w:val="clear" w:color="auto" w:fill="auto"/>
            <w:vAlign w:val="center"/>
          </w:tcPr>
          <w:p w14:paraId="72ABFE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0253B6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03014F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6FC2275F">
            <w:pPr>
              <w:pStyle w:val="28"/>
              <w:rPr>
                <w:color w:val="000000" w:themeColor="text1"/>
                <w14:textFill>
                  <w14:solidFill>
                    <w14:schemeClr w14:val="tx1"/>
                  </w14:solidFill>
                </w14:textFill>
              </w:rPr>
            </w:pPr>
          </w:p>
        </w:tc>
      </w:tr>
      <w:tr w14:paraId="78F0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vAlign w:val="center"/>
          </w:tcPr>
          <w:p w14:paraId="27E83A7C">
            <w:pPr>
              <w:pStyle w:val="28"/>
              <w:rPr>
                <w:color w:val="000000" w:themeColor="text1"/>
                <w14:textFill>
                  <w14:solidFill>
                    <w14:schemeClr w14:val="tx1"/>
                  </w14:solidFill>
                </w14:textFill>
              </w:rPr>
            </w:pPr>
          </w:p>
        </w:tc>
        <w:tc>
          <w:tcPr>
            <w:tcW w:w="522" w:type="pct"/>
            <w:shd w:val="clear" w:color="auto" w:fill="auto"/>
            <w:vAlign w:val="center"/>
          </w:tcPr>
          <w:p w14:paraId="19EE11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c>
        <w:tc>
          <w:tcPr>
            <w:tcW w:w="736" w:type="pct"/>
            <w:gridSpan w:val="2"/>
            <w:shd w:val="clear" w:color="auto" w:fill="auto"/>
            <w:vAlign w:val="center"/>
          </w:tcPr>
          <w:p w14:paraId="49C0D5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废导热油</w:t>
            </w:r>
          </w:p>
        </w:tc>
        <w:tc>
          <w:tcPr>
            <w:tcW w:w="736" w:type="pct"/>
            <w:shd w:val="clear" w:color="auto" w:fill="auto"/>
            <w:vAlign w:val="center"/>
          </w:tcPr>
          <w:p w14:paraId="010D5D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0BF369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51F7AD9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5FFBC395">
            <w:pPr>
              <w:pStyle w:val="28"/>
              <w:rPr>
                <w:color w:val="000000" w:themeColor="text1"/>
                <w14:textFill>
                  <w14:solidFill>
                    <w14:schemeClr w14:val="tx1"/>
                  </w14:solidFill>
                </w14:textFill>
              </w:rPr>
            </w:pPr>
          </w:p>
        </w:tc>
      </w:tr>
      <w:tr w14:paraId="3B58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tcPr>
          <w:p w14:paraId="306DC69B">
            <w:pPr>
              <w:pStyle w:val="28"/>
              <w:rPr>
                <w:color w:val="000000" w:themeColor="text1"/>
                <w14:textFill>
                  <w14:solidFill>
                    <w14:schemeClr w14:val="tx1"/>
                  </w14:solidFill>
                </w14:textFill>
              </w:rPr>
            </w:pPr>
          </w:p>
        </w:tc>
        <w:tc>
          <w:tcPr>
            <w:tcW w:w="522" w:type="pct"/>
            <w:shd w:val="clear" w:color="auto" w:fill="auto"/>
            <w:vAlign w:val="center"/>
          </w:tcPr>
          <w:p w14:paraId="609130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产品测试</w:t>
            </w:r>
          </w:p>
        </w:tc>
        <w:tc>
          <w:tcPr>
            <w:tcW w:w="736" w:type="pct"/>
            <w:gridSpan w:val="2"/>
            <w:shd w:val="clear" w:color="auto" w:fill="auto"/>
            <w:vAlign w:val="center"/>
          </w:tcPr>
          <w:p w14:paraId="06D0CB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测试残渣</w:t>
            </w:r>
          </w:p>
        </w:tc>
        <w:tc>
          <w:tcPr>
            <w:tcW w:w="736" w:type="pct"/>
            <w:shd w:val="clear" w:color="auto" w:fill="auto"/>
            <w:vAlign w:val="center"/>
          </w:tcPr>
          <w:p w14:paraId="59902A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送至周边砖厂制砖使用</w:t>
            </w:r>
          </w:p>
        </w:tc>
        <w:tc>
          <w:tcPr>
            <w:tcW w:w="510" w:type="pct"/>
            <w:shd w:val="clear" w:color="auto" w:fill="auto"/>
            <w:vAlign w:val="center"/>
          </w:tcPr>
          <w:p w14:paraId="341B35A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4661F7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71FE2CBF">
            <w:pPr>
              <w:pStyle w:val="28"/>
              <w:rPr>
                <w:color w:val="000000" w:themeColor="text1"/>
                <w14:textFill>
                  <w14:solidFill>
                    <w14:schemeClr w14:val="tx1"/>
                  </w14:solidFill>
                </w14:textFill>
              </w:rPr>
            </w:pPr>
          </w:p>
        </w:tc>
      </w:tr>
      <w:tr w14:paraId="4E47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tcPr>
          <w:p w14:paraId="6B78EAD2">
            <w:pPr>
              <w:pStyle w:val="28"/>
              <w:rPr>
                <w:color w:val="000000" w:themeColor="text1"/>
                <w14:textFill>
                  <w14:solidFill>
                    <w14:schemeClr w14:val="tx1"/>
                  </w14:solidFill>
                </w14:textFill>
              </w:rPr>
            </w:pPr>
          </w:p>
        </w:tc>
        <w:tc>
          <w:tcPr>
            <w:tcW w:w="522" w:type="pct"/>
            <w:shd w:val="clear" w:color="auto" w:fill="auto"/>
            <w:vAlign w:val="center"/>
          </w:tcPr>
          <w:p w14:paraId="3258D3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地面清洗</w:t>
            </w:r>
          </w:p>
        </w:tc>
        <w:tc>
          <w:tcPr>
            <w:tcW w:w="736" w:type="pct"/>
            <w:gridSpan w:val="2"/>
            <w:shd w:val="clear" w:color="auto" w:fill="auto"/>
            <w:vAlign w:val="center"/>
          </w:tcPr>
          <w:p w14:paraId="4D5C4E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废抹布</w:t>
            </w:r>
          </w:p>
        </w:tc>
        <w:tc>
          <w:tcPr>
            <w:tcW w:w="736" w:type="pct"/>
            <w:shd w:val="clear" w:color="auto" w:fill="auto"/>
            <w:vAlign w:val="center"/>
          </w:tcPr>
          <w:p w14:paraId="3BE565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交由有资质的单位清运、处置</w:t>
            </w:r>
          </w:p>
        </w:tc>
        <w:tc>
          <w:tcPr>
            <w:tcW w:w="510" w:type="pct"/>
            <w:shd w:val="clear" w:color="auto" w:fill="auto"/>
            <w:vAlign w:val="center"/>
          </w:tcPr>
          <w:p w14:paraId="6A5E1C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vAlign w:val="center"/>
          </w:tcPr>
          <w:p w14:paraId="01D44EC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vAlign w:val="center"/>
          </w:tcPr>
          <w:p w14:paraId="443CEB88">
            <w:pPr>
              <w:pStyle w:val="28"/>
              <w:rPr>
                <w:color w:val="000000" w:themeColor="text1"/>
                <w14:textFill>
                  <w14:solidFill>
                    <w14:schemeClr w14:val="tx1"/>
                  </w14:solidFill>
                </w14:textFill>
              </w:rPr>
            </w:pPr>
          </w:p>
        </w:tc>
      </w:tr>
      <w:tr w14:paraId="4FE8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tcPr>
          <w:p w14:paraId="091EAA30">
            <w:pPr>
              <w:pStyle w:val="28"/>
              <w:rPr>
                <w:color w:val="000000" w:themeColor="text1"/>
                <w14:textFill>
                  <w14:solidFill>
                    <w14:schemeClr w14:val="tx1"/>
                  </w14:solidFill>
                </w14:textFill>
              </w:rPr>
            </w:pPr>
          </w:p>
        </w:tc>
        <w:tc>
          <w:tcPr>
            <w:tcW w:w="522" w:type="pct"/>
            <w:shd w:val="clear" w:color="auto" w:fill="auto"/>
            <w:vAlign w:val="center"/>
          </w:tcPr>
          <w:p w14:paraId="249A98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w:t>
            </w:r>
          </w:p>
        </w:tc>
        <w:tc>
          <w:tcPr>
            <w:tcW w:w="736" w:type="pct"/>
            <w:gridSpan w:val="2"/>
            <w:shd w:val="clear" w:color="auto" w:fill="auto"/>
            <w:vAlign w:val="center"/>
          </w:tcPr>
          <w:p w14:paraId="218A1F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废手套</w:t>
            </w:r>
          </w:p>
        </w:tc>
        <w:tc>
          <w:tcPr>
            <w:tcW w:w="736" w:type="pct"/>
            <w:shd w:val="clear" w:color="auto" w:fill="auto"/>
            <w:vAlign w:val="center"/>
          </w:tcPr>
          <w:p w14:paraId="359272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c>
          <w:tcPr>
            <w:tcW w:w="510" w:type="pct"/>
            <w:shd w:val="clear" w:color="auto" w:fill="auto"/>
          </w:tcPr>
          <w:p w14:paraId="4C2D08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shd w:val="clear" w:color="auto" w:fill="auto"/>
          </w:tcPr>
          <w:p w14:paraId="3060C7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shd w:val="clear" w:color="auto" w:fill="auto"/>
          </w:tcPr>
          <w:p w14:paraId="33E0F110">
            <w:pPr>
              <w:pStyle w:val="28"/>
              <w:rPr>
                <w:color w:val="000000" w:themeColor="text1"/>
                <w14:textFill>
                  <w14:solidFill>
                    <w14:schemeClr w14:val="tx1"/>
                  </w14:solidFill>
                </w14:textFill>
              </w:rPr>
            </w:pPr>
          </w:p>
        </w:tc>
      </w:tr>
      <w:tr w14:paraId="57D4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continue"/>
          </w:tcPr>
          <w:p w14:paraId="61776088">
            <w:pPr>
              <w:pStyle w:val="28"/>
              <w:rPr>
                <w:color w:val="000000" w:themeColor="text1"/>
                <w14:textFill>
                  <w14:solidFill>
                    <w14:schemeClr w14:val="tx1"/>
                  </w14:solidFill>
                </w14:textFill>
              </w:rPr>
            </w:pPr>
          </w:p>
        </w:tc>
        <w:tc>
          <w:tcPr>
            <w:tcW w:w="522" w:type="pct"/>
            <w:shd w:val="clear" w:color="auto" w:fill="auto"/>
            <w:vAlign w:val="center"/>
          </w:tcPr>
          <w:p w14:paraId="34BF49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736" w:type="pct"/>
            <w:gridSpan w:val="2"/>
            <w:shd w:val="clear" w:color="auto" w:fill="auto"/>
            <w:vAlign w:val="center"/>
          </w:tcPr>
          <w:p w14:paraId="6EF079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736" w:type="pct"/>
            <w:shd w:val="clear" w:color="auto" w:fill="auto"/>
            <w:vAlign w:val="center"/>
          </w:tcPr>
          <w:p w14:paraId="15C8A3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统一收集后委托当地环卫部门清运</w:t>
            </w:r>
          </w:p>
        </w:tc>
        <w:tc>
          <w:tcPr>
            <w:tcW w:w="510" w:type="pct"/>
          </w:tcPr>
          <w:p w14:paraId="57EDFA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5" w:type="pct"/>
            <w:gridSpan w:val="2"/>
          </w:tcPr>
          <w:p w14:paraId="2653FF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14" w:type="pct"/>
            <w:vMerge w:val="continue"/>
          </w:tcPr>
          <w:p w14:paraId="3043B7A6">
            <w:pPr>
              <w:pStyle w:val="28"/>
              <w:rPr>
                <w:color w:val="000000" w:themeColor="text1"/>
                <w14:textFill>
                  <w14:solidFill>
                    <w14:schemeClr w14:val="tx1"/>
                  </w14:solidFill>
                </w14:textFill>
              </w:rPr>
            </w:pPr>
          </w:p>
        </w:tc>
      </w:tr>
    </w:tbl>
    <w:p w14:paraId="58FBD95A">
      <w:pPr>
        <w:pStyle w:val="27"/>
        <w:rPr>
          <w:color w:val="000000" w:themeColor="text1"/>
          <w14:textFill>
            <w14:solidFill>
              <w14:schemeClr w14:val="tx1"/>
            </w14:solidFill>
          </w14:textFill>
        </w:rPr>
        <w:sectPr>
          <w:pgSz w:w="16838" w:h="11906" w:orient="landscape"/>
          <w:pgMar w:top="1440" w:right="1440" w:bottom="1440" w:left="1803" w:header="907" w:footer="992" w:gutter="0"/>
          <w:cols w:space="425" w:num="1"/>
          <w:docGrid w:type="lines" w:linePitch="312" w:charSpace="0"/>
        </w:sectPr>
      </w:pPr>
    </w:p>
    <w:p w14:paraId="4C89AACE">
      <w:pPr>
        <w:pStyle w:val="3"/>
        <w:rPr>
          <w:color w:val="000000" w:themeColor="text1"/>
          <w14:textFill>
            <w14:solidFill>
              <w14:schemeClr w14:val="tx1"/>
            </w14:solidFill>
          </w14:textFill>
        </w:rPr>
      </w:pPr>
      <w:bookmarkStart w:id="146" w:name="_Toc24831"/>
      <w:r>
        <w:rPr>
          <w:rFonts w:hint="eastAsia"/>
          <w:color w:val="000000" w:themeColor="text1"/>
          <w14:textFill>
            <w14:solidFill>
              <w14:schemeClr w14:val="tx1"/>
            </w14:solidFill>
          </w14:textFill>
        </w:rPr>
        <w:t>8.6排污许可证制度及要求</w:t>
      </w:r>
      <w:bookmarkEnd w:id="146"/>
    </w:p>
    <w:p w14:paraId="17894760">
      <w:pPr>
        <w:pStyle w:val="4"/>
        <w:rPr>
          <w:color w:val="000000" w:themeColor="text1"/>
          <w14:textFill>
            <w14:solidFill>
              <w14:schemeClr w14:val="tx1"/>
            </w14:solidFill>
          </w14:textFill>
        </w:rPr>
      </w:pPr>
      <w:bookmarkStart w:id="147" w:name="_Toc22066"/>
      <w:r>
        <w:rPr>
          <w:rFonts w:hint="eastAsia"/>
          <w:color w:val="000000" w:themeColor="text1"/>
          <w14:textFill>
            <w14:solidFill>
              <w14:schemeClr w14:val="tx1"/>
            </w14:solidFill>
          </w14:textFill>
        </w:rPr>
        <w:t>8.6.1排污许可证申请</w:t>
      </w:r>
      <w:bookmarkEnd w:id="147"/>
    </w:p>
    <w:p w14:paraId="40A703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污许可制是企事业单位生产运营期排污的法律依据，是确保环境影响评价551提出的污染防治设施和措施落实落地的重要保障，重在事中事后监管。本项目建成后需加强排污许可与环评在污染物排放上进行衔接。在时间节点上，新建污染源必须在产生实际排污行为之前申领排污许可证；在内容要求上，环境影响评价审批文件中与污染物排放相关内容要纳入排污许可证；在环境监管上，对需要开展环境影响后评价的，排污单位排污许可证执行情况应作为环境影响后评价的主要依据。</w:t>
      </w:r>
    </w:p>
    <w:p w14:paraId="081E95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固定污染源排污许可分类管理名录》（2019年版），三十四、计算机、通信和其他电子设备制造业39，计算机制造391，电子器件制造397，电80子元件及电子专用材料制造398，其他电子设备制造399，本项目不属于重点排污单位，本项目属于简化管理。排污许可申报需根据《排污许可证申请与核发技术规范 电子工业》（HJ 1031—2019）中的相关要求进行。</w:t>
      </w:r>
    </w:p>
    <w:p w14:paraId="7CBC5628">
      <w:pPr>
        <w:pStyle w:val="4"/>
        <w:rPr>
          <w:color w:val="000000" w:themeColor="text1"/>
          <w14:textFill>
            <w14:solidFill>
              <w14:schemeClr w14:val="tx1"/>
            </w14:solidFill>
          </w14:textFill>
        </w:rPr>
      </w:pPr>
      <w:bookmarkStart w:id="148" w:name="_Toc9422"/>
      <w:r>
        <w:rPr>
          <w:rFonts w:hint="eastAsia"/>
          <w:color w:val="000000" w:themeColor="text1"/>
          <w14:textFill>
            <w14:solidFill>
              <w14:schemeClr w14:val="tx1"/>
            </w14:solidFill>
          </w14:textFill>
        </w:rPr>
        <w:t>8.6.2排污许可证证后管理</w:t>
      </w:r>
      <w:bookmarkEnd w:id="148"/>
    </w:p>
    <w:p w14:paraId="64A8FBF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1、自行监测</w:t>
      </w:r>
    </w:p>
    <w:p w14:paraId="738C33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①排污单位应当按照排污许可证规定和有关标准规范，依法开展自行监测，并保存原始监测记录。原始监测记录保存期限不得少于10年。</w:t>
      </w:r>
    </w:p>
    <w:p w14:paraId="3D160A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②排污单位应当对自行监测数据的真实性、准确性负责，不得篡改、伪造。</w:t>
      </w:r>
    </w:p>
    <w:p w14:paraId="5D93D2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③项目为实行排污许可重点管理的排污单位，应当依法安装、使用、维护污染物排放自动监测设备，并与生态环境主管部门的监控设备联网。</w:t>
      </w:r>
    </w:p>
    <w:p w14:paraId="787208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④排污单位发现污染物排放自动监测设备传输数据异常的，应当及时报告生态环境主管部门，并进行检查、修复</w:t>
      </w:r>
    </w:p>
    <w:p w14:paraId="1865E18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2、台账管理</w:t>
      </w:r>
    </w:p>
    <w:p w14:paraId="0E5593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①排污单位应当建立环境管理台账记录制度，按照排污许可证规定的格式、内容和频次，如实记录主要生产设施、污染防治设施运行情况以及污染物排放浓度、排放量。</w:t>
      </w:r>
    </w:p>
    <w:p w14:paraId="7395AC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②环境管理台账记录保存期限不得少于10年。</w:t>
      </w:r>
    </w:p>
    <w:p w14:paraId="685F21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排污单位发现污染物排放超过污染物排放标准等异常情况时，应当立即采取措施消除、减轻危害后果，如实进行环境管理台账记录，并报告生态环境主管部门，说明原因。超过污染物排放标准等异常情况下的污染物排放计入排污单位的污染物排放量</w:t>
      </w:r>
    </w:p>
    <w:p w14:paraId="3CFDD91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3、执行报告</w:t>
      </w:r>
    </w:p>
    <w:p w14:paraId="0ABF92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①排污单位应当按照排污许可证规定的内容、频次和时间要求，向审批部门提交排污许可证执 行报告，如实报告污染物排放行为、排放浓度、排放量等</w:t>
      </w:r>
    </w:p>
    <w:p w14:paraId="24B37A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②排污许可证有效期内发生停产的，排污单位应当在排污许可证执行报告中如实报告污染物排放变化情况并说明原因。</w:t>
      </w:r>
    </w:p>
    <w:p w14:paraId="55A85AE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③填报时间：</w:t>
      </w:r>
    </w:p>
    <w:p w14:paraId="63AB27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年报：于次年一月底前提交至排污许可证核发机关。</w:t>
      </w:r>
    </w:p>
    <w:p w14:paraId="2A3B2A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季报：于下月十五日前提交至排污许可证核发机关。</w:t>
      </w:r>
    </w:p>
    <w:p w14:paraId="5F61E6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月报：于下月十五日前提交至排污许可证核发机关。</w:t>
      </w:r>
    </w:p>
    <w:p w14:paraId="6896AC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4、信息公开</w:t>
      </w:r>
    </w:p>
    <w:p w14:paraId="5A03AF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排污单位应当按照排污许可证规定，如实在全国排污许可证管理信息平台上公开污染物排放信息。</w:t>
      </w:r>
    </w:p>
    <w:p w14:paraId="29A805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信息应当包括污染物排放种类、排放浓度和排放量，以及污染防治设施的建设运行情况、排污许可证执行报告、自行监测数据等；其中，水污染物排入市政排水管网的，还应当包括污水接入市政排水管网位置、排放方式等信息。</w:t>
      </w:r>
    </w:p>
    <w:p w14:paraId="39236C64">
      <w:pPr>
        <w:pStyle w:val="3"/>
        <w:rPr>
          <w:color w:val="000000" w:themeColor="text1"/>
          <w14:textFill>
            <w14:solidFill>
              <w14:schemeClr w14:val="tx1"/>
            </w14:solidFill>
          </w14:textFill>
        </w:rPr>
      </w:pPr>
      <w:bookmarkStart w:id="149" w:name="_Toc2256"/>
      <w:r>
        <w:rPr>
          <w:rFonts w:hint="eastAsia"/>
          <w:color w:val="000000" w:themeColor="text1"/>
          <w14:textFill>
            <w14:solidFill>
              <w14:schemeClr w14:val="tx1"/>
            </w14:solidFill>
          </w14:textFill>
        </w:rPr>
        <w:t>8.7排污口规范化管理</w:t>
      </w:r>
      <w:bookmarkEnd w:id="149"/>
    </w:p>
    <w:p w14:paraId="3EA7C0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标准《环境保护图形标志---排放口（源）》和国家环保总局《排污口规范化整治要求（试行）》的技术要求，企业所有排放口必须按照“便于采样、便于计量监测、便于日常现场监督检查”的原则和规范化要求，设置排污口标志牌，绘制企业排污口公布图，同时对污水排放口安装流量计，对治理设施安装运行监控装置。</w:t>
      </w:r>
    </w:p>
    <w:p w14:paraId="2677EB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（1）污水排放口</w:t>
      </w:r>
    </w:p>
    <w:p w14:paraId="6CA2FE6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本项目设置1个废水排放口（DW002），根据排污口规范化设置要求，在建设项目的总排放口设置采样点，在排污口附近醒目处，设置环境保护图形标志牌。</w:t>
      </w:r>
    </w:p>
    <w:p w14:paraId="3943A9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（2）废气排放口</w:t>
      </w:r>
    </w:p>
    <w:p w14:paraId="4986E8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本项目设置1个废气排放口（DA001），废气排放口必须符合规定的高度和《污染源监测技术规范》中便于采样、监测的要求，设置直径不小于 75mm 的采样口，如无法满足要求的，由当地生态环境局确定。</w:t>
      </w:r>
    </w:p>
    <w:p w14:paraId="658322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（3）固定噪声排放源</w:t>
      </w:r>
    </w:p>
    <w:p w14:paraId="6611F9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按规定对固定噪声源进行治理，并在企业边界噪声敏感点且对外影响最大处设置标志牌。</w:t>
      </w:r>
    </w:p>
    <w:p w14:paraId="36A4F4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（4）危险废物相关要求</w:t>
      </w:r>
    </w:p>
    <w:p w14:paraId="59FE2B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按照《危险废物识别标志设置技术规范》（HJ1276-2022）相关要求，设置危险废物标签、危险废物贮存分区标志、危险废物设施标志等相关标识标志。</w:t>
      </w:r>
    </w:p>
    <w:p w14:paraId="7FAFAF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（5）设置标志牌要求</w:t>
      </w:r>
    </w:p>
    <w:p w14:paraId="696FFC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保标志牌和排污口分布图由昆明市生态环境局统一制定，一般污染物排放口设置提示标志牌，排放有毒有害等污染物的排放口设置警告式标志牌。标志牌应设置在排污口（采样点）附近且醒目处，高度为标志牌上缘离地面2米，排污口附近 1 米范围内有建筑物的，设平面式标志牌，无建筑物的设立式标志牌。排污口的有关设置（如力形标志牌、计量装置、监控装置等）属环保设施，排污单位必须负责日常的维护保养，任何单位和个人不得擅自拆除，如需要变更的须报当地生态环境局同意并办理变更手续。各环保标志详见下表。</w:t>
      </w:r>
    </w:p>
    <w:p w14:paraId="5015C82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表8.7-1 环境保护图形标志一览表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466"/>
        <w:gridCol w:w="2589"/>
        <w:gridCol w:w="977"/>
        <w:gridCol w:w="1957"/>
      </w:tblGrid>
      <w:tr w14:paraId="7732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08B0CF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446" w:type="pct"/>
            <w:vAlign w:val="center"/>
          </w:tcPr>
          <w:p w14:paraId="4DAE98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提示图形符号</w:t>
            </w:r>
          </w:p>
        </w:tc>
        <w:tc>
          <w:tcPr>
            <w:tcW w:w="1518" w:type="pct"/>
            <w:vAlign w:val="center"/>
          </w:tcPr>
          <w:p w14:paraId="1F36BB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警告图形符号</w:t>
            </w:r>
          </w:p>
        </w:tc>
        <w:tc>
          <w:tcPr>
            <w:tcW w:w="573" w:type="pct"/>
            <w:vAlign w:val="center"/>
          </w:tcPr>
          <w:p w14:paraId="1DD443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148" w:type="pct"/>
            <w:vAlign w:val="center"/>
          </w:tcPr>
          <w:p w14:paraId="3D25D4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功能</w:t>
            </w:r>
          </w:p>
        </w:tc>
      </w:tr>
      <w:tr w14:paraId="3B21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6E84C1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46" w:type="pct"/>
            <w:vAlign w:val="center"/>
          </w:tcPr>
          <w:p w14:paraId="7CA93C37">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362075" cy="1371600"/>
                  <wp:effectExtent l="0" t="0" r="9525" b="0"/>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pic:cNvPicPr>
                        </pic:nvPicPr>
                        <pic:blipFill>
                          <a:blip r:embed="rId73"/>
                          <a:stretch>
                            <a:fillRect/>
                          </a:stretch>
                        </pic:blipFill>
                        <pic:spPr>
                          <a:xfrm>
                            <a:off x="0" y="0"/>
                            <a:ext cx="1362075" cy="1371600"/>
                          </a:xfrm>
                          <a:prstGeom prst="rect">
                            <a:avLst/>
                          </a:prstGeom>
                          <a:noFill/>
                          <a:ln>
                            <a:noFill/>
                          </a:ln>
                        </pic:spPr>
                      </pic:pic>
                    </a:graphicData>
                  </a:graphic>
                </wp:inline>
              </w:drawing>
            </w:r>
          </w:p>
        </w:tc>
        <w:tc>
          <w:tcPr>
            <w:tcW w:w="1518" w:type="pct"/>
            <w:vAlign w:val="center"/>
          </w:tcPr>
          <w:p w14:paraId="76D8962A">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04950" cy="1304925"/>
                  <wp:effectExtent l="0" t="0" r="0" b="9525"/>
                  <wp:docPr id="7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pic:cNvPicPr>
                            <a:picLocks noChangeAspect="1"/>
                          </pic:cNvPicPr>
                        </pic:nvPicPr>
                        <pic:blipFill>
                          <a:blip r:embed="rId74"/>
                          <a:stretch>
                            <a:fillRect/>
                          </a:stretch>
                        </pic:blipFill>
                        <pic:spPr>
                          <a:xfrm>
                            <a:off x="0" y="0"/>
                            <a:ext cx="1504950" cy="1304925"/>
                          </a:xfrm>
                          <a:prstGeom prst="rect">
                            <a:avLst/>
                          </a:prstGeom>
                          <a:noFill/>
                          <a:ln>
                            <a:noFill/>
                          </a:ln>
                        </pic:spPr>
                      </pic:pic>
                    </a:graphicData>
                  </a:graphic>
                </wp:inline>
              </w:drawing>
            </w:r>
          </w:p>
        </w:tc>
        <w:tc>
          <w:tcPr>
            <w:tcW w:w="573" w:type="pct"/>
            <w:vAlign w:val="center"/>
          </w:tcPr>
          <w:p w14:paraId="074B09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废水排放口</w:t>
            </w:r>
          </w:p>
        </w:tc>
        <w:tc>
          <w:tcPr>
            <w:tcW w:w="1148" w:type="pct"/>
            <w:vAlign w:val="center"/>
          </w:tcPr>
          <w:p w14:paraId="3249D7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表示废水向水体排放</w:t>
            </w:r>
          </w:p>
        </w:tc>
      </w:tr>
      <w:tr w14:paraId="4EE7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169DD8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446" w:type="pct"/>
            <w:vAlign w:val="center"/>
          </w:tcPr>
          <w:p w14:paraId="3945E699">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00175" cy="1381125"/>
                  <wp:effectExtent l="0" t="0" r="9525" b="952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75"/>
                          <a:stretch>
                            <a:fillRect/>
                          </a:stretch>
                        </pic:blipFill>
                        <pic:spPr>
                          <a:xfrm>
                            <a:off x="0" y="0"/>
                            <a:ext cx="1400175" cy="1381125"/>
                          </a:xfrm>
                          <a:prstGeom prst="rect">
                            <a:avLst/>
                          </a:prstGeom>
                          <a:noFill/>
                          <a:ln>
                            <a:noFill/>
                          </a:ln>
                        </pic:spPr>
                      </pic:pic>
                    </a:graphicData>
                  </a:graphic>
                </wp:inline>
              </w:drawing>
            </w:r>
          </w:p>
        </w:tc>
        <w:tc>
          <w:tcPr>
            <w:tcW w:w="1518" w:type="pct"/>
            <w:vAlign w:val="center"/>
          </w:tcPr>
          <w:p w14:paraId="40512A6C">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85900" cy="1304925"/>
                  <wp:effectExtent l="0" t="0" r="0" b="9525"/>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76"/>
                          <a:stretch>
                            <a:fillRect/>
                          </a:stretch>
                        </pic:blipFill>
                        <pic:spPr>
                          <a:xfrm>
                            <a:off x="0" y="0"/>
                            <a:ext cx="1485900" cy="1304925"/>
                          </a:xfrm>
                          <a:prstGeom prst="rect">
                            <a:avLst/>
                          </a:prstGeom>
                          <a:noFill/>
                          <a:ln>
                            <a:noFill/>
                          </a:ln>
                        </pic:spPr>
                      </pic:pic>
                    </a:graphicData>
                  </a:graphic>
                </wp:inline>
              </w:drawing>
            </w:r>
          </w:p>
        </w:tc>
        <w:tc>
          <w:tcPr>
            <w:tcW w:w="573" w:type="pct"/>
            <w:vAlign w:val="center"/>
          </w:tcPr>
          <w:p w14:paraId="60179E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废气排放口</w:t>
            </w:r>
          </w:p>
        </w:tc>
        <w:tc>
          <w:tcPr>
            <w:tcW w:w="1148" w:type="pct"/>
            <w:vAlign w:val="center"/>
          </w:tcPr>
          <w:p w14:paraId="0150DD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表示废气体向水体排放</w:t>
            </w:r>
          </w:p>
        </w:tc>
      </w:tr>
      <w:tr w14:paraId="0D48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6D4375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446" w:type="pct"/>
            <w:vAlign w:val="center"/>
          </w:tcPr>
          <w:p w14:paraId="7B03D090">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28750" cy="1362075"/>
                  <wp:effectExtent l="0" t="0" r="0" b="9525"/>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1"/>
                          </pic:cNvPicPr>
                        </pic:nvPicPr>
                        <pic:blipFill>
                          <a:blip r:embed="rId77"/>
                          <a:stretch>
                            <a:fillRect/>
                          </a:stretch>
                        </pic:blipFill>
                        <pic:spPr>
                          <a:xfrm>
                            <a:off x="0" y="0"/>
                            <a:ext cx="1428750" cy="1362075"/>
                          </a:xfrm>
                          <a:prstGeom prst="rect">
                            <a:avLst/>
                          </a:prstGeom>
                          <a:noFill/>
                          <a:ln>
                            <a:noFill/>
                          </a:ln>
                        </pic:spPr>
                      </pic:pic>
                    </a:graphicData>
                  </a:graphic>
                </wp:inline>
              </w:drawing>
            </w:r>
          </w:p>
        </w:tc>
        <w:tc>
          <w:tcPr>
            <w:tcW w:w="1518" w:type="pct"/>
            <w:vAlign w:val="center"/>
          </w:tcPr>
          <w:p w14:paraId="7C9C1ED1">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04950" cy="1266825"/>
                  <wp:effectExtent l="0" t="0" r="0" b="9525"/>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78"/>
                          <a:stretch>
                            <a:fillRect/>
                          </a:stretch>
                        </pic:blipFill>
                        <pic:spPr>
                          <a:xfrm>
                            <a:off x="0" y="0"/>
                            <a:ext cx="1504950" cy="1266825"/>
                          </a:xfrm>
                          <a:prstGeom prst="rect">
                            <a:avLst/>
                          </a:prstGeom>
                          <a:noFill/>
                          <a:ln>
                            <a:noFill/>
                          </a:ln>
                        </pic:spPr>
                      </pic:pic>
                    </a:graphicData>
                  </a:graphic>
                </wp:inline>
              </w:drawing>
            </w:r>
          </w:p>
        </w:tc>
        <w:tc>
          <w:tcPr>
            <w:tcW w:w="573" w:type="pct"/>
            <w:vAlign w:val="center"/>
          </w:tcPr>
          <w:p w14:paraId="0373658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噪声排放源</w:t>
            </w:r>
          </w:p>
        </w:tc>
        <w:tc>
          <w:tcPr>
            <w:tcW w:w="1148" w:type="pct"/>
            <w:vAlign w:val="center"/>
          </w:tcPr>
          <w:p w14:paraId="1BFE5D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表示噪声向外环境排放</w:t>
            </w:r>
          </w:p>
        </w:tc>
      </w:tr>
      <w:tr w14:paraId="6164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2B511E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446" w:type="pct"/>
            <w:vAlign w:val="center"/>
          </w:tcPr>
          <w:p w14:paraId="58B42038">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390650" cy="1362075"/>
                  <wp:effectExtent l="0" t="0" r="0" b="9525"/>
                  <wp:docPr id="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pic:cNvPicPr>
                            <a:picLocks noChangeAspect="1"/>
                          </pic:cNvPicPr>
                        </pic:nvPicPr>
                        <pic:blipFill>
                          <a:blip r:embed="rId79"/>
                          <a:stretch>
                            <a:fillRect/>
                          </a:stretch>
                        </pic:blipFill>
                        <pic:spPr>
                          <a:xfrm>
                            <a:off x="0" y="0"/>
                            <a:ext cx="1390650" cy="1362075"/>
                          </a:xfrm>
                          <a:prstGeom prst="rect">
                            <a:avLst/>
                          </a:prstGeom>
                          <a:noFill/>
                          <a:ln>
                            <a:noFill/>
                          </a:ln>
                        </pic:spPr>
                      </pic:pic>
                    </a:graphicData>
                  </a:graphic>
                </wp:inline>
              </w:drawing>
            </w:r>
          </w:p>
        </w:tc>
        <w:tc>
          <w:tcPr>
            <w:tcW w:w="1518" w:type="pct"/>
            <w:vAlign w:val="center"/>
          </w:tcPr>
          <w:p w14:paraId="56E41509">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85900" cy="132397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80"/>
                          <a:stretch>
                            <a:fillRect/>
                          </a:stretch>
                        </pic:blipFill>
                        <pic:spPr>
                          <a:xfrm>
                            <a:off x="0" y="0"/>
                            <a:ext cx="1485900" cy="1323975"/>
                          </a:xfrm>
                          <a:prstGeom prst="rect">
                            <a:avLst/>
                          </a:prstGeom>
                          <a:noFill/>
                          <a:ln>
                            <a:noFill/>
                          </a:ln>
                        </pic:spPr>
                      </pic:pic>
                    </a:graphicData>
                  </a:graphic>
                </wp:inline>
              </w:drawing>
            </w:r>
          </w:p>
        </w:tc>
        <w:tc>
          <w:tcPr>
            <w:tcW w:w="573" w:type="pct"/>
            <w:vAlign w:val="center"/>
          </w:tcPr>
          <w:p w14:paraId="3B4DD2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一般固体废物</w:t>
            </w:r>
          </w:p>
        </w:tc>
        <w:tc>
          <w:tcPr>
            <w:tcW w:w="1148" w:type="pct"/>
            <w:vAlign w:val="center"/>
          </w:tcPr>
          <w:p w14:paraId="1FD882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表示一般固体废物贮存、处置场</w:t>
            </w:r>
          </w:p>
        </w:tc>
      </w:tr>
      <w:tr w14:paraId="25A3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2A62FF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965" w:type="pct"/>
            <w:gridSpan w:val="2"/>
            <w:vAlign w:val="center"/>
          </w:tcPr>
          <w:p w14:paraId="3E1E4F62">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800225"/>
                  <wp:effectExtent l="0" t="0" r="13335" b="9525"/>
                  <wp:docPr id="82" name="图片 25"/>
                  <wp:cNvGraphicFramePr/>
                  <a:graphic xmlns:a="http://schemas.openxmlformats.org/drawingml/2006/main">
                    <a:graphicData uri="http://schemas.openxmlformats.org/drawingml/2006/picture">
                      <pic:pic xmlns:pic="http://schemas.openxmlformats.org/drawingml/2006/picture">
                        <pic:nvPicPr>
                          <pic:cNvPr id="82" name="图片 25"/>
                          <pic:cNvPicPr/>
                        </pic:nvPicPr>
                        <pic:blipFill>
                          <a:blip r:embed="rId81"/>
                          <a:stretch>
                            <a:fillRect/>
                          </a:stretch>
                        </pic:blipFill>
                        <pic:spPr>
                          <a:xfrm>
                            <a:off x="0" y="0"/>
                            <a:ext cx="2520315" cy="1800225"/>
                          </a:xfrm>
                          <a:prstGeom prst="rect">
                            <a:avLst/>
                          </a:prstGeom>
                          <a:noFill/>
                          <a:ln>
                            <a:noFill/>
                          </a:ln>
                        </pic:spPr>
                      </pic:pic>
                    </a:graphicData>
                  </a:graphic>
                </wp:inline>
              </w:drawing>
            </w:r>
          </w:p>
        </w:tc>
        <w:tc>
          <w:tcPr>
            <w:tcW w:w="573" w:type="pct"/>
            <w:vAlign w:val="center"/>
          </w:tcPr>
          <w:p w14:paraId="5B6C85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危险废物贮存设施</w:t>
            </w:r>
          </w:p>
        </w:tc>
        <w:tc>
          <w:tcPr>
            <w:tcW w:w="1148" w:type="pct"/>
            <w:vMerge w:val="restart"/>
            <w:vAlign w:val="center"/>
          </w:tcPr>
          <w:p w14:paraId="3DCDA8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设置在贮存、利用、处置危险废物的设施、场所:用于引起人们对危险废物贮存、利用、处置活动的注意，以避免潜在环境危害的警告性区域信息标志。</w:t>
            </w:r>
          </w:p>
        </w:tc>
      </w:tr>
      <w:tr w14:paraId="652E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728224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965" w:type="pct"/>
            <w:gridSpan w:val="2"/>
            <w:vAlign w:val="center"/>
          </w:tcPr>
          <w:p w14:paraId="76849AE6">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800225"/>
                  <wp:effectExtent l="0" t="0" r="13335" b="9525"/>
                  <wp:docPr id="85" name="图片 35"/>
                  <wp:cNvGraphicFramePr/>
                  <a:graphic xmlns:a="http://schemas.openxmlformats.org/drawingml/2006/main">
                    <a:graphicData uri="http://schemas.openxmlformats.org/drawingml/2006/picture">
                      <pic:pic xmlns:pic="http://schemas.openxmlformats.org/drawingml/2006/picture">
                        <pic:nvPicPr>
                          <pic:cNvPr id="85" name="图片 35"/>
                          <pic:cNvPicPr/>
                        </pic:nvPicPr>
                        <pic:blipFill>
                          <a:blip r:embed="rId82"/>
                          <a:stretch>
                            <a:fillRect/>
                          </a:stretch>
                        </pic:blipFill>
                        <pic:spPr>
                          <a:xfrm>
                            <a:off x="0" y="0"/>
                            <a:ext cx="2520315" cy="1800225"/>
                          </a:xfrm>
                          <a:prstGeom prst="rect">
                            <a:avLst/>
                          </a:prstGeom>
                          <a:noFill/>
                          <a:ln>
                            <a:noFill/>
                          </a:ln>
                        </pic:spPr>
                      </pic:pic>
                    </a:graphicData>
                  </a:graphic>
                </wp:inline>
              </w:drawing>
            </w:r>
          </w:p>
        </w:tc>
        <w:tc>
          <w:tcPr>
            <w:tcW w:w="573" w:type="pct"/>
            <w:vAlign w:val="center"/>
          </w:tcPr>
          <w:p w14:paraId="7734CB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危险废物利用设施</w:t>
            </w:r>
          </w:p>
        </w:tc>
        <w:tc>
          <w:tcPr>
            <w:tcW w:w="1148" w:type="pct"/>
            <w:vMerge w:val="continue"/>
            <w:vAlign w:val="center"/>
          </w:tcPr>
          <w:p w14:paraId="1DA1EA23">
            <w:pPr>
              <w:pStyle w:val="28"/>
              <w:rPr>
                <w:color w:val="000000" w:themeColor="text1"/>
                <w14:textFill>
                  <w14:solidFill>
                    <w14:schemeClr w14:val="tx1"/>
                  </w14:solidFill>
                </w14:textFill>
              </w:rPr>
            </w:pPr>
          </w:p>
        </w:tc>
      </w:tr>
      <w:tr w14:paraId="26FD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603AE8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965" w:type="pct"/>
            <w:gridSpan w:val="2"/>
            <w:vAlign w:val="center"/>
          </w:tcPr>
          <w:p w14:paraId="26F081ED">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800225"/>
                  <wp:effectExtent l="0" t="0" r="13335" b="9525"/>
                  <wp:docPr id="88" name="图片 36"/>
                  <wp:cNvGraphicFramePr/>
                  <a:graphic xmlns:a="http://schemas.openxmlformats.org/drawingml/2006/main">
                    <a:graphicData uri="http://schemas.openxmlformats.org/drawingml/2006/picture">
                      <pic:pic xmlns:pic="http://schemas.openxmlformats.org/drawingml/2006/picture">
                        <pic:nvPicPr>
                          <pic:cNvPr id="88" name="图片 36"/>
                          <pic:cNvPicPr/>
                        </pic:nvPicPr>
                        <pic:blipFill>
                          <a:blip r:embed="rId83"/>
                          <a:stretch>
                            <a:fillRect/>
                          </a:stretch>
                        </pic:blipFill>
                        <pic:spPr>
                          <a:xfrm>
                            <a:off x="0" y="0"/>
                            <a:ext cx="2520315" cy="1800225"/>
                          </a:xfrm>
                          <a:prstGeom prst="rect">
                            <a:avLst/>
                          </a:prstGeom>
                          <a:noFill/>
                          <a:ln>
                            <a:noFill/>
                          </a:ln>
                        </pic:spPr>
                      </pic:pic>
                    </a:graphicData>
                  </a:graphic>
                </wp:inline>
              </w:drawing>
            </w:r>
          </w:p>
        </w:tc>
        <w:tc>
          <w:tcPr>
            <w:tcW w:w="573" w:type="pct"/>
            <w:vAlign w:val="center"/>
          </w:tcPr>
          <w:p w14:paraId="142ED8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危险废物处置设施</w:t>
            </w:r>
          </w:p>
        </w:tc>
        <w:tc>
          <w:tcPr>
            <w:tcW w:w="1148" w:type="pct"/>
            <w:vMerge w:val="continue"/>
            <w:vAlign w:val="center"/>
          </w:tcPr>
          <w:p w14:paraId="62893849">
            <w:pPr>
              <w:pStyle w:val="28"/>
              <w:rPr>
                <w:color w:val="000000" w:themeColor="text1"/>
                <w14:textFill>
                  <w14:solidFill>
                    <w14:schemeClr w14:val="tx1"/>
                  </w14:solidFill>
                </w14:textFill>
              </w:rPr>
            </w:pPr>
          </w:p>
        </w:tc>
      </w:tr>
      <w:tr w14:paraId="15BD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2CA649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965" w:type="pct"/>
            <w:gridSpan w:val="2"/>
            <w:vAlign w:val="center"/>
          </w:tcPr>
          <w:p w14:paraId="22BE2B0B">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800225"/>
                  <wp:effectExtent l="0" t="0" r="13335" b="9525"/>
                  <wp:docPr id="84" name="图片 34"/>
                  <wp:cNvGraphicFramePr/>
                  <a:graphic xmlns:a="http://schemas.openxmlformats.org/drawingml/2006/main">
                    <a:graphicData uri="http://schemas.openxmlformats.org/drawingml/2006/picture">
                      <pic:pic xmlns:pic="http://schemas.openxmlformats.org/drawingml/2006/picture">
                        <pic:nvPicPr>
                          <pic:cNvPr id="84" name="图片 34"/>
                          <pic:cNvPicPr/>
                        </pic:nvPicPr>
                        <pic:blipFill>
                          <a:blip r:embed="rId84"/>
                          <a:stretch>
                            <a:fillRect/>
                          </a:stretch>
                        </pic:blipFill>
                        <pic:spPr>
                          <a:xfrm>
                            <a:off x="0" y="0"/>
                            <a:ext cx="2520315" cy="1800225"/>
                          </a:xfrm>
                          <a:prstGeom prst="rect">
                            <a:avLst/>
                          </a:prstGeom>
                          <a:noFill/>
                          <a:ln>
                            <a:noFill/>
                          </a:ln>
                        </pic:spPr>
                      </pic:pic>
                    </a:graphicData>
                  </a:graphic>
                </wp:inline>
              </w:drawing>
            </w:r>
          </w:p>
        </w:tc>
        <w:tc>
          <w:tcPr>
            <w:tcW w:w="573" w:type="pct"/>
            <w:vAlign w:val="center"/>
          </w:tcPr>
          <w:p w14:paraId="44CF8E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危险废物分区标志</w:t>
            </w:r>
          </w:p>
        </w:tc>
        <w:tc>
          <w:tcPr>
            <w:tcW w:w="1148" w:type="pct"/>
            <w:vAlign w:val="center"/>
          </w:tcPr>
          <w:p w14:paraId="7AAA58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设置在危险废物贮存设施内部，用于显示危险废物贮存设施内贮存分区规划和危险废物贮存情况:以避免潜在环境危害的警告性信息标志。</w:t>
            </w:r>
          </w:p>
        </w:tc>
      </w:tr>
      <w:tr w14:paraId="15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2468DB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965" w:type="pct"/>
            <w:gridSpan w:val="2"/>
            <w:vAlign w:val="center"/>
          </w:tcPr>
          <w:p w14:paraId="3CCE9562">
            <w:pPr>
              <w:pStyle w:val="2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20315" cy="1800225"/>
                  <wp:effectExtent l="0" t="0" r="13335" b="9525"/>
                  <wp:docPr id="83" name="图片 24"/>
                  <wp:cNvGraphicFramePr/>
                  <a:graphic xmlns:a="http://schemas.openxmlformats.org/drawingml/2006/main">
                    <a:graphicData uri="http://schemas.openxmlformats.org/drawingml/2006/picture">
                      <pic:pic xmlns:pic="http://schemas.openxmlformats.org/drawingml/2006/picture">
                        <pic:nvPicPr>
                          <pic:cNvPr id="83" name="图片 24"/>
                          <pic:cNvPicPr/>
                        </pic:nvPicPr>
                        <pic:blipFill>
                          <a:blip r:embed="rId85"/>
                          <a:stretch>
                            <a:fillRect/>
                          </a:stretch>
                        </pic:blipFill>
                        <pic:spPr>
                          <a:xfrm>
                            <a:off x="0" y="0"/>
                            <a:ext cx="2520315" cy="1800225"/>
                          </a:xfrm>
                          <a:prstGeom prst="rect">
                            <a:avLst/>
                          </a:prstGeom>
                          <a:noFill/>
                          <a:ln>
                            <a:noFill/>
                          </a:ln>
                        </pic:spPr>
                      </pic:pic>
                    </a:graphicData>
                  </a:graphic>
                </wp:inline>
              </w:drawing>
            </w:r>
          </w:p>
        </w:tc>
        <w:tc>
          <w:tcPr>
            <w:tcW w:w="573" w:type="pct"/>
            <w:vAlign w:val="center"/>
          </w:tcPr>
          <w:p w14:paraId="204C5F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危险废物标签</w:t>
            </w:r>
          </w:p>
        </w:tc>
        <w:tc>
          <w:tcPr>
            <w:tcW w:w="1148" w:type="pct"/>
            <w:vAlign w:val="center"/>
          </w:tcPr>
          <w:p w14:paraId="2BFF68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设置在危险废物容器或包装物上，由文字、编码和图形符号等组合而成，用于向相关人群传递危险废物特定信息，以警示危险废物潜在环境危害的标志。</w:t>
            </w:r>
          </w:p>
        </w:tc>
      </w:tr>
    </w:tbl>
    <w:p w14:paraId="6DD2010F">
      <w:pPr>
        <w:pStyle w:val="3"/>
        <w:rPr>
          <w:color w:val="000000" w:themeColor="text1"/>
          <w14:textFill>
            <w14:solidFill>
              <w14:schemeClr w14:val="tx1"/>
            </w14:solidFill>
          </w14:textFill>
        </w:rPr>
      </w:pPr>
      <w:bookmarkStart w:id="150" w:name="_Toc7675"/>
      <w:r>
        <w:rPr>
          <w:rFonts w:hint="eastAsia"/>
          <w:color w:val="000000" w:themeColor="text1"/>
          <w14:textFill>
            <w14:solidFill>
              <w14:schemeClr w14:val="tx1"/>
            </w14:solidFill>
          </w14:textFill>
        </w:rPr>
        <w:t>8.8环境信息公开</w:t>
      </w:r>
      <w:bookmarkEnd w:id="150"/>
    </w:p>
    <w:p w14:paraId="566E5D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该项目需按照本环评中的环境监测计划以及相关标准和技术规范要求，制定项目污染物排放和周边环境质量自行监测方案，报玉溪市生态环境局高新分局备案，抄送玉溪市生态环境局，并认真组织实施，发现异常立即停产，及时查明原因，采取有效控制措施并向当地人民政府及有关部门报告。同时，按照环境信息公开相关规定，主动向社会公开污染物排放等相关信息。</w:t>
      </w:r>
    </w:p>
    <w:p w14:paraId="75B4E109">
      <w:pPr>
        <w:pStyle w:val="4"/>
        <w:rPr>
          <w:color w:val="000000" w:themeColor="text1"/>
          <w14:textFill>
            <w14:solidFill>
              <w14:schemeClr w14:val="tx1"/>
            </w14:solidFill>
          </w14:textFill>
        </w:rPr>
      </w:pPr>
      <w:bookmarkStart w:id="151" w:name="_Toc18644"/>
      <w:r>
        <w:rPr>
          <w:rFonts w:hint="eastAsia"/>
          <w:color w:val="000000" w:themeColor="text1"/>
          <w14:textFill>
            <w14:solidFill>
              <w14:schemeClr w14:val="tx1"/>
            </w14:solidFill>
          </w14:textFill>
        </w:rPr>
        <w:t>8.8.1公开内容</w:t>
      </w:r>
      <w:bookmarkEnd w:id="151"/>
    </w:p>
    <w:p w14:paraId="639301A4">
      <w:pPr>
        <w:ind w:firstLine="480"/>
        <w:rPr>
          <w:color w:val="000000" w:themeColor="text1"/>
          <w14:textFill>
            <w14:solidFill>
              <w14:schemeClr w14:val="tx1"/>
            </w14:solidFill>
          </w14:textFill>
        </w:rPr>
      </w:pPr>
      <w:r>
        <w:rPr>
          <w:color w:val="000000" w:themeColor="text1"/>
          <w14:textFill>
            <w14:solidFill>
              <w14:schemeClr w14:val="tx1"/>
            </w14:solidFill>
          </w14:textFill>
        </w:rPr>
        <w:t>根据《企业事业单位环境信息公开办法》（生态环境部令第31 号），本项目应当公开下列信息：</w:t>
      </w:r>
    </w:p>
    <w:p w14:paraId="5854B535">
      <w:pPr>
        <w:ind w:firstLine="480"/>
        <w:rPr>
          <w:color w:val="000000" w:themeColor="text1"/>
          <w14:textFill>
            <w14:solidFill>
              <w14:schemeClr w14:val="tx1"/>
            </w14:solidFill>
          </w14:textFill>
        </w:rPr>
      </w:pPr>
      <w:r>
        <w:rPr>
          <w:color w:val="000000" w:themeColor="text1"/>
          <w14:textFill>
            <w14:solidFill>
              <w14:schemeClr w14:val="tx1"/>
            </w14:solidFill>
          </w14:textFill>
        </w:rPr>
        <w:t>（一）基础信息：包括单位名称、组织机构代码、法定代表人、生产地址、联系方式，以及生产经营和管理服务的主要内容、产品及规模；</w:t>
      </w:r>
    </w:p>
    <w:p w14:paraId="1E400BE5">
      <w:pPr>
        <w:ind w:firstLine="480"/>
        <w:rPr>
          <w:color w:val="000000" w:themeColor="text1"/>
          <w14:textFill>
            <w14:solidFill>
              <w14:schemeClr w14:val="tx1"/>
            </w14:solidFill>
          </w14:textFill>
        </w:rPr>
      </w:pPr>
      <w:r>
        <w:rPr>
          <w:color w:val="000000" w:themeColor="text1"/>
          <w14:textFill>
            <w14:solidFill>
              <w14:schemeClr w14:val="tx1"/>
            </w14:solidFill>
          </w14:textFill>
        </w:rPr>
        <w:t>（二）排污信息：包括主要污染物及特征污染物的名称、排放方式、排放口数量和分布情况、排放浓度和总量、超标情况，以及执行的污染物排放标准、核定的排放总量；</w:t>
      </w:r>
    </w:p>
    <w:p w14:paraId="5DB17B93">
      <w:pPr>
        <w:ind w:firstLine="480"/>
        <w:rPr>
          <w:color w:val="000000" w:themeColor="text1"/>
          <w14:textFill>
            <w14:solidFill>
              <w14:schemeClr w14:val="tx1"/>
            </w14:solidFill>
          </w14:textFill>
        </w:rPr>
      </w:pPr>
      <w:r>
        <w:rPr>
          <w:color w:val="000000" w:themeColor="text1"/>
          <w14:textFill>
            <w14:solidFill>
              <w14:schemeClr w14:val="tx1"/>
            </w14:solidFill>
          </w14:textFill>
        </w:rPr>
        <w:t>（三）防治污染设施的建设和运行情况；</w:t>
      </w:r>
    </w:p>
    <w:p w14:paraId="787C199E">
      <w:pPr>
        <w:ind w:firstLine="480"/>
        <w:rPr>
          <w:color w:val="000000" w:themeColor="text1"/>
          <w14:textFill>
            <w14:solidFill>
              <w14:schemeClr w14:val="tx1"/>
            </w14:solidFill>
          </w14:textFill>
        </w:rPr>
      </w:pPr>
      <w:r>
        <w:rPr>
          <w:color w:val="000000" w:themeColor="text1"/>
          <w14:textFill>
            <w14:solidFill>
              <w14:schemeClr w14:val="tx1"/>
            </w14:solidFill>
          </w14:textFill>
        </w:rPr>
        <w:t>（四）建设项目环境影响评价及其他环境保护行政许可情况；</w:t>
      </w:r>
    </w:p>
    <w:p w14:paraId="1AD049F4">
      <w:pPr>
        <w:ind w:firstLine="480"/>
        <w:rPr>
          <w:color w:val="000000" w:themeColor="text1"/>
          <w14:textFill>
            <w14:solidFill>
              <w14:schemeClr w14:val="tx1"/>
            </w14:solidFill>
          </w14:textFill>
        </w:rPr>
      </w:pPr>
      <w:r>
        <w:rPr>
          <w:color w:val="000000" w:themeColor="text1"/>
          <w14:textFill>
            <w14:solidFill>
              <w14:schemeClr w14:val="tx1"/>
            </w14:solidFill>
          </w14:textFill>
        </w:rPr>
        <w:t>（五）突发环境事件应急预案；</w:t>
      </w:r>
    </w:p>
    <w:p w14:paraId="6F638118">
      <w:pPr>
        <w:ind w:firstLine="480"/>
        <w:rPr>
          <w:color w:val="000000" w:themeColor="text1"/>
          <w14:textFill>
            <w14:solidFill>
              <w14:schemeClr w14:val="tx1"/>
            </w14:solidFill>
          </w14:textFill>
        </w:rPr>
      </w:pPr>
      <w:r>
        <w:rPr>
          <w:color w:val="000000" w:themeColor="text1"/>
          <w14:textFill>
            <w14:solidFill>
              <w14:schemeClr w14:val="tx1"/>
            </w14:solidFill>
          </w14:textFill>
        </w:rPr>
        <w:t>（六）公开其环境自行监测方案；</w:t>
      </w:r>
    </w:p>
    <w:p w14:paraId="470C599E">
      <w:pPr>
        <w:ind w:firstLine="480"/>
        <w:rPr>
          <w:color w:val="000000" w:themeColor="text1"/>
          <w14:textFill>
            <w14:solidFill>
              <w14:schemeClr w14:val="tx1"/>
            </w14:solidFill>
          </w14:textFill>
        </w:rPr>
      </w:pPr>
      <w:r>
        <w:rPr>
          <w:color w:val="000000" w:themeColor="text1"/>
          <w14:textFill>
            <w14:solidFill>
              <w14:schemeClr w14:val="tx1"/>
            </w14:solidFill>
          </w14:textFill>
        </w:rPr>
        <w:t>（七）定期公开项目季度监测。</w:t>
      </w:r>
    </w:p>
    <w:p w14:paraId="2A8EE53F">
      <w:pPr>
        <w:ind w:firstLine="480"/>
        <w:rPr>
          <w:color w:val="000000" w:themeColor="text1"/>
          <w14:textFill>
            <w14:solidFill>
              <w14:schemeClr w14:val="tx1"/>
            </w14:solidFill>
          </w14:textFill>
        </w:rPr>
      </w:pPr>
      <w:r>
        <w:rPr>
          <w:color w:val="000000" w:themeColor="text1"/>
          <w14:textFill>
            <w14:solidFill>
              <w14:schemeClr w14:val="tx1"/>
            </w14:solidFill>
          </w14:textFill>
        </w:rPr>
        <w:t>参考《国家重点监控企业自行监测及信息公开办法（试行）》（环发〔2013〕81 号），企业应将自行监测工作开展情况及监测结果向社会公众公开，公开内容应包括：</w:t>
      </w:r>
    </w:p>
    <w:p w14:paraId="78B3FCB7">
      <w:pPr>
        <w:ind w:firstLine="480"/>
        <w:rPr>
          <w:color w:val="000000" w:themeColor="text1"/>
          <w14:textFill>
            <w14:solidFill>
              <w14:schemeClr w14:val="tx1"/>
            </w14:solidFill>
          </w14:textFill>
        </w:rPr>
      </w:pPr>
      <w:r>
        <w:rPr>
          <w:color w:val="000000" w:themeColor="text1"/>
          <w14:textFill>
            <w14:solidFill>
              <w14:schemeClr w14:val="tx1"/>
            </w14:solidFill>
          </w14:textFill>
        </w:rPr>
        <w:t>（一）基础信息：企业名称、法定代表人、所属行业、地理位置、生产周期、联系方式、委托监测机构名称等；</w:t>
      </w:r>
    </w:p>
    <w:p w14:paraId="3BA40CCD">
      <w:pPr>
        <w:ind w:firstLine="480"/>
        <w:rPr>
          <w:color w:val="000000" w:themeColor="text1"/>
          <w14:textFill>
            <w14:solidFill>
              <w14:schemeClr w14:val="tx1"/>
            </w14:solidFill>
          </w14:textFill>
        </w:rPr>
      </w:pPr>
      <w:r>
        <w:rPr>
          <w:color w:val="000000" w:themeColor="text1"/>
          <w14:textFill>
            <w14:solidFill>
              <w14:schemeClr w14:val="tx1"/>
            </w14:solidFill>
          </w14:textFill>
        </w:rPr>
        <w:t>（二）自行监测方案；</w:t>
      </w:r>
    </w:p>
    <w:p w14:paraId="2D62F1C4">
      <w:pPr>
        <w:ind w:firstLine="480"/>
        <w:rPr>
          <w:color w:val="000000" w:themeColor="text1"/>
          <w14:textFill>
            <w14:solidFill>
              <w14:schemeClr w14:val="tx1"/>
            </w14:solidFill>
          </w14:textFill>
        </w:rPr>
      </w:pPr>
      <w:r>
        <w:rPr>
          <w:color w:val="000000" w:themeColor="text1"/>
          <w14:textFill>
            <w14:solidFill>
              <w14:schemeClr w14:val="tx1"/>
            </w14:solidFill>
          </w14:textFill>
        </w:rPr>
        <w:t>（三）自行监测结果：全部监测点位、监测时间、污染物种类及浓度、标准限值、达标情况、超标倍数、污染物排放方式及排放去向；</w:t>
      </w:r>
    </w:p>
    <w:p w14:paraId="2DD3F5FD">
      <w:pPr>
        <w:ind w:firstLine="480"/>
        <w:rPr>
          <w:color w:val="000000" w:themeColor="text1"/>
          <w14:textFill>
            <w14:solidFill>
              <w14:schemeClr w14:val="tx1"/>
            </w14:solidFill>
          </w14:textFill>
        </w:rPr>
      </w:pPr>
      <w:r>
        <w:rPr>
          <w:color w:val="000000" w:themeColor="text1"/>
          <w14:textFill>
            <w14:solidFill>
              <w14:schemeClr w14:val="tx1"/>
            </w14:solidFill>
          </w14:textFill>
        </w:rPr>
        <w:t>（四）未开展自行监测的原因；</w:t>
      </w:r>
    </w:p>
    <w:p w14:paraId="0A4ACD6F">
      <w:pPr>
        <w:ind w:firstLine="480"/>
        <w:rPr>
          <w:color w:val="000000" w:themeColor="text1"/>
          <w14:textFill>
            <w14:solidFill>
              <w14:schemeClr w14:val="tx1"/>
            </w14:solidFill>
          </w14:textFill>
        </w:rPr>
      </w:pPr>
      <w:r>
        <w:rPr>
          <w:color w:val="000000" w:themeColor="text1"/>
          <w14:textFill>
            <w14:solidFill>
              <w14:schemeClr w14:val="tx1"/>
            </w14:solidFill>
          </w14:textFill>
        </w:rPr>
        <w:t>（五）污染源监测年度报告。</w:t>
      </w:r>
    </w:p>
    <w:p w14:paraId="74B8202E">
      <w:pPr>
        <w:ind w:firstLine="480"/>
        <w:rPr>
          <w:color w:val="000000" w:themeColor="text1"/>
          <w14:textFill>
            <w14:solidFill>
              <w14:schemeClr w14:val="tx1"/>
            </w14:solidFill>
          </w14:textFill>
        </w:rPr>
      </w:pPr>
      <w:r>
        <w:rPr>
          <w:color w:val="000000" w:themeColor="text1"/>
          <w14:textFill>
            <w14:solidFill>
              <w14:schemeClr w14:val="tx1"/>
            </w14:solidFill>
          </w14:textFill>
        </w:rPr>
        <w:t>公开方式：可通过对外网站、报纸、广播、电视等便于公众知晓的方式公开自行监测信息。同时，应当在省级或地市级环境保护主管部门统一组织建立的公布平台上公开自行监测信息，并至少保存一年。</w:t>
      </w:r>
    </w:p>
    <w:p w14:paraId="30D790B8">
      <w:pPr>
        <w:ind w:firstLine="480"/>
        <w:rPr>
          <w:color w:val="000000" w:themeColor="text1"/>
          <w14:textFill>
            <w14:solidFill>
              <w14:schemeClr w14:val="tx1"/>
            </w14:solidFill>
          </w14:textFill>
        </w:rPr>
      </w:pPr>
      <w:r>
        <w:rPr>
          <w:color w:val="000000" w:themeColor="text1"/>
          <w14:textFill>
            <w14:solidFill>
              <w14:schemeClr w14:val="tx1"/>
            </w14:solidFill>
          </w14:textFill>
        </w:rPr>
        <w:t>公开时限：</w:t>
      </w:r>
    </w:p>
    <w:p w14:paraId="68D5C83E">
      <w:pPr>
        <w:ind w:firstLine="480"/>
        <w:rPr>
          <w:color w:val="000000" w:themeColor="text1"/>
          <w14:textFill>
            <w14:solidFill>
              <w14:schemeClr w14:val="tx1"/>
            </w14:solidFill>
          </w14:textFill>
        </w:rPr>
      </w:pPr>
      <w:r>
        <w:rPr>
          <w:color w:val="000000" w:themeColor="text1"/>
          <w14:textFill>
            <w14:solidFill>
              <w14:schemeClr w14:val="tx1"/>
            </w14:solidFill>
          </w14:textFill>
        </w:rPr>
        <w:t>（一）企业基础信息应随监测数据一并公布，基础信息、自行监测方案如有调整变化时，应于变更后的五日内公布最新内容；</w:t>
      </w:r>
    </w:p>
    <w:p w14:paraId="605465BC">
      <w:pPr>
        <w:ind w:firstLine="480"/>
        <w:rPr>
          <w:color w:val="000000" w:themeColor="text1"/>
          <w14:textFill>
            <w14:solidFill>
              <w14:schemeClr w14:val="tx1"/>
            </w14:solidFill>
          </w14:textFill>
        </w:rPr>
      </w:pPr>
      <w:r>
        <w:rPr>
          <w:color w:val="000000" w:themeColor="text1"/>
          <w14:textFill>
            <w14:solidFill>
              <w14:schemeClr w14:val="tx1"/>
            </w14:solidFill>
          </w14:textFill>
        </w:rPr>
        <w:t>（二）手工监测数据应于每次监测完成后的次日公布；</w:t>
      </w:r>
    </w:p>
    <w:p w14:paraId="19B97E9D">
      <w:pPr>
        <w:ind w:firstLine="480"/>
        <w:rPr>
          <w:color w:val="000000" w:themeColor="text1"/>
          <w14:textFill>
            <w14:solidFill>
              <w14:schemeClr w14:val="tx1"/>
            </w14:solidFill>
          </w14:textFill>
        </w:rPr>
      </w:pPr>
      <w:r>
        <w:rPr>
          <w:color w:val="000000" w:themeColor="text1"/>
          <w14:textFill>
            <w14:solidFill>
              <w14:schemeClr w14:val="tx1"/>
            </w14:solidFill>
          </w14:textFill>
        </w:rPr>
        <w:t>（三）自动监测数据应实时公布监测结果，其中废水自动监测设备为每2小时均值，废气自动监测设备为每1小时均值；</w:t>
      </w:r>
    </w:p>
    <w:p w14:paraId="6A931CAC">
      <w:pPr>
        <w:ind w:firstLine="480"/>
        <w:rPr>
          <w:color w:val="000000" w:themeColor="text1"/>
          <w14:textFill>
            <w14:solidFill>
              <w14:schemeClr w14:val="tx1"/>
            </w14:solidFill>
          </w14:textFill>
        </w:rPr>
      </w:pPr>
      <w:r>
        <w:rPr>
          <w:color w:val="000000" w:themeColor="text1"/>
          <w14:textFill>
            <w14:solidFill>
              <w14:schemeClr w14:val="tx1"/>
            </w14:solidFill>
          </w14:textFill>
        </w:rPr>
        <w:t>（四）每年一月底前公布上年度自行监测年度报告。</w:t>
      </w:r>
    </w:p>
    <w:p w14:paraId="349FC15C">
      <w:pPr>
        <w:pStyle w:val="4"/>
        <w:rPr>
          <w:color w:val="000000" w:themeColor="text1"/>
          <w14:textFill>
            <w14:solidFill>
              <w14:schemeClr w14:val="tx1"/>
            </w14:solidFill>
          </w14:textFill>
        </w:rPr>
      </w:pPr>
      <w:bookmarkStart w:id="152" w:name="_Toc16241"/>
      <w:r>
        <w:rPr>
          <w:rFonts w:hint="eastAsia"/>
          <w:color w:val="000000" w:themeColor="text1"/>
          <w14:textFill>
            <w14:solidFill>
              <w14:schemeClr w14:val="tx1"/>
            </w14:solidFill>
          </w14:textFill>
        </w:rPr>
        <w:t>8.8.2</w:t>
      </w:r>
      <w:r>
        <w:rPr>
          <w:color w:val="000000" w:themeColor="text1"/>
          <w14:textFill>
            <w14:solidFill>
              <w14:schemeClr w14:val="tx1"/>
            </w14:solidFill>
          </w14:textFill>
        </w:rPr>
        <w:t xml:space="preserve"> 公开方式</w:t>
      </w:r>
      <w:bookmarkEnd w:id="152"/>
    </w:p>
    <w:p w14:paraId="0F708086">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建设单位应当通过其网站、企业事业单位环境信息公开平台或者当地报刊等便于公众知晓的方式公开环境信息，同时可以采取以下一种或者几种方式予以公开：</w:t>
      </w:r>
    </w:p>
    <w:p w14:paraId="509B1794">
      <w:pPr>
        <w:ind w:firstLine="480"/>
        <w:rPr>
          <w:color w:val="000000" w:themeColor="text1"/>
          <w14:textFill>
            <w14:solidFill>
              <w14:schemeClr w14:val="tx1"/>
            </w14:solidFill>
          </w14:textFill>
        </w:rPr>
      </w:pPr>
      <w:r>
        <w:rPr>
          <w:color w:val="000000" w:themeColor="text1"/>
          <w14:textFill>
            <w14:solidFill>
              <w14:schemeClr w14:val="tx1"/>
            </w14:solidFill>
          </w14:textFill>
        </w:rPr>
        <w:t>（一）公告或者公开发行的信息专刊；</w:t>
      </w:r>
    </w:p>
    <w:p w14:paraId="255E581F">
      <w:pPr>
        <w:ind w:firstLine="480"/>
        <w:rPr>
          <w:color w:val="000000" w:themeColor="text1"/>
          <w14:textFill>
            <w14:solidFill>
              <w14:schemeClr w14:val="tx1"/>
            </w14:solidFill>
          </w14:textFill>
        </w:rPr>
      </w:pPr>
      <w:r>
        <w:rPr>
          <w:color w:val="000000" w:themeColor="text1"/>
          <w14:textFill>
            <w14:solidFill>
              <w14:schemeClr w14:val="tx1"/>
            </w14:solidFill>
          </w14:textFill>
        </w:rPr>
        <w:t>（二）广播、电视等新闻媒体；</w:t>
      </w:r>
    </w:p>
    <w:p w14:paraId="46E56F9A">
      <w:pPr>
        <w:ind w:firstLine="480"/>
        <w:rPr>
          <w:color w:val="000000" w:themeColor="text1"/>
          <w14:textFill>
            <w14:solidFill>
              <w14:schemeClr w14:val="tx1"/>
            </w14:solidFill>
          </w14:textFill>
        </w:rPr>
      </w:pPr>
      <w:r>
        <w:rPr>
          <w:color w:val="000000" w:themeColor="text1"/>
          <w14:textFill>
            <w14:solidFill>
              <w14:schemeClr w14:val="tx1"/>
            </w14:solidFill>
          </w14:textFill>
        </w:rPr>
        <w:t>（三）信息公开服务、监督热线电话；</w:t>
      </w:r>
    </w:p>
    <w:p w14:paraId="03BD4D57">
      <w:pPr>
        <w:ind w:firstLine="480"/>
        <w:rPr>
          <w:color w:val="000000" w:themeColor="text1"/>
          <w14:textFill>
            <w14:solidFill>
              <w14:schemeClr w14:val="tx1"/>
            </w14:solidFill>
          </w14:textFill>
        </w:rPr>
      </w:pPr>
      <w:r>
        <w:rPr>
          <w:color w:val="000000" w:themeColor="text1"/>
          <w14:textFill>
            <w14:solidFill>
              <w14:schemeClr w14:val="tx1"/>
            </w14:solidFill>
          </w14:textFill>
        </w:rPr>
        <w:t>（四）本单位的资料索取点、信息公开栏、信息亭、电子屏幕、电子触摸屏等场所或者设施；</w:t>
      </w:r>
    </w:p>
    <w:p w14:paraId="411192CB">
      <w:pPr>
        <w:ind w:firstLine="480"/>
        <w:rPr>
          <w:color w:val="000000" w:themeColor="text1"/>
          <w14:textFill>
            <w14:solidFill>
              <w14:schemeClr w14:val="tx1"/>
            </w14:solidFill>
          </w14:textFill>
        </w:rPr>
      </w:pPr>
      <w:r>
        <w:rPr>
          <w:color w:val="000000" w:themeColor="text1"/>
          <w14:textFill>
            <w14:solidFill>
              <w14:schemeClr w14:val="tx1"/>
            </w14:solidFill>
          </w14:textFill>
        </w:rPr>
        <w:t>（五）其他便于公众及时、准确获得信息的方式。</w:t>
      </w:r>
    </w:p>
    <w:p w14:paraId="4CDD3CB0">
      <w:pPr>
        <w:pStyle w:val="3"/>
        <w:rPr>
          <w:color w:val="000000" w:themeColor="text1"/>
          <w14:textFill>
            <w14:solidFill>
              <w14:schemeClr w14:val="tx1"/>
            </w14:solidFill>
          </w14:textFill>
        </w:rPr>
      </w:pPr>
      <w:bookmarkStart w:id="153" w:name="_Toc5007"/>
      <w:r>
        <w:rPr>
          <w:rFonts w:hint="eastAsia"/>
          <w:color w:val="000000" w:themeColor="text1"/>
          <w14:textFill>
            <w14:solidFill>
              <w14:schemeClr w14:val="tx1"/>
            </w14:solidFill>
          </w14:textFill>
        </w:rPr>
        <w:t>8.9竣工环保验收</w:t>
      </w:r>
      <w:bookmarkEnd w:id="153"/>
    </w:p>
    <w:p w14:paraId="5E6E1C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根据“环保三同时”要求，项目建成投产后及时组织竣工环境保护验收，项目环保竣工验收见表8.9-1。</w:t>
      </w:r>
    </w:p>
    <w:p w14:paraId="13F7384F">
      <w:pPr>
        <w:ind w:firstLine="480"/>
        <w:rPr>
          <w:color w:val="000000" w:themeColor="text1"/>
          <w14:textFill>
            <w14:solidFill>
              <w14:schemeClr w14:val="tx1"/>
            </w14:solidFill>
          </w14:textFill>
        </w:rPr>
        <w:sectPr>
          <w:pgSz w:w="11906" w:h="16838"/>
          <w:pgMar w:top="1440" w:right="1800" w:bottom="1440" w:left="1800" w:header="907" w:footer="992" w:gutter="0"/>
          <w:cols w:space="425" w:num="1"/>
          <w:docGrid w:type="lines" w:linePitch="312" w:charSpace="0"/>
        </w:sectPr>
      </w:pPr>
    </w:p>
    <w:p w14:paraId="56A4DAA5">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表8.9-1 本项目竣工验收一览表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131"/>
        <w:gridCol w:w="2740"/>
        <w:gridCol w:w="4834"/>
        <w:gridCol w:w="3384"/>
      </w:tblGrid>
      <w:tr w14:paraId="6471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32" w:type="pct"/>
            <w:gridSpan w:val="2"/>
            <w:vAlign w:val="center"/>
          </w:tcPr>
          <w:p w14:paraId="0D64DCB6">
            <w:pPr>
              <w:pStyle w:val="28"/>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992" w:type="pct"/>
            <w:vAlign w:val="center"/>
          </w:tcPr>
          <w:p w14:paraId="7173F3C0">
            <w:pPr>
              <w:pStyle w:val="28"/>
              <w:rPr>
                <w:color w:val="000000" w:themeColor="text1"/>
                <w14:textFill>
                  <w14:solidFill>
                    <w14:schemeClr w14:val="tx1"/>
                  </w14:solidFill>
                </w14:textFill>
              </w:rPr>
            </w:pPr>
            <w:r>
              <w:rPr>
                <w:color w:val="000000" w:themeColor="text1"/>
                <w14:textFill>
                  <w14:solidFill>
                    <w14:schemeClr w14:val="tx1"/>
                  </w14:solidFill>
                </w14:textFill>
              </w:rPr>
              <w:t>环保设施</w:t>
            </w:r>
          </w:p>
        </w:tc>
        <w:tc>
          <w:tcPr>
            <w:tcW w:w="1750" w:type="pct"/>
            <w:vAlign w:val="center"/>
          </w:tcPr>
          <w:p w14:paraId="085B1174">
            <w:pPr>
              <w:pStyle w:val="28"/>
              <w:rPr>
                <w:color w:val="000000" w:themeColor="text1"/>
                <w14:textFill>
                  <w14:solidFill>
                    <w14:schemeClr w14:val="tx1"/>
                  </w14:solidFill>
                </w14:textFill>
              </w:rPr>
            </w:pPr>
            <w:r>
              <w:rPr>
                <w:color w:val="000000" w:themeColor="text1"/>
                <w14:textFill>
                  <w14:solidFill>
                    <w14:schemeClr w14:val="tx1"/>
                  </w14:solidFill>
                </w14:textFill>
              </w:rPr>
              <w:t>数量/规模</w:t>
            </w:r>
          </w:p>
        </w:tc>
        <w:tc>
          <w:tcPr>
            <w:tcW w:w="1225" w:type="pct"/>
            <w:vAlign w:val="center"/>
          </w:tcPr>
          <w:p w14:paraId="28B936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验收要求</w:t>
            </w:r>
          </w:p>
        </w:tc>
      </w:tr>
      <w:tr w14:paraId="0FE5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vMerge w:val="restart"/>
            <w:shd w:val="clear" w:color="auto" w:fill="auto"/>
            <w:vAlign w:val="center"/>
          </w:tcPr>
          <w:p w14:paraId="735852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770" w:type="pct"/>
            <w:vMerge w:val="restart"/>
            <w:shd w:val="clear" w:color="auto" w:fill="auto"/>
            <w:vAlign w:val="center"/>
          </w:tcPr>
          <w:p w14:paraId="1E5ED8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投料粉尘、研磨废气、干燥废气、测试残渣处理废气和污水处理站废气</w:t>
            </w:r>
          </w:p>
        </w:tc>
        <w:tc>
          <w:tcPr>
            <w:tcW w:w="992" w:type="pct"/>
            <w:shd w:val="clear" w:color="auto" w:fill="auto"/>
            <w:vAlign w:val="center"/>
          </w:tcPr>
          <w:p w14:paraId="379AA8A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碱液喷淋箱</w:t>
            </w:r>
          </w:p>
        </w:tc>
        <w:tc>
          <w:tcPr>
            <w:tcW w:w="1750" w:type="pct"/>
            <w:vAlign w:val="center"/>
          </w:tcPr>
          <w:p w14:paraId="4344D8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1225" w:type="pct"/>
            <w:vMerge w:val="restart"/>
            <w:vAlign w:val="center"/>
          </w:tcPr>
          <w:p w14:paraId="4328D0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《大气污染物综合排放标准》（GB16297-1996）、《恶臭污染物排放标准》（GB 14554-93）</w:t>
            </w:r>
          </w:p>
        </w:tc>
      </w:tr>
      <w:tr w14:paraId="539A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vMerge w:val="continue"/>
            <w:shd w:val="clear" w:color="auto" w:fill="auto"/>
            <w:vAlign w:val="center"/>
          </w:tcPr>
          <w:p w14:paraId="6BA15A23">
            <w:pPr>
              <w:pStyle w:val="28"/>
              <w:rPr>
                <w:color w:val="000000" w:themeColor="text1"/>
                <w14:textFill>
                  <w14:solidFill>
                    <w14:schemeClr w14:val="tx1"/>
                  </w14:solidFill>
                </w14:textFill>
              </w:rPr>
            </w:pPr>
          </w:p>
        </w:tc>
        <w:tc>
          <w:tcPr>
            <w:tcW w:w="770" w:type="pct"/>
            <w:vMerge w:val="continue"/>
            <w:shd w:val="clear" w:color="auto" w:fill="auto"/>
            <w:vAlign w:val="center"/>
          </w:tcPr>
          <w:p w14:paraId="280BDFC3">
            <w:pPr>
              <w:pStyle w:val="28"/>
              <w:rPr>
                <w:color w:val="000000" w:themeColor="text1"/>
                <w14:textFill>
                  <w14:solidFill>
                    <w14:schemeClr w14:val="tx1"/>
                  </w14:solidFill>
                </w14:textFill>
              </w:rPr>
            </w:pPr>
          </w:p>
        </w:tc>
        <w:tc>
          <w:tcPr>
            <w:tcW w:w="992" w:type="pct"/>
            <w:shd w:val="clear" w:color="auto" w:fill="auto"/>
            <w:vAlign w:val="center"/>
          </w:tcPr>
          <w:p w14:paraId="6A93F6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活性炭吸附装置</w:t>
            </w:r>
          </w:p>
        </w:tc>
        <w:tc>
          <w:tcPr>
            <w:tcW w:w="1750" w:type="pct"/>
            <w:vAlign w:val="center"/>
          </w:tcPr>
          <w:p w14:paraId="49703B2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1225" w:type="pct"/>
            <w:vMerge w:val="continue"/>
            <w:vAlign w:val="center"/>
          </w:tcPr>
          <w:p w14:paraId="719A9D89">
            <w:pPr>
              <w:pStyle w:val="28"/>
              <w:rPr>
                <w:color w:val="000000" w:themeColor="text1"/>
                <w14:textFill>
                  <w14:solidFill>
                    <w14:schemeClr w14:val="tx1"/>
                  </w14:solidFill>
                </w14:textFill>
              </w:rPr>
            </w:pPr>
          </w:p>
        </w:tc>
      </w:tr>
      <w:tr w14:paraId="5E89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61" w:type="pct"/>
            <w:vMerge w:val="continue"/>
            <w:shd w:val="clear" w:color="auto" w:fill="auto"/>
            <w:vAlign w:val="center"/>
          </w:tcPr>
          <w:p w14:paraId="69D867B9">
            <w:pPr>
              <w:pStyle w:val="28"/>
              <w:rPr>
                <w:color w:val="000000" w:themeColor="text1"/>
                <w14:textFill>
                  <w14:solidFill>
                    <w14:schemeClr w14:val="tx1"/>
                  </w14:solidFill>
                </w14:textFill>
              </w:rPr>
            </w:pPr>
          </w:p>
        </w:tc>
        <w:tc>
          <w:tcPr>
            <w:tcW w:w="770" w:type="pct"/>
            <w:vMerge w:val="continue"/>
            <w:shd w:val="clear" w:color="auto" w:fill="auto"/>
            <w:vAlign w:val="center"/>
          </w:tcPr>
          <w:p w14:paraId="2E1021A3">
            <w:pPr>
              <w:pStyle w:val="28"/>
              <w:rPr>
                <w:color w:val="000000" w:themeColor="text1"/>
                <w14:textFill>
                  <w14:solidFill>
                    <w14:schemeClr w14:val="tx1"/>
                  </w14:solidFill>
                </w14:textFill>
              </w:rPr>
            </w:pPr>
          </w:p>
        </w:tc>
        <w:tc>
          <w:tcPr>
            <w:tcW w:w="992" w:type="pct"/>
            <w:shd w:val="clear" w:color="auto" w:fill="auto"/>
            <w:vAlign w:val="center"/>
          </w:tcPr>
          <w:p w14:paraId="3BE746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15m高的排气筒</w:t>
            </w:r>
          </w:p>
        </w:tc>
        <w:tc>
          <w:tcPr>
            <w:tcW w:w="1750" w:type="pct"/>
            <w:vAlign w:val="center"/>
          </w:tcPr>
          <w:p w14:paraId="328C5A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1根</w:t>
            </w:r>
          </w:p>
        </w:tc>
        <w:tc>
          <w:tcPr>
            <w:tcW w:w="1225" w:type="pct"/>
            <w:vMerge w:val="continue"/>
            <w:vAlign w:val="center"/>
          </w:tcPr>
          <w:p w14:paraId="4D736226">
            <w:pPr>
              <w:pStyle w:val="28"/>
              <w:rPr>
                <w:color w:val="000000" w:themeColor="text1"/>
                <w14:textFill>
                  <w14:solidFill>
                    <w14:schemeClr w14:val="tx1"/>
                  </w14:solidFill>
                </w14:textFill>
              </w:rPr>
            </w:pPr>
          </w:p>
        </w:tc>
      </w:tr>
      <w:tr w14:paraId="16BE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61" w:type="pct"/>
            <w:vMerge w:val="continue"/>
            <w:shd w:val="clear" w:color="auto" w:fill="auto"/>
            <w:vAlign w:val="center"/>
          </w:tcPr>
          <w:p w14:paraId="4EA11AAC">
            <w:pPr>
              <w:pStyle w:val="28"/>
              <w:rPr>
                <w:color w:val="000000" w:themeColor="text1"/>
                <w14:textFill>
                  <w14:solidFill>
                    <w14:schemeClr w14:val="tx1"/>
                  </w14:solidFill>
                </w14:textFill>
              </w:rPr>
            </w:pPr>
          </w:p>
        </w:tc>
        <w:tc>
          <w:tcPr>
            <w:tcW w:w="770" w:type="pct"/>
            <w:vMerge w:val="continue"/>
            <w:shd w:val="clear" w:color="auto" w:fill="auto"/>
            <w:vAlign w:val="center"/>
          </w:tcPr>
          <w:p w14:paraId="158920CA">
            <w:pPr>
              <w:pStyle w:val="28"/>
              <w:rPr>
                <w:color w:val="000000" w:themeColor="text1"/>
                <w14:textFill>
                  <w14:solidFill>
                    <w14:schemeClr w14:val="tx1"/>
                  </w14:solidFill>
                </w14:textFill>
              </w:rPr>
            </w:pPr>
          </w:p>
        </w:tc>
        <w:tc>
          <w:tcPr>
            <w:tcW w:w="992" w:type="pct"/>
            <w:shd w:val="clear" w:color="auto" w:fill="auto"/>
            <w:vAlign w:val="center"/>
          </w:tcPr>
          <w:p w14:paraId="48BB92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通风橱</w:t>
            </w:r>
          </w:p>
        </w:tc>
        <w:tc>
          <w:tcPr>
            <w:tcW w:w="1750" w:type="pct"/>
            <w:vAlign w:val="center"/>
          </w:tcPr>
          <w:p w14:paraId="5EFE0B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3套</w:t>
            </w:r>
          </w:p>
        </w:tc>
        <w:tc>
          <w:tcPr>
            <w:tcW w:w="1225" w:type="pct"/>
            <w:vMerge w:val="continue"/>
            <w:vAlign w:val="center"/>
          </w:tcPr>
          <w:p w14:paraId="531CE65B">
            <w:pPr>
              <w:pStyle w:val="28"/>
              <w:rPr>
                <w:color w:val="000000" w:themeColor="text1"/>
                <w14:textFill>
                  <w14:solidFill>
                    <w14:schemeClr w14:val="tx1"/>
                  </w14:solidFill>
                </w14:textFill>
              </w:rPr>
            </w:pPr>
          </w:p>
        </w:tc>
      </w:tr>
      <w:tr w14:paraId="123E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61" w:type="pct"/>
            <w:vMerge w:val="continue"/>
            <w:shd w:val="clear" w:color="auto" w:fill="auto"/>
            <w:vAlign w:val="center"/>
          </w:tcPr>
          <w:p w14:paraId="133950CA">
            <w:pPr>
              <w:pStyle w:val="28"/>
              <w:rPr>
                <w:color w:val="000000" w:themeColor="text1"/>
                <w14:textFill>
                  <w14:solidFill>
                    <w14:schemeClr w14:val="tx1"/>
                  </w14:solidFill>
                </w14:textFill>
              </w:rPr>
            </w:pPr>
          </w:p>
        </w:tc>
        <w:tc>
          <w:tcPr>
            <w:tcW w:w="770" w:type="pct"/>
            <w:vMerge w:val="continue"/>
            <w:shd w:val="clear" w:color="auto" w:fill="auto"/>
            <w:vAlign w:val="center"/>
          </w:tcPr>
          <w:p w14:paraId="18DD202A">
            <w:pPr>
              <w:pStyle w:val="28"/>
              <w:rPr>
                <w:color w:val="000000" w:themeColor="text1"/>
                <w14:textFill>
                  <w14:solidFill>
                    <w14:schemeClr w14:val="tx1"/>
                  </w14:solidFill>
                </w14:textFill>
              </w:rPr>
            </w:pPr>
          </w:p>
        </w:tc>
        <w:tc>
          <w:tcPr>
            <w:tcW w:w="992" w:type="pct"/>
            <w:shd w:val="clear" w:color="auto" w:fill="auto"/>
            <w:vAlign w:val="center"/>
          </w:tcPr>
          <w:p w14:paraId="7627A9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集气罩</w:t>
            </w:r>
          </w:p>
        </w:tc>
        <w:tc>
          <w:tcPr>
            <w:tcW w:w="1750" w:type="pct"/>
            <w:vAlign w:val="center"/>
          </w:tcPr>
          <w:p w14:paraId="6A9991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1225" w:type="pct"/>
            <w:vMerge w:val="continue"/>
            <w:vAlign w:val="center"/>
          </w:tcPr>
          <w:p w14:paraId="2073B6F6">
            <w:pPr>
              <w:pStyle w:val="28"/>
              <w:rPr>
                <w:color w:val="000000" w:themeColor="text1"/>
                <w14:textFill>
                  <w14:solidFill>
                    <w14:schemeClr w14:val="tx1"/>
                  </w14:solidFill>
                </w14:textFill>
              </w:rPr>
            </w:pPr>
          </w:p>
        </w:tc>
      </w:tr>
      <w:tr w14:paraId="04BB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vMerge w:val="restart"/>
            <w:shd w:val="clear" w:color="auto" w:fill="auto"/>
            <w:vAlign w:val="center"/>
          </w:tcPr>
          <w:p w14:paraId="0A4200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770" w:type="pct"/>
            <w:vMerge w:val="restart"/>
            <w:shd w:val="clear" w:color="auto" w:fill="auto"/>
            <w:vAlign w:val="center"/>
          </w:tcPr>
          <w:p w14:paraId="211D15C5">
            <w:pPr>
              <w:pStyle w:val="28"/>
              <w:rPr>
                <w:color w:val="000000" w:themeColor="text1"/>
                <w14:textFill>
                  <w14:solidFill>
                    <w14:schemeClr w14:val="tx1"/>
                  </w14:solidFill>
                </w14:textFill>
              </w:rPr>
            </w:pPr>
            <w:r>
              <w:rPr>
                <w:color w:val="000000" w:themeColor="text1"/>
                <w14:textFill>
                  <w14:solidFill>
                    <w14:schemeClr w14:val="tx1"/>
                  </w14:solidFill>
                </w14:textFill>
              </w:rPr>
              <w:t>纯水制备废水</w:t>
            </w:r>
            <w:r>
              <w:rPr>
                <w:rFonts w:hint="eastAsia"/>
                <w:color w:val="000000" w:themeColor="text1"/>
                <w14:textFill>
                  <w14:solidFill>
                    <w14:schemeClr w14:val="tx1"/>
                  </w14:solidFill>
                </w14:textFill>
              </w:rPr>
              <w:t>、测试器具清洗废水、冷却水循环系统定期排污水</w:t>
            </w:r>
          </w:p>
        </w:tc>
        <w:tc>
          <w:tcPr>
            <w:tcW w:w="992" w:type="pct"/>
            <w:shd w:val="clear" w:color="auto" w:fill="auto"/>
            <w:vAlign w:val="center"/>
          </w:tcPr>
          <w:p w14:paraId="73D8DE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一体化污水处理站</w:t>
            </w:r>
          </w:p>
        </w:tc>
        <w:tc>
          <w:tcPr>
            <w:tcW w:w="1750" w:type="pct"/>
            <w:vAlign w:val="center"/>
          </w:tcPr>
          <w:p w14:paraId="61DE21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1套，处理能为1m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tc>
        <w:tc>
          <w:tcPr>
            <w:tcW w:w="1225" w:type="pct"/>
            <w:vMerge w:val="restart"/>
            <w:vAlign w:val="center"/>
          </w:tcPr>
          <w:p w14:paraId="21C7B0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《电子工业水污染物排放标准》（GB39731-2020）电子专用材料间接排放标准、《污水综合排放标准》（GB8978-1996）三级标准和《污水排入城镇下水道水质标准》（GB/T31962-2015）</w:t>
            </w:r>
          </w:p>
        </w:tc>
      </w:tr>
      <w:tr w14:paraId="482B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vMerge w:val="continue"/>
            <w:shd w:val="clear" w:color="auto" w:fill="auto"/>
            <w:vAlign w:val="center"/>
          </w:tcPr>
          <w:p w14:paraId="7755BB4A">
            <w:pPr>
              <w:pStyle w:val="28"/>
              <w:rPr>
                <w:color w:val="000000" w:themeColor="text1"/>
                <w14:textFill>
                  <w14:solidFill>
                    <w14:schemeClr w14:val="tx1"/>
                  </w14:solidFill>
                </w14:textFill>
              </w:rPr>
            </w:pPr>
          </w:p>
        </w:tc>
        <w:tc>
          <w:tcPr>
            <w:tcW w:w="770" w:type="pct"/>
            <w:vMerge w:val="continue"/>
            <w:shd w:val="clear" w:color="auto" w:fill="auto"/>
            <w:vAlign w:val="center"/>
          </w:tcPr>
          <w:p w14:paraId="687B890E">
            <w:pPr>
              <w:pStyle w:val="28"/>
              <w:rPr>
                <w:color w:val="000000" w:themeColor="text1"/>
                <w14:textFill>
                  <w14:solidFill>
                    <w14:schemeClr w14:val="tx1"/>
                  </w14:solidFill>
                </w14:textFill>
              </w:rPr>
            </w:pPr>
          </w:p>
        </w:tc>
        <w:tc>
          <w:tcPr>
            <w:tcW w:w="992" w:type="pct"/>
            <w:shd w:val="clear" w:color="auto" w:fill="auto"/>
            <w:vAlign w:val="center"/>
          </w:tcPr>
          <w:p w14:paraId="0206B8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调节池</w:t>
            </w:r>
          </w:p>
        </w:tc>
        <w:tc>
          <w:tcPr>
            <w:tcW w:w="1750" w:type="pct"/>
            <w:vAlign w:val="center"/>
          </w:tcPr>
          <w:p w14:paraId="0B52E9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1个，容积为2m</w:t>
            </w:r>
            <w:r>
              <w:rPr>
                <w:rFonts w:hint="eastAsia"/>
                <w:color w:val="000000" w:themeColor="text1"/>
                <w:vertAlign w:val="superscript"/>
                <w14:textFill>
                  <w14:solidFill>
                    <w14:schemeClr w14:val="tx1"/>
                  </w14:solidFill>
                </w14:textFill>
              </w:rPr>
              <w:t>3</w:t>
            </w:r>
          </w:p>
        </w:tc>
        <w:tc>
          <w:tcPr>
            <w:tcW w:w="1225" w:type="pct"/>
            <w:vMerge w:val="continue"/>
            <w:vAlign w:val="center"/>
          </w:tcPr>
          <w:p w14:paraId="0EF32F27">
            <w:pPr>
              <w:pStyle w:val="28"/>
              <w:rPr>
                <w:color w:val="000000" w:themeColor="text1"/>
                <w14:textFill>
                  <w14:solidFill>
                    <w14:schemeClr w14:val="tx1"/>
                  </w14:solidFill>
                </w14:textFill>
              </w:rPr>
            </w:pPr>
          </w:p>
        </w:tc>
      </w:tr>
      <w:tr w14:paraId="57D3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vMerge w:val="continue"/>
            <w:vAlign w:val="center"/>
          </w:tcPr>
          <w:p w14:paraId="1CBD67DD">
            <w:pPr>
              <w:pStyle w:val="28"/>
              <w:rPr>
                <w:color w:val="000000" w:themeColor="text1"/>
                <w14:textFill>
                  <w14:solidFill>
                    <w14:schemeClr w14:val="tx1"/>
                  </w14:solidFill>
                </w14:textFill>
              </w:rPr>
            </w:pPr>
          </w:p>
        </w:tc>
        <w:tc>
          <w:tcPr>
            <w:tcW w:w="770" w:type="pct"/>
            <w:shd w:val="clear" w:color="auto" w:fill="auto"/>
            <w:vAlign w:val="center"/>
          </w:tcPr>
          <w:p w14:paraId="5A4833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喷淋废水</w:t>
            </w:r>
          </w:p>
        </w:tc>
        <w:tc>
          <w:tcPr>
            <w:tcW w:w="992" w:type="pct"/>
            <w:shd w:val="clear" w:color="auto" w:fill="auto"/>
            <w:vAlign w:val="center"/>
          </w:tcPr>
          <w:p w14:paraId="1EFEFB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循环沉淀池</w:t>
            </w:r>
          </w:p>
        </w:tc>
        <w:tc>
          <w:tcPr>
            <w:tcW w:w="1750" w:type="pct"/>
            <w:vAlign w:val="center"/>
          </w:tcPr>
          <w:p w14:paraId="36FC82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1个，容积为15m</w:t>
            </w:r>
            <w:r>
              <w:rPr>
                <w:rFonts w:hint="eastAsia"/>
                <w:color w:val="000000" w:themeColor="text1"/>
                <w:vertAlign w:val="superscript"/>
                <w14:textFill>
                  <w14:solidFill>
                    <w14:schemeClr w14:val="tx1"/>
                  </w14:solidFill>
                </w14:textFill>
              </w:rPr>
              <w:t>3</w:t>
            </w:r>
          </w:p>
        </w:tc>
        <w:tc>
          <w:tcPr>
            <w:tcW w:w="1225" w:type="pct"/>
            <w:vMerge w:val="continue"/>
            <w:vAlign w:val="center"/>
          </w:tcPr>
          <w:p w14:paraId="10278986">
            <w:pPr>
              <w:pStyle w:val="28"/>
              <w:rPr>
                <w:color w:val="000000" w:themeColor="text1"/>
                <w14:textFill>
                  <w14:solidFill>
                    <w14:schemeClr w14:val="tx1"/>
                  </w14:solidFill>
                </w14:textFill>
              </w:rPr>
            </w:pPr>
          </w:p>
        </w:tc>
      </w:tr>
      <w:tr w14:paraId="77E5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61" w:type="pct"/>
            <w:shd w:val="clear" w:color="auto" w:fill="auto"/>
            <w:vAlign w:val="center"/>
          </w:tcPr>
          <w:p w14:paraId="6BD7D2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770" w:type="pct"/>
            <w:shd w:val="clear" w:color="auto" w:fill="auto"/>
            <w:vAlign w:val="center"/>
          </w:tcPr>
          <w:p w14:paraId="51AC1F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设备</w:t>
            </w:r>
          </w:p>
        </w:tc>
        <w:tc>
          <w:tcPr>
            <w:tcW w:w="992" w:type="pct"/>
            <w:shd w:val="clear" w:color="auto" w:fill="auto"/>
            <w:vAlign w:val="center"/>
          </w:tcPr>
          <w:p w14:paraId="5351B1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减震垫、风机安装消声器</w:t>
            </w:r>
          </w:p>
        </w:tc>
        <w:tc>
          <w:tcPr>
            <w:tcW w:w="1750" w:type="pct"/>
            <w:vAlign w:val="center"/>
          </w:tcPr>
          <w:p w14:paraId="00104C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若干</w:t>
            </w:r>
          </w:p>
        </w:tc>
        <w:tc>
          <w:tcPr>
            <w:tcW w:w="1225" w:type="pct"/>
            <w:vAlign w:val="center"/>
          </w:tcPr>
          <w:p w14:paraId="0C5019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《工业企业厂界环境噪声排放标准》（GB12348-2008）3类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4类</w:t>
            </w:r>
            <w:r>
              <w:rPr>
                <w:rFonts w:hint="eastAsia"/>
                <w:color w:val="000000" w:themeColor="text1"/>
                <w14:textFill>
                  <w14:solidFill>
                    <w14:schemeClr w14:val="tx1"/>
                  </w14:solidFill>
                </w14:textFill>
              </w:rPr>
              <w:t>标准</w:t>
            </w:r>
          </w:p>
        </w:tc>
      </w:tr>
      <w:tr w14:paraId="0537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32" w:type="pct"/>
            <w:gridSpan w:val="2"/>
            <w:shd w:val="clear" w:color="auto" w:fill="auto"/>
            <w:vAlign w:val="center"/>
          </w:tcPr>
          <w:p w14:paraId="45F265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992" w:type="pct"/>
            <w:shd w:val="clear" w:color="auto" w:fill="auto"/>
            <w:vAlign w:val="center"/>
          </w:tcPr>
          <w:p w14:paraId="7F2B93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1750" w:type="pct"/>
            <w:vAlign w:val="center"/>
          </w:tcPr>
          <w:p w14:paraId="45B9CC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1个，占地面积为10m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，危废暂存间地面采用“混凝土基础+ 2mm厚HDPE防渗膜”结构进行重点防渗。不同类型的危废必须采用托盘进行分类存放。建立完善的台账制度。张贴标识标牌</w:t>
            </w:r>
          </w:p>
        </w:tc>
        <w:tc>
          <w:tcPr>
            <w:tcW w:w="1225" w:type="pct"/>
            <w:vAlign w:val="center"/>
          </w:tcPr>
          <w:p w14:paraId="03D45E71">
            <w:pPr>
              <w:pStyle w:val="28"/>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《危险废物贮存污染控制标准》（GB18597-2023）</w:t>
            </w:r>
          </w:p>
        </w:tc>
      </w:tr>
      <w:tr w14:paraId="7D1F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32" w:type="pct"/>
            <w:gridSpan w:val="2"/>
            <w:shd w:val="clear" w:color="auto" w:fill="auto"/>
            <w:vAlign w:val="center"/>
          </w:tcPr>
          <w:p w14:paraId="4A22BD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风险</w:t>
            </w:r>
          </w:p>
        </w:tc>
        <w:tc>
          <w:tcPr>
            <w:tcW w:w="992" w:type="pct"/>
            <w:shd w:val="clear" w:color="auto" w:fill="auto"/>
            <w:vAlign w:val="center"/>
          </w:tcPr>
          <w:p w14:paraId="31BB5B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应急空桶、沙袋</w:t>
            </w:r>
          </w:p>
        </w:tc>
        <w:tc>
          <w:tcPr>
            <w:tcW w:w="1750" w:type="pct"/>
            <w:vAlign w:val="center"/>
          </w:tcPr>
          <w:p w14:paraId="7BBFF3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若干</w:t>
            </w:r>
          </w:p>
        </w:tc>
        <w:tc>
          <w:tcPr>
            <w:tcW w:w="1225" w:type="pct"/>
            <w:vAlign w:val="center"/>
          </w:tcPr>
          <w:p w14:paraId="0DE74A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按要求设置</w:t>
            </w:r>
          </w:p>
        </w:tc>
      </w:tr>
    </w:tbl>
    <w:p w14:paraId="266FDAB2">
      <w:pPr>
        <w:ind w:firstLine="480"/>
        <w:rPr>
          <w:color w:val="000000" w:themeColor="text1"/>
          <w14:textFill>
            <w14:solidFill>
              <w14:schemeClr w14:val="tx1"/>
            </w14:solidFill>
          </w14:textFill>
        </w:rPr>
        <w:sectPr>
          <w:pgSz w:w="16838" w:h="11906" w:orient="landscape"/>
          <w:pgMar w:top="1440" w:right="1803" w:bottom="1440" w:left="1440" w:header="907" w:footer="992" w:gutter="0"/>
          <w:cols w:space="425" w:num="1"/>
          <w:docGrid w:type="lines" w:linePitch="312" w:charSpace="0"/>
        </w:sectPr>
      </w:pPr>
    </w:p>
    <w:p w14:paraId="48476E7A">
      <w:pPr>
        <w:pStyle w:val="2"/>
        <w:rPr>
          <w:color w:val="000000" w:themeColor="text1"/>
          <w14:textFill>
            <w14:solidFill>
              <w14:schemeClr w14:val="tx1"/>
            </w14:solidFill>
          </w14:textFill>
        </w:rPr>
      </w:pPr>
      <w:bookmarkStart w:id="154" w:name="_Toc22274"/>
      <w:r>
        <w:rPr>
          <w:rFonts w:hint="eastAsia"/>
          <w:color w:val="000000" w:themeColor="text1"/>
          <w14:textFill>
            <w14:solidFill>
              <w14:schemeClr w14:val="tx1"/>
            </w14:solidFill>
          </w14:textFill>
        </w:rPr>
        <w:t>9</w:t>
      </w:r>
      <w:r>
        <w:rPr>
          <w:color w:val="000000" w:themeColor="text1"/>
          <w14:textFill>
            <w14:solidFill>
              <w14:schemeClr w14:val="tx1"/>
            </w14:solidFill>
          </w14:textFill>
        </w:rPr>
        <w:t>、产业政策、规划、选址合理性分析</w:t>
      </w:r>
      <w:bookmarkEnd w:id="154"/>
    </w:p>
    <w:p w14:paraId="7766141C">
      <w:pPr>
        <w:pStyle w:val="3"/>
        <w:rPr>
          <w:color w:val="000000" w:themeColor="text1"/>
          <w14:textFill>
            <w14:solidFill>
              <w14:schemeClr w14:val="tx1"/>
            </w14:solidFill>
          </w14:textFill>
        </w:rPr>
      </w:pPr>
      <w:bookmarkStart w:id="155" w:name="_Toc22065"/>
      <w:r>
        <w:rPr>
          <w:rFonts w:hint="eastAsia"/>
          <w:color w:val="000000" w:themeColor="text1"/>
          <w14:textFill>
            <w14:solidFill>
              <w14:schemeClr w14:val="tx1"/>
            </w14:solidFill>
          </w14:textFill>
        </w:rPr>
        <w:t>9</w:t>
      </w:r>
      <w:r>
        <w:rPr>
          <w:color w:val="000000" w:themeColor="text1"/>
          <w14:textFill>
            <w14:solidFill>
              <w14:schemeClr w14:val="tx1"/>
            </w14:solidFill>
          </w14:textFill>
        </w:rPr>
        <w:t>.1产业政策符合性分析</w:t>
      </w:r>
      <w:bookmarkEnd w:id="155"/>
    </w:p>
    <w:p w14:paraId="221E758D">
      <w:pPr>
        <w:ind w:firstLine="480"/>
        <w:rPr>
          <w:b/>
          <w:bCs/>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根据《产业结构调整指导目录（2024年本）》中鼓励类第十九项轻工第11款“新型锂原电池（锂二硫化铁、锂亚硫酰氯等），锂离子电池、</w:t>
      </w:r>
      <w:r>
        <w:rPr>
          <w:rFonts w:hint="eastAsia"/>
          <w:b/>
          <w:bCs/>
          <w:color w:val="000000" w:themeColor="text1"/>
          <w14:textFill>
            <w14:solidFill>
              <w14:schemeClr w14:val="tx1"/>
            </w14:solidFill>
          </w14:textFill>
        </w:rPr>
        <w:t>半固态和全固态锂电池</w:t>
      </w:r>
      <w:r>
        <w:rPr>
          <w:rFonts w:hint="eastAsia"/>
          <w:color w:val="000000" w:themeColor="text1"/>
          <w14:textFill>
            <w14:solidFill>
              <w14:schemeClr w14:val="tx1"/>
            </w14:solidFill>
          </w14:textFill>
        </w:rPr>
        <w:t>、燃料电池、钠离子电池、液流电池、新型结构（双极性、铅布水平、卷绕式、管式等）密封铅蓄电池、铅碳电池等新型电池和超级电容器，锂离子电池用三元和多元、磷酸铁锂等正极材料、中间相炭微球和硅碳等负极材料、单层与三层复合锂离子电池隔膜、氟代碳酸乙烯酯（FEC）等电解质与添加剂，碳纳米管、碳纳米管导电液等关键材料，废旧电池资源化和绿色循环生产工艺及其装备制造，锂离子电池、铅蓄电池、碱性锌锰电池（600只/分钟以上）等电池产品自动化、智能化生产成套制造装备”，本项目产品为硫化物固态电解质，硫化物固态电解质作为全固态锂电池的核心关键材料，为全固态锂电池产业提供基础支撑，与条目鼓励新型电池及配套关键材料发展的初衷高度一致，是全固态锂电池实现性能突破的核心环节，完全契合指导目录中对全固态锂电池相关关键材料的鼓励导向，因此本项目属于鼓励类</w:t>
      </w:r>
      <w:r>
        <w:rPr>
          <w:rFonts w:hint="eastAsia" w:cs="Times New Roman"/>
          <w:color w:val="000000" w:themeColor="text1"/>
          <w14:textFill>
            <w14:solidFill>
              <w14:schemeClr w14:val="tx1"/>
            </w14:solidFill>
          </w14:textFill>
        </w:rPr>
        <w:t>。项目已于2025年7月11日经玉溪市高新技术产业开发区管理委员会备案，</w:t>
      </w:r>
      <w:r>
        <w:rPr>
          <w:rFonts w:cs="Times New Roman"/>
          <w:color w:val="000000" w:themeColor="text1"/>
          <w14:textFill>
            <w14:solidFill>
              <w14:schemeClr w14:val="tx1"/>
            </w14:solidFill>
          </w14:textFill>
        </w:rPr>
        <w:t>符合国家相关产业政策。</w:t>
      </w:r>
    </w:p>
    <w:p w14:paraId="059073F9">
      <w:pPr>
        <w:pStyle w:val="3"/>
        <w:rPr>
          <w:color w:val="000000" w:themeColor="text1"/>
          <w14:textFill>
            <w14:solidFill>
              <w14:schemeClr w14:val="tx1"/>
            </w14:solidFill>
          </w14:textFill>
        </w:rPr>
      </w:pPr>
      <w:bookmarkStart w:id="156" w:name="_Toc8509"/>
      <w:r>
        <w:rPr>
          <w:rFonts w:hint="eastAsia"/>
          <w:color w:val="000000" w:themeColor="text1"/>
          <w14:textFill>
            <w14:solidFill>
              <w14:schemeClr w14:val="tx1"/>
            </w14:solidFill>
          </w14:textFill>
        </w:rPr>
        <w:t>9</w:t>
      </w:r>
      <w:r>
        <w:rPr>
          <w:color w:val="000000" w:themeColor="text1"/>
          <w14:textFill>
            <w14:solidFill>
              <w14:schemeClr w14:val="tx1"/>
            </w14:solidFill>
          </w14:textFill>
        </w:rPr>
        <w:t>.2与玉溪市</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分区管控动态更新调整方案符合性分析</w:t>
      </w:r>
      <w:bookmarkEnd w:id="156"/>
    </w:p>
    <w:p w14:paraId="11BDD1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2024年6月7日玉溪市生态环境局印发了《玉溪市生态环境局关于印发玉溪市生态环境分区管控动态更新调整方案（2023年）的通知》（玉市环[2024]40号），玉溪市生态环境分区管控措施要求等以更新调整的方案为准。</w:t>
      </w:r>
    </w:p>
    <w:p w14:paraId="3A1919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根据与玉溪市生态环境管控单元叠图，详见附图9.2-1，本项目选址涉及红塔区产业园区重点管控单元。本项目与玉溪市生态环境分区管控动态更新调整方案要求相符性分析详见下表9.2-1。</w:t>
      </w:r>
    </w:p>
    <w:p w14:paraId="4DFF53AE">
      <w:pPr>
        <w:pStyle w:val="27"/>
        <w:rPr>
          <w:color w:val="000000" w:themeColor="text1"/>
          <w14:textFill>
            <w14:solidFill>
              <w14:schemeClr w14:val="tx1"/>
            </w14:solidFill>
          </w14:textFill>
        </w:rPr>
      </w:pPr>
    </w:p>
    <w:p w14:paraId="2B4087BD">
      <w:pPr>
        <w:pStyle w:val="27"/>
        <w:rPr>
          <w:color w:val="000000" w:themeColor="text1"/>
          <w14:textFill>
            <w14:solidFill>
              <w14:schemeClr w14:val="tx1"/>
            </w14:solidFill>
          </w14:textFill>
        </w:rPr>
      </w:pPr>
    </w:p>
    <w:p w14:paraId="602D98EE">
      <w:pPr>
        <w:pStyle w:val="27"/>
        <w:rPr>
          <w:color w:val="000000" w:themeColor="text1"/>
          <w14:textFill>
            <w14:solidFill>
              <w14:schemeClr w14:val="tx1"/>
            </w14:solidFill>
          </w14:textFill>
        </w:rPr>
      </w:pPr>
    </w:p>
    <w:p w14:paraId="7D1F292C">
      <w:pPr>
        <w:pStyle w:val="27"/>
        <w:rPr>
          <w:color w:val="000000" w:themeColor="text1"/>
          <w14:textFill>
            <w14:solidFill>
              <w14:schemeClr w14:val="tx1"/>
            </w14:solidFill>
          </w14:textFill>
        </w:rPr>
      </w:pPr>
    </w:p>
    <w:p w14:paraId="17A8792A">
      <w:pPr>
        <w:pStyle w:val="27"/>
        <w:rPr>
          <w:color w:val="000000" w:themeColor="text1"/>
          <w14:textFill>
            <w14:solidFill>
              <w14:schemeClr w14:val="tx1"/>
            </w14:solidFill>
          </w14:textFill>
        </w:rPr>
      </w:pPr>
    </w:p>
    <w:p w14:paraId="268D2D72">
      <w:pPr>
        <w:pStyle w:val="27"/>
        <w:rPr>
          <w:color w:val="000000" w:themeColor="text1"/>
          <w14:textFill>
            <w14:solidFill>
              <w14:schemeClr w14:val="tx1"/>
            </w14:solidFill>
          </w14:textFill>
        </w:rPr>
      </w:pPr>
    </w:p>
    <w:p w14:paraId="6FEA5203">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表9.2-1  与玉溪市生态环境分区管控动态更新调整方案符合性分析对照表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786"/>
        <w:gridCol w:w="687"/>
        <w:gridCol w:w="2669"/>
        <w:gridCol w:w="3209"/>
        <w:gridCol w:w="600"/>
      </w:tblGrid>
      <w:tr w14:paraId="2447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0B592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430" w:type="pct"/>
            <w:gridSpan w:val="3"/>
            <w:vAlign w:val="center"/>
          </w:tcPr>
          <w:p w14:paraId="76F655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方案要求</w:t>
            </w:r>
          </w:p>
        </w:tc>
        <w:tc>
          <w:tcPr>
            <w:tcW w:w="1883" w:type="pct"/>
            <w:vAlign w:val="center"/>
          </w:tcPr>
          <w:p w14:paraId="634DF4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350" w:type="pct"/>
            <w:vAlign w:val="center"/>
          </w:tcPr>
          <w:p w14:paraId="40BCC1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97E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6277D04B">
            <w:pPr>
              <w:pStyle w:val="28"/>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生态环境准入清单</w:t>
            </w:r>
          </w:p>
        </w:tc>
      </w:tr>
      <w:tr w14:paraId="2EC0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7CCE12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30" w:type="pct"/>
            <w:gridSpan w:val="3"/>
            <w:vAlign w:val="center"/>
          </w:tcPr>
          <w:p w14:paraId="08A08A3C">
            <w:pPr>
              <w:pStyle w:val="28"/>
              <w:rPr>
                <w:color w:val="000000" w:themeColor="text1"/>
                <w14:textFill>
                  <w14:solidFill>
                    <w14:schemeClr w14:val="tx1"/>
                  </w14:solidFill>
                </w14:textFill>
              </w:rPr>
            </w:pPr>
            <w:r>
              <w:rPr>
                <w:color w:val="000000" w:themeColor="text1"/>
                <w14:textFill>
                  <w14:solidFill>
                    <w14:schemeClr w14:val="tx1"/>
                  </w14:solidFill>
                </w14:textFill>
              </w:rPr>
              <w:t>全市共划分82个生态环境管控单元，分为优先保护、重点管控和一般管控3类。（1）优先保护单元。共27个，包含生态保护红线和一般生态空间，主要分布在哀牢山、红河（元江）干热河谷、珠江上游及滇东南喀斯特地带、高原湖泊湖区及流域水源涵养区等生态功能重要、生态环境敏感区域。</w:t>
            </w:r>
          </w:p>
          <w:p w14:paraId="11E3E243">
            <w:pPr>
              <w:pStyle w:val="28"/>
              <w:rPr>
                <w:color w:val="000000" w:themeColor="text1"/>
                <w14:textFill>
                  <w14:solidFill>
                    <w14:schemeClr w14:val="tx1"/>
                  </w14:solidFill>
                </w14:textFill>
              </w:rPr>
            </w:pPr>
            <w:r>
              <w:rPr>
                <w:color w:val="000000" w:themeColor="text1"/>
                <w14:textFill>
                  <w14:solidFill>
                    <w14:schemeClr w14:val="tx1"/>
                  </w14:solidFill>
                </w14:textFill>
              </w:rPr>
              <w:t>（2）重点管控单元。共46个，包含开发强度高、污染物排放强度大、环境问题相对集中的区域和大气环境布局敏感区等，主要分布在</w:t>
            </w:r>
            <w:r>
              <w:rPr>
                <w:rFonts w:hint="eastAsia" w:ascii="宋体" w:hAnsi="宋体" w:cs="宋体"/>
                <w:color w:val="000000" w:themeColor="text1"/>
                <w14:textFill>
                  <w14:solidFill>
                    <w14:schemeClr w14:val="tx1"/>
                  </w14:solidFill>
                </w14:textFill>
              </w:rPr>
              <w:t>“三湖”</w:t>
            </w:r>
            <w:r>
              <w:rPr>
                <w:color w:val="000000" w:themeColor="text1"/>
                <w14:textFill>
                  <w14:solidFill>
                    <w14:schemeClr w14:val="tx1"/>
                  </w14:solidFill>
                </w14:textFill>
              </w:rPr>
              <w:t>（抚仙湖、星云湖、杞麓湖）坝区、各类开发区和工业集中区、城镇规划区及环境质量改善压力较大的区域。</w:t>
            </w:r>
          </w:p>
          <w:p w14:paraId="6E6BDC3C">
            <w:pPr>
              <w:pStyle w:val="28"/>
              <w:rPr>
                <w:color w:val="000000" w:themeColor="text1"/>
                <w14:textFill>
                  <w14:solidFill>
                    <w14:schemeClr w14:val="tx1"/>
                  </w14:solidFill>
                </w14:textFill>
              </w:rPr>
            </w:pPr>
            <w:r>
              <w:rPr>
                <w:color w:val="000000" w:themeColor="text1"/>
                <w14:textFill>
                  <w14:solidFill>
                    <w14:schemeClr w14:val="tx1"/>
                  </w14:solidFill>
                </w14:textFill>
              </w:rPr>
              <w:t>（3）一般管控单元。共9个，为优先保护、重点管控单元之外的区域。</w:t>
            </w:r>
          </w:p>
        </w:tc>
        <w:tc>
          <w:tcPr>
            <w:tcW w:w="1883" w:type="pct"/>
            <w:vAlign w:val="center"/>
          </w:tcPr>
          <w:p w14:paraId="3AECD6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本项目位于玉溪高新区九龙片区，属于重点管控单元中的开发区及工业集中区。</w:t>
            </w:r>
          </w:p>
        </w:tc>
        <w:tc>
          <w:tcPr>
            <w:tcW w:w="350" w:type="pct"/>
            <w:vAlign w:val="center"/>
          </w:tcPr>
          <w:p w14:paraId="2AFFB4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104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trPr>
        <w:tc>
          <w:tcPr>
            <w:tcW w:w="335" w:type="pct"/>
            <w:vAlign w:val="center"/>
          </w:tcPr>
          <w:p w14:paraId="1A2CA3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61" w:type="pct"/>
            <w:vMerge w:val="restart"/>
            <w:vAlign w:val="center"/>
          </w:tcPr>
          <w:p w14:paraId="3D9BF9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红塔区工业集中区重点管控单元</w:t>
            </w:r>
          </w:p>
        </w:tc>
        <w:tc>
          <w:tcPr>
            <w:tcW w:w="403" w:type="pct"/>
            <w:vMerge w:val="restart"/>
            <w:vAlign w:val="center"/>
          </w:tcPr>
          <w:p w14:paraId="23B30C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1565" w:type="pct"/>
            <w:vAlign w:val="center"/>
          </w:tcPr>
          <w:p w14:paraId="26E57DEC">
            <w:pPr>
              <w:pStyle w:val="28"/>
              <w:rPr>
                <w:color w:val="000000" w:themeColor="text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合理规划产业分区和功能定位，禁止不符合产业政策、产业结构调整指导目录和园区规划要求的项目入园区。</w:t>
            </w:r>
          </w:p>
        </w:tc>
        <w:tc>
          <w:tcPr>
            <w:tcW w:w="1883" w:type="pct"/>
            <w:vAlign w:val="center"/>
          </w:tcPr>
          <w:p w14:paraId="4D1C8D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根据高新技术产业开发区产业布局规划图（详见附图9.11-1），本项目位于九龙片区，该片区主导产业是数字经济和绿色食品，承载技术研发、创业孵化、技术转移转化等功能。本项目主要进行固态电解质的生产，项目已于2025年7月11日经玉溪市高新技术产业开发区管理委员会备案，同意项目建设，项目与园区产业发展规划及定位不冲突。</w:t>
            </w:r>
          </w:p>
        </w:tc>
        <w:tc>
          <w:tcPr>
            <w:tcW w:w="350" w:type="pct"/>
            <w:vAlign w:val="center"/>
          </w:tcPr>
          <w:p w14:paraId="5B5D9A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A72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18D6C1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61" w:type="pct"/>
            <w:vMerge w:val="continue"/>
            <w:vAlign w:val="center"/>
          </w:tcPr>
          <w:p w14:paraId="01D3CFC6">
            <w:pPr>
              <w:pStyle w:val="28"/>
              <w:rPr>
                <w:color w:val="000000" w:themeColor="text1"/>
                <w14:textFill>
                  <w14:solidFill>
                    <w14:schemeClr w14:val="tx1"/>
                  </w14:solidFill>
                </w14:textFill>
              </w:rPr>
            </w:pPr>
          </w:p>
        </w:tc>
        <w:tc>
          <w:tcPr>
            <w:tcW w:w="403" w:type="pct"/>
            <w:vMerge w:val="continue"/>
            <w:vAlign w:val="center"/>
          </w:tcPr>
          <w:p w14:paraId="35D69D6C">
            <w:pPr>
              <w:pStyle w:val="28"/>
              <w:rPr>
                <w:color w:val="000000" w:themeColor="text1"/>
                <w14:textFill>
                  <w14:solidFill>
                    <w14:schemeClr w14:val="tx1"/>
                  </w14:solidFill>
                </w14:textFill>
              </w:rPr>
            </w:pPr>
          </w:p>
        </w:tc>
        <w:tc>
          <w:tcPr>
            <w:tcW w:w="1565" w:type="pct"/>
            <w:vAlign w:val="center"/>
          </w:tcPr>
          <w:p w14:paraId="0561FE73">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九龙片区、南片区、大营街地块、莲池地块、卧牛山地块、青龙山地块禁止高风险、高污染行业以及</w:t>
            </w:r>
          </w:p>
          <w:p w14:paraId="1B6B2D77">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《云南省城镇人口密集区危险化学品生产企业搬迁改造实施方案》中相关企业入驻，禁止布局排放有毒有害气体的项目。</w:t>
            </w:r>
          </w:p>
        </w:tc>
        <w:tc>
          <w:tcPr>
            <w:tcW w:w="1883" w:type="pct"/>
            <w:vAlign w:val="center"/>
          </w:tcPr>
          <w:p w14:paraId="79BBDD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本项目位于九龙片区，属于新建项目，不属于两高项目，企业不属于《云南省城镇人口密集区危险化学品生产企业搬迁改造实施方案》中相关企业。</w:t>
            </w:r>
          </w:p>
        </w:tc>
        <w:tc>
          <w:tcPr>
            <w:tcW w:w="350" w:type="pct"/>
            <w:vAlign w:val="center"/>
          </w:tcPr>
          <w:p w14:paraId="3736554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13A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549351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61" w:type="pct"/>
            <w:vMerge w:val="continue"/>
            <w:vAlign w:val="center"/>
          </w:tcPr>
          <w:p w14:paraId="32A139CD">
            <w:pPr>
              <w:pStyle w:val="28"/>
              <w:rPr>
                <w:color w:val="000000" w:themeColor="text1"/>
                <w14:textFill>
                  <w14:solidFill>
                    <w14:schemeClr w14:val="tx1"/>
                  </w14:solidFill>
                </w14:textFill>
              </w:rPr>
            </w:pPr>
          </w:p>
        </w:tc>
        <w:tc>
          <w:tcPr>
            <w:tcW w:w="403" w:type="pct"/>
            <w:vMerge w:val="restart"/>
            <w:vAlign w:val="center"/>
          </w:tcPr>
          <w:p w14:paraId="6E334BB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1565" w:type="pct"/>
            <w:vAlign w:val="center"/>
          </w:tcPr>
          <w:p w14:paraId="40ED321B">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入驻企业采用低（无）</w:t>
            </w:r>
            <w:r>
              <w:rPr>
                <w:rFonts w:cs="Times New Roman"/>
                <w:color w:val="000000" w:themeColor="text1"/>
                <w:szCs w:val="21"/>
                <w:shd w:val="clear" w:color="auto" w:fill="FFFFFF"/>
                <w14:textFill>
                  <w14:solidFill>
                    <w14:schemeClr w14:val="tx1"/>
                  </w14:solidFill>
                </w14:textFill>
              </w:rPr>
              <w:t>VOCs 含量、低反应活性的原辅材料，加快对芳香烃、含卤素有机化合物的绿色替代，全面加强无组织排放控制，新建治污设施或对现有治污设施实施改造，有效降低VOCs的排放</w:t>
            </w:r>
            <w:r>
              <w:rPr>
                <w:rFonts w:hint="eastAsia" w:ascii="宋体" w:hAnsi="宋体" w:cs="宋体"/>
                <w:color w:val="000000" w:themeColor="text1"/>
                <w:szCs w:val="21"/>
                <w:shd w:val="clear" w:color="auto" w:fill="FFFFFF"/>
                <w14:textFill>
                  <w14:solidFill>
                    <w14:schemeClr w14:val="tx1"/>
                  </w14:solidFill>
                </w14:textFill>
              </w:rPr>
              <w:t>量。</w:t>
            </w:r>
          </w:p>
        </w:tc>
        <w:tc>
          <w:tcPr>
            <w:tcW w:w="1883" w:type="pct"/>
            <w:vAlign w:val="center"/>
          </w:tcPr>
          <w:p w14:paraId="66A802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本项目原辅材料不涉及芳香烃、含卤素有机化合物。本项目采用密闭式生产装置，废气经收集后呈有组织排放，本项目废气采用碱喷淋+除雾+活性炭吸附处理，处理措施可行，治理效果显著。</w:t>
            </w:r>
          </w:p>
        </w:tc>
        <w:tc>
          <w:tcPr>
            <w:tcW w:w="350" w:type="pct"/>
            <w:vAlign w:val="center"/>
          </w:tcPr>
          <w:p w14:paraId="566D7B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746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067175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61" w:type="pct"/>
            <w:vMerge w:val="continue"/>
            <w:vAlign w:val="center"/>
          </w:tcPr>
          <w:p w14:paraId="49BF1F8A">
            <w:pPr>
              <w:pStyle w:val="28"/>
              <w:rPr>
                <w:color w:val="000000" w:themeColor="text1"/>
                <w14:textFill>
                  <w14:solidFill>
                    <w14:schemeClr w14:val="tx1"/>
                  </w14:solidFill>
                </w14:textFill>
              </w:rPr>
            </w:pPr>
          </w:p>
        </w:tc>
        <w:tc>
          <w:tcPr>
            <w:tcW w:w="403" w:type="pct"/>
            <w:vMerge w:val="continue"/>
            <w:vAlign w:val="center"/>
          </w:tcPr>
          <w:p w14:paraId="4429D457">
            <w:pPr>
              <w:pStyle w:val="28"/>
              <w:rPr>
                <w:color w:val="000000" w:themeColor="text1"/>
                <w14:textFill>
                  <w14:solidFill>
                    <w14:schemeClr w14:val="tx1"/>
                  </w14:solidFill>
                </w14:textFill>
              </w:rPr>
            </w:pPr>
          </w:p>
        </w:tc>
        <w:tc>
          <w:tcPr>
            <w:tcW w:w="1565" w:type="pct"/>
            <w:vAlign w:val="center"/>
          </w:tcPr>
          <w:p w14:paraId="13C3D3F7">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钢铁企业按照超低排放要求，配套建设高效脱硫、脱硝、除尘设施，落实物料储存、输送及生产工艺过程无组织排放管控措施，大宗物料和产品采取清洁方式运输，加强企业污染排放监测监控。</w:t>
            </w:r>
          </w:p>
        </w:tc>
        <w:tc>
          <w:tcPr>
            <w:tcW w:w="1883" w:type="pct"/>
            <w:vAlign w:val="center"/>
          </w:tcPr>
          <w:p w14:paraId="5AA773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本项目不属于钢铁企业，本项目配套建设合理可行的废气处理措施，物料输送采用封闭输送，原料、产品运输采用清洁方式。</w:t>
            </w:r>
          </w:p>
        </w:tc>
        <w:tc>
          <w:tcPr>
            <w:tcW w:w="350" w:type="pct"/>
            <w:vAlign w:val="center"/>
          </w:tcPr>
          <w:p w14:paraId="650EE3CF">
            <w:pPr>
              <w:pStyle w:val="28"/>
              <w:rPr>
                <w:color w:val="000000" w:themeColor="text1"/>
                <w14:textFill>
                  <w14:solidFill>
                    <w14:schemeClr w14:val="tx1"/>
                  </w14:solidFill>
                </w14:textFill>
              </w:rPr>
            </w:pPr>
          </w:p>
        </w:tc>
      </w:tr>
      <w:tr w14:paraId="0638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314864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61" w:type="pct"/>
            <w:vMerge w:val="continue"/>
            <w:vAlign w:val="center"/>
          </w:tcPr>
          <w:p w14:paraId="4150FDDF">
            <w:pPr>
              <w:pStyle w:val="28"/>
              <w:rPr>
                <w:color w:val="000000" w:themeColor="text1"/>
                <w14:textFill>
                  <w14:solidFill>
                    <w14:schemeClr w14:val="tx1"/>
                  </w14:solidFill>
                </w14:textFill>
              </w:rPr>
            </w:pPr>
          </w:p>
        </w:tc>
        <w:tc>
          <w:tcPr>
            <w:tcW w:w="403" w:type="pct"/>
            <w:vMerge w:val="continue"/>
            <w:vAlign w:val="center"/>
          </w:tcPr>
          <w:p w14:paraId="5B281A38">
            <w:pPr>
              <w:pStyle w:val="28"/>
              <w:rPr>
                <w:color w:val="000000" w:themeColor="text1"/>
                <w14:textFill>
                  <w14:solidFill>
                    <w14:schemeClr w14:val="tx1"/>
                  </w14:solidFill>
                </w14:textFill>
              </w:rPr>
            </w:pPr>
          </w:p>
        </w:tc>
        <w:tc>
          <w:tcPr>
            <w:tcW w:w="1565" w:type="pct"/>
            <w:vAlign w:val="center"/>
          </w:tcPr>
          <w:p w14:paraId="2C82B7C1">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南片区、九龙片区、大营街地块、观音山地块、莲池地块等区域污水进入污水处理厂。</w:t>
            </w:r>
          </w:p>
        </w:tc>
        <w:tc>
          <w:tcPr>
            <w:tcW w:w="1883" w:type="pct"/>
            <w:vAlign w:val="center"/>
          </w:tcPr>
          <w:p w14:paraId="2DD01FB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九龙片区，本项目生活污水依托云南捷辰包装材料有限公司已建成的化粪池处理后通过“印刷业务改扩建项目”已批复的排放口（DW001）进行排放。本项目生产废水排放口设置于废水处理车间外，生产废水通过车间排放口（DW002）排入云南捷辰包装材料有限公司已建成的污水管网，通过已批复的排放口（DW001）接入九纬路市政污水管网，最终进入玉溪市污水处理厂。本项目已于建设单位已于2026年1月22日取得了《城镇污水排入排水管网许可证》</w:t>
            </w:r>
          </w:p>
        </w:tc>
        <w:tc>
          <w:tcPr>
            <w:tcW w:w="350" w:type="pct"/>
            <w:vAlign w:val="center"/>
          </w:tcPr>
          <w:p w14:paraId="245C5B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7A4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2EBE06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61" w:type="pct"/>
            <w:vMerge w:val="continue"/>
            <w:vAlign w:val="center"/>
          </w:tcPr>
          <w:p w14:paraId="4B05FA11">
            <w:pPr>
              <w:pStyle w:val="28"/>
              <w:rPr>
                <w:color w:val="000000" w:themeColor="text1"/>
                <w14:textFill>
                  <w14:solidFill>
                    <w14:schemeClr w14:val="tx1"/>
                  </w14:solidFill>
                </w14:textFill>
              </w:rPr>
            </w:pPr>
          </w:p>
        </w:tc>
        <w:tc>
          <w:tcPr>
            <w:tcW w:w="403" w:type="pct"/>
            <w:vMerge w:val="restart"/>
            <w:vAlign w:val="center"/>
          </w:tcPr>
          <w:p w14:paraId="3F573C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1565" w:type="pct"/>
            <w:vAlign w:val="center"/>
          </w:tcPr>
          <w:p w14:paraId="10B65B7F">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岩溶发育区域，应严格落实分区防渗要求，不宜布置日常储量构成重大危险源的使用危险化学品的项目。区域设置地下水监测井定期监测，防止事故情况下污染区域地下水。</w:t>
            </w:r>
          </w:p>
        </w:tc>
        <w:tc>
          <w:tcPr>
            <w:tcW w:w="1883" w:type="pct"/>
            <w:vAlign w:val="center"/>
          </w:tcPr>
          <w:p w14:paraId="3EE0E3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本项目原辅材料贮存量较少，</w:t>
            </w:r>
            <w:r>
              <w:rPr>
                <w:rFonts w:hint="eastAsia" w:ascii="宋体" w:hAnsi="宋体" w:cs="宋体"/>
                <w:color w:val="000000" w:themeColor="text1"/>
                <w:szCs w:val="21"/>
                <w:shd w:val="clear" w:color="auto" w:fill="FFFFFF"/>
                <w14:textFill>
                  <w14:solidFill>
                    <w14:schemeClr w14:val="tx1"/>
                  </w14:solidFill>
                </w14:textFill>
              </w:rPr>
              <w:t>危险化学品贮存；小于临界量，</w:t>
            </w:r>
            <w:r>
              <w:rPr>
                <w:rFonts w:hint="eastAsia"/>
                <w:color w:val="000000" w:themeColor="text1"/>
                <w14:textFill>
                  <w14:solidFill>
                    <w14:schemeClr w14:val="tx1"/>
                  </w14:solidFill>
                </w14:textFill>
              </w:rPr>
              <w:t>不构成重大危险源，本项目废水达标排放。固废合理处置，环境风险可控，项目运营对区域地下及土壤影响较小。</w:t>
            </w:r>
          </w:p>
        </w:tc>
        <w:tc>
          <w:tcPr>
            <w:tcW w:w="350" w:type="pct"/>
            <w:vAlign w:val="center"/>
          </w:tcPr>
          <w:p w14:paraId="5486EF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E99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335" w:type="pct"/>
            <w:vAlign w:val="center"/>
          </w:tcPr>
          <w:p w14:paraId="54872C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61" w:type="pct"/>
            <w:vMerge w:val="continue"/>
            <w:vAlign w:val="center"/>
          </w:tcPr>
          <w:p w14:paraId="60B709BF">
            <w:pPr>
              <w:pStyle w:val="28"/>
              <w:rPr>
                <w:color w:val="000000" w:themeColor="text1"/>
                <w14:textFill>
                  <w14:solidFill>
                    <w14:schemeClr w14:val="tx1"/>
                  </w14:solidFill>
                </w14:textFill>
              </w:rPr>
            </w:pPr>
          </w:p>
        </w:tc>
        <w:tc>
          <w:tcPr>
            <w:tcW w:w="403" w:type="pct"/>
            <w:vMerge w:val="continue"/>
            <w:vAlign w:val="center"/>
          </w:tcPr>
          <w:p w14:paraId="68FDDC32">
            <w:pPr>
              <w:pStyle w:val="28"/>
              <w:rPr>
                <w:color w:val="000000" w:themeColor="text1"/>
                <w14:textFill>
                  <w14:solidFill>
                    <w14:schemeClr w14:val="tx1"/>
                  </w14:solidFill>
                </w14:textFill>
              </w:rPr>
            </w:pPr>
          </w:p>
        </w:tc>
        <w:tc>
          <w:tcPr>
            <w:tcW w:w="1565" w:type="pct"/>
            <w:vAlign w:val="center"/>
          </w:tcPr>
          <w:p w14:paraId="6DF55502">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居民分布密集区和学校周边区域不宜布置日常储量构成重大危险源的使用危险化学品的项目。</w:t>
            </w:r>
          </w:p>
        </w:tc>
        <w:tc>
          <w:tcPr>
            <w:tcW w:w="1883" w:type="pct"/>
            <w:vAlign w:val="center"/>
          </w:tcPr>
          <w:p w14:paraId="77CB2EAD">
            <w:pPr>
              <w:pStyle w:val="28"/>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不位于居民分布密集区，周边500m范围内有大气环境保护目标，距离项目最近的村庄为东北面约180m处的大莲池村，南莲幼儿园位于本项目东南约440m，本项目不涉及重大危险源。</w:t>
            </w:r>
          </w:p>
        </w:tc>
        <w:tc>
          <w:tcPr>
            <w:tcW w:w="350" w:type="pct"/>
            <w:vAlign w:val="center"/>
          </w:tcPr>
          <w:p w14:paraId="48CA93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683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7B757D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61" w:type="pct"/>
            <w:vMerge w:val="continue"/>
            <w:vAlign w:val="center"/>
          </w:tcPr>
          <w:p w14:paraId="654AB3C9">
            <w:pPr>
              <w:pStyle w:val="28"/>
              <w:rPr>
                <w:color w:val="000000" w:themeColor="text1"/>
                <w14:textFill>
                  <w14:solidFill>
                    <w14:schemeClr w14:val="tx1"/>
                  </w14:solidFill>
                </w14:textFill>
              </w:rPr>
            </w:pPr>
          </w:p>
        </w:tc>
        <w:tc>
          <w:tcPr>
            <w:tcW w:w="403" w:type="pct"/>
            <w:vMerge w:val="continue"/>
            <w:vAlign w:val="center"/>
          </w:tcPr>
          <w:p w14:paraId="7DE0070C">
            <w:pPr>
              <w:pStyle w:val="28"/>
              <w:rPr>
                <w:color w:val="000000" w:themeColor="text1"/>
                <w14:textFill>
                  <w14:solidFill>
                    <w14:schemeClr w14:val="tx1"/>
                  </w14:solidFill>
                </w14:textFill>
              </w:rPr>
            </w:pPr>
          </w:p>
        </w:tc>
        <w:tc>
          <w:tcPr>
            <w:tcW w:w="1565" w:type="pct"/>
            <w:vAlign w:val="center"/>
          </w:tcPr>
          <w:p w14:paraId="167B602E">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及时完成重污染企业周边环境防护距离内居民的搬迁工作。</w:t>
            </w:r>
          </w:p>
        </w:tc>
        <w:tc>
          <w:tcPr>
            <w:tcW w:w="1883" w:type="pct"/>
            <w:vAlign w:val="center"/>
          </w:tcPr>
          <w:p w14:paraId="162592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350" w:type="pct"/>
            <w:vAlign w:val="center"/>
          </w:tcPr>
          <w:p w14:paraId="3A68EE1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AA0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561B1B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61" w:type="pct"/>
            <w:vMerge w:val="continue"/>
            <w:vAlign w:val="center"/>
          </w:tcPr>
          <w:p w14:paraId="68EB824B">
            <w:pPr>
              <w:pStyle w:val="28"/>
              <w:rPr>
                <w:color w:val="000000" w:themeColor="text1"/>
                <w14:textFill>
                  <w14:solidFill>
                    <w14:schemeClr w14:val="tx1"/>
                  </w14:solidFill>
                </w14:textFill>
              </w:rPr>
            </w:pPr>
          </w:p>
        </w:tc>
        <w:tc>
          <w:tcPr>
            <w:tcW w:w="403" w:type="pct"/>
            <w:vMerge w:val="continue"/>
            <w:vAlign w:val="center"/>
          </w:tcPr>
          <w:p w14:paraId="2DF26CE3">
            <w:pPr>
              <w:pStyle w:val="28"/>
              <w:rPr>
                <w:color w:val="000000" w:themeColor="text1"/>
                <w14:textFill>
                  <w14:solidFill>
                    <w14:schemeClr w14:val="tx1"/>
                  </w14:solidFill>
                </w14:textFill>
              </w:rPr>
            </w:pPr>
          </w:p>
        </w:tc>
        <w:tc>
          <w:tcPr>
            <w:tcW w:w="1565" w:type="pct"/>
            <w:vAlign w:val="center"/>
          </w:tcPr>
          <w:p w14:paraId="4847FAAF">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制定突发环境事件应急预案，完善风险管理机制，加强风险控制防范。建立区域环境监测制度，加强规划实施的跟踪监测与管理。</w:t>
            </w:r>
          </w:p>
        </w:tc>
        <w:tc>
          <w:tcPr>
            <w:tcW w:w="1883" w:type="pct"/>
            <w:vAlign w:val="center"/>
          </w:tcPr>
          <w:p w14:paraId="0C68EA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项目投产后，根据相关要求编制环境风险应急预案，并落实相关风险防范措施。</w:t>
            </w:r>
          </w:p>
        </w:tc>
        <w:tc>
          <w:tcPr>
            <w:tcW w:w="350" w:type="pct"/>
            <w:vAlign w:val="center"/>
          </w:tcPr>
          <w:p w14:paraId="2FFC3C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D91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35" w:type="pct"/>
            <w:vAlign w:val="center"/>
          </w:tcPr>
          <w:p w14:paraId="796424A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61" w:type="pct"/>
            <w:vMerge w:val="continue"/>
            <w:vAlign w:val="center"/>
          </w:tcPr>
          <w:p w14:paraId="11DF4CC7">
            <w:pPr>
              <w:pStyle w:val="28"/>
              <w:rPr>
                <w:color w:val="000000" w:themeColor="text1"/>
                <w14:textFill>
                  <w14:solidFill>
                    <w14:schemeClr w14:val="tx1"/>
                  </w14:solidFill>
                </w14:textFill>
              </w:rPr>
            </w:pPr>
          </w:p>
        </w:tc>
        <w:tc>
          <w:tcPr>
            <w:tcW w:w="403" w:type="pct"/>
            <w:vAlign w:val="center"/>
          </w:tcPr>
          <w:p w14:paraId="3E9118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1565" w:type="pct"/>
            <w:vAlign w:val="center"/>
          </w:tcPr>
          <w:p w14:paraId="5F6AA404">
            <w:pPr>
              <w:pStyle w:val="28"/>
              <w:rPr>
                <w:rFonts w:ascii="宋体" w:hAnsi="宋体" w:cs="宋体"/>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园</w:t>
            </w:r>
            <w:r>
              <w:rPr>
                <w:rFonts w:cs="Times New Roman"/>
                <w:color w:val="000000" w:themeColor="text1"/>
                <w:szCs w:val="21"/>
                <w:shd w:val="clear" w:color="auto" w:fill="FFFFFF"/>
                <w14:textFill>
                  <w14:solidFill>
                    <w14:schemeClr w14:val="tx1"/>
                  </w14:solidFill>
                </w14:textFill>
              </w:rPr>
              <w:t>区工业废水集中处理率不低于90%，再生水利用率达到30%，工业用水重复率不低于80%。</w:t>
            </w:r>
          </w:p>
        </w:tc>
        <w:tc>
          <w:tcPr>
            <w:tcW w:w="1883" w:type="pct"/>
            <w:vAlign w:val="center"/>
          </w:tcPr>
          <w:p w14:paraId="56AF01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本项目喷淋水循环使用，设备冷却水循环使用。</w:t>
            </w:r>
          </w:p>
        </w:tc>
        <w:tc>
          <w:tcPr>
            <w:tcW w:w="350" w:type="pct"/>
            <w:vAlign w:val="center"/>
          </w:tcPr>
          <w:p w14:paraId="12E7B1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3B530630">
      <w:pPr>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根据上表分析，本项目符合玉溪市生态环境分区管控动态更新调整方案（2023 年）的要求。</w:t>
      </w:r>
    </w:p>
    <w:p w14:paraId="7B212F3C">
      <w:pPr>
        <w:pStyle w:val="3"/>
        <w:rPr>
          <w:color w:val="000000" w:themeColor="text1"/>
          <w14:textFill>
            <w14:solidFill>
              <w14:schemeClr w14:val="tx1"/>
            </w14:solidFill>
          </w14:textFill>
        </w:rPr>
      </w:pPr>
      <w:bookmarkStart w:id="157" w:name="_Toc14014"/>
      <w:r>
        <w:rPr>
          <w:rFonts w:hint="eastAsia"/>
          <w:color w:val="000000" w:themeColor="text1"/>
          <w14:textFill>
            <w14:solidFill>
              <w14:schemeClr w14:val="tx1"/>
            </w14:solidFill>
          </w14:textFill>
        </w:rPr>
        <w:t>9.3与《云南省长江经济带发展负面清单指南实施细则（试行）》符合性分析</w:t>
      </w:r>
      <w:bookmarkEnd w:id="157"/>
    </w:p>
    <w:p w14:paraId="431DFBCB">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《云南省长江经济带发展负面清单指南实施细则（试行）》主要对各类功能区、各类保护区、工业布局等划定发展负面清单。</w:t>
      </w:r>
      <w:r>
        <w:rPr>
          <w:rFonts w:hint="eastAsia" w:cs="Times New Roman"/>
          <w:color w:val="000000" w:themeColor="text1"/>
          <w14:textFill>
            <w14:solidFill>
              <w14:schemeClr w14:val="tx1"/>
            </w14:solidFill>
          </w14:textFill>
        </w:rPr>
        <w:t>项目与该负面清单比对分析如下表9.3-1：</w:t>
      </w:r>
    </w:p>
    <w:p w14:paraId="70518345">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表9.3-1  与《负面清单指南实施细则（试行）》符合性分析对照表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5631"/>
        <w:gridCol w:w="1940"/>
        <w:gridCol w:w="493"/>
      </w:tblGrid>
      <w:tr w14:paraId="76AD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0225D6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04" w:type="pct"/>
            <w:shd w:val="clear" w:color="auto" w:fill="auto"/>
            <w:vAlign w:val="center"/>
          </w:tcPr>
          <w:p w14:paraId="00AEE7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要求</w:t>
            </w:r>
          </w:p>
        </w:tc>
        <w:tc>
          <w:tcPr>
            <w:tcW w:w="1138" w:type="pct"/>
            <w:shd w:val="clear" w:color="auto" w:fill="auto"/>
            <w:vAlign w:val="center"/>
          </w:tcPr>
          <w:p w14:paraId="50EEDA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88" w:type="pct"/>
            <w:shd w:val="clear" w:color="auto" w:fill="auto"/>
            <w:vAlign w:val="center"/>
          </w:tcPr>
          <w:p w14:paraId="762EA64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1CF2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6B6857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一、各类功能区</w:t>
            </w:r>
          </w:p>
        </w:tc>
      </w:tr>
      <w:tr w14:paraId="50B2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2C53F2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04" w:type="pct"/>
            <w:shd w:val="clear" w:color="auto" w:fill="auto"/>
            <w:vAlign w:val="center"/>
          </w:tcPr>
          <w:p w14:paraId="2B7D7AF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禁止一切不符合主体功能定位的投资建设项目，严禁任意改变用途，因国家重大战略资源勘查需要，在不影响主体功能定位的前提下，经依法批准后予以安排勘查项目。</w:t>
            </w:r>
          </w:p>
        </w:tc>
        <w:tc>
          <w:tcPr>
            <w:tcW w:w="1138" w:type="pct"/>
            <w:shd w:val="clear" w:color="auto" w:fill="auto"/>
            <w:vAlign w:val="center"/>
          </w:tcPr>
          <w:p w14:paraId="07E323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本项目不在《全国主体功能区规划》禁止开发区内，本项目已取得项目投资备案证。</w:t>
            </w:r>
          </w:p>
        </w:tc>
        <w:tc>
          <w:tcPr>
            <w:tcW w:w="288" w:type="pct"/>
            <w:shd w:val="clear" w:color="auto" w:fill="auto"/>
            <w:vAlign w:val="center"/>
          </w:tcPr>
          <w:p w14:paraId="2FD31AA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49C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71D2789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04" w:type="pct"/>
            <w:shd w:val="clear" w:color="auto" w:fill="auto"/>
            <w:vAlign w:val="center"/>
          </w:tcPr>
          <w:p w14:paraId="326999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38" w:type="pct"/>
            <w:shd w:val="clear" w:color="auto" w:fill="auto"/>
            <w:vAlign w:val="center"/>
          </w:tcPr>
          <w:p w14:paraId="1823E06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336494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DD9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6453C4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04" w:type="pct"/>
            <w:shd w:val="clear" w:color="auto" w:fill="auto"/>
            <w:vAlign w:val="center"/>
          </w:tcPr>
          <w:p w14:paraId="7C9AB1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138" w:type="pct"/>
            <w:vMerge w:val="restart"/>
            <w:shd w:val="clear" w:color="auto" w:fill="auto"/>
            <w:vAlign w:val="center"/>
          </w:tcPr>
          <w:p w14:paraId="559153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项目租用现有厂房进行建设，不新增占地，不涉及占用生态保护红线，满足生态保护红线要求。</w:t>
            </w:r>
          </w:p>
        </w:tc>
        <w:tc>
          <w:tcPr>
            <w:tcW w:w="288" w:type="pct"/>
            <w:vMerge w:val="restart"/>
            <w:shd w:val="clear" w:color="auto" w:fill="auto"/>
            <w:vAlign w:val="center"/>
          </w:tcPr>
          <w:p w14:paraId="4342343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170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0657F8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04" w:type="pct"/>
            <w:shd w:val="clear" w:color="auto" w:fill="auto"/>
            <w:vAlign w:val="center"/>
          </w:tcPr>
          <w:p w14:paraId="77DC75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138" w:type="pct"/>
            <w:vMerge w:val="continue"/>
            <w:shd w:val="clear" w:color="auto" w:fill="auto"/>
            <w:vAlign w:val="center"/>
          </w:tcPr>
          <w:p w14:paraId="5F8E5143">
            <w:pPr>
              <w:pStyle w:val="28"/>
              <w:rPr>
                <w:color w:val="000000" w:themeColor="text1"/>
                <w14:textFill>
                  <w14:solidFill>
                    <w14:schemeClr w14:val="tx1"/>
                  </w14:solidFill>
                </w14:textFill>
              </w:rPr>
            </w:pPr>
          </w:p>
        </w:tc>
        <w:tc>
          <w:tcPr>
            <w:tcW w:w="288" w:type="pct"/>
            <w:vMerge w:val="continue"/>
            <w:shd w:val="clear" w:color="auto" w:fill="auto"/>
            <w:vAlign w:val="center"/>
          </w:tcPr>
          <w:p w14:paraId="71D05C44">
            <w:pPr>
              <w:pStyle w:val="28"/>
              <w:rPr>
                <w:color w:val="000000" w:themeColor="text1"/>
                <w14:textFill>
                  <w14:solidFill>
                    <w14:schemeClr w14:val="tx1"/>
                  </w14:solidFill>
                </w14:textFill>
              </w:rPr>
            </w:pPr>
          </w:p>
        </w:tc>
      </w:tr>
      <w:tr w14:paraId="1547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365A77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04" w:type="pct"/>
            <w:shd w:val="clear" w:color="auto" w:fill="auto"/>
            <w:vAlign w:val="center"/>
          </w:tcPr>
          <w:p w14:paraId="47B8DF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138" w:type="pct"/>
            <w:vMerge w:val="continue"/>
            <w:shd w:val="clear" w:color="auto" w:fill="auto"/>
            <w:vAlign w:val="center"/>
          </w:tcPr>
          <w:p w14:paraId="1A596DA6">
            <w:pPr>
              <w:pStyle w:val="28"/>
              <w:rPr>
                <w:color w:val="000000" w:themeColor="text1"/>
                <w14:textFill>
                  <w14:solidFill>
                    <w14:schemeClr w14:val="tx1"/>
                  </w14:solidFill>
                </w14:textFill>
              </w:rPr>
            </w:pPr>
          </w:p>
        </w:tc>
        <w:tc>
          <w:tcPr>
            <w:tcW w:w="288" w:type="pct"/>
            <w:vMerge w:val="continue"/>
            <w:shd w:val="clear" w:color="auto" w:fill="auto"/>
            <w:vAlign w:val="center"/>
          </w:tcPr>
          <w:p w14:paraId="73D03326">
            <w:pPr>
              <w:pStyle w:val="28"/>
              <w:rPr>
                <w:color w:val="000000" w:themeColor="text1"/>
                <w14:textFill>
                  <w14:solidFill>
                    <w14:schemeClr w14:val="tx1"/>
                  </w14:solidFill>
                </w14:textFill>
              </w:rPr>
            </w:pPr>
          </w:p>
        </w:tc>
      </w:tr>
      <w:tr w14:paraId="27F6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63F086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304" w:type="pct"/>
            <w:shd w:val="clear" w:color="auto" w:fill="auto"/>
            <w:vAlign w:val="center"/>
          </w:tcPr>
          <w:p w14:paraId="1D6BDC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禁止在金沙江、长江一级支流建设除党中央、国务院、国家投资主管部门、省级有关部门批复同意以外的过江基础设施项目。</w:t>
            </w:r>
          </w:p>
        </w:tc>
        <w:tc>
          <w:tcPr>
            <w:tcW w:w="1138" w:type="pct"/>
            <w:shd w:val="clear" w:color="auto" w:fill="auto"/>
            <w:vAlign w:val="center"/>
          </w:tcPr>
          <w:p w14:paraId="4DFB42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项目区域不涉及金沙江、长江一级支流的汇水区。</w:t>
            </w:r>
          </w:p>
        </w:tc>
        <w:tc>
          <w:tcPr>
            <w:tcW w:w="288" w:type="pct"/>
            <w:shd w:val="clear" w:color="auto" w:fill="auto"/>
            <w:vAlign w:val="center"/>
          </w:tcPr>
          <w:p w14:paraId="3B28D1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534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38703F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二、各类保护区</w:t>
            </w:r>
          </w:p>
        </w:tc>
      </w:tr>
      <w:tr w14:paraId="692C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12FD83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304" w:type="pct"/>
            <w:shd w:val="clear" w:color="auto" w:fill="auto"/>
            <w:vAlign w:val="center"/>
          </w:tcPr>
          <w:p w14:paraId="22B0F4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138" w:type="pct"/>
            <w:shd w:val="clear" w:color="auto" w:fill="auto"/>
            <w:vAlign w:val="center"/>
          </w:tcPr>
          <w:p w14:paraId="7994B0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本项目不涉及生态保护红线，未占用自然保护区、饮用水水源保护区、风景名胜区等。</w:t>
            </w:r>
          </w:p>
        </w:tc>
        <w:tc>
          <w:tcPr>
            <w:tcW w:w="288" w:type="pct"/>
            <w:shd w:val="clear" w:color="auto" w:fill="auto"/>
            <w:vAlign w:val="center"/>
          </w:tcPr>
          <w:p w14:paraId="584BA6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249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6935F3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304" w:type="pct"/>
            <w:shd w:val="clear" w:color="auto" w:fill="auto"/>
            <w:vAlign w:val="center"/>
          </w:tcPr>
          <w:p w14:paraId="55D35E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tc>
        <w:tc>
          <w:tcPr>
            <w:tcW w:w="1138" w:type="pct"/>
            <w:shd w:val="clear" w:color="auto" w:fill="auto"/>
            <w:vAlign w:val="center"/>
          </w:tcPr>
          <w:p w14:paraId="28DFA5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26CFF07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465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2B19B66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304" w:type="pct"/>
            <w:shd w:val="clear" w:color="auto" w:fill="auto"/>
            <w:vAlign w:val="center"/>
          </w:tcPr>
          <w:p w14:paraId="1476EC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138" w:type="pct"/>
            <w:shd w:val="clear" w:color="auto" w:fill="auto"/>
            <w:vAlign w:val="center"/>
          </w:tcPr>
          <w:p w14:paraId="315414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01B193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93B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1C969D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304" w:type="pct"/>
            <w:shd w:val="clear" w:color="auto" w:fill="auto"/>
            <w:vAlign w:val="center"/>
          </w:tcPr>
          <w:p w14:paraId="59143A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禁止截断湿地水源、挖沙、采矿、引入外来物种；禁止擅自放牧、捕捞、取土、取水、排污、放生；禁止其他破坏湿地及其生态功能的活动。</w:t>
            </w:r>
          </w:p>
        </w:tc>
        <w:tc>
          <w:tcPr>
            <w:tcW w:w="1138" w:type="pct"/>
            <w:shd w:val="clear" w:color="auto" w:fill="auto"/>
            <w:vAlign w:val="center"/>
          </w:tcPr>
          <w:p w14:paraId="781A78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2A8E89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CD9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3C073D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三、工业布局</w:t>
            </w:r>
          </w:p>
        </w:tc>
      </w:tr>
      <w:tr w14:paraId="1EB0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4B0914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304" w:type="pct"/>
            <w:shd w:val="clear" w:color="auto" w:fill="auto"/>
            <w:vAlign w:val="center"/>
          </w:tcPr>
          <w:p w14:paraId="36540A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138" w:type="pct"/>
            <w:shd w:val="clear" w:color="auto" w:fill="auto"/>
            <w:vAlign w:val="center"/>
          </w:tcPr>
          <w:p w14:paraId="511907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项目区域地表水系属于珠江流域，西江水系，不在金沙江、长江一级支流的汇水区内。</w:t>
            </w:r>
          </w:p>
        </w:tc>
        <w:tc>
          <w:tcPr>
            <w:tcW w:w="288" w:type="pct"/>
            <w:shd w:val="clear" w:color="auto" w:fill="auto"/>
            <w:vAlign w:val="center"/>
          </w:tcPr>
          <w:p w14:paraId="483119A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970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0541ED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304" w:type="pct"/>
            <w:shd w:val="clear" w:color="auto" w:fill="auto"/>
            <w:vAlign w:val="center"/>
          </w:tcPr>
          <w:p w14:paraId="4D4ADE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禁止新建不符合非煤矿山转型升级有关准入标准的非煤矿山。禁止在金沙江岸线3公里、长江一级支流岸线1公里范围内新建、改建、扩建尾矿库。</w:t>
            </w:r>
          </w:p>
        </w:tc>
        <w:tc>
          <w:tcPr>
            <w:tcW w:w="1138" w:type="pct"/>
            <w:shd w:val="clear" w:color="auto" w:fill="auto"/>
            <w:vAlign w:val="center"/>
          </w:tcPr>
          <w:p w14:paraId="4C49A8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40E3AD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024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71844B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304" w:type="pct"/>
            <w:shd w:val="clear" w:color="auto" w:fill="auto"/>
            <w:vAlign w:val="center"/>
          </w:tcPr>
          <w:p w14:paraId="7B403E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禁止在合规园区外新建、扩建钢铁、石化、化工、焦化、建材、有色等高污染项目。禁止新增钢铁、水泥、平板玻璃等行业建设产能，确有必要建设的，应按规定实施产能等量或减量置换。</w:t>
            </w:r>
          </w:p>
        </w:tc>
        <w:tc>
          <w:tcPr>
            <w:tcW w:w="1138" w:type="pct"/>
            <w:shd w:val="clear" w:color="auto" w:fill="auto"/>
            <w:vAlign w:val="center"/>
          </w:tcPr>
          <w:p w14:paraId="6AAB0D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本项目不属于钢铁、石化、化工、焦化、建材、有色等高污染项目。</w:t>
            </w:r>
          </w:p>
        </w:tc>
        <w:tc>
          <w:tcPr>
            <w:tcW w:w="288" w:type="pct"/>
            <w:shd w:val="clear" w:color="auto" w:fill="auto"/>
            <w:vAlign w:val="center"/>
          </w:tcPr>
          <w:p w14:paraId="3F2316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D0A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4B137C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304" w:type="pct"/>
            <w:shd w:val="clear" w:color="auto" w:fill="auto"/>
            <w:vAlign w:val="center"/>
          </w:tcPr>
          <w:p w14:paraId="459349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禁止新建、扩建不符合国家石化、现代煤化工等产业布局规划的项目。</w:t>
            </w:r>
          </w:p>
        </w:tc>
        <w:tc>
          <w:tcPr>
            <w:tcW w:w="1138" w:type="pct"/>
            <w:shd w:val="clear" w:color="auto" w:fill="auto"/>
            <w:vAlign w:val="center"/>
          </w:tcPr>
          <w:p w14:paraId="3E6EAC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36E0E6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38F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41B52FF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304" w:type="pct"/>
            <w:shd w:val="clear" w:color="auto" w:fill="auto"/>
            <w:vAlign w:val="center"/>
          </w:tcPr>
          <w:p w14:paraId="5EFED7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138" w:type="pct"/>
            <w:shd w:val="clear" w:color="auto" w:fill="auto"/>
            <w:vAlign w:val="center"/>
          </w:tcPr>
          <w:p w14:paraId="7198546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7BEA38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C30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23D27C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304" w:type="pct"/>
            <w:shd w:val="clear" w:color="auto" w:fill="auto"/>
            <w:vAlign w:val="center"/>
          </w:tcPr>
          <w:p w14:paraId="5CF925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禁止建设高毒高残留以及对环境影响大的农药原药生产装置，严格控制尿素、磷铵、电石、焦炭、黄磷、烧碱、纯碱、聚氯乙烯等行业新增产能。</w:t>
            </w:r>
          </w:p>
        </w:tc>
        <w:tc>
          <w:tcPr>
            <w:tcW w:w="1138" w:type="pct"/>
            <w:shd w:val="clear" w:color="auto" w:fill="auto"/>
            <w:vAlign w:val="center"/>
          </w:tcPr>
          <w:p w14:paraId="5D2ABC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4B879A1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C60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14:paraId="4CA897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304" w:type="pct"/>
            <w:shd w:val="clear" w:color="auto" w:fill="auto"/>
            <w:vAlign w:val="center"/>
          </w:tcPr>
          <w:p w14:paraId="7AC0D4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138" w:type="pct"/>
            <w:shd w:val="clear" w:color="auto" w:fill="auto"/>
            <w:vAlign w:val="center"/>
          </w:tcPr>
          <w:p w14:paraId="52AD3A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288" w:type="pct"/>
            <w:shd w:val="clear" w:color="auto" w:fill="auto"/>
            <w:vAlign w:val="center"/>
          </w:tcPr>
          <w:p w14:paraId="5AA4B9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0D43D7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w:t>
      </w:r>
      <w:r>
        <w:rPr>
          <w:color w:val="000000" w:themeColor="text1"/>
          <w14:textFill>
            <w14:solidFill>
              <w14:schemeClr w14:val="tx1"/>
            </w14:solidFill>
          </w14:textFill>
        </w:rPr>
        <w:t>《云南省长江经济带发展负面清单指南实施细则（试行）》</w:t>
      </w:r>
      <w:r>
        <w:rPr>
          <w:rFonts w:hint="eastAsia"/>
          <w:color w:val="000000" w:themeColor="text1"/>
          <w14:textFill>
            <w14:solidFill>
              <w14:schemeClr w14:val="tx1"/>
            </w14:solidFill>
          </w14:textFill>
        </w:rPr>
        <w:t>中的相关要求。</w:t>
      </w:r>
    </w:p>
    <w:p w14:paraId="7EBA6886">
      <w:pPr>
        <w:pStyle w:val="3"/>
        <w:rPr>
          <w:color w:val="000000" w:themeColor="text1"/>
          <w14:textFill>
            <w14:solidFill>
              <w14:schemeClr w14:val="tx1"/>
            </w14:solidFill>
          </w14:textFill>
        </w:rPr>
      </w:pPr>
      <w:bookmarkStart w:id="158" w:name="_Toc30175"/>
      <w:r>
        <w:rPr>
          <w:rFonts w:hint="eastAsia"/>
          <w:color w:val="000000" w:themeColor="text1"/>
          <w14:textFill>
            <w14:solidFill>
              <w14:schemeClr w14:val="tx1"/>
            </w14:solidFill>
          </w14:textFill>
        </w:rPr>
        <w:t>9.4与《挥发性有机物（VOCs）污染防治技术政策》符合性分析</w:t>
      </w:r>
      <w:bookmarkEnd w:id="158"/>
    </w:p>
    <w:p w14:paraId="5048DE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本项目与《挥发性有机物（VOCs）污染防治技术政策》（公告2013年第31号）的符合性分析见表9.4-1。</w:t>
      </w:r>
    </w:p>
    <w:p w14:paraId="168AF90F">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表9.4-1 与挥发性有机物（VOCs）污染防治技术政策</w:t>
      </w:r>
      <w:r>
        <w:rPr>
          <w:color w:val="000000" w:themeColor="text1"/>
          <w14:textFill>
            <w14:solidFill>
              <w14:schemeClr w14:val="tx1"/>
            </w14:solidFill>
          </w14:textFill>
        </w:rPr>
        <w:t>的符合性分析</w:t>
      </w:r>
      <w:r>
        <w:rPr>
          <w:rFonts w:hint="eastAsia"/>
          <w:color w:val="000000" w:themeColor="text1"/>
          <w14:textFill>
            <w14:solidFill>
              <w14:schemeClr w14:val="tx1"/>
            </w14:solidFill>
          </w14:textFill>
        </w:rPr>
        <w:t>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90"/>
        <w:gridCol w:w="3676"/>
        <w:gridCol w:w="3330"/>
        <w:gridCol w:w="481"/>
      </w:tblGrid>
      <w:tr w14:paraId="16CC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C8184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502" w:type="pct"/>
            <w:gridSpan w:val="2"/>
            <w:vAlign w:val="center"/>
          </w:tcPr>
          <w:p w14:paraId="3FB2B0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政策要求</w:t>
            </w:r>
          </w:p>
        </w:tc>
        <w:tc>
          <w:tcPr>
            <w:tcW w:w="1953" w:type="pct"/>
            <w:vAlign w:val="center"/>
          </w:tcPr>
          <w:p w14:paraId="45213C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82" w:type="pct"/>
            <w:vAlign w:val="center"/>
          </w:tcPr>
          <w:p w14:paraId="2708C7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718D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AA989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46" w:type="pct"/>
            <w:vMerge w:val="restart"/>
            <w:vAlign w:val="center"/>
          </w:tcPr>
          <w:p w14:paraId="150E0F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源头和过程控制</w:t>
            </w:r>
          </w:p>
        </w:tc>
        <w:tc>
          <w:tcPr>
            <w:tcW w:w="2156" w:type="pct"/>
            <w:vAlign w:val="center"/>
          </w:tcPr>
          <w:p w14:paraId="577C67EB">
            <w:pPr>
              <w:pStyle w:val="28"/>
              <w:rPr>
                <w:color w:val="000000" w:themeColor="text1"/>
                <w14:textFill>
                  <w14:solidFill>
                    <w14:schemeClr w14:val="tx1"/>
                  </w14:solidFill>
                </w14:textFill>
              </w:rPr>
            </w:pPr>
            <w:r>
              <w:rPr>
                <w:color w:val="000000" w:themeColor="text1"/>
                <w14:textFill>
                  <w14:solidFill>
                    <w14:schemeClr w14:val="tx1"/>
                  </w14:solidFill>
                </w14:textFill>
              </w:rPr>
              <w:t>（六）在石油炼制与石油化工行业，鼓励采用先进的清洁生产技术，提高原油的转化和利用效率。对于设备与管线组件、工艺排气、废气燃烧塔（火炬）、废水处理等过程产生的含VOCs废气污染防治技术措施包括：</w:t>
            </w:r>
          </w:p>
          <w:p w14:paraId="5AAB76D0">
            <w:pPr>
              <w:pStyle w:val="28"/>
              <w:rPr>
                <w:color w:val="000000" w:themeColor="text1"/>
                <w14:textFill>
                  <w14:solidFill>
                    <w14:schemeClr w14:val="tx1"/>
                  </w14:solidFill>
                </w14:textFill>
              </w:rPr>
            </w:pPr>
            <w:r>
              <w:rPr>
                <w:color w:val="000000" w:themeColor="text1"/>
                <w14:textFill>
                  <w14:solidFill>
                    <w14:schemeClr w14:val="tx1"/>
                  </w14:solidFill>
                </w14:textFill>
              </w:rPr>
              <w:t>1.对泵、压缩机、阀门、法兰等易发生泄漏的设备与管线组件，制定泄漏检测与修复（LDAR）计划，定期检测、及时修复，防止或减少跑、冒、滴、漏现象；</w:t>
            </w:r>
          </w:p>
          <w:p w14:paraId="7EF9FE99">
            <w:pPr>
              <w:pStyle w:val="28"/>
              <w:rPr>
                <w:color w:val="000000" w:themeColor="text1"/>
                <w14:textFill>
                  <w14:solidFill>
                    <w14:schemeClr w14:val="tx1"/>
                  </w14:solidFill>
                </w14:textFill>
              </w:rPr>
            </w:pPr>
            <w:r>
              <w:rPr>
                <w:color w:val="000000" w:themeColor="text1"/>
                <w14:textFill>
                  <w14:solidFill>
                    <w14:schemeClr w14:val="tx1"/>
                  </w14:solidFill>
                </w14:textFill>
              </w:rPr>
              <w:t>2.对生产装置排放的含VOCs工艺排气宜优先回收利用，不能（或不能完全）回收利用的经处理后达标排放；应急情况下的泄放气可导入燃烧塔（火炬），经过充分燃烧后排放；</w:t>
            </w:r>
          </w:p>
          <w:p w14:paraId="57A92925">
            <w:pPr>
              <w:pStyle w:val="28"/>
              <w:rPr>
                <w:color w:val="000000" w:themeColor="text1"/>
                <w14:textFill>
                  <w14:solidFill>
                    <w14:schemeClr w14:val="tx1"/>
                  </w14:solidFill>
                </w14:textFill>
              </w:rPr>
            </w:pPr>
            <w:r>
              <w:rPr>
                <w:color w:val="000000" w:themeColor="text1"/>
                <w14:textFill>
                  <w14:solidFill>
                    <w14:schemeClr w14:val="tx1"/>
                  </w14:solidFill>
                </w14:textFill>
              </w:rPr>
              <w:t>3.废水收集和处理过程产生的含VOCs废气经收集处理后达标排放。</w:t>
            </w:r>
          </w:p>
        </w:tc>
        <w:tc>
          <w:tcPr>
            <w:tcW w:w="1953" w:type="pct"/>
            <w:vAlign w:val="center"/>
          </w:tcPr>
          <w:p w14:paraId="0F9C4A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有机溶剂使用，本环评要求建设单位对研磨机、离心机、干燥机等阀门、法兰等易发生泄漏的设备与管线组件定期检测、及时修复，防止或减少跑、冒、滴、漏现象。本项目研磨废气污染物为VOCs，通过管道收集后进入废气处理系统经碱喷淋+除雾+活性炭吸附处理后通过15m高的排气筒排放。根据源强核算结果，本项目废气达标排放。</w:t>
            </w:r>
          </w:p>
        </w:tc>
        <w:tc>
          <w:tcPr>
            <w:tcW w:w="282" w:type="pct"/>
            <w:vAlign w:val="center"/>
          </w:tcPr>
          <w:p w14:paraId="79D4BE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3F8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1024E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46" w:type="pct"/>
            <w:vMerge w:val="continue"/>
            <w:vAlign w:val="center"/>
          </w:tcPr>
          <w:p w14:paraId="60911CAF">
            <w:pPr>
              <w:pStyle w:val="28"/>
              <w:rPr>
                <w:color w:val="000000" w:themeColor="text1"/>
                <w14:textFill>
                  <w14:solidFill>
                    <w14:schemeClr w14:val="tx1"/>
                  </w14:solidFill>
                </w14:textFill>
              </w:rPr>
            </w:pPr>
          </w:p>
        </w:tc>
        <w:tc>
          <w:tcPr>
            <w:tcW w:w="2156" w:type="pct"/>
            <w:vAlign w:val="center"/>
          </w:tcPr>
          <w:p w14:paraId="3A065D9C">
            <w:pPr>
              <w:pStyle w:val="28"/>
              <w:rPr>
                <w:color w:val="000000" w:themeColor="text1"/>
                <w14:textFill>
                  <w14:solidFill>
                    <w14:schemeClr w14:val="tx1"/>
                  </w14:solidFill>
                </w14:textFill>
              </w:rPr>
            </w:pPr>
            <w:r>
              <w:rPr>
                <w:color w:val="000000" w:themeColor="text1"/>
                <w14:textFill>
                  <w14:solidFill>
                    <w14:schemeClr w14:val="tx1"/>
                  </w14:solidFill>
                </w14:textFill>
              </w:rPr>
              <w:t>在油类（燃油、溶剂）的储存、运输和销售过程中的VOCs污染防治技术措施包括：</w:t>
            </w:r>
          </w:p>
          <w:p w14:paraId="21420310">
            <w:pPr>
              <w:pStyle w:val="28"/>
              <w:rPr>
                <w:color w:val="000000" w:themeColor="text1"/>
                <w14:textFill>
                  <w14:solidFill>
                    <w14:schemeClr w14:val="tx1"/>
                  </w14:solidFill>
                </w14:textFill>
              </w:rPr>
            </w:pPr>
            <w:r>
              <w:rPr>
                <w:color w:val="000000" w:themeColor="text1"/>
                <w14:textFill>
                  <w14:solidFill>
                    <w14:schemeClr w14:val="tx1"/>
                  </w14:solidFill>
                </w14:textFill>
              </w:rPr>
              <w:t>　　1.储油库、加油站和油罐车宜配备相应的油气收集系统，储油库、加油站宜配备相应的油气回收系统；</w:t>
            </w:r>
          </w:p>
          <w:p w14:paraId="7C7C4B09">
            <w:pPr>
              <w:pStyle w:val="28"/>
              <w:rPr>
                <w:color w:val="000000" w:themeColor="text1"/>
                <w14:textFill>
                  <w14:solidFill>
                    <w14:schemeClr w14:val="tx1"/>
                  </w14:solidFill>
                </w14:textFill>
              </w:rPr>
            </w:pPr>
            <w:r>
              <w:rPr>
                <w:color w:val="000000" w:themeColor="text1"/>
                <w14:textFill>
                  <w14:solidFill>
                    <w14:schemeClr w14:val="tx1"/>
                  </w14:solidFill>
                </w14:textFill>
              </w:rPr>
              <w:t>　　2.油类（燃油、溶剂等）储罐宜采用高效密封的内（外）浮顶罐，当采用固定顶罐时，通过密闭排气系统将含VOCs气体输送至回收设备；</w:t>
            </w:r>
          </w:p>
          <w:p w14:paraId="47578A63">
            <w:pPr>
              <w:pStyle w:val="28"/>
              <w:rPr>
                <w:color w:val="000000" w:themeColor="text1"/>
                <w14:textFill>
                  <w14:solidFill>
                    <w14:schemeClr w14:val="tx1"/>
                  </w14:solidFill>
                </w14:textFill>
              </w:rPr>
            </w:pPr>
            <w:r>
              <w:rPr>
                <w:color w:val="000000" w:themeColor="text1"/>
                <w14:textFill>
                  <w14:solidFill>
                    <w14:schemeClr w14:val="tx1"/>
                  </w14:solidFill>
                </w14:textFill>
              </w:rPr>
              <w:t>　　3.油类（燃油、溶剂等）运载工具（汽车油罐车、铁路油槽车、油轮等）在装载过程中排放的VOCs密闭收集输送至回收设备，也可返回储罐或送入气体管网。</w:t>
            </w:r>
          </w:p>
        </w:tc>
        <w:tc>
          <w:tcPr>
            <w:tcW w:w="1953" w:type="pct"/>
            <w:vAlign w:val="center"/>
          </w:tcPr>
          <w:p w14:paraId="0464C405">
            <w:pPr>
              <w:pStyle w:val="28"/>
              <w:rPr>
                <w:color w:val="000000" w:themeColor="text1"/>
                <w14:textFill>
                  <w14:solidFill>
                    <w14:schemeClr w14:val="tx1"/>
                  </w14:solidFill>
                </w14:textFill>
              </w:rPr>
            </w:pPr>
            <w:r>
              <w:rPr>
                <w:color w:val="000000" w:themeColor="text1"/>
                <w14:textFill>
                  <w14:solidFill>
                    <w14:schemeClr w14:val="tx1"/>
                  </w14:solidFill>
                </w14:textFill>
              </w:rPr>
              <w:t>本项目外购的有机溶剂密闭桶装暂存于原料暂存间内，有机溶剂作为研磨介质使用，研磨设备全封闭，不涉及敞开液面逸散。研磨废气通过管道收集后进入废气处理系统，通过</w:t>
            </w:r>
            <w:r>
              <w:rPr>
                <w:rFonts w:hint="eastAsia"/>
                <w:color w:val="000000" w:themeColor="text1"/>
                <w14:textFill>
                  <w14:solidFill>
                    <w14:schemeClr w14:val="tx1"/>
                  </w14:solidFill>
                </w14:textFill>
              </w:rPr>
              <w:t>碱喷淋+除雾+活性炭吸附</w:t>
            </w:r>
            <w:r>
              <w:rPr>
                <w:color w:val="000000" w:themeColor="text1"/>
                <w14:textFill>
                  <w14:solidFill>
                    <w14:schemeClr w14:val="tx1"/>
                  </w14:solidFill>
                </w14:textFill>
              </w:rPr>
              <w:t>处理后通过15m高的排气筒排放。</w:t>
            </w:r>
          </w:p>
        </w:tc>
        <w:tc>
          <w:tcPr>
            <w:tcW w:w="282" w:type="pct"/>
            <w:vAlign w:val="center"/>
          </w:tcPr>
          <w:p w14:paraId="28C0B54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1CD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5FE9F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46" w:type="pct"/>
            <w:vMerge w:val="continue"/>
            <w:vAlign w:val="center"/>
          </w:tcPr>
          <w:p w14:paraId="7432ADFB">
            <w:pPr>
              <w:pStyle w:val="28"/>
              <w:rPr>
                <w:color w:val="000000" w:themeColor="text1"/>
                <w14:textFill>
                  <w14:solidFill>
                    <w14:schemeClr w14:val="tx1"/>
                  </w14:solidFill>
                </w14:textFill>
              </w:rPr>
            </w:pPr>
          </w:p>
        </w:tc>
        <w:tc>
          <w:tcPr>
            <w:tcW w:w="2156" w:type="pct"/>
            <w:vAlign w:val="center"/>
          </w:tcPr>
          <w:p w14:paraId="574961EE">
            <w:pPr>
              <w:pStyle w:val="28"/>
              <w:rPr>
                <w:color w:val="000000" w:themeColor="text1"/>
                <w14:textFill>
                  <w14:solidFill>
                    <w14:schemeClr w14:val="tx1"/>
                  </w14:solidFill>
                </w14:textFill>
              </w:rPr>
            </w:pPr>
            <w:r>
              <w:rPr>
                <w:color w:val="000000" w:themeColor="text1"/>
                <w14:textFill>
                  <w14:solidFill>
                    <w14:schemeClr w14:val="tx1"/>
                  </w14:solidFill>
                </w14:textFill>
              </w:rPr>
              <w:t>涂料、油墨、胶粘剂、农药等以VOCs为原料的生产行业的VOCs污染防治技术措施包括：</w:t>
            </w:r>
          </w:p>
          <w:p w14:paraId="353EC918">
            <w:pPr>
              <w:pStyle w:val="28"/>
              <w:rPr>
                <w:color w:val="000000" w:themeColor="text1"/>
                <w14:textFill>
                  <w14:solidFill>
                    <w14:schemeClr w14:val="tx1"/>
                  </w14:solidFill>
                </w14:textFill>
              </w:rPr>
            </w:pPr>
            <w:r>
              <w:rPr>
                <w:color w:val="000000" w:themeColor="text1"/>
                <w14:textFill>
                  <w14:solidFill>
                    <w14:schemeClr w14:val="tx1"/>
                  </w14:solidFill>
                </w14:textFill>
              </w:rPr>
              <w:t>　　1.鼓励符合环境标志产品技术要求的水基型、无有机溶剂型、低有机溶剂型的涂料、油墨和胶粘剂等的生产和销售；</w:t>
            </w:r>
          </w:p>
          <w:p w14:paraId="44B56B32">
            <w:pPr>
              <w:pStyle w:val="28"/>
              <w:rPr>
                <w:color w:val="000000" w:themeColor="text1"/>
                <w14:textFill>
                  <w14:solidFill>
                    <w14:schemeClr w14:val="tx1"/>
                  </w14:solidFill>
                </w14:textFill>
              </w:rPr>
            </w:pPr>
            <w:r>
              <w:rPr>
                <w:color w:val="000000" w:themeColor="text1"/>
                <w14:textFill>
                  <w14:solidFill>
                    <w14:schemeClr w14:val="tx1"/>
                  </w14:solidFill>
                </w14:textFill>
              </w:rPr>
              <w:t>　　2.鼓励采用密闭一体化生产技术，并对生产过程中产生的废气分类收集后处理。</w:t>
            </w:r>
          </w:p>
        </w:tc>
        <w:tc>
          <w:tcPr>
            <w:tcW w:w="1953" w:type="pct"/>
            <w:vAlign w:val="center"/>
          </w:tcPr>
          <w:p w14:paraId="7EDE2F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本项目有机溶剂只是作为研磨介质使用，产品中不含有机溶剂。研磨工段生产设备为密闭设备。研磨废气经管道收集进入废气处理系统处理后达标排放。</w:t>
            </w:r>
          </w:p>
        </w:tc>
        <w:tc>
          <w:tcPr>
            <w:tcW w:w="282" w:type="pct"/>
            <w:vAlign w:val="center"/>
          </w:tcPr>
          <w:p w14:paraId="2CE2BF3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34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74AA3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46" w:type="pct"/>
            <w:vMerge w:val="continue"/>
            <w:vAlign w:val="center"/>
          </w:tcPr>
          <w:p w14:paraId="257188D5">
            <w:pPr>
              <w:pStyle w:val="28"/>
              <w:rPr>
                <w:color w:val="000000" w:themeColor="text1"/>
                <w14:textFill>
                  <w14:solidFill>
                    <w14:schemeClr w14:val="tx1"/>
                  </w14:solidFill>
                </w14:textFill>
              </w:rPr>
            </w:pPr>
          </w:p>
        </w:tc>
        <w:tc>
          <w:tcPr>
            <w:tcW w:w="2156" w:type="pct"/>
            <w:vAlign w:val="center"/>
          </w:tcPr>
          <w:p w14:paraId="0F9B0BBA">
            <w:pPr>
              <w:pStyle w:val="28"/>
              <w:rPr>
                <w:color w:val="000000" w:themeColor="text1"/>
                <w14:textFill>
                  <w14:solidFill>
                    <w14:schemeClr w14:val="tx1"/>
                  </w14:solidFill>
                </w14:textFill>
              </w:rPr>
            </w:pPr>
            <w:r>
              <w:rPr>
                <w:color w:val="000000" w:themeColor="text1"/>
                <w14:textFill>
                  <w14:solidFill>
                    <w14:schemeClr w14:val="tx1"/>
                  </w14:solidFill>
                </w14:textFill>
              </w:rPr>
              <w:t>（十）在涂装、印刷、粘合、工业清洗等含VOCs产品的使用过程中的VOCs污染防治技术措施包括：</w:t>
            </w:r>
          </w:p>
          <w:p w14:paraId="4A1DA8D3">
            <w:pPr>
              <w:pStyle w:val="28"/>
              <w:rPr>
                <w:color w:val="000000" w:themeColor="text1"/>
                <w14:textFill>
                  <w14:solidFill>
                    <w14:schemeClr w14:val="tx1"/>
                  </w14:solidFill>
                </w14:textFill>
              </w:rPr>
            </w:pPr>
            <w:r>
              <w:rPr>
                <w:color w:val="000000" w:themeColor="text1"/>
                <w14:textFill>
                  <w14:solidFill>
                    <w14:schemeClr w14:val="tx1"/>
                  </w14:solidFill>
                </w14:textFill>
              </w:rPr>
              <w:t>　　1.鼓励使用通过环境标志产品认证的环保型涂料、油墨、胶粘剂和清洗剂；</w:t>
            </w:r>
          </w:p>
          <w:p w14:paraId="6EE280B7">
            <w:pPr>
              <w:pStyle w:val="28"/>
              <w:rPr>
                <w:color w:val="000000" w:themeColor="text1"/>
                <w14:textFill>
                  <w14:solidFill>
                    <w14:schemeClr w14:val="tx1"/>
                  </w14:solidFill>
                </w14:textFill>
              </w:rPr>
            </w:pPr>
            <w:r>
              <w:rPr>
                <w:color w:val="000000" w:themeColor="text1"/>
                <w14:textFill>
                  <w14:solidFill>
                    <w14:schemeClr w14:val="tx1"/>
                  </w14:solidFill>
                </w14:textFill>
              </w:rPr>
              <w:t>　　2.根据涂装工艺的不同，鼓励使用水性涂料、高固份涂料、粉末涂料、紫外光固化（UV）涂料等环保型涂料；推广采用静电喷涂、淋涂、辊涂、浸涂等效率较高的涂装工艺；应尽量避免无VOCs净化、回收措施的露天喷涂作业；</w:t>
            </w:r>
          </w:p>
          <w:p w14:paraId="0270D310">
            <w:pPr>
              <w:pStyle w:val="28"/>
              <w:rPr>
                <w:color w:val="000000" w:themeColor="text1"/>
                <w14:textFill>
                  <w14:solidFill>
                    <w14:schemeClr w14:val="tx1"/>
                  </w14:solidFill>
                </w14:textFill>
              </w:rPr>
            </w:pPr>
            <w:r>
              <w:rPr>
                <w:color w:val="000000" w:themeColor="text1"/>
                <w14:textFill>
                  <w14:solidFill>
                    <w14:schemeClr w14:val="tx1"/>
                  </w14:solidFill>
                </w14:textFill>
              </w:rPr>
              <w:t>　　3.在印刷工艺中推广使用水性油墨，印铁制罐行业鼓励使用紫外光固化（UV）油墨，书刊印刷行业鼓励使用预涂膜技术；</w:t>
            </w:r>
          </w:p>
          <w:p w14:paraId="3D5DB38D">
            <w:pPr>
              <w:pStyle w:val="28"/>
              <w:rPr>
                <w:color w:val="000000" w:themeColor="text1"/>
                <w14:textFill>
                  <w14:solidFill>
                    <w14:schemeClr w14:val="tx1"/>
                  </w14:solidFill>
                </w14:textFill>
              </w:rPr>
            </w:pPr>
            <w:r>
              <w:rPr>
                <w:color w:val="000000" w:themeColor="text1"/>
                <w14:textFill>
                  <w14:solidFill>
                    <w14:schemeClr w14:val="tx1"/>
                  </w14:solidFill>
                </w14:textFill>
              </w:rPr>
              <w:t>　　4.鼓励在人造板、制鞋、皮革制品、包装材料等粘合过程中使用水基型、热熔型等环保型胶粘剂，在复合膜的生产中推广无溶剂复合及共挤出复合技术；</w:t>
            </w:r>
          </w:p>
          <w:p w14:paraId="4EBDFE8B">
            <w:pPr>
              <w:pStyle w:val="28"/>
              <w:rPr>
                <w:color w:val="000000" w:themeColor="text1"/>
                <w14:textFill>
                  <w14:solidFill>
                    <w14:schemeClr w14:val="tx1"/>
                  </w14:solidFill>
                </w14:textFill>
              </w:rPr>
            </w:pPr>
            <w:r>
              <w:rPr>
                <w:color w:val="000000" w:themeColor="text1"/>
                <w14:textFill>
                  <w14:solidFill>
                    <w14:schemeClr w14:val="tx1"/>
                  </w14:solidFill>
                </w14:textFill>
              </w:rPr>
              <w:t>　　5.淘汰以三氟三氯乙烷、甲基氯仿和四氯化碳为清洗剂或溶剂的生产工艺。清洗过程中产生的废溶剂宜密闭收集，有回收价值的废溶剂经处理后回用，其他废溶剂应妥善处置；</w:t>
            </w:r>
          </w:p>
          <w:p w14:paraId="69DAEE90">
            <w:pPr>
              <w:pStyle w:val="28"/>
              <w:rPr>
                <w:color w:val="000000" w:themeColor="text1"/>
                <w14:textFill>
                  <w14:solidFill>
                    <w14:schemeClr w14:val="tx1"/>
                  </w14:solidFill>
                </w14:textFill>
              </w:rPr>
            </w:pPr>
            <w:r>
              <w:rPr>
                <w:color w:val="000000" w:themeColor="text1"/>
                <w14:textFill>
                  <w14:solidFill>
                    <w14:schemeClr w14:val="tx1"/>
                  </w14:solidFill>
                </w14:textFill>
              </w:rPr>
              <w:t>　　6.含VOCs产品的使用过程中，应采取废气收集措施，提高废气收集效率，减少废气的无组织排放与逸散，并对收集后的废气进行回收或处理后达标排放。</w:t>
            </w:r>
          </w:p>
        </w:tc>
        <w:tc>
          <w:tcPr>
            <w:tcW w:w="1953" w:type="pct"/>
            <w:shd w:val="clear" w:color="auto" w:fill="auto"/>
            <w:vAlign w:val="center"/>
          </w:tcPr>
          <w:p w14:paraId="0EFF02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本项目有机溶剂只是作为研磨介质使用，产品中不含有机溶剂。研磨工段生产设备为密闭设备。研磨废气经管道收集进入废气处理系统处理后达标排放。</w:t>
            </w:r>
          </w:p>
        </w:tc>
        <w:tc>
          <w:tcPr>
            <w:tcW w:w="282" w:type="pct"/>
            <w:shd w:val="clear" w:color="auto" w:fill="auto"/>
            <w:vAlign w:val="center"/>
          </w:tcPr>
          <w:p w14:paraId="681E08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F7C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BC39B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46" w:type="pct"/>
            <w:vMerge w:val="restart"/>
            <w:vAlign w:val="center"/>
          </w:tcPr>
          <w:p w14:paraId="4A3130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末端治理与综合利用</w:t>
            </w:r>
          </w:p>
        </w:tc>
        <w:tc>
          <w:tcPr>
            <w:tcW w:w="2156" w:type="pct"/>
            <w:vAlign w:val="center"/>
          </w:tcPr>
          <w:p w14:paraId="5C2AF8D3">
            <w:pPr>
              <w:pStyle w:val="28"/>
              <w:rPr>
                <w:color w:val="000000" w:themeColor="text1"/>
                <w14:textFill>
                  <w14:solidFill>
                    <w14:schemeClr w14:val="tx1"/>
                  </w14:solidFill>
                </w14:textFill>
              </w:rPr>
            </w:pPr>
            <w:r>
              <w:rPr>
                <w:color w:val="000000" w:themeColor="text1"/>
                <w14:textFill>
                  <w14:solidFill>
                    <w14:schemeClr w14:val="tx1"/>
                  </w14:solidFill>
                </w14:textFill>
              </w:rPr>
              <w:t>在工业生产过程中鼓励VOCs的回收利用，并优先鼓励在生产系统内回用。</w:t>
            </w:r>
          </w:p>
        </w:tc>
        <w:tc>
          <w:tcPr>
            <w:tcW w:w="1953" w:type="pct"/>
            <w:shd w:val="clear" w:color="auto" w:fill="auto"/>
            <w:vAlign w:val="center"/>
          </w:tcPr>
          <w:p w14:paraId="77989F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研磨过程为室温，不加热，研磨后采用采用离心机进行固液分离，随分离后的固相物料进入干燥环节，经与建设单位核实工艺参数，离心过程中容积回收效率约为85%，干燥环节冷凝回收，回收效率90%，由于目前技术不成熟，回收的有机溶剂不能满足工艺产品要求，回收价值不高，因此目前本项目目前回收的有机溶剂只能危废处置，企业后续会着重有机溶剂的回收利用。</w:t>
            </w:r>
          </w:p>
        </w:tc>
        <w:tc>
          <w:tcPr>
            <w:tcW w:w="282" w:type="pct"/>
            <w:shd w:val="clear" w:color="auto" w:fill="auto"/>
            <w:vAlign w:val="center"/>
          </w:tcPr>
          <w:p w14:paraId="352249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489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6A115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46" w:type="pct"/>
            <w:vMerge w:val="continue"/>
            <w:vAlign w:val="center"/>
          </w:tcPr>
          <w:p w14:paraId="4CD11D4C">
            <w:pPr>
              <w:pStyle w:val="28"/>
              <w:rPr>
                <w:color w:val="000000" w:themeColor="text1"/>
                <w14:textFill>
                  <w14:solidFill>
                    <w14:schemeClr w14:val="tx1"/>
                  </w14:solidFill>
                </w14:textFill>
              </w:rPr>
            </w:pPr>
          </w:p>
        </w:tc>
        <w:tc>
          <w:tcPr>
            <w:tcW w:w="2156" w:type="pct"/>
            <w:vAlign w:val="center"/>
          </w:tcPr>
          <w:p w14:paraId="0D5DCE2B">
            <w:pPr>
              <w:pStyle w:val="28"/>
              <w:rPr>
                <w:color w:val="000000" w:themeColor="text1"/>
                <w14:textFill>
                  <w14:solidFill>
                    <w14:schemeClr w14:val="tx1"/>
                  </w14:solidFill>
                </w14:textFill>
              </w:rPr>
            </w:pPr>
            <w:r>
              <w:rPr>
                <w:color w:val="000000" w:themeColor="text1"/>
                <w14:textFill>
                  <w14:solidFill>
                    <w14:schemeClr w14:val="tx1"/>
                  </w14:solidFill>
                </w14:textFill>
              </w:rPr>
              <w:t>对于含高浓度VOCs的废气，宜优先采用冷凝回收、吸附回收技术进行回收利用，并辅助以其他治理技术实现达标排放。</w:t>
            </w:r>
          </w:p>
        </w:tc>
        <w:tc>
          <w:tcPr>
            <w:tcW w:w="1953" w:type="pct"/>
            <w:vMerge w:val="restart"/>
            <w:shd w:val="clear" w:color="auto" w:fill="auto"/>
            <w:vAlign w:val="center"/>
          </w:tcPr>
          <w:p w14:paraId="62BB0E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本项目废气浓度不高，</w:t>
            </w:r>
            <w:r>
              <w:rPr>
                <w:color w:val="000000" w:themeColor="text1"/>
                <w14:textFill>
                  <w14:solidFill>
                    <w14:schemeClr w14:val="tx1"/>
                  </w14:solidFill>
                </w14:textFill>
              </w:rPr>
              <w:t>回收利用</w:t>
            </w:r>
            <w:r>
              <w:rPr>
                <w:rFonts w:hint="eastAsia"/>
                <w:color w:val="000000" w:themeColor="text1"/>
                <w14:textFill>
                  <w14:solidFill>
                    <w14:schemeClr w14:val="tx1"/>
                  </w14:solidFill>
                </w14:textFill>
              </w:rPr>
              <w:t>可行性不高。本项目废气属于低浓度</w:t>
            </w:r>
            <w:r>
              <w:rPr>
                <w:color w:val="000000" w:themeColor="text1"/>
                <w14:textFill>
                  <w14:solidFill>
                    <w14:schemeClr w14:val="tx1"/>
                  </w14:solidFill>
                </w14:textFill>
              </w:rPr>
              <w:t>VOCs的废气</w:t>
            </w:r>
            <w:r>
              <w:rPr>
                <w:rFonts w:hint="eastAsia"/>
                <w:color w:val="000000" w:themeColor="text1"/>
                <w14:textFill>
                  <w14:solidFill>
                    <w14:schemeClr w14:val="tx1"/>
                  </w14:solidFill>
                </w14:textFill>
              </w:rPr>
              <w:t>，采用活性炭吸附技术进行处理后达标排放。</w:t>
            </w:r>
          </w:p>
        </w:tc>
        <w:tc>
          <w:tcPr>
            <w:tcW w:w="282" w:type="pct"/>
            <w:shd w:val="clear" w:color="auto" w:fill="auto"/>
            <w:vAlign w:val="center"/>
          </w:tcPr>
          <w:p w14:paraId="3D19DEE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85F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F523E9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46" w:type="pct"/>
            <w:vMerge w:val="continue"/>
            <w:vAlign w:val="center"/>
          </w:tcPr>
          <w:p w14:paraId="51380CD5">
            <w:pPr>
              <w:pStyle w:val="28"/>
              <w:rPr>
                <w:color w:val="000000" w:themeColor="text1"/>
                <w14:textFill>
                  <w14:solidFill>
                    <w14:schemeClr w14:val="tx1"/>
                  </w14:solidFill>
                </w14:textFill>
              </w:rPr>
            </w:pPr>
          </w:p>
        </w:tc>
        <w:tc>
          <w:tcPr>
            <w:tcW w:w="2156" w:type="pct"/>
            <w:vAlign w:val="center"/>
          </w:tcPr>
          <w:p w14:paraId="6E512962">
            <w:pPr>
              <w:pStyle w:val="28"/>
              <w:rPr>
                <w:color w:val="000000" w:themeColor="text1"/>
                <w14:textFill>
                  <w14:solidFill>
                    <w14:schemeClr w14:val="tx1"/>
                  </w14:solidFill>
                </w14:textFill>
              </w:rPr>
            </w:pPr>
            <w:r>
              <w:rPr>
                <w:color w:val="000000" w:themeColor="text1"/>
                <w14:textFill>
                  <w14:solidFill>
                    <w14:schemeClr w14:val="tx1"/>
                  </w14:solidFill>
                </w14:textFill>
              </w:rPr>
              <w:t>对于含中等浓度VOCs的废气，可采用吸附技术回收有机溶剂，或采用催化燃烧和热力焚烧技术净化后达标排放。当采用催化燃烧和热力焚烧技术进行净化时，应进行余热回收利用。</w:t>
            </w:r>
          </w:p>
        </w:tc>
        <w:tc>
          <w:tcPr>
            <w:tcW w:w="1953" w:type="pct"/>
            <w:vMerge w:val="continue"/>
            <w:shd w:val="clear" w:color="auto" w:fill="auto"/>
            <w:vAlign w:val="center"/>
          </w:tcPr>
          <w:p w14:paraId="3AAD84EB">
            <w:pPr>
              <w:pStyle w:val="28"/>
              <w:rPr>
                <w:color w:val="000000" w:themeColor="text1"/>
                <w14:textFill>
                  <w14:solidFill>
                    <w14:schemeClr w14:val="tx1"/>
                  </w14:solidFill>
                </w14:textFill>
              </w:rPr>
            </w:pPr>
          </w:p>
        </w:tc>
        <w:tc>
          <w:tcPr>
            <w:tcW w:w="282" w:type="pct"/>
            <w:shd w:val="clear" w:color="auto" w:fill="auto"/>
            <w:vAlign w:val="center"/>
          </w:tcPr>
          <w:p w14:paraId="2DD110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682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8B012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46" w:type="pct"/>
            <w:vMerge w:val="continue"/>
            <w:vAlign w:val="center"/>
          </w:tcPr>
          <w:p w14:paraId="35C3A2DB">
            <w:pPr>
              <w:pStyle w:val="28"/>
              <w:rPr>
                <w:color w:val="000000" w:themeColor="text1"/>
                <w14:textFill>
                  <w14:solidFill>
                    <w14:schemeClr w14:val="tx1"/>
                  </w14:solidFill>
                </w14:textFill>
              </w:rPr>
            </w:pPr>
          </w:p>
        </w:tc>
        <w:tc>
          <w:tcPr>
            <w:tcW w:w="2156" w:type="pct"/>
            <w:vAlign w:val="center"/>
          </w:tcPr>
          <w:p w14:paraId="2D4B6EEC">
            <w:pPr>
              <w:pStyle w:val="28"/>
              <w:rPr>
                <w:color w:val="000000" w:themeColor="text1"/>
                <w14:textFill>
                  <w14:solidFill>
                    <w14:schemeClr w14:val="tx1"/>
                  </w14:solidFill>
                </w14:textFill>
              </w:rPr>
            </w:pPr>
            <w:r>
              <w:rPr>
                <w:color w:val="000000" w:themeColor="text1"/>
                <w14:textFill>
                  <w14:solidFill>
                    <w14:schemeClr w14:val="tx1"/>
                  </w14:solidFill>
                </w14:textFill>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953" w:type="pct"/>
            <w:vMerge w:val="continue"/>
            <w:shd w:val="clear" w:color="auto" w:fill="auto"/>
            <w:vAlign w:val="center"/>
          </w:tcPr>
          <w:p w14:paraId="41EB1286">
            <w:pPr>
              <w:pStyle w:val="28"/>
              <w:rPr>
                <w:color w:val="000000" w:themeColor="text1"/>
                <w14:textFill>
                  <w14:solidFill>
                    <w14:schemeClr w14:val="tx1"/>
                  </w14:solidFill>
                </w14:textFill>
              </w:rPr>
            </w:pPr>
          </w:p>
        </w:tc>
        <w:tc>
          <w:tcPr>
            <w:tcW w:w="282" w:type="pct"/>
            <w:shd w:val="clear" w:color="auto" w:fill="auto"/>
            <w:vAlign w:val="center"/>
          </w:tcPr>
          <w:p w14:paraId="723280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9C7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8EBDE4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46" w:type="pct"/>
            <w:vMerge w:val="continue"/>
            <w:vAlign w:val="center"/>
          </w:tcPr>
          <w:p w14:paraId="7BBAF480">
            <w:pPr>
              <w:pStyle w:val="28"/>
              <w:rPr>
                <w:color w:val="000000" w:themeColor="text1"/>
                <w14:textFill>
                  <w14:solidFill>
                    <w14:schemeClr w14:val="tx1"/>
                  </w14:solidFill>
                </w14:textFill>
              </w:rPr>
            </w:pPr>
          </w:p>
        </w:tc>
        <w:tc>
          <w:tcPr>
            <w:tcW w:w="2156" w:type="pct"/>
            <w:vAlign w:val="center"/>
          </w:tcPr>
          <w:p w14:paraId="4E42C0DE">
            <w:pPr>
              <w:pStyle w:val="28"/>
              <w:rPr>
                <w:color w:val="000000" w:themeColor="text1"/>
                <w14:textFill>
                  <w14:solidFill>
                    <w14:schemeClr w14:val="tx1"/>
                  </w14:solidFill>
                </w14:textFill>
              </w:rPr>
            </w:pPr>
            <w:r>
              <w:rPr>
                <w:color w:val="000000" w:themeColor="text1"/>
                <w14:textFill>
                  <w14:solidFill>
                    <w14:schemeClr w14:val="tx1"/>
                  </w14:solidFill>
                </w14:textFill>
              </w:rPr>
              <w:t>含有有机卤素成分VOCs的废气，宜采用非焚烧技术处理。</w:t>
            </w:r>
          </w:p>
        </w:tc>
        <w:tc>
          <w:tcPr>
            <w:tcW w:w="1953" w:type="pct"/>
            <w:shd w:val="clear" w:color="auto" w:fill="auto"/>
            <w:vAlign w:val="center"/>
          </w:tcPr>
          <w:p w14:paraId="71EDF3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本项目不涉及废气</w:t>
            </w:r>
            <w:r>
              <w:rPr>
                <w:color w:val="000000" w:themeColor="text1"/>
                <w14:textFill>
                  <w14:solidFill>
                    <w14:schemeClr w14:val="tx1"/>
                  </w14:solidFill>
                </w14:textFill>
              </w:rPr>
              <w:t>有机卤素成分</w:t>
            </w:r>
            <w:r>
              <w:rPr>
                <w:rFonts w:hint="eastAsia"/>
                <w:color w:val="000000" w:themeColor="text1"/>
                <w14:textFill>
                  <w14:solidFill>
                    <w14:schemeClr w14:val="tx1"/>
                  </w14:solidFill>
                </w14:textFill>
              </w:rPr>
              <w:t>。</w:t>
            </w:r>
          </w:p>
        </w:tc>
        <w:tc>
          <w:tcPr>
            <w:tcW w:w="282" w:type="pct"/>
            <w:shd w:val="clear" w:color="auto" w:fill="auto"/>
            <w:vAlign w:val="center"/>
          </w:tcPr>
          <w:p w14:paraId="50B34E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D0B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1ECD6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46" w:type="pct"/>
            <w:vMerge w:val="continue"/>
            <w:vAlign w:val="center"/>
          </w:tcPr>
          <w:p w14:paraId="05DBD949">
            <w:pPr>
              <w:pStyle w:val="28"/>
              <w:rPr>
                <w:color w:val="000000" w:themeColor="text1"/>
                <w14:textFill>
                  <w14:solidFill>
                    <w14:schemeClr w14:val="tx1"/>
                  </w14:solidFill>
                </w14:textFill>
              </w:rPr>
            </w:pPr>
          </w:p>
        </w:tc>
        <w:tc>
          <w:tcPr>
            <w:tcW w:w="2156" w:type="pct"/>
            <w:vAlign w:val="center"/>
          </w:tcPr>
          <w:p w14:paraId="5E2B79F8">
            <w:pPr>
              <w:pStyle w:val="28"/>
              <w:rPr>
                <w:color w:val="000000" w:themeColor="text1"/>
                <w14:textFill>
                  <w14:solidFill>
                    <w14:schemeClr w14:val="tx1"/>
                  </w14:solidFill>
                </w14:textFill>
              </w:rPr>
            </w:pPr>
            <w:r>
              <w:rPr>
                <w:color w:val="000000" w:themeColor="text1"/>
                <w14:textFill>
                  <w14:solidFill>
                    <w14:schemeClr w14:val="tx1"/>
                  </w14:solidFill>
                </w14:textFill>
              </w:rPr>
              <w:t>恶臭气体污染源可采用生物技术、等离子体技术、吸附技术、吸收技术、紫外光高级氧化技术或组合技术等进行净化。净化后的恶臭气体除满足达标排放的要求外，还应采取高空排放等措施，避免产生扰民问题。</w:t>
            </w:r>
          </w:p>
          <w:p w14:paraId="44F2FEA1">
            <w:pPr>
              <w:pStyle w:val="28"/>
              <w:rPr>
                <w:color w:val="000000" w:themeColor="text1"/>
                <w14:textFill>
                  <w14:solidFill>
                    <w14:schemeClr w14:val="tx1"/>
                  </w14:solidFill>
                </w14:textFill>
              </w:rPr>
            </w:pPr>
          </w:p>
        </w:tc>
        <w:tc>
          <w:tcPr>
            <w:tcW w:w="1953" w:type="pct"/>
            <w:shd w:val="clear" w:color="auto" w:fill="auto"/>
            <w:vAlign w:val="center"/>
          </w:tcPr>
          <w:p w14:paraId="391F30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恶臭主要来源测试残渣处理废气和废水处理站废气，污染物为硫化氢，废水处理站废气通过废水收集池封闭，池体上方设置集气罩收集后通过管道接入废气处理系统处理后排放，测试残渣处理废气通过通风橱+管道收集后进入废气处理系统处理后排放。</w:t>
            </w:r>
          </w:p>
        </w:tc>
        <w:tc>
          <w:tcPr>
            <w:tcW w:w="282" w:type="pct"/>
            <w:shd w:val="clear" w:color="auto" w:fill="auto"/>
            <w:vAlign w:val="center"/>
          </w:tcPr>
          <w:p w14:paraId="7C9AE3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00E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1F9A2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46" w:type="pct"/>
            <w:vMerge w:val="continue"/>
            <w:vAlign w:val="center"/>
          </w:tcPr>
          <w:p w14:paraId="00E9CB29">
            <w:pPr>
              <w:pStyle w:val="28"/>
              <w:rPr>
                <w:color w:val="000000" w:themeColor="text1"/>
                <w14:textFill>
                  <w14:solidFill>
                    <w14:schemeClr w14:val="tx1"/>
                  </w14:solidFill>
                </w14:textFill>
              </w:rPr>
            </w:pPr>
          </w:p>
        </w:tc>
        <w:tc>
          <w:tcPr>
            <w:tcW w:w="2156" w:type="pct"/>
            <w:vAlign w:val="center"/>
          </w:tcPr>
          <w:p w14:paraId="24239353">
            <w:pPr>
              <w:pStyle w:val="28"/>
              <w:rPr>
                <w:color w:val="000000" w:themeColor="text1"/>
                <w14:textFill>
                  <w14:solidFill>
                    <w14:schemeClr w14:val="tx1"/>
                  </w14:solidFill>
                </w14:textFill>
              </w:rPr>
            </w:pPr>
            <w:r>
              <w:rPr>
                <w:color w:val="000000" w:themeColor="text1"/>
                <w14:textFill>
                  <w14:solidFill>
                    <w14:schemeClr w14:val="tx1"/>
                  </w14:solidFill>
                </w14:textFill>
              </w:rPr>
              <w:t>在餐饮服务业推广使用具有油雾回收功能的油烟抽排装置，并根据规模、场地和气候条件等采用高效油烟与VOCs净化装置净化后达标排放。</w:t>
            </w:r>
          </w:p>
        </w:tc>
        <w:tc>
          <w:tcPr>
            <w:tcW w:w="1953" w:type="pct"/>
            <w:shd w:val="clear" w:color="auto" w:fill="auto"/>
            <w:vAlign w:val="center"/>
          </w:tcPr>
          <w:p w14:paraId="03D7B0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282" w:type="pct"/>
            <w:shd w:val="clear" w:color="auto" w:fill="auto"/>
            <w:vAlign w:val="center"/>
          </w:tcPr>
          <w:p w14:paraId="048E3E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7D7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FF52C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46" w:type="pct"/>
            <w:vMerge w:val="continue"/>
            <w:vAlign w:val="center"/>
          </w:tcPr>
          <w:p w14:paraId="6BBAD62A">
            <w:pPr>
              <w:pStyle w:val="28"/>
              <w:rPr>
                <w:color w:val="000000" w:themeColor="text1"/>
                <w14:textFill>
                  <w14:solidFill>
                    <w14:schemeClr w14:val="tx1"/>
                  </w14:solidFill>
                </w14:textFill>
              </w:rPr>
            </w:pPr>
          </w:p>
        </w:tc>
        <w:tc>
          <w:tcPr>
            <w:tcW w:w="2156" w:type="pct"/>
            <w:vAlign w:val="center"/>
          </w:tcPr>
          <w:p w14:paraId="79B70B41">
            <w:pPr>
              <w:pStyle w:val="28"/>
              <w:rPr>
                <w:color w:val="000000" w:themeColor="text1"/>
                <w14:textFill>
                  <w14:solidFill>
                    <w14:schemeClr w14:val="tx1"/>
                  </w14:solidFill>
                </w14:textFill>
              </w:rPr>
            </w:pPr>
            <w:r>
              <w:rPr>
                <w:color w:val="000000" w:themeColor="text1"/>
                <w14:textFill>
                  <w14:solidFill>
                    <w14:schemeClr w14:val="tx1"/>
                  </w14:solidFill>
                </w14:textFill>
              </w:rPr>
              <w:t>严格控制VOCs处理过程中产生的二次污染，对于催化燃烧和热力焚烧过程中产生的含硫、氮、氯等无机废气，以及吸附、吸收、冷凝、生物等治理过程中所产生的含有机物废水，应处理后达标排放。</w:t>
            </w:r>
          </w:p>
        </w:tc>
        <w:tc>
          <w:tcPr>
            <w:tcW w:w="1953" w:type="pct"/>
            <w:shd w:val="clear" w:color="auto" w:fill="auto"/>
            <w:vAlign w:val="center"/>
          </w:tcPr>
          <w:p w14:paraId="7E37C2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本项目有机废气</w:t>
            </w:r>
            <w:r>
              <w:rPr>
                <w:color w:val="000000" w:themeColor="text1"/>
                <w14:textFill>
                  <w14:solidFill>
                    <w14:schemeClr w14:val="tx1"/>
                  </w14:solidFill>
                </w14:textFill>
              </w:rPr>
              <w:t>处理过程中</w:t>
            </w:r>
            <w:r>
              <w:rPr>
                <w:rFonts w:hint="eastAsia"/>
                <w:color w:val="000000" w:themeColor="text1"/>
                <w14:textFill>
                  <w14:solidFill>
                    <w14:schemeClr w14:val="tx1"/>
                  </w14:solidFill>
                </w14:textFill>
              </w:rPr>
              <w:t>不涉及二次污染产生，不涉及</w:t>
            </w:r>
            <w:r>
              <w:rPr>
                <w:color w:val="000000" w:themeColor="text1"/>
                <w14:textFill>
                  <w14:solidFill>
                    <w14:schemeClr w14:val="tx1"/>
                  </w14:solidFill>
                </w14:textFill>
              </w:rPr>
              <w:t>催化燃烧和热力焚烧</w:t>
            </w:r>
            <w:r>
              <w:rPr>
                <w:rFonts w:hint="eastAsia"/>
                <w:color w:val="000000" w:themeColor="text1"/>
                <w14:textFill>
                  <w14:solidFill>
                    <w14:schemeClr w14:val="tx1"/>
                  </w14:solidFill>
                </w14:textFill>
              </w:rPr>
              <w:t>。</w:t>
            </w:r>
          </w:p>
        </w:tc>
        <w:tc>
          <w:tcPr>
            <w:tcW w:w="282" w:type="pct"/>
            <w:shd w:val="clear" w:color="auto" w:fill="auto"/>
            <w:vAlign w:val="center"/>
          </w:tcPr>
          <w:p w14:paraId="3C2DE5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BCA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DFB4C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46" w:type="pct"/>
            <w:vMerge w:val="continue"/>
            <w:vAlign w:val="center"/>
          </w:tcPr>
          <w:p w14:paraId="1CC03677">
            <w:pPr>
              <w:pStyle w:val="28"/>
              <w:rPr>
                <w:color w:val="000000" w:themeColor="text1"/>
                <w14:textFill>
                  <w14:solidFill>
                    <w14:schemeClr w14:val="tx1"/>
                  </w14:solidFill>
                </w14:textFill>
              </w:rPr>
            </w:pPr>
          </w:p>
        </w:tc>
        <w:tc>
          <w:tcPr>
            <w:tcW w:w="2156" w:type="pct"/>
            <w:vAlign w:val="center"/>
          </w:tcPr>
          <w:p w14:paraId="14F642F5">
            <w:pPr>
              <w:pStyle w:val="28"/>
              <w:rPr>
                <w:color w:val="000000" w:themeColor="text1"/>
                <w14:textFill>
                  <w14:solidFill>
                    <w14:schemeClr w14:val="tx1"/>
                  </w14:solidFill>
                </w14:textFill>
              </w:rPr>
            </w:pPr>
            <w:r>
              <w:rPr>
                <w:color w:val="000000" w:themeColor="text1"/>
                <w14:textFill>
                  <w14:solidFill>
                    <w14:schemeClr w14:val="tx1"/>
                  </w14:solidFill>
                </w14:textFill>
              </w:rPr>
              <w:t>　对于不能再生的过滤材料、吸附剂及催化剂等净化材料，应按照国家固体废物管理的相关规定处理处置。</w:t>
            </w:r>
          </w:p>
        </w:tc>
        <w:tc>
          <w:tcPr>
            <w:tcW w:w="1953" w:type="pct"/>
            <w:shd w:val="clear" w:color="auto" w:fill="auto"/>
            <w:vAlign w:val="center"/>
          </w:tcPr>
          <w:p w14:paraId="46736E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本项目采用活性炭进行有机废气的处理，活性炭定期更换，更换下来活性炭采用带盖收集桶收集后暂存于危废暂存间内，交由有资质的范围进行清运处置。</w:t>
            </w:r>
          </w:p>
        </w:tc>
        <w:tc>
          <w:tcPr>
            <w:tcW w:w="282" w:type="pct"/>
            <w:shd w:val="clear" w:color="auto" w:fill="auto"/>
            <w:vAlign w:val="center"/>
          </w:tcPr>
          <w:p w14:paraId="556982C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B0E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2D9E5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46" w:type="pct"/>
            <w:vMerge w:val="restart"/>
            <w:vAlign w:val="center"/>
          </w:tcPr>
          <w:p w14:paraId="6C493E4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运行与监测</w:t>
            </w:r>
          </w:p>
        </w:tc>
        <w:tc>
          <w:tcPr>
            <w:tcW w:w="2156" w:type="pct"/>
            <w:vAlign w:val="center"/>
          </w:tcPr>
          <w:p w14:paraId="50E7DA27">
            <w:pPr>
              <w:pStyle w:val="28"/>
              <w:rPr>
                <w:color w:val="000000" w:themeColor="text1"/>
                <w14:textFill>
                  <w14:solidFill>
                    <w14:schemeClr w14:val="tx1"/>
                  </w14:solidFill>
                </w14:textFill>
              </w:rPr>
            </w:pPr>
            <w:r>
              <w:rPr>
                <w:color w:val="000000" w:themeColor="text1"/>
                <w14:textFill>
                  <w14:solidFill>
                    <w14:schemeClr w14:val="tx1"/>
                  </w14:solidFill>
                </w14:textFill>
              </w:rPr>
              <w:t>鼓励企业自行开展VOCs监测，并及时主动向当地环保行政主管部门报送监测结果。　</w:t>
            </w:r>
          </w:p>
        </w:tc>
        <w:tc>
          <w:tcPr>
            <w:tcW w:w="1953" w:type="pct"/>
            <w:shd w:val="clear" w:color="auto" w:fill="auto"/>
            <w:vAlign w:val="center"/>
          </w:tcPr>
          <w:p w14:paraId="69A8DD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项目建成投产后将严格按照排污许可证的要求定期开展自行监测，并</w:t>
            </w:r>
            <w:r>
              <w:rPr>
                <w:color w:val="000000" w:themeColor="text1"/>
                <w14:textFill>
                  <w14:solidFill>
                    <w14:schemeClr w14:val="tx1"/>
                  </w14:solidFill>
                </w14:textFill>
              </w:rPr>
              <w:t>主动向当地环保行政主管部门报送监测结果</w:t>
            </w:r>
            <w:r>
              <w:rPr>
                <w:rFonts w:hint="eastAsia"/>
                <w:color w:val="000000" w:themeColor="text1"/>
                <w14:textFill>
                  <w14:solidFill>
                    <w14:schemeClr w14:val="tx1"/>
                  </w14:solidFill>
                </w14:textFill>
              </w:rPr>
              <w:t>。</w:t>
            </w:r>
          </w:p>
        </w:tc>
        <w:tc>
          <w:tcPr>
            <w:tcW w:w="282" w:type="pct"/>
            <w:shd w:val="clear" w:color="auto" w:fill="auto"/>
            <w:vAlign w:val="center"/>
          </w:tcPr>
          <w:p w14:paraId="0E42FD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466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C05AD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46" w:type="pct"/>
            <w:vMerge w:val="continue"/>
            <w:vAlign w:val="center"/>
          </w:tcPr>
          <w:p w14:paraId="40E939DC">
            <w:pPr>
              <w:pStyle w:val="28"/>
              <w:rPr>
                <w:color w:val="000000" w:themeColor="text1"/>
                <w14:textFill>
                  <w14:solidFill>
                    <w14:schemeClr w14:val="tx1"/>
                  </w14:solidFill>
                </w14:textFill>
              </w:rPr>
            </w:pPr>
          </w:p>
        </w:tc>
        <w:tc>
          <w:tcPr>
            <w:tcW w:w="2156" w:type="pct"/>
            <w:vAlign w:val="center"/>
          </w:tcPr>
          <w:p w14:paraId="4E5D8317">
            <w:pPr>
              <w:pStyle w:val="28"/>
              <w:rPr>
                <w:color w:val="000000" w:themeColor="text1"/>
                <w14:textFill>
                  <w14:solidFill>
                    <w14:schemeClr w14:val="tx1"/>
                  </w14:solidFill>
                </w14:textFill>
              </w:rPr>
            </w:pPr>
            <w:r>
              <w:rPr>
                <w:color w:val="000000" w:themeColor="text1"/>
                <w14:textFill>
                  <w14:solidFill>
                    <w14:schemeClr w14:val="tx1"/>
                  </w14:solidFill>
                </w14:textFill>
              </w:rPr>
              <w:t>企业应建立健全VOCs治理设施的运行维护规程和台帐等日常管理制度，并根据工艺要求定期对各类设备、电气、自控仪表等进行检修维护，确保设施的稳定运行。　</w:t>
            </w:r>
          </w:p>
        </w:tc>
        <w:tc>
          <w:tcPr>
            <w:tcW w:w="1953" w:type="pct"/>
            <w:shd w:val="clear" w:color="auto" w:fill="auto"/>
            <w:vAlign w:val="center"/>
          </w:tcPr>
          <w:p w14:paraId="747ADE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项目建成投产后将</w:t>
            </w:r>
            <w:r>
              <w:rPr>
                <w:color w:val="000000" w:themeColor="text1"/>
                <w14:textFill>
                  <w14:solidFill>
                    <w14:schemeClr w14:val="tx1"/>
                  </w14:solidFill>
                </w14:textFill>
              </w:rPr>
              <w:t>建立健全VOCs治理设施的运行维护规程和台帐等日常管理制度，并根据工艺要求定期对各类设备、电气、自控仪表等进行检修维护，确保设施的稳定运行</w:t>
            </w:r>
          </w:p>
        </w:tc>
        <w:tc>
          <w:tcPr>
            <w:tcW w:w="282" w:type="pct"/>
            <w:shd w:val="clear" w:color="auto" w:fill="auto"/>
            <w:vAlign w:val="center"/>
          </w:tcPr>
          <w:p w14:paraId="28C40E5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7A8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78FE8F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46" w:type="pct"/>
            <w:vMerge w:val="continue"/>
            <w:vAlign w:val="center"/>
          </w:tcPr>
          <w:p w14:paraId="58E01D1D">
            <w:pPr>
              <w:pStyle w:val="28"/>
              <w:rPr>
                <w:color w:val="000000" w:themeColor="text1"/>
                <w14:textFill>
                  <w14:solidFill>
                    <w14:schemeClr w14:val="tx1"/>
                  </w14:solidFill>
                </w14:textFill>
              </w:rPr>
            </w:pPr>
          </w:p>
        </w:tc>
        <w:tc>
          <w:tcPr>
            <w:tcW w:w="2156" w:type="pct"/>
            <w:vAlign w:val="center"/>
          </w:tcPr>
          <w:p w14:paraId="28C9D9CC">
            <w:pPr>
              <w:pStyle w:val="28"/>
              <w:rPr>
                <w:color w:val="000000" w:themeColor="text1"/>
                <w14:textFill>
                  <w14:solidFill>
                    <w14:schemeClr w14:val="tx1"/>
                  </w14:solidFill>
                </w14:textFill>
              </w:rPr>
            </w:pPr>
            <w:r>
              <w:rPr>
                <w:color w:val="000000" w:themeColor="text1"/>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p>
        </w:tc>
        <w:tc>
          <w:tcPr>
            <w:tcW w:w="1953" w:type="pct"/>
            <w:shd w:val="clear" w:color="auto" w:fill="auto"/>
            <w:vAlign w:val="center"/>
          </w:tcPr>
          <w:p w14:paraId="62B52F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r>
              <w:rPr>
                <w:color w:val="000000" w:themeColor="text1"/>
                <w14:textFill>
                  <w14:solidFill>
                    <w14:schemeClr w14:val="tx1"/>
                  </w14:solidFill>
                </w14:textFill>
              </w:rPr>
              <w:t>吸附回收（浓缩）、催化燃烧、热力焚烧、等离子体等方法进行末端治理</w:t>
            </w:r>
            <w:r>
              <w:rPr>
                <w:rFonts w:hint="eastAsia"/>
                <w:color w:val="000000" w:themeColor="text1"/>
                <w14:textFill>
                  <w14:solidFill>
                    <w14:schemeClr w14:val="tx1"/>
                  </w14:solidFill>
                </w14:textFill>
              </w:rPr>
              <w:t>。</w:t>
            </w:r>
          </w:p>
        </w:tc>
        <w:tc>
          <w:tcPr>
            <w:tcW w:w="282" w:type="pct"/>
            <w:shd w:val="clear" w:color="auto" w:fill="auto"/>
            <w:vAlign w:val="center"/>
          </w:tcPr>
          <w:p w14:paraId="5BDA7AD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367F77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根据上表分析，本项目符合《挥发性有机物（VOCs）污染防治技术政策》中的相关要求。</w:t>
      </w:r>
    </w:p>
    <w:p w14:paraId="532708E5">
      <w:pPr>
        <w:pStyle w:val="3"/>
        <w:rPr>
          <w:color w:val="000000" w:themeColor="text1"/>
          <w14:textFill>
            <w14:solidFill>
              <w14:schemeClr w14:val="tx1"/>
            </w14:solidFill>
          </w14:textFill>
        </w:rPr>
      </w:pPr>
      <w:bookmarkStart w:id="159" w:name="_Toc16517"/>
      <w:r>
        <w:rPr>
          <w:rFonts w:hint="eastAsia"/>
          <w:color w:val="000000" w:themeColor="text1"/>
          <w14:textFill>
            <w14:solidFill>
              <w14:schemeClr w14:val="tx1"/>
            </w14:solidFill>
          </w14:textFill>
        </w:rPr>
        <w:t>9.5</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关于加快解决当前挥发性有机物治理突出问题的通知</w:t>
      </w:r>
      <w:r>
        <w:rPr>
          <w:color w:val="000000" w:themeColor="text1"/>
          <w14:textFill>
            <w14:solidFill>
              <w14:schemeClr w14:val="tx1"/>
            </w14:solidFill>
          </w14:textFill>
        </w:rPr>
        <w:t>》符合性分析</w:t>
      </w:r>
      <w:bookmarkEnd w:id="159"/>
    </w:p>
    <w:p w14:paraId="1B8D1355">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w:t>
      </w:r>
      <w:r>
        <w:rPr>
          <w:rFonts w:hint="eastAsia"/>
          <w:color w:val="000000" w:themeColor="text1"/>
          <w14:textFill>
            <w14:solidFill>
              <w14:schemeClr w14:val="tx1"/>
            </w14:solidFill>
          </w14:textFill>
        </w:rPr>
        <w:t>2021年8与4日</w:t>
      </w:r>
      <w:r>
        <w:rPr>
          <w:color w:val="000000" w:themeColor="text1"/>
          <w14:textFill>
            <w14:solidFill>
              <w14:schemeClr w14:val="tx1"/>
            </w14:solidFill>
          </w14:textFill>
        </w:rPr>
        <w:t>印发的《</w:t>
      </w:r>
      <w:r>
        <w:rPr>
          <w:rFonts w:hint="eastAsia"/>
          <w:color w:val="000000" w:themeColor="text1"/>
          <w14:textFill>
            <w14:solidFill>
              <w14:schemeClr w14:val="tx1"/>
            </w14:solidFill>
          </w14:textFill>
        </w:rPr>
        <w:t>关于加快解决当前挥发性有机物治理突出问题的通知</w:t>
      </w:r>
      <w:r>
        <w:rPr>
          <w:color w:val="000000" w:themeColor="text1"/>
          <w14:textFill>
            <w14:solidFill>
              <w14:schemeClr w14:val="tx1"/>
            </w14:solidFill>
          </w14:textFill>
        </w:rPr>
        <w:t>》（环大气[20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65</w:t>
      </w:r>
      <w:r>
        <w:rPr>
          <w:color w:val="000000" w:themeColor="text1"/>
          <w14:textFill>
            <w14:solidFill>
              <w14:schemeClr w14:val="tx1"/>
            </w14:solidFill>
          </w14:textFill>
        </w:rPr>
        <w:t>号），本项目与《</w:t>
      </w:r>
      <w:r>
        <w:rPr>
          <w:rFonts w:hint="eastAsia"/>
          <w:color w:val="000000" w:themeColor="text1"/>
          <w14:textFill>
            <w14:solidFill>
              <w14:schemeClr w14:val="tx1"/>
            </w14:solidFill>
          </w14:textFill>
        </w:rPr>
        <w:t>关于加快解决当前挥发性有机物治理突出问题的通知</w:t>
      </w:r>
      <w:r>
        <w:rPr>
          <w:color w:val="000000" w:themeColor="text1"/>
          <w14:textFill>
            <w14:solidFill>
              <w14:schemeClr w14:val="tx1"/>
            </w14:solidFill>
          </w14:textFill>
        </w:rPr>
        <w:t>》的符合性分析见表</w:t>
      </w:r>
      <w:r>
        <w:rPr>
          <w:rFonts w:hint="eastAsia"/>
          <w:color w:val="000000" w:themeColor="text1"/>
          <w14:textFill>
            <w14:solidFill>
              <w14:schemeClr w14:val="tx1"/>
            </w14:solidFill>
          </w14:textFill>
        </w:rPr>
        <w:t>9.5-1</w:t>
      </w:r>
      <w:r>
        <w:rPr>
          <w:color w:val="000000" w:themeColor="text1"/>
          <w14:textFill>
            <w14:solidFill>
              <w14:schemeClr w14:val="tx1"/>
            </w14:solidFill>
          </w14:textFill>
        </w:rPr>
        <w:t>。</w:t>
      </w:r>
    </w:p>
    <w:p w14:paraId="0E2B6B10">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9.5-1  </w:t>
      </w:r>
      <w:r>
        <w:rPr>
          <w:color w:val="000000" w:themeColor="text1"/>
          <w14:textFill>
            <w14:solidFill>
              <w14:schemeClr w14:val="tx1"/>
            </w14:solidFill>
          </w14:textFill>
        </w:rPr>
        <w:t>与（环大气[20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62</w:t>
      </w:r>
      <w:r>
        <w:rPr>
          <w:color w:val="000000" w:themeColor="text1"/>
          <w14:textFill>
            <w14:solidFill>
              <w14:schemeClr w14:val="tx1"/>
            </w14:solidFill>
          </w14:textFill>
        </w:rPr>
        <w:t>号）的符合性分析</w:t>
      </w:r>
      <w:r>
        <w:rPr>
          <w:rFonts w:hint="eastAsia"/>
          <w:color w:val="000000" w:themeColor="text1"/>
          <w14:textFill>
            <w14:solidFill>
              <w14:schemeClr w14:val="tx1"/>
            </w14:solidFill>
          </w14:textFill>
        </w:rPr>
        <w:t>对照表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025"/>
        <w:gridCol w:w="4002"/>
        <w:gridCol w:w="2600"/>
        <w:gridCol w:w="459"/>
      </w:tblGrid>
      <w:tr w14:paraId="2B8B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32B70D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948" w:type="pct"/>
            <w:gridSpan w:val="2"/>
            <w:vAlign w:val="center"/>
          </w:tcPr>
          <w:p w14:paraId="33961B92">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通知</w:t>
            </w:r>
            <w:r>
              <w:rPr>
                <w:color w:val="000000" w:themeColor="text1"/>
                <w14:textFill>
                  <w14:solidFill>
                    <w14:schemeClr w14:val="tx1"/>
                  </w14:solidFill>
                </w14:textFill>
              </w:rPr>
              <w:t>》要求</w:t>
            </w:r>
          </w:p>
        </w:tc>
        <w:tc>
          <w:tcPr>
            <w:tcW w:w="1525" w:type="pct"/>
            <w:vAlign w:val="center"/>
          </w:tcPr>
          <w:p w14:paraId="20AC6DB5">
            <w:pPr>
              <w:pStyle w:val="28"/>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269" w:type="pct"/>
            <w:vAlign w:val="center"/>
          </w:tcPr>
          <w:p w14:paraId="11F97F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74AA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1DA0E8C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01" w:type="pct"/>
            <w:vAlign w:val="center"/>
          </w:tcPr>
          <w:p w14:paraId="410E13A6">
            <w:pPr>
              <w:pStyle w:val="28"/>
              <w:rPr>
                <w:color w:val="000000" w:themeColor="text1"/>
                <w14:textFill>
                  <w14:solidFill>
                    <w14:schemeClr w14:val="tx1"/>
                  </w14:solidFill>
                </w14:textFill>
              </w:rPr>
            </w:pPr>
            <w:r>
              <w:rPr>
                <w:color w:val="000000" w:themeColor="text1"/>
                <w14:textFill>
                  <w14:solidFill>
                    <w14:schemeClr w14:val="tx1"/>
                  </w14:solidFill>
                </w14:textFill>
              </w:rPr>
              <w:t>挥发性有机液体储罐</w:t>
            </w:r>
          </w:p>
        </w:tc>
        <w:tc>
          <w:tcPr>
            <w:tcW w:w="2346" w:type="pct"/>
            <w:vAlign w:val="center"/>
          </w:tcPr>
          <w:p w14:paraId="5414917C">
            <w:pPr>
              <w:pStyle w:val="28"/>
              <w:rPr>
                <w:color w:val="000000" w:themeColor="text1"/>
                <w14:textFill>
                  <w14:solidFill>
                    <w14:schemeClr w14:val="tx1"/>
                  </w14:solidFill>
                </w14:textFill>
              </w:rPr>
            </w:pPr>
            <w:r>
              <w:rPr>
                <w:color w:val="000000" w:themeColor="text1"/>
                <w14:textFill>
                  <w14:solidFill>
                    <w14:schemeClr w14:val="tx1"/>
                  </w14:solidFill>
                </w14:textFill>
              </w:rPr>
              <w:t>企业应按照标准要求，根据储存挥发性有机液体的真实蒸气压、储罐容积等进行储罐和浮盘边缘密封方式选型。重点区域存储汽油、航空煤油、石脑油以及苯、甲苯、二甲苯的内浮顶罐罐顶气未收集治理的，宜配备新型高效浮盘与配件，选用“全接液高效浮盘+二次密封”结构。鼓励使用低泄漏的储罐呼吸阀、紧急泄压阀；固定顶罐或建设有机废气治理设施的内浮顶罐宜配备压力监测设备，罐内压力低于50%设计开启压力时，呼吸阀、紧急泄压阀泄漏检测值不宜超过2000μmol/mol。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525" w:type="pct"/>
            <w:vAlign w:val="center"/>
          </w:tcPr>
          <w:p w14:paraId="341E152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r>
              <w:rPr>
                <w:color w:val="000000" w:themeColor="text1"/>
                <w14:textFill>
                  <w14:solidFill>
                    <w14:schemeClr w14:val="tx1"/>
                  </w14:solidFill>
                </w14:textFill>
              </w:rPr>
              <w:t>挥发性有机液体储罐</w:t>
            </w:r>
            <w:r>
              <w:rPr>
                <w:rFonts w:hint="eastAsia"/>
                <w:color w:val="000000" w:themeColor="text1"/>
                <w14:textFill>
                  <w14:solidFill>
                    <w14:schemeClr w14:val="tx1"/>
                  </w14:solidFill>
                </w14:textFill>
              </w:rPr>
              <w:t>，本项目有机溶剂密闭桶装入厂暂存、使用。</w:t>
            </w:r>
          </w:p>
        </w:tc>
        <w:tc>
          <w:tcPr>
            <w:tcW w:w="269" w:type="pct"/>
            <w:vAlign w:val="center"/>
          </w:tcPr>
          <w:p w14:paraId="011DF0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785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7D1EC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1" w:type="pct"/>
            <w:vAlign w:val="center"/>
          </w:tcPr>
          <w:p w14:paraId="2B75BC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挥发性有机液体装卸</w:t>
            </w:r>
          </w:p>
        </w:tc>
        <w:tc>
          <w:tcPr>
            <w:tcW w:w="2346" w:type="pct"/>
            <w:vAlign w:val="center"/>
          </w:tcPr>
          <w:p w14:paraId="5EC7A0A9">
            <w:pPr>
              <w:pStyle w:val="28"/>
              <w:rPr>
                <w:color w:val="000000" w:themeColor="text1"/>
                <w14:textFill>
                  <w14:solidFill>
                    <w14:schemeClr w14:val="tx1"/>
                  </w14:solidFill>
                </w14:textFill>
              </w:rPr>
            </w:pPr>
            <w:r>
              <w:rPr>
                <w:color w:val="000000" w:themeColor="text1"/>
                <w14:textFill>
                  <w14:solidFill>
                    <w14:schemeClr w14:val="tx1"/>
                  </w14:solidFill>
                </w14:textFill>
              </w:rPr>
              <w:t>汽车罐车按照标准采用适宜的装载方式，推广采用密封式快速接头等；铁路罐车推广使用锁紧式接头等。废气处理设施吸附剂应及时再生或更换，冷凝温度以及系统压力、气体流量、装载量等相关参数应满足设计要求；装载作业排气经过回收处理后不能稳定达标的，应进一步优化治理设施或实施深度治理。万吨级以上具备发油功能的码头加快建设油气回收设施，8000 总吨及以上油船加快建设密闭油气收集系统和惰性气体系统。开展铁路罐车扫仓过程 VOCs收集治理，鼓励开展铁路罐车、汽车罐车及船舶油舱的清洗、压舱过程废气收集治理。</w:t>
            </w:r>
          </w:p>
        </w:tc>
        <w:tc>
          <w:tcPr>
            <w:tcW w:w="1525" w:type="pct"/>
            <w:vAlign w:val="center"/>
          </w:tcPr>
          <w:p w14:paraId="2B6B56A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本项目不涉及挥发性有机液体散装装卸，本项目有机溶剂密闭桶装入厂。</w:t>
            </w:r>
          </w:p>
        </w:tc>
        <w:tc>
          <w:tcPr>
            <w:tcW w:w="269" w:type="pct"/>
            <w:vAlign w:val="center"/>
          </w:tcPr>
          <w:p w14:paraId="4FE8F8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146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1BA0175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01" w:type="pct"/>
            <w:vAlign w:val="center"/>
          </w:tcPr>
          <w:p w14:paraId="67AB81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敞开液面逸散</w:t>
            </w:r>
          </w:p>
        </w:tc>
        <w:tc>
          <w:tcPr>
            <w:tcW w:w="2346" w:type="pct"/>
            <w:vAlign w:val="center"/>
          </w:tcPr>
          <w:p w14:paraId="398773C4">
            <w:pPr>
              <w:pStyle w:val="28"/>
              <w:rPr>
                <w:color w:val="000000" w:themeColor="text1"/>
                <w14:textFill>
                  <w14:solidFill>
                    <w14:schemeClr w14:val="tx1"/>
                  </w14:solidFill>
                </w14:textFill>
              </w:rPr>
            </w:pPr>
            <w:r>
              <w:rPr>
                <w:color w:val="000000" w:themeColor="text1"/>
                <w14:textFill>
                  <w14:solidFill>
                    <w14:schemeClr w14:val="tx1"/>
                  </w14:solidFill>
                </w14:textFill>
              </w:rPr>
              <w:t>石油炼制、石油化工企业用于集输、储存、处理含VOCs废水的设施应密闭；农药原药、农药中间体、化学原料药、兽药原料药、医药中间体企业废水应密闭输送，储存、处理设施应在曝气池及其之前加盖密闭；其他行业根据标准要求检测敞开液面上方VOCs浓度，确定是否采取密闭收集措施。通过采取密闭管道等措施逐步替代地漏、沟、渠、井等敞开式集输方式，减少集水井、含油污水池数量；含油污水应密闭输送并鼓励设置水封，集水井、提升池或无移动部件的含油污水池可通过安装浮动顶盖或整体密闭等方式减少废气排放。池体密闭后保持微负压状态，可采用U型管或密封膜现场检测方法排查池体内部负压情况，密封效果差的加快整治。污水处理场集水井（池）、调节池、隔油池、气浮池、混入含油浮渣的浓缩池等产生的高浓度VOCs废气宜单独收集治理，采用预处理+催化氧化、焚烧等高效处理工艺。低浓度VOCs废气收集处理，确保达标排放。污水均质罐、污油罐、浮渣罐及酸性水罐、氨水罐有机废气鼓励收集处理。焦化行业优先采用干熄焦；采用湿熄焦工艺的，禁止使用未经处理或处理不达标的废水熄焦。对开式循环冷却水系统，每6个月对流经换热器进口和出口的循环冷却水中的总有机碳（TOC）浓度进行检测，若出口浓度大于进口浓度10%，要溯源泄漏点并及时修复。</w:t>
            </w:r>
          </w:p>
        </w:tc>
        <w:tc>
          <w:tcPr>
            <w:tcW w:w="1525" w:type="pct"/>
            <w:vAlign w:val="center"/>
          </w:tcPr>
          <w:p w14:paraId="1C70E69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外购的有机溶剂密闭桶装暂存于原料暂存间内，有机溶剂作为研磨介质使用，研磨设备全封闭，不涉及敞开液面逸散。研磨废气通过管道收集后进入废气处理系统，通过碱喷淋+除雾+活性炭吸附处理后通过15m高的排气筒排放。</w:t>
            </w:r>
          </w:p>
        </w:tc>
        <w:tc>
          <w:tcPr>
            <w:tcW w:w="269" w:type="pct"/>
            <w:vAlign w:val="center"/>
          </w:tcPr>
          <w:p w14:paraId="324A23A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696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8214E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01" w:type="pct"/>
            <w:vAlign w:val="center"/>
          </w:tcPr>
          <w:p w14:paraId="10DBBB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泄漏检测与修复</w:t>
            </w:r>
          </w:p>
        </w:tc>
        <w:tc>
          <w:tcPr>
            <w:tcW w:w="2346" w:type="pct"/>
            <w:vAlign w:val="center"/>
          </w:tcPr>
          <w:p w14:paraId="58AA36FF">
            <w:pPr>
              <w:pStyle w:val="28"/>
              <w:rPr>
                <w:color w:val="000000" w:themeColor="text1"/>
                <w14:textFill>
                  <w14:solidFill>
                    <w14:schemeClr w14:val="tx1"/>
                  </w14:solidFill>
                </w14:textFill>
              </w:rPr>
            </w:pPr>
            <w:r>
              <w:rPr>
                <w:color w:val="000000" w:themeColor="text1"/>
                <w14:textFill>
                  <w14:solidFill>
                    <w14:schemeClr w14:val="tx1"/>
                  </w14:solidFill>
                </w14:textFill>
              </w:rPr>
              <w:t>石油炼制、石油化工、合成树脂行业所有企业都应开展LDAR工作；其他行业企业中载有气态、液态VOCs物料的设备与管线组件密封点大于等于2000个的，应开展LDAR工作。要将VOCs收集管道、治理设施和与储罐连接的密封点纳入检测范围。按照相关技术规范要求，开展泄漏检测、修复、质量控制、记录管理等工作。鼓励大型石化、化工企业以及化工园区成立检测团队，自行开展LDAR工作或对第三方检测结果进行抽查。鼓励企业加严泄漏认定标准；对在用泵、备用泵、调节阀、搅拌器、开口管线等密封点加强巡检；定期采用红外成像仪等对不可达密封点进行泄漏筛查。鼓励重点区域石化、化工行业集中的城市和工业园区建立LDAR信息管理平台，进行统一监管。</w:t>
            </w:r>
          </w:p>
        </w:tc>
        <w:tc>
          <w:tcPr>
            <w:tcW w:w="1525" w:type="pct"/>
            <w:vAlign w:val="center"/>
          </w:tcPr>
          <w:p w14:paraId="150CC4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本项目不属于石油炼制、石油化工、合成树脂行业，企业生产运营过程中定期开展泄漏检测与修复工作，将VOCs收集管道、治理设施和与生产设备连接的密封点纳入检测范围，</w:t>
            </w:r>
            <w:r>
              <w:rPr>
                <w:color w:val="000000" w:themeColor="text1"/>
                <w14:textFill>
                  <w14:solidFill>
                    <w14:schemeClr w14:val="tx1"/>
                  </w14:solidFill>
                </w14:textFill>
              </w:rPr>
              <w:t>开展泄漏检测、修复、质量控制、记录管理等工作。</w:t>
            </w:r>
          </w:p>
        </w:tc>
        <w:tc>
          <w:tcPr>
            <w:tcW w:w="269" w:type="pct"/>
            <w:vAlign w:val="center"/>
          </w:tcPr>
          <w:p w14:paraId="25E6E97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8C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051F50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01" w:type="pct"/>
            <w:vAlign w:val="center"/>
          </w:tcPr>
          <w:p w14:paraId="1D5C8A4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废气收集设施</w:t>
            </w:r>
          </w:p>
        </w:tc>
        <w:tc>
          <w:tcPr>
            <w:tcW w:w="2346" w:type="pct"/>
            <w:vAlign w:val="center"/>
          </w:tcPr>
          <w:p w14:paraId="0230F613">
            <w:pPr>
              <w:pStyle w:val="28"/>
              <w:rPr>
                <w:color w:val="000000" w:themeColor="text1"/>
                <w14:textFill>
                  <w14:solidFill>
                    <w14:schemeClr w14:val="tx1"/>
                  </w14:solidFill>
                </w14:textFill>
              </w:rPr>
            </w:pPr>
            <w:r>
              <w:rPr>
                <w:color w:val="000000" w:themeColor="text1"/>
                <w14:textFill>
                  <w14:solidFill>
                    <w14:schemeClr w14:val="tx1"/>
                  </w14:solidFill>
                </w14:textFill>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使用VOCs质量占比大于等于10%的涂料、油墨、胶粘剂、稀释剂、清洗剂等物料存储、调配、转移、输送等环节应密闭。</w:t>
            </w:r>
          </w:p>
        </w:tc>
        <w:tc>
          <w:tcPr>
            <w:tcW w:w="1525" w:type="pct"/>
            <w:vAlign w:val="center"/>
          </w:tcPr>
          <w:p w14:paraId="2B5CE03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本项目研磨设备为密闭设备，车间均为封闭车间，</w:t>
            </w:r>
            <w:r>
              <w:rPr>
                <w:color w:val="000000" w:themeColor="text1"/>
                <w14:textFill>
                  <w14:solidFill>
                    <w14:schemeClr w14:val="tx1"/>
                  </w14:solidFill>
                </w14:textFill>
              </w:rPr>
              <w:t>并保持负压运行</w:t>
            </w:r>
            <w:r>
              <w:rPr>
                <w:rFonts w:hint="eastAsia"/>
                <w:color w:val="000000" w:themeColor="text1"/>
                <w14:textFill>
                  <w14:solidFill>
                    <w14:schemeClr w14:val="tx1"/>
                  </w14:solidFill>
                </w14:textFill>
              </w:rPr>
              <w:t>，废气收集系统的输送管道密闭、无破损。本项目有机溶剂密闭桶装储存</w:t>
            </w:r>
            <w:r>
              <w:rPr>
                <w:color w:val="000000" w:themeColor="text1"/>
                <w14:textFill>
                  <w14:solidFill>
                    <w14:schemeClr w14:val="tx1"/>
                  </w14:solidFill>
                </w14:textFill>
              </w:rPr>
              <w:t>、转移、输送</w:t>
            </w:r>
            <w:r>
              <w:rPr>
                <w:rFonts w:hint="eastAsia"/>
                <w:color w:val="000000" w:themeColor="text1"/>
                <w14:textFill>
                  <w14:solidFill>
                    <w14:schemeClr w14:val="tx1"/>
                  </w14:solidFill>
                </w14:textFill>
              </w:rPr>
              <w:t>。</w:t>
            </w:r>
          </w:p>
        </w:tc>
        <w:tc>
          <w:tcPr>
            <w:tcW w:w="269" w:type="pct"/>
            <w:vAlign w:val="center"/>
          </w:tcPr>
          <w:p w14:paraId="25116E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C7D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42F474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01" w:type="pct"/>
            <w:vAlign w:val="center"/>
          </w:tcPr>
          <w:p w14:paraId="371B41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有机废气旁路</w:t>
            </w:r>
          </w:p>
        </w:tc>
        <w:tc>
          <w:tcPr>
            <w:tcW w:w="2346" w:type="pct"/>
            <w:vAlign w:val="center"/>
          </w:tcPr>
          <w:p w14:paraId="2B9ECFC8">
            <w:pPr>
              <w:pStyle w:val="28"/>
              <w:rPr>
                <w:color w:val="000000" w:themeColor="text1"/>
                <w14:textFill>
                  <w14:solidFill>
                    <w14:schemeClr w14:val="tx1"/>
                  </w14:solidFill>
                </w14:textFill>
              </w:rPr>
            </w:pPr>
            <w:r>
              <w:rPr>
                <w:color w:val="000000" w:themeColor="text1"/>
                <w14:textFill>
                  <w14:solidFill>
                    <w14:schemeClr w14:val="tx1"/>
                  </w14:solidFill>
                </w14:textFill>
              </w:rPr>
              <w:t>对生产系统和治理设施旁路进行系统评估，除保障安全生产必须保留的应急类旁路外，应采取彻底拆除、切断、物理隔离等方式取缔旁路（含生产车间、生产装置建设的直排管线等）。工业涂装、包装印刷等溶剂使用类行业生产车间原则上不设置应急旁路。对于确需保留的应急类旁路，企业应向当地生态环境部门报备，在非紧急情况下保持关闭并铅封，通过安装自动监测设备、流量计等方式加强监管，并保存历史记录，开启后应及时向当地生态环境部门报告，做好台账记录；阀门腐蚀、损坏后应及时更换，鼓励选用泄漏率小于 0.5%的阀门；建设有中控系统的企业，鼓励在旁路设置感应式阀门，阀门开启状态、开度等信号接入中控系统，历史记录至少保存5年。在保证安全的前提下，鼓励对旁路废气进行处理，防止直排。</w:t>
            </w:r>
          </w:p>
        </w:tc>
        <w:tc>
          <w:tcPr>
            <w:tcW w:w="1525" w:type="pct"/>
            <w:vAlign w:val="center"/>
          </w:tcPr>
          <w:p w14:paraId="0695EC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本项目不涉及有机废气旁路。</w:t>
            </w:r>
          </w:p>
        </w:tc>
        <w:tc>
          <w:tcPr>
            <w:tcW w:w="269" w:type="pct"/>
            <w:vAlign w:val="center"/>
          </w:tcPr>
          <w:p w14:paraId="40B1B5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C72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70991CC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601" w:type="pct"/>
            <w:vMerge w:val="restart"/>
            <w:vAlign w:val="center"/>
          </w:tcPr>
          <w:p w14:paraId="3CF1CA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有机废气治理设施</w:t>
            </w:r>
          </w:p>
        </w:tc>
        <w:tc>
          <w:tcPr>
            <w:tcW w:w="2346" w:type="pct"/>
            <w:vAlign w:val="center"/>
          </w:tcPr>
          <w:p w14:paraId="22FDB91F">
            <w:pPr>
              <w:pStyle w:val="28"/>
              <w:rPr>
                <w:color w:val="000000" w:themeColor="text1"/>
                <w14:textFill>
                  <w14:solidFill>
                    <w14:schemeClr w14:val="tx1"/>
                  </w14:solidFill>
                </w14:textFill>
              </w:rPr>
            </w:pPr>
            <w:r>
              <w:rPr>
                <w:color w:val="000000" w:themeColor="text1"/>
                <w14:textFill>
                  <w14:solidFill>
                    <w14:schemeClr w14:val="tx1"/>
                  </w14:solidFill>
                </w14:textFill>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1525" w:type="pct"/>
            <w:vAlign w:val="center"/>
          </w:tcPr>
          <w:p w14:paraId="7AB398E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本项目有机废气采用活性炭进行吸附处理，参照《排污许可证申请与核发技术规范 电子工业》（HJ1031-2019）附录B中表B.1电子工业排污单位废气防治可行性技术参考表，活性炭吸附法属于可行性技术。经对照2025年《国家污染防治技术指导目录》，本项目采用活性炭吸附工艺处理VOCs，不属于名录中规定的低效类VOCs处理技术。</w:t>
            </w:r>
          </w:p>
        </w:tc>
        <w:tc>
          <w:tcPr>
            <w:tcW w:w="269" w:type="pct"/>
            <w:vAlign w:val="center"/>
          </w:tcPr>
          <w:p w14:paraId="56FDAA1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B69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1C9F36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601" w:type="pct"/>
            <w:vMerge w:val="continue"/>
            <w:vAlign w:val="center"/>
          </w:tcPr>
          <w:p w14:paraId="22F5D4DF">
            <w:pPr>
              <w:pStyle w:val="28"/>
              <w:rPr>
                <w:color w:val="000000" w:themeColor="text1"/>
                <w14:textFill>
                  <w14:solidFill>
                    <w14:schemeClr w14:val="tx1"/>
                  </w14:solidFill>
                </w14:textFill>
              </w:rPr>
            </w:pPr>
          </w:p>
        </w:tc>
        <w:tc>
          <w:tcPr>
            <w:tcW w:w="2346" w:type="pct"/>
            <w:vAlign w:val="center"/>
          </w:tcPr>
          <w:p w14:paraId="4BF43A3D">
            <w:pPr>
              <w:pStyle w:val="28"/>
              <w:rPr>
                <w:color w:val="000000" w:themeColor="text1"/>
                <w14:textFill>
                  <w14:solidFill>
                    <w14:schemeClr w14:val="tx1"/>
                  </w14:solidFill>
                </w14:textFill>
              </w:rPr>
            </w:pPr>
            <w:r>
              <w:rPr>
                <w:color w:val="000000" w:themeColor="text1"/>
                <w14:textFill>
                  <w14:solidFill>
                    <w14:schemeClr w14:val="tx1"/>
                  </w14:solidFill>
                </w14:textFill>
              </w:rPr>
              <w:t>加强运行维护管理，做到治理设施较生产设备</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先启后停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，在治理设施达到正常运行条件后方可启动生产设备，在生产设备停止、残留 VOCs 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tc>
        <w:tc>
          <w:tcPr>
            <w:tcW w:w="1525" w:type="pct"/>
            <w:vAlign w:val="center"/>
          </w:tcPr>
          <w:p w14:paraId="736B1E1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本项目生产期间废气处理设施先启动，设施设备关闭后再</w:t>
            </w:r>
            <w:r>
              <w:rPr>
                <w:color w:val="000000" w:themeColor="text1"/>
                <w14:textFill>
                  <w14:solidFill>
                    <w14:schemeClr w14:val="tx1"/>
                  </w14:solidFill>
                </w14:textFill>
              </w:rPr>
              <w:t>停运</w:t>
            </w: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治理设施</w:t>
            </w:r>
            <w:r>
              <w:rPr>
                <w:rFonts w:hint="eastAsia"/>
                <w:color w:val="000000" w:themeColor="text1"/>
                <w14:textFill>
                  <w14:solidFill>
                    <w14:schemeClr w14:val="tx1"/>
                  </w14:solidFill>
                </w14:textFill>
              </w:rPr>
              <w:t>，并做好生产设备和处理设施启停机时间、检维修情况、处理设施耗材维护更换、处置情况等台账记录。废气处理设施更换下来的废活性炭统一收集后暂存于危废暂存间内，定期交由有资质的单位进行清运处置。</w:t>
            </w:r>
          </w:p>
        </w:tc>
        <w:tc>
          <w:tcPr>
            <w:tcW w:w="269" w:type="pct"/>
            <w:vAlign w:val="center"/>
          </w:tcPr>
          <w:p w14:paraId="6F6E09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349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7D531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601" w:type="pct"/>
            <w:vMerge w:val="continue"/>
            <w:vAlign w:val="center"/>
          </w:tcPr>
          <w:p w14:paraId="28DA3BCC">
            <w:pPr>
              <w:pStyle w:val="28"/>
              <w:rPr>
                <w:color w:val="000000" w:themeColor="text1"/>
                <w14:textFill>
                  <w14:solidFill>
                    <w14:schemeClr w14:val="tx1"/>
                  </w14:solidFill>
                </w14:textFill>
              </w:rPr>
            </w:pPr>
          </w:p>
        </w:tc>
        <w:tc>
          <w:tcPr>
            <w:tcW w:w="2346" w:type="pct"/>
            <w:vAlign w:val="center"/>
          </w:tcPr>
          <w:p w14:paraId="5734D195">
            <w:pPr>
              <w:pStyle w:val="28"/>
              <w:rPr>
                <w:color w:val="000000" w:themeColor="text1"/>
                <w14:textFill>
                  <w14:solidFill>
                    <w14:schemeClr w14:val="tx1"/>
                  </w14:solidFill>
                </w14:textFill>
              </w:rPr>
            </w:pPr>
            <w:r>
              <w:rPr>
                <w:color w:val="000000" w:themeColor="text1"/>
                <w14:textFill>
                  <w14:solidFill>
                    <w14:schemeClr w14:val="tx1"/>
                  </w14:solidFill>
                </w14:textFill>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/g（BET法）。一次性活性炭吸附工艺宜采用颗粒活性炭作为吸附剂。活性炭、活性炭纤维产品销售时应提供产品质量证明材料。</w:t>
            </w:r>
          </w:p>
        </w:tc>
        <w:tc>
          <w:tcPr>
            <w:tcW w:w="1525" w:type="pct"/>
            <w:vAlign w:val="center"/>
          </w:tcPr>
          <w:p w14:paraId="20591E1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本项目采用碘值为1000mg/g的防水性高碘值活性炭进行填充，填充量为300kg，定期进行更换。</w:t>
            </w:r>
          </w:p>
        </w:tc>
        <w:tc>
          <w:tcPr>
            <w:tcW w:w="269" w:type="pct"/>
            <w:vAlign w:val="center"/>
          </w:tcPr>
          <w:p w14:paraId="15E528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79E9AA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w:t>
      </w:r>
      <w:r>
        <w:rPr>
          <w:color w:val="000000" w:themeColor="text1"/>
          <w14:textFill>
            <w14:solidFill>
              <w14:schemeClr w14:val="tx1"/>
            </w14:solidFill>
          </w14:textFill>
        </w:rPr>
        <w:t>，本项目符合《</w:t>
      </w:r>
      <w:r>
        <w:rPr>
          <w:rFonts w:hint="eastAsia"/>
          <w:color w:val="000000" w:themeColor="text1"/>
          <w14:textFill>
            <w14:solidFill>
              <w14:schemeClr w14:val="tx1"/>
            </w14:solidFill>
          </w14:textFill>
        </w:rPr>
        <w:t>关于加快解决当前挥发性有机物治理突出问题的通知</w:t>
      </w:r>
      <w:r>
        <w:rPr>
          <w:color w:val="000000" w:themeColor="text1"/>
          <w14:textFill>
            <w14:solidFill>
              <w14:schemeClr w14:val="tx1"/>
            </w14:solidFill>
          </w14:textFill>
        </w:rPr>
        <w:t>》中的相关要求。</w:t>
      </w:r>
    </w:p>
    <w:p w14:paraId="145070AB">
      <w:pPr>
        <w:pStyle w:val="3"/>
        <w:rPr>
          <w:color w:val="000000" w:themeColor="text1"/>
          <w14:textFill>
            <w14:solidFill>
              <w14:schemeClr w14:val="tx1"/>
            </w14:solidFill>
          </w14:textFill>
        </w:rPr>
      </w:pPr>
      <w:bookmarkStart w:id="160" w:name="_Toc14385"/>
      <w:r>
        <w:rPr>
          <w:rFonts w:hint="eastAsia"/>
          <w:color w:val="000000" w:themeColor="text1"/>
          <w14:textFill>
            <w14:solidFill>
              <w14:schemeClr w14:val="tx1"/>
            </w14:solidFill>
          </w14:textFill>
        </w:rPr>
        <w:t>9.6</w:t>
      </w:r>
      <w:r>
        <w:rPr>
          <w:color w:val="000000" w:themeColor="text1"/>
          <w14:textFill>
            <w14:solidFill>
              <w14:schemeClr w14:val="tx1"/>
            </w14:solidFill>
          </w14:textFill>
        </w:rPr>
        <w:t>与《云南省生态环境厅关于加快解决当前挥发性有机物治理突出问题的通知》符合性分析</w:t>
      </w:r>
      <w:bookmarkEnd w:id="160"/>
    </w:p>
    <w:p w14:paraId="6CFF06BE">
      <w:pPr>
        <w:ind w:firstLine="480"/>
        <w:rPr>
          <w:rFonts w:cs="Times New Roman"/>
          <w:b/>
          <w:bCs/>
          <w:color w:val="000000" w:themeColor="text1"/>
          <w:sz w:val="20"/>
          <w:szCs w:val="20"/>
          <w14:textFill>
            <w14:solidFill>
              <w14:schemeClr w14:val="tx1"/>
            </w14:solidFill>
          </w14:textFill>
        </w:rPr>
      </w:pPr>
      <w:r>
        <w:rPr>
          <w:color w:val="000000" w:themeColor="text1"/>
          <w14:textFill>
            <w14:solidFill>
              <w14:schemeClr w14:val="tx1"/>
            </w14:solidFill>
          </w14:textFill>
        </w:rPr>
        <w:t>根据《云南省生态环境厅关于加快解决当前挥发性有机物治理突出问题的通知》（云环通[2021]115号），本项目与《云南省生态环境厅关于加快解决当前挥发性有机物治理突出问题的通知》的符合性分析见下表</w:t>
      </w:r>
      <w:r>
        <w:rPr>
          <w:rFonts w:hint="eastAsia"/>
          <w:color w:val="000000" w:themeColor="text1"/>
          <w14:textFill>
            <w14:solidFill>
              <w14:schemeClr w14:val="tx1"/>
            </w14:solidFill>
          </w14:textFill>
        </w:rPr>
        <w:t>9.6-1</w:t>
      </w:r>
      <w:r>
        <w:rPr>
          <w:color w:val="000000" w:themeColor="text1"/>
          <w14:textFill>
            <w14:solidFill>
              <w14:schemeClr w14:val="tx1"/>
            </w14:solidFill>
          </w14:textFill>
        </w:rPr>
        <w:t>。</w:t>
      </w:r>
    </w:p>
    <w:p w14:paraId="0EB290D3">
      <w:pPr>
        <w:ind w:firstLine="0" w:firstLineChars="0"/>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表</w:t>
      </w:r>
      <w:r>
        <w:rPr>
          <w:rFonts w:hint="eastAsia" w:cs="Times New Roman"/>
          <w:b/>
          <w:bCs/>
          <w:color w:val="000000" w:themeColor="text1"/>
          <w:sz w:val="20"/>
          <w:szCs w:val="20"/>
          <w14:textFill>
            <w14:solidFill>
              <w14:schemeClr w14:val="tx1"/>
            </w14:solidFill>
          </w14:textFill>
        </w:rPr>
        <w:t xml:space="preserve">9.6-1  </w:t>
      </w:r>
      <w:r>
        <w:rPr>
          <w:rFonts w:cs="Times New Roman"/>
          <w:b/>
          <w:bCs/>
          <w:color w:val="000000" w:themeColor="text1"/>
          <w:sz w:val="20"/>
          <w:szCs w:val="20"/>
          <w14:textFill>
            <w14:solidFill>
              <w14:schemeClr w14:val="tx1"/>
            </w14:solidFill>
          </w14:textFill>
        </w:rPr>
        <w:t>与（云环通[2021]115号）的符合性分析</w:t>
      </w:r>
      <w:r>
        <w:rPr>
          <w:rFonts w:hint="eastAsia" w:cs="Times New Roman"/>
          <w:b/>
          <w:bCs/>
          <w:color w:val="000000" w:themeColor="text1"/>
          <w:sz w:val="20"/>
          <w:szCs w:val="20"/>
          <w14:textFill>
            <w14:solidFill>
              <w14:schemeClr w14:val="tx1"/>
            </w14:solidFill>
          </w14:textFill>
        </w:rPr>
        <w:t>对照表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3836"/>
        <w:gridCol w:w="3773"/>
        <w:gridCol w:w="467"/>
      </w:tblGrid>
      <w:tr w14:paraId="5C18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 w:type="pct"/>
            <w:vAlign w:val="center"/>
          </w:tcPr>
          <w:p w14:paraId="736AB468">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250" w:type="pct"/>
            <w:vAlign w:val="center"/>
          </w:tcPr>
          <w:p w14:paraId="5F97FE1A">
            <w:pPr>
              <w:pStyle w:val="28"/>
              <w:rPr>
                <w:color w:val="000000" w:themeColor="text1"/>
                <w14:textFill>
                  <w14:solidFill>
                    <w14:schemeClr w14:val="tx1"/>
                  </w14:solidFill>
                </w14:textFill>
              </w:rPr>
            </w:pPr>
            <w:r>
              <w:rPr>
                <w:color w:val="000000" w:themeColor="text1"/>
                <w14:textFill>
                  <w14:solidFill>
                    <w14:schemeClr w14:val="tx1"/>
                  </w14:solidFill>
                </w14:textFill>
              </w:rPr>
              <w:t>《通知》要求</w:t>
            </w:r>
          </w:p>
        </w:tc>
        <w:tc>
          <w:tcPr>
            <w:tcW w:w="2213" w:type="pct"/>
            <w:vAlign w:val="center"/>
          </w:tcPr>
          <w:p w14:paraId="64FC2341">
            <w:pPr>
              <w:pStyle w:val="28"/>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274" w:type="pct"/>
            <w:vAlign w:val="center"/>
          </w:tcPr>
          <w:p w14:paraId="37E15F76">
            <w:pPr>
              <w:pStyle w:val="28"/>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79B9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 w:type="pct"/>
            <w:vAlign w:val="center"/>
          </w:tcPr>
          <w:p w14:paraId="21A2AF22">
            <w:pPr>
              <w:pStyle w:val="28"/>
              <w:rPr>
                <w:color w:val="000000" w:themeColor="text1"/>
                <w14:textFill>
                  <w14:solidFill>
                    <w14:schemeClr w14:val="tx1"/>
                  </w14:solidFill>
                </w14:textFill>
              </w:rPr>
            </w:pPr>
            <w:r>
              <w:rPr>
                <w:color w:val="000000" w:themeColor="text1"/>
                <w14:textFill>
                  <w14:solidFill>
                    <w14:schemeClr w14:val="tx1"/>
                  </w14:solidFill>
                </w14:textFill>
              </w:rPr>
              <w:t>1</w:t>
            </w:r>
          </w:p>
        </w:tc>
        <w:tc>
          <w:tcPr>
            <w:tcW w:w="2250" w:type="pct"/>
            <w:vAlign w:val="center"/>
          </w:tcPr>
          <w:p w14:paraId="792581E4">
            <w:pPr>
              <w:pStyle w:val="28"/>
              <w:rPr>
                <w:color w:val="000000" w:themeColor="text1"/>
                <w14:textFill>
                  <w14:solidFill>
                    <w14:schemeClr w14:val="tx1"/>
                  </w14:solidFill>
                </w14:textFill>
              </w:rPr>
            </w:pPr>
            <w:r>
              <w:rPr>
                <w:color w:val="000000" w:themeColor="text1"/>
                <w14:textFill>
                  <w14:solidFill>
                    <w14:schemeClr w14:val="tx1"/>
                  </w14:solidFill>
                </w14:textFill>
              </w:rPr>
              <w:t>切实提高认识，把解决当前</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治理突出问题放在重要位置P</w:t>
            </w:r>
            <w:r>
              <w:rPr>
                <w:rFonts w:hint="eastAsia"/>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2</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的重要前体物。</w:t>
            </w:r>
          </w:p>
          <w:p w14:paraId="2EF5002A">
            <w:pPr>
              <w:pStyle w:val="28"/>
              <w:rPr>
                <w:color w:val="000000" w:themeColor="text1"/>
                <w14:textFill>
                  <w14:solidFill>
                    <w14:schemeClr w14:val="tx1"/>
                  </w14:solidFill>
                </w14:textFill>
              </w:rPr>
            </w:pPr>
            <w:r>
              <w:rPr>
                <w:color w:val="000000" w:themeColor="text1"/>
                <w14:textFill>
                  <w14:solidFill>
                    <w14:schemeClr w14:val="tx1"/>
                  </w14:solidFill>
                </w14:textFill>
              </w:rPr>
              <w:t>一是无组织排放问题突出。</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无组织排放控制和相关行业排放标准落实不到位，主要集中在</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液体储罐、装卸、敵开液面逸散、设备与管线组件泄漏等无组织排放环节。</w:t>
            </w:r>
          </w:p>
          <w:p w14:paraId="08141A50">
            <w:pPr>
              <w:pStyle w:val="28"/>
              <w:rPr>
                <w:color w:val="000000" w:themeColor="text1"/>
                <w14:textFill>
                  <w14:solidFill>
                    <w14:schemeClr w14:val="tx1"/>
                  </w14:solidFill>
                </w14:textFill>
              </w:rPr>
            </w:pPr>
            <w:r>
              <w:rPr>
                <w:color w:val="000000" w:themeColor="text1"/>
                <w14:textFill>
                  <w14:solidFill>
                    <w14:schemeClr w14:val="tx1"/>
                  </w14:solidFill>
                </w14:textFill>
              </w:rPr>
              <w:t>二是治理设施综合效率低。</w:t>
            </w:r>
            <w:r>
              <w:rPr>
                <w:rFonts w:hint="eastAsia"/>
                <w:color w:val="000000" w:themeColor="text1"/>
                <w14:textFill>
                  <w14:solidFill>
                    <w14:schemeClr w14:val="tx1"/>
                  </w14:solidFill>
                </w14:textFill>
              </w:rPr>
              <w:t>废</w:t>
            </w:r>
            <w:r>
              <w:rPr>
                <w:color w:val="000000" w:themeColor="text1"/>
                <w14:textFill>
                  <w14:solidFill>
                    <w14:schemeClr w14:val="tx1"/>
                  </w14:solidFill>
                </w14:textFill>
              </w:rPr>
              <w:t>气收集率普</w:t>
            </w:r>
            <w:r>
              <w:rPr>
                <w:rFonts w:hint="eastAsia"/>
                <w:color w:val="000000" w:themeColor="text1"/>
                <w14:textFill>
                  <w14:solidFill>
                    <w14:schemeClr w14:val="tx1"/>
                  </w14:solidFill>
                </w14:textFill>
              </w:rPr>
              <w:t>遍</w:t>
            </w:r>
            <w:r>
              <w:rPr>
                <w:color w:val="000000" w:themeColor="text1"/>
                <w14:textFill>
                  <w14:solidFill>
                    <w14:schemeClr w14:val="tx1"/>
                  </w14:solidFill>
                </w14:textFill>
              </w:rPr>
              <w:t>偏低，废气旁路多且无有效监管，部分企业甚至通过旁路偷排直排；部分治理设施低效，运行不规范，许多企业仍采用低温等离子、光催化、光氧化等低效技术；部分加油站油气回收装置运行不规范甚至闲置。</w:t>
            </w:r>
          </w:p>
          <w:p w14:paraId="06421461">
            <w:pPr>
              <w:pStyle w:val="28"/>
              <w:rPr>
                <w:color w:val="000000" w:themeColor="text1"/>
                <w14:textFill>
                  <w14:solidFill>
                    <w14:schemeClr w14:val="tx1"/>
                  </w14:solidFill>
                </w14:textFill>
              </w:rPr>
            </w:pPr>
            <w:r>
              <w:rPr>
                <w:color w:val="000000" w:themeColor="text1"/>
                <w14:textFill>
                  <w14:solidFill>
                    <w14:schemeClr w14:val="tx1"/>
                  </w14:solidFill>
                </w14:textFill>
              </w:rPr>
              <w:t>三是非正常工次排放尚未得到有效控制。部分企业开停工、检维修、设备调试、生产异常等非正常工况</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管控不到位，火炬排放未纳入监管范围。</w:t>
            </w:r>
          </w:p>
          <w:p w14:paraId="30149240">
            <w:pPr>
              <w:pStyle w:val="28"/>
              <w:rPr>
                <w:color w:val="000000" w:themeColor="text1"/>
                <w14:textFill>
                  <w14:solidFill>
                    <w14:schemeClr w14:val="tx1"/>
                  </w14:solidFill>
                </w14:textFill>
              </w:rPr>
            </w:pPr>
            <w:r>
              <w:rPr>
                <w:color w:val="000000" w:themeColor="text1"/>
                <w14:textFill>
                  <w14:solidFill>
                    <w14:schemeClr w14:val="tx1"/>
                  </w14:solidFill>
                </w14:textFill>
              </w:rPr>
              <w:t>四是源头控制力度不足。国家产品</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含量限值标准全面执行后监管力度有待加大，低</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含量涂料、油墨、胶粘剂、清洗剂使用比例较低。</w:t>
            </w:r>
          </w:p>
        </w:tc>
        <w:tc>
          <w:tcPr>
            <w:tcW w:w="2213" w:type="pct"/>
            <w:vAlign w:val="center"/>
          </w:tcPr>
          <w:p w14:paraId="203B5F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密闭式生产装置，生产过程中挥发出的有机废气通过管道收集进入废气处理系统处理后通过15m高的排气筒排放。活性炭吸附法适用于大风量、低浓度的有机废气。本项目有机废气主要是非甲烷总烃，废气产生量少，且浓度低，项目占地范围小，因此采用活性炭吸附是可行的。项目废气处理系统发生故障或检修时，生产工艺设备停止运行，待检修完毕后投入使用。本环评要求建设单位选用符合国家标准的有机溶剂。</w:t>
            </w:r>
          </w:p>
        </w:tc>
        <w:tc>
          <w:tcPr>
            <w:tcW w:w="274" w:type="pct"/>
            <w:vAlign w:val="center"/>
          </w:tcPr>
          <w:p w14:paraId="20DA81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234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 w:type="pct"/>
            <w:vAlign w:val="center"/>
          </w:tcPr>
          <w:p w14:paraId="4A3FE172">
            <w:pPr>
              <w:pStyle w:val="28"/>
              <w:rPr>
                <w:color w:val="000000" w:themeColor="text1"/>
                <w14:textFill>
                  <w14:solidFill>
                    <w14:schemeClr w14:val="tx1"/>
                  </w14:solidFill>
                </w14:textFill>
              </w:rPr>
            </w:pPr>
            <w:r>
              <w:rPr>
                <w:color w:val="000000" w:themeColor="text1"/>
                <w14:textFill>
                  <w14:solidFill>
                    <w14:schemeClr w14:val="tx1"/>
                  </w14:solidFill>
                </w14:textFill>
              </w:rPr>
              <w:t>2</w:t>
            </w:r>
          </w:p>
        </w:tc>
        <w:tc>
          <w:tcPr>
            <w:tcW w:w="2250" w:type="pct"/>
            <w:vAlign w:val="center"/>
          </w:tcPr>
          <w:p w14:paraId="0FB8AA9C">
            <w:pPr>
              <w:pStyle w:val="28"/>
              <w:rPr>
                <w:color w:val="000000" w:themeColor="text1"/>
                <w14:textFill>
                  <w14:solidFill>
                    <w14:schemeClr w14:val="tx1"/>
                  </w14:solidFill>
                </w14:textFill>
              </w:rPr>
            </w:pPr>
            <w:r>
              <w:rPr>
                <w:color w:val="000000" w:themeColor="text1"/>
                <w14:textFill>
                  <w14:solidFill>
                    <w14:schemeClr w14:val="tx1"/>
                  </w14:solidFill>
                </w14:textFill>
              </w:rPr>
              <w:t>坚持问题导向，深入推进</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综合治理加强</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治理指导帮扶和能力建设。</w:t>
            </w:r>
          </w:p>
          <w:p w14:paraId="3A75CE22">
            <w:pPr>
              <w:pStyle w:val="28"/>
              <w:rPr>
                <w:color w:val="000000" w:themeColor="text1"/>
                <w14:textFill>
                  <w14:solidFill>
                    <w14:schemeClr w14:val="tx1"/>
                  </w14:solidFill>
                </w14:textFill>
              </w:rPr>
            </w:pPr>
            <w:r>
              <w:rPr>
                <w:color w:val="000000" w:themeColor="text1"/>
                <w14:textFill>
                  <w14:solidFill>
                    <w14:schemeClr w14:val="tx1"/>
                  </w14:solidFill>
                </w14:textFill>
              </w:rPr>
              <w:t>根据相关要求，加强基层</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执法装备建设和监测能力建设，加强污染源、</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监测监控，2021年9月底前，完成</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重点排污单位主要排放口自动监控设施安装联网工作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对已安装的</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自动监控设施建设运行情况开展排查，达不到《固定污</w:t>
            </w:r>
            <w:r>
              <w:rPr>
                <w:rFonts w:hint="eastAsia"/>
                <w:color w:val="000000" w:themeColor="text1"/>
                <w14:textFill>
                  <w14:solidFill>
                    <w14:schemeClr w14:val="tx1"/>
                  </w14:solidFill>
                </w14:textFill>
              </w:rPr>
              <w:t>染</w:t>
            </w:r>
            <w:r>
              <w:rPr>
                <w:color w:val="000000" w:themeColor="text1"/>
                <w14:textFill>
                  <w14:solidFill>
                    <w14:schemeClr w14:val="tx1"/>
                  </w14:solidFill>
                </w14:textFill>
              </w:rPr>
              <w:t>源</w:t>
            </w:r>
            <w:r>
              <w:rPr>
                <w:color w:val="000000" w:themeColor="text1"/>
                <w14:textFill>
                  <w14:solidFill>
                    <w14:schemeClr w14:val="tx1"/>
                  </w14:solidFill>
                </w14:textFill>
              </w:rPr>
              <w:cr/>
            </w:r>
            <w:r>
              <w:rPr>
                <w:color w:val="000000" w:themeColor="text1"/>
                <w14:textFill>
                  <w14:solidFill>
                    <w14:schemeClr w14:val="tx1"/>
                  </w14:solidFill>
                </w14:textFill>
              </w:rPr>
              <w:t>气中非甲烷总烃排放连续监测技术指南(试行)》要求的，督促企业整改。</w:t>
            </w:r>
          </w:p>
        </w:tc>
        <w:tc>
          <w:tcPr>
            <w:tcW w:w="2213" w:type="pct"/>
            <w:vAlign w:val="center"/>
          </w:tcPr>
          <w:p w14:paraId="5471AF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本项目不属于重点排污单位，根据《固定污染源排污许可分类管理名录》（2019年版），本项目属于简化管理。根据《排污许可证申请与核发技术规范 电子工业》（HJ 1031—2019）中的相关要求，本项目不需要安装在线监测设施，本环评要求建设单位严格按照自行监测要求进行污染物监测。</w:t>
            </w:r>
          </w:p>
        </w:tc>
        <w:tc>
          <w:tcPr>
            <w:tcW w:w="274" w:type="pct"/>
            <w:vAlign w:val="center"/>
          </w:tcPr>
          <w:p w14:paraId="285F7C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663769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w:t>
      </w:r>
      <w:r>
        <w:rPr>
          <w:color w:val="000000" w:themeColor="text1"/>
          <w14:textFill>
            <w14:solidFill>
              <w14:schemeClr w14:val="tx1"/>
            </w14:solidFill>
          </w14:textFill>
        </w:rPr>
        <w:t>，本项目符合《云南省生态环境厅关于加快解决当前挥发性有机物治理突出问题的通知》中的相关要求。</w:t>
      </w:r>
    </w:p>
    <w:p w14:paraId="76CD2731">
      <w:pPr>
        <w:pStyle w:val="3"/>
        <w:rPr>
          <w:color w:val="000000" w:themeColor="text1"/>
          <w14:textFill>
            <w14:solidFill>
              <w14:schemeClr w14:val="tx1"/>
            </w14:solidFill>
          </w14:textFill>
        </w:rPr>
      </w:pPr>
      <w:bookmarkStart w:id="161" w:name="_Toc12293"/>
      <w:r>
        <w:rPr>
          <w:rFonts w:hint="eastAsia"/>
          <w:color w:val="000000" w:themeColor="text1"/>
          <w14:textFill>
            <w14:solidFill>
              <w14:schemeClr w14:val="tx1"/>
            </w14:solidFill>
          </w14:textFill>
        </w:rPr>
        <w:t>9.7与《云南省人民政府关于深入打好污染防治攻坚战的实施意见》符合性分析</w:t>
      </w:r>
      <w:bookmarkEnd w:id="161"/>
    </w:p>
    <w:p w14:paraId="376581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本项目与《云南省人民政府关于深入打好污染防治攻坚战的实施意见》的符合性分析见下表9.7-1：</w:t>
      </w:r>
    </w:p>
    <w:p w14:paraId="4C2331E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表9.7-1 与《实施意见》符合性分析对照表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542"/>
        <w:gridCol w:w="3661"/>
        <w:gridCol w:w="3062"/>
        <w:gridCol w:w="652"/>
      </w:tblGrid>
      <w:tr w14:paraId="5111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D3E35B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465" w:type="pct"/>
            <w:gridSpan w:val="2"/>
            <w:vAlign w:val="center"/>
          </w:tcPr>
          <w:p w14:paraId="569ED22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意见要求</w:t>
            </w:r>
          </w:p>
        </w:tc>
        <w:tc>
          <w:tcPr>
            <w:tcW w:w="1796" w:type="pct"/>
            <w:vAlign w:val="center"/>
          </w:tcPr>
          <w:p w14:paraId="25F09F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382" w:type="pct"/>
            <w:vAlign w:val="center"/>
          </w:tcPr>
          <w:p w14:paraId="1B1A0A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8A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335DDC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18" w:type="pct"/>
            <w:vMerge w:val="restart"/>
            <w:vAlign w:val="center"/>
          </w:tcPr>
          <w:p w14:paraId="32E557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加快推动绿色低碳发展</w:t>
            </w:r>
          </w:p>
        </w:tc>
        <w:tc>
          <w:tcPr>
            <w:tcW w:w="2147" w:type="pct"/>
            <w:vAlign w:val="center"/>
          </w:tcPr>
          <w:p w14:paraId="235B2C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推动能源清洁低碳转型。在保障能源安全的前提下，严格合理控制煤炭消费增长，有序减量替代。建设国家清洁能源基地，打造“风光水火储”多能互补基地，提高电能占终端能源消费比重。</w:t>
            </w:r>
          </w:p>
        </w:tc>
        <w:tc>
          <w:tcPr>
            <w:tcW w:w="1796" w:type="pct"/>
            <w:vAlign w:val="center"/>
          </w:tcPr>
          <w:p w14:paraId="7BCE053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本项目不涉及煤炭使用，能源使用电能，属于清洁能源。</w:t>
            </w:r>
          </w:p>
        </w:tc>
        <w:tc>
          <w:tcPr>
            <w:tcW w:w="382" w:type="pct"/>
            <w:vAlign w:val="center"/>
          </w:tcPr>
          <w:p w14:paraId="29AB38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E4D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29177CD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18" w:type="pct"/>
            <w:vMerge w:val="continue"/>
            <w:vAlign w:val="center"/>
          </w:tcPr>
          <w:p w14:paraId="051CF3D7">
            <w:pPr>
              <w:pStyle w:val="28"/>
              <w:rPr>
                <w:color w:val="000000" w:themeColor="text1"/>
                <w14:textFill>
                  <w14:solidFill>
                    <w14:schemeClr w14:val="tx1"/>
                  </w14:solidFill>
                </w14:textFill>
              </w:rPr>
            </w:pPr>
          </w:p>
        </w:tc>
        <w:tc>
          <w:tcPr>
            <w:tcW w:w="2147" w:type="pct"/>
            <w:vAlign w:val="center"/>
          </w:tcPr>
          <w:p w14:paraId="42C3274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坚决遏制高耗能高排放项目盲目发展。坚决停批停建不符合规定的项目，深入推进产业补链延链强链、绿色低碳转型。严格落实产能置换和产能控制政策，实施粗钢产能清理整顿。</w:t>
            </w:r>
          </w:p>
        </w:tc>
        <w:tc>
          <w:tcPr>
            <w:tcW w:w="1796" w:type="pct"/>
            <w:vAlign w:val="center"/>
          </w:tcPr>
          <w:p w14:paraId="53C643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本项目属于电子化工材料行业，属于轻工业，不属于高耗能高排放项目。</w:t>
            </w:r>
          </w:p>
        </w:tc>
        <w:tc>
          <w:tcPr>
            <w:tcW w:w="382" w:type="pct"/>
            <w:vAlign w:val="center"/>
          </w:tcPr>
          <w:p w14:paraId="7811CF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85E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74B84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18" w:type="pct"/>
            <w:vMerge w:val="continue"/>
            <w:vAlign w:val="center"/>
          </w:tcPr>
          <w:p w14:paraId="072E9DF3">
            <w:pPr>
              <w:pStyle w:val="28"/>
              <w:rPr>
                <w:color w:val="000000" w:themeColor="text1"/>
                <w14:textFill>
                  <w14:solidFill>
                    <w14:schemeClr w14:val="tx1"/>
                  </w14:solidFill>
                </w14:textFill>
              </w:rPr>
            </w:pPr>
          </w:p>
        </w:tc>
        <w:tc>
          <w:tcPr>
            <w:tcW w:w="2147" w:type="pct"/>
            <w:vAlign w:val="center"/>
          </w:tcPr>
          <w:p w14:paraId="226E1B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推进清洁生产和能源资源节约高效利用。深入实施清洁生产改造，依法开展清洁生产审核。推进绿色能源与绿色制造融合发展。强化能源和水资源“双控”，加强重点领域节能，实施节水行动。</w:t>
            </w:r>
          </w:p>
        </w:tc>
        <w:tc>
          <w:tcPr>
            <w:tcW w:w="1796" w:type="pct"/>
            <w:vAlign w:val="center"/>
          </w:tcPr>
          <w:p w14:paraId="751C9F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本项目使用电能，使用量不大。项目生产过程中用水环节较少，用水量较少。喷淋水、冷却水循环使用，减少新鲜水消耗。</w:t>
            </w:r>
          </w:p>
        </w:tc>
        <w:tc>
          <w:tcPr>
            <w:tcW w:w="382" w:type="pct"/>
            <w:vAlign w:val="center"/>
          </w:tcPr>
          <w:p w14:paraId="661D98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B1A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6EFC99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18" w:type="pct"/>
            <w:vAlign w:val="center"/>
          </w:tcPr>
          <w:p w14:paraId="6B8841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深入打好蓝天保卫战</w:t>
            </w:r>
          </w:p>
        </w:tc>
        <w:tc>
          <w:tcPr>
            <w:tcW w:w="2147" w:type="pct"/>
            <w:vAlign w:val="center"/>
          </w:tcPr>
          <w:p w14:paraId="6550D9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1796" w:type="pct"/>
            <w:vAlign w:val="center"/>
          </w:tcPr>
          <w:p w14:paraId="69C3F53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过程中的废气主要是投料粉尘、研磨废气、干燥废气、测试残渣处理废气和废水处理站废气。主要污染物为颗粒物、挥发性有机物、硫化氢，不涉及氮氧化物。经对照2025年《国家污染防治技术指导目录》，本项目采用活性炭吸附工艺处理VOCs，不属于名录中规定的低效类VOCs处理技术。本项目废气达标排放。</w:t>
            </w:r>
          </w:p>
        </w:tc>
        <w:tc>
          <w:tcPr>
            <w:tcW w:w="382" w:type="pct"/>
            <w:vAlign w:val="center"/>
          </w:tcPr>
          <w:p w14:paraId="1DA4173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8DC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2B25E9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18" w:type="pct"/>
            <w:vAlign w:val="center"/>
          </w:tcPr>
          <w:p w14:paraId="5FE2681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深入打好碧水保卫战</w:t>
            </w:r>
          </w:p>
        </w:tc>
        <w:tc>
          <w:tcPr>
            <w:tcW w:w="2147" w:type="pct"/>
            <w:vAlign w:val="center"/>
          </w:tcPr>
          <w:p w14:paraId="0BC039E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深入打好“湖泊革命”攻坚战。以革命性措施抓好九大高原湖泊保护治理，坚持“退、减、调、治、管”多措并举。强化流域空间管控和生态减负，引导人口和产业有序退出。转变农业生产方式，严控农业面源污染。系统推进流域环湖截污治污，加强湖泊内源污染风险防范。</w:t>
            </w:r>
          </w:p>
        </w:tc>
        <w:tc>
          <w:tcPr>
            <w:tcW w:w="1796" w:type="pct"/>
            <w:vAlign w:val="center"/>
          </w:tcPr>
          <w:p w14:paraId="687972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本项目不涉及九大高原湖泊。</w:t>
            </w:r>
          </w:p>
        </w:tc>
        <w:tc>
          <w:tcPr>
            <w:tcW w:w="382" w:type="pct"/>
            <w:vAlign w:val="center"/>
          </w:tcPr>
          <w:p w14:paraId="1635612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16A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58C141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18" w:type="pct"/>
            <w:vMerge w:val="restart"/>
            <w:vAlign w:val="center"/>
          </w:tcPr>
          <w:p w14:paraId="79ECD5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深入打好净土保卫战</w:t>
            </w:r>
          </w:p>
        </w:tc>
        <w:tc>
          <w:tcPr>
            <w:tcW w:w="2147" w:type="pct"/>
            <w:vAlign w:val="center"/>
          </w:tcPr>
          <w:p w14:paraId="0DBD2ED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有效管控建设用地土壤污染风险。严格建设用地土壤污染风险管控和修复名录内地块的准入管理，从严管控农药、化工等行业的重度污染地块规划用途。</w:t>
            </w:r>
          </w:p>
        </w:tc>
        <w:tc>
          <w:tcPr>
            <w:tcW w:w="1796" w:type="pct"/>
            <w:vAlign w:val="center"/>
          </w:tcPr>
          <w:p w14:paraId="2DBA07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本项目不属于建设用地土壤污染风险管控和修复名录内地块。本项目不涉及控农药、化工等行业。</w:t>
            </w:r>
          </w:p>
        </w:tc>
        <w:tc>
          <w:tcPr>
            <w:tcW w:w="382" w:type="pct"/>
            <w:vAlign w:val="center"/>
          </w:tcPr>
          <w:p w14:paraId="54CB2C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7EB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432AEB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18" w:type="pct"/>
            <w:vMerge w:val="continue"/>
            <w:vAlign w:val="center"/>
          </w:tcPr>
          <w:p w14:paraId="6096DB29">
            <w:pPr>
              <w:pStyle w:val="28"/>
              <w:rPr>
                <w:color w:val="000000" w:themeColor="text1"/>
                <w14:textFill>
                  <w14:solidFill>
                    <w14:schemeClr w14:val="tx1"/>
                  </w14:solidFill>
                </w14:textFill>
              </w:rPr>
            </w:pPr>
          </w:p>
        </w:tc>
        <w:tc>
          <w:tcPr>
            <w:tcW w:w="2147" w:type="pct"/>
            <w:vAlign w:val="center"/>
          </w:tcPr>
          <w:p w14:paraId="1662AB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稳步推进“无废城市”建设。稳步推进地级城市开展“无废城市”建设，积极推进无废学校、社区、企业等“无废细胞”建设。</w:t>
            </w:r>
          </w:p>
        </w:tc>
        <w:tc>
          <w:tcPr>
            <w:tcW w:w="1796" w:type="pct"/>
            <w:vAlign w:val="center"/>
          </w:tcPr>
          <w:p w14:paraId="626AA2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本项目固废均合理处置，不会造成二次污染。</w:t>
            </w:r>
          </w:p>
        </w:tc>
        <w:tc>
          <w:tcPr>
            <w:tcW w:w="382" w:type="pct"/>
            <w:vAlign w:val="center"/>
          </w:tcPr>
          <w:p w14:paraId="2FF6536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3283B2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根据上表分析，本项目符合《云南省人民政府关于深入打好污染防治攻坚战的实施意见》要求。</w:t>
      </w:r>
    </w:p>
    <w:p w14:paraId="01728F5A">
      <w:pPr>
        <w:pStyle w:val="3"/>
        <w:rPr>
          <w:color w:val="000000" w:themeColor="text1"/>
          <w14:textFill>
            <w14:solidFill>
              <w14:schemeClr w14:val="tx1"/>
            </w14:solidFill>
          </w14:textFill>
        </w:rPr>
      </w:pPr>
      <w:bookmarkStart w:id="162" w:name="_Toc15090"/>
      <w:r>
        <w:rPr>
          <w:rFonts w:hint="eastAsia"/>
          <w:color w:val="000000" w:themeColor="text1"/>
          <w14:textFill>
            <w14:solidFill>
              <w14:schemeClr w14:val="tx1"/>
            </w14:solidFill>
          </w14:textFill>
        </w:rPr>
        <w:t>9.8与《云南省空气质量持续改善行动实施方案》符合性分析</w:t>
      </w:r>
      <w:bookmarkEnd w:id="162"/>
    </w:p>
    <w:p w14:paraId="22F21D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2024年4月26日，云南省人民政府发布了《云南省空气质量持续改善行动实施方案》（云政</w:t>
      </w:r>
      <w:r>
        <w:rPr>
          <w:color w:val="000000" w:themeColor="text1"/>
          <w14:textFill>
            <w14:solidFill>
              <w14:schemeClr w14:val="tx1"/>
            </w14:solidFill>
          </w14:textFill>
        </w:rPr>
        <w:t>发〔202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4号</w:t>
      </w:r>
      <w:r>
        <w:rPr>
          <w:rFonts w:hint="eastAsia"/>
          <w:color w:val="000000" w:themeColor="text1"/>
          <w14:textFill>
            <w14:solidFill>
              <w14:schemeClr w14:val="tx1"/>
            </w14:solidFill>
          </w14:textFill>
        </w:rPr>
        <w:t>），本项目与《方案》相关要求相符性分析</w:t>
      </w:r>
      <w:r>
        <w:rPr>
          <w:color w:val="000000" w:themeColor="text1"/>
          <w14:textFill>
            <w14:solidFill>
              <w14:schemeClr w14:val="tx1"/>
            </w14:solidFill>
          </w14:textFill>
        </w:rPr>
        <w:t>如下</w:t>
      </w:r>
      <w:r>
        <w:rPr>
          <w:rFonts w:hint="eastAsia"/>
          <w:color w:val="000000" w:themeColor="text1"/>
          <w14:textFill>
            <w14:solidFill>
              <w14:schemeClr w14:val="tx1"/>
            </w14:solidFill>
          </w14:textFill>
        </w:rPr>
        <w:t>表9.8-1：</w:t>
      </w:r>
    </w:p>
    <w:p w14:paraId="4DD1A638">
      <w:pPr>
        <w:pStyle w:val="27"/>
        <w:rPr>
          <w:rFonts w:hint="eastAsia"/>
          <w:color w:val="000000" w:themeColor="text1"/>
          <w14:textFill>
            <w14:solidFill>
              <w14:schemeClr w14:val="tx1"/>
            </w14:solidFill>
          </w14:textFill>
        </w:rPr>
      </w:pPr>
    </w:p>
    <w:p w14:paraId="72427BF1">
      <w:pPr>
        <w:pStyle w:val="27"/>
        <w:rPr>
          <w:rFonts w:hint="eastAsia"/>
          <w:color w:val="000000" w:themeColor="text1"/>
          <w14:textFill>
            <w14:solidFill>
              <w14:schemeClr w14:val="tx1"/>
            </w14:solidFill>
          </w14:textFill>
        </w:rPr>
      </w:pPr>
    </w:p>
    <w:p w14:paraId="1E7D5B31">
      <w:pPr>
        <w:pStyle w:val="27"/>
        <w:rPr>
          <w:rFonts w:hint="eastAsia"/>
          <w:color w:val="000000" w:themeColor="text1"/>
          <w14:textFill>
            <w14:solidFill>
              <w14:schemeClr w14:val="tx1"/>
            </w14:solidFill>
          </w14:textFill>
        </w:rPr>
      </w:pPr>
    </w:p>
    <w:p w14:paraId="48578493">
      <w:pPr>
        <w:pStyle w:val="27"/>
        <w:rPr>
          <w:rFonts w:hint="eastAsia"/>
          <w:color w:val="000000" w:themeColor="text1"/>
          <w14:textFill>
            <w14:solidFill>
              <w14:schemeClr w14:val="tx1"/>
            </w14:solidFill>
          </w14:textFill>
        </w:rPr>
      </w:pPr>
    </w:p>
    <w:p w14:paraId="3D7009D7">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表9.8-1  </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《云南省空气质量持续改善行动实施方案》</w:t>
      </w:r>
      <w:r>
        <w:rPr>
          <w:color w:val="000000" w:themeColor="text1"/>
          <w14:textFill>
            <w14:solidFill>
              <w14:schemeClr w14:val="tx1"/>
            </w14:solidFill>
          </w14:textFill>
        </w:rPr>
        <w:t>符合性分析</w:t>
      </w:r>
      <w:r>
        <w:rPr>
          <w:rFonts w:hint="eastAsia"/>
          <w:color w:val="000000" w:themeColor="text1"/>
          <w14:textFill>
            <w14:solidFill>
              <w14:schemeClr w14:val="tx1"/>
            </w14:solidFill>
          </w14:textFill>
        </w:rPr>
        <w:t>对照表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4080"/>
        <w:gridCol w:w="3084"/>
        <w:gridCol w:w="476"/>
      </w:tblGrid>
      <w:tr w14:paraId="3CF1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512" w:type="pct"/>
            <w:tcBorders>
              <w:tl2br w:val="nil"/>
              <w:tr2bl w:val="nil"/>
            </w:tcBorders>
            <w:vAlign w:val="center"/>
          </w:tcPr>
          <w:p w14:paraId="0E3653B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序号</w:t>
            </w:r>
          </w:p>
        </w:tc>
        <w:tc>
          <w:tcPr>
            <w:tcW w:w="2396" w:type="pct"/>
            <w:tcBorders>
              <w:tl2br w:val="nil"/>
              <w:tr2bl w:val="nil"/>
            </w:tcBorders>
            <w:vAlign w:val="center"/>
          </w:tcPr>
          <w:p w14:paraId="5535492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《方案》要求</w:t>
            </w:r>
          </w:p>
        </w:tc>
        <w:tc>
          <w:tcPr>
            <w:tcW w:w="1811" w:type="pct"/>
            <w:tcBorders>
              <w:tl2br w:val="nil"/>
              <w:tr2bl w:val="nil"/>
            </w:tcBorders>
            <w:vAlign w:val="center"/>
          </w:tcPr>
          <w:p w14:paraId="78450CB3">
            <w:pPr>
              <w:pStyle w:val="28"/>
              <w:rPr>
                <w:bCs/>
                <w:color w:val="000000" w:themeColor="text1"/>
                <w14:textFill>
                  <w14:solidFill>
                    <w14:schemeClr w14:val="tx1"/>
                  </w14:solidFill>
                </w14:textFill>
              </w:rPr>
            </w:pPr>
            <w:r>
              <w:rPr>
                <w:bCs/>
                <w:color w:val="000000" w:themeColor="text1"/>
                <w14:textFill>
                  <w14:solidFill>
                    <w14:schemeClr w14:val="tx1"/>
                  </w14:solidFill>
                </w14:textFill>
              </w:rPr>
              <w:t>项目</w:t>
            </w:r>
            <w:r>
              <w:rPr>
                <w:rFonts w:hint="eastAsia"/>
                <w:bCs/>
                <w:color w:val="000000" w:themeColor="text1"/>
                <w14:textFill>
                  <w14:solidFill>
                    <w14:schemeClr w14:val="tx1"/>
                  </w14:solidFill>
                </w14:textFill>
              </w:rPr>
              <w:t>情况</w:t>
            </w:r>
          </w:p>
        </w:tc>
        <w:tc>
          <w:tcPr>
            <w:tcW w:w="279" w:type="pct"/>
            <w:tcBorders>
              <w:tl2br w:val="nil"/>
              <w:tr2bl w:val="nil"/>
            </w:tcBorders>
            <w:vAlign w:val="center"/>
          </w:tcPr>
          <w:p w14:paraId="0C052891">
            <w:pPr>
              <w:pStyle w:val="28"/>
              <w:rPr>
                <w:bCs/>
                <w:color w:val="000000" w:themeColor="text1"/>
                <w14:textFill>
                  <w14:solidFill>
                    <w14:schemeClr w14:val="tx1"/>
                  </w14:solidFill>
                </w14:textFill>
              </w:rPr>
            </w:pPr>
            <w:r>
              <w:rPr>
                <w:bCs/>
                <w:color w:val="000000" w:themeColor="text1"/>
                <w14:textFill>
                  <w14:solidFill>
                    <w14:schemeClr w14:val="tx1"/>
                  </w14:solidFill>
                </w14:textFill>
              </w:rPr>
              <w:t>符合性</w:t>
            </w:r>
          </w:p>
        </w:tc>
      </w:tr>
      <w:tr w14:paraId="62F1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275520A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396" w:type="pct"/>
            <w:tcBorders>
              <w:tl2br w:val="nil"/>
              <w:tr2bl w:val="nil"/>
            </w:tcBorders>
            <w:vAlign w:val="center"/>
          </w:tcPr>
          <w:p w14:paraId="07D3317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w:t>
            </w:r>
          </w:p>
        </w:tc>
        <w:tc>
          <w:tcPr>
            <w:tcW w:w="1811" w:type="pct"/>
            <w:tcBorders>
              <w:tl2br w:val="nil"/>
              <w:tr2bl w:val="nil"/>
            </w:tcBorders>
            <w:vAlign w:val="center"/>
          </w:tcPr>
          <w:p w14:paraId="4C1E5B6E">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属于“两高一低”项目，本项目符合产业政策，满足生态环境分区管控要求，符合园区规划及规划环评要求。本项目废气、废水达标排放。污染物排放量较少，满足总量控制要求。本项目使用清洁能源，水电消耗量不高，采用清洁运输方式。</w:t>
            </w:r>
          </w:p>
        </w:tc>
        <w:tc>
          <w:tcPr>
            <w:tcW w:w="279" w:type="pct"/>
            <w:tcBorders>
              <w:tl2br w:val="nil"/>
              <w:tr2bl w:val="nil"/>
            </w:tcBorders>
            <w:vAlign w:val="center"/>
          </w:tcPr>
          <w:p w14:paraId="43A66EB1">
            <w:pPr>
              <w:ind w:firstLine="0" w:firstLineChars="0"/>
              <w:jc w:val="center"/>
              <w:rPr>
                <w:bCs/>
                <w:color w:val="000000" w:themeColor="text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2A2D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5E26A466">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396" w:type="pct"/>
            <w:tcBorders>
              <w:tl2br w:val="nil"/>
              <w:tr2bl w:val="nil"/>
            </w:tcBorders>
            <w:vAlign w:val="center"/>
          </w:tcPr>
          <w:p w14:paraId="0B7DB65F">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811" w:type="pct"/>
            <w:tcBorders>
              <w:tl2br w:val="nil"/>
              <w:tr2bl w:val="nil"/>
            </w:tcBorders>
            <w:vAlign w:val="center"/>
          </w:tcPr>
          <w:p w14:paraId="70CA21C4">
            <w:pPr>
              <w:pStyle w:val="28"/>
              <w:rPr>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本项目为新建项目。</w:t>
            </w:r>
            <w:r>
              <w:rPr>
                <w:rFonts w:cs="Times New Roman"/>
                <w:bCs/>
                <w:color w:val="000000" w:themeColor="text1"/>
                <w14:textFill>
                  <w14:solidFill>
                    <w14:schemeClr w14:val="tx1"/>
                  </w14:solidFill>
                </w14:textFill>
              </w:rPr>
              <w:t>对照</w:t>
            </w:r>
            <w:r>
              <w:rPr>
                <w:rFonts w:cs="Times New Roman"/>
                <w:bCs/>
                <w:snapToGrid w:val="0"/>
                <w:color w:val="000000" w:themeColor="text1"/>
                <w:kern w:val="0"/>
                <w14:textFill>
                  <w14:solidFill>
                    <w14:schemeClr w14:val="tx1"/>
                  </w14:solidFill>
                </w14:textFill>
              </w:rPr>
              <w:t>《产业结构调整指导目录（20</w:t>
            </w:r>
            <w:r>
              <w:rPr>
                <w:rFonts w:hint="eastAsia" w:cs="Times New Roman"/>
                <w:bCs/>
                <w:snapToGrid w:val="0"/>
                <w:color w:val="000000" w:themeColor="text1"/>
                <w:kern w:val="0"/>
                <w14:textFill>
                  <w14:solidFill>
                    <w14:schemeClr w14:val="tx1"/>
                  </w14:solidFill>
                </w14:textFill>
              </w:rPr>
              <w:t>24</w:t>
            </w:r>
            <w:r>
              <w:rPr>
                <w:rFonts w:cs="Times New Roman"/>
                <w:bCs/>
                <w:snapToGrid w:val="0"/>
                <w:color w:val="000000" w:themeColor="text1"/>
                <w:kern w:val="0"/>
                <w14:textFill>
                  <w14:solidFill>
                    <w14:schemeClr w14:val="tx1"/>
                  </w14:solidFill>
                </w14:textFill>
              </w:rPr>
              <w:t>年本）》</w:t>
            </w:r>
            <w:r>
              <w:rPr>
                <w:rFonts w:hint="eastAsia" w:cs="Times New Roman"/>
                <w:bCs/>
                <w:snapToGrid w:val="0"/>
                <w:color w:val="000000" w:themeColor="text1"/>
                <w:kern w:val="0"/>
                <w14:textFill>
                  <w14:solidFill>
                    <w14:schemeClr w14:val="tx1"/>
                  </w14:solidFill>
                </w14:textFill>
              </w:rPr>
              <w:t>，</w:t>
            </w:r>
            <w:r>
              <w:rPr>
                <w:rFonts w:cs="Times New Roman"/>
                <w:bCs/>
                <w:color w:val="000000" w:themeColor="text1"/>
                <w14:textFill>
                  <w14:solidFill>
                    <w14:schemeClr w14:val="tx1"/>
                  </w14:solidFill>
                </w14:textFill>
              </w:rPr>
              <w:t>本项目属于目录中鼓励类项目</w:t>
            </w:r>
            <w:r>
              <w:rPr>
                <w:rFonts w:hint="eastAsia" w:cs="Times New Roman"/>
                <w:bCs/>
                <w:color w:val="000000" w:themeColor="text1"/>
                <w14:textFill>
                  <w14:solidFill>
                    <w14:schemeClr w14:val="tx1"/>
                  </w14:solidFill>
                </w14:textFill>
              </w:rPr>
              <w:t>。</w:t>
            </w:r>
          </w:p>
        </w:tc>
        <w:tc>
          <w:tcPr>
            <w:tcW w:w="279" w:type="pct"/>
            <w:tcBorders>
              <w:tl2br w:val="nil"/>
              <w:tr2bl w:val="nil"/>
            </w:tcBorders>
            <w:vAlign w:val="center"/>
          </w:tcPr>
          <w:p w14:paraId="157E5271">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714B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2F4C9ED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396" w:type="pct"/>
            <w:tcBorders>
              <w:tl2br w:val="nil"/>
              <w:tr2bl w:val="nil"/>
            </w:tcBorders>
            <w:vAlign w:val="center"/>
          </w:tcPr>
          <w:p w14:paraId="29757272">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优化含VOCs原辅材料和产品结构。严格控制生产和使用高VOCs含量涂料、油墨、胶粘剂、清洗剂等建设项目，加大工业涂装、包装印刷和电子行业低（无）VOCs含量原辅材料替代力度。</w:t>
            </w:r>
          </w:p>
        </w:tc>
        <w:tc>
          <w:tcPr>
            <w:tcW w:w="1811" w:type="pct"/>
            <w:tcBorders>
              <w:tl2br w:val="nil"/>
              <w:tr2bl w:val="nil"/>
            </w:tcBorders>
            <w:vAlign w:val="center"/>
          </w:tcPr>
          <w:p w14:paraId="19B453F0">
            <w:pPr>
              <w:pStyle w:val="28"/>
              <w:rPr>
                <w:rFonts w:cs="Times New Roman"/>
                <w:bCs/>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根据相关研究，对于固态电解质生产项目，液相法以有机溶剂为介质，可以合成颗粒较小的硫化物固体电解质，工艺简单省时，更适用于规模化生产。若不使用有机溶剂，采用固相烧结法或高能球磨法，不仅耗时长、能耗高，且合成的电解质颗粒尺寸较大，可能影响产品性能。因此，从生产工艺的合理性和产品质量的保障角度来看，使用有机溶剂具有一定的必要性。虽然项目使用了有机溶剂，但在生产过程中，通过在研磨、离心等设备中设置良好的密封装置，防止有机溶剂泄漏到空气中。同时，对于挥发的少量有机溶剂，通过安装废气收集处理系统，采用活性炭吸附工艺对废气中的 VOCs进行处理，降低 VOCs的排放浓度</w:t>
            </w:r>
            <w:r>
              <w:rPr>
                <w:rFonts w:hint="eastAsia" w:cs="Times New Roman"/>
                <w:bCs/>
                <w:color w:val="000000" w:themeColor="text1"/>
                <w:szCs w:val="21"/>
                <w14:textFill>
                  <w14:solidFill>
                    <w14:schemeClr w14:val="tx1"/>
                  </w14:solidFill>
                </w14:textFill>
              </w:rPr>
              <w:t>。</w:t>
            </w:r>
          </w:p>
        </w:tc>
        <w:tc>
          <w:tcPr>
            <w:tcW w:w="279" w:type="pct"/>
            <w:tcBorders>
              <w:tl2br w:val="nil"/>
              <w:tr2bl w:val="nil"/>
            </w:tcBorders>
            <w:vAlign w:val="center"/>
          </w:tcPr>
          <w:p w14:paraId="3604CD78">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4700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6ED6837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396" w:type="pct"/>
            <w:tcBorders>
              <w:tl2br w:val="nil"/>
              <w:tr2bl w:val="nil"/>
            </w:tcBorders>
            <w:vAlign w:val="center"/>
          </w:tcPr>
          <w:p w14:paraId="367E98A4">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大力发展新能源和清洁能源。到2025年，非化石能源消费比重较2020年提高4个百分点以上，电能占终端能源消费比重达30%以上。持续增加天然气生产供应，新增天然气优先保障居民生活和清洁取暖需求。</w:t>
            </w:r>
          </w:p>
        </w:tc>
        <w:tc>
          <w:tcPr>
            <w:tcW w:w="1811" w:type="pct"/>
            <w:tcBorders>
              <w:tl2br w:val="nil"/>
              <w:tr2bl w:val="nil"/>
            </w:tcBorders>
            <w:vAlign w:val="center"/>
          </w:tcPr>
          <w:p w14:paraId="31B2A3C5">
            <w:pPr>
              <w:pStyle w:val="28"/>
              <w:rPr>
                <w:bCs/>
                <w:color w:val="000000" w:themeColor="text1"/>
                <w14:textFill>
                  <w14:solidFill>
                    <w14:schemeClr w14:val="tx1"/>
                  </w14:solidFill>
                </w14:textFill>
              </w:rPr>
            </w:pPr>
            <w:r>
              <w:rPr>
                <w:rFonts w:hint="eastAsia" w:cs="Times New Roman"/>
                <w:bCs/>
                <w:color w:val="000000" w:themeColor="text1"/>
                <w:szCs w:val="21"/>
                <w14:textFill>
                  <w14:solidFill>
                    <w14:schemeClr w14:val="tx1"/>
                  </w14:solidFill>
                </w14:textFill>
              </w:rPr>
              <w:t>本项目</w:t>
            </w:r>
            <w:r>
              <w:rPr>
                <w:rFonts w:hint="eastAsia" w:cs="Times New Roman"/>
                <w:bCs/>
                <w:color w:val="000000" w:themeColor="text1"/>
                <w14:textFill>
                  <w14:solidFill>
                    <w14:schemeClr w14:val="tx1"/>
                  </w14:solidFill>
                </w14:textFill>
              </w:rPr>
              <w:t>生产使用能源主要为电能，为清洁能源</w:t>
            </w:r>
            <w:r>
              <w:rPr>
                <w:rFonts w:hint="eastAsia" w:cs="Times New Roman"/>
                <w:bCs/>
                <w:color w:val="000000" w:themeColor="text1"/>
                <w:szCs w:val="21"/>
                <w14:textFill>
                  <w14:solidFill>
                    <w14:schemeClr w14:val="tx1"/>
                  </w14:solidFill>
                </w14:textFill>
              </w:rPr>
              <w:t>，符合清洁能源要求。</w:t>
            </w:r>
          </w:p>
        </w:tc>
        <w:tc>
          <w:tcPr>
            <w:tcW w:w="279" w:type="pct"/>
            <w:tcBorders>
              <w:tl2br w:val="nil"/>
              <w:tr2bl w:val="nil"/>
            </w:tcBorders>
            <w:vAlign w:val="center"/>
          </w:tcPr>
          <w:p w14:paraId="2D418E64">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6214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72882A3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396" w:type="pct"/>
            <w:tcBorders>
              <w:tl2br w:val="nil"/>
              <w:tr2bl w:val="nil"/>
            </w:tcBorders>
            <w:vAlign w:val="center"/>
          </w:tcPr>
          <w:p w14:paraId="6CC8E5EF">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tc>
        <w:tc>
          <w:tcPr>
            <w:tcW w:w="1811" w:type="pct"/>
            <w:tcBorders>
              <w:tl2br w:val="nil"/>
              <w:tr2bl w:val="nil"/>
            </w:tcBorders>
            <w:vAlign w:val="center"/>
          </w:tcPr>
          <w:p w14:paraId="7229ED32">
            <w:pPr>
              <w:pStyle w:val="28"/>
              <w:rPr>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本项目不涉及农特产品加工。本项目生产使用能源主要为电能，为清洁能源，配套建设废气治理设施，减少大气污染物的排放量。</w:t>
            </w:r>
          </w:p>
        </w:tc>
        <w:tc>
          <w:tcPr>
            <w:tcW w:w="279" w:type="pct"/>
            <w:tcBorders>
              <w:tl2br w:val="nil"/>
              <w:tr2bl w:val="nil"/>
            </w:tcBorders>
            <w:vAlign w:val="center"/>
          </w:tcPr>
          <w:p w14:paraId="4D7D7C3E">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10F7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3BC3EF21">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2396" w:type="pct"/>
            <w:tcBorders>
              <w:tl2br w:val="nil"/>
              <w:tr2bl w:val="nil"/>
            </w:tcBorders>
            <w:vAlign w:val="center"/>
          </w:tcPr>
          <w:p w14:paraId="66B9A0EC">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推动工业炉窑清洁能源替代。有序推进以电代煤，积极稳妥推进以气代煤。对以煤、石油焦、渣油、重油等为燃料的工业炉窑，加快使用工业余热、电能、天然气等清洁能源进行替代。</w:t>
            </w:r>
          </w:p>
        </w:tc>
        <w:tc>
          <w:tcPr>
            <w:tcW w:w="1811" w:type="pct"/>
            <w:tcBorders>
              <w:tl2br w:val="nil"/>
              <w:tr2bl w:val="nil"/>
            </w:tcBorders>
            <w:vAlign w:val="center"/>
          </w:tcPr>
          <w:p w14:paraId="7A5F7910">
            <w:pPr>
              <w:pStyle w:val="28"/>
              <w:rPr>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本项目生产不涉及炉窑使用。</w:t>
            </w:r>
          </w:p>
        </w:tc>
        <w:tc>
          <w:tcPr>
            <w:tcW w:w="279" w:type="pct"/>
            <w:tcBorders>
              <w:tl2br w:val="nil"/>
              <w:tr2bl w:val="nil"/>
            </w:tcBorders>
            <w:vAlign w:val="center"/>
          </w:tcPr>
          <w:p w14:paraId="3BB45A44">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7D0D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0AE0B3FB">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2396" w:type="pct"/>
            <w:tcBorders>
              <w:tl2br w:val="nil"/>
              <w:tr2bl w:val="nil"/>
            </w:tcBorders>
            <w:vAlign w:val="center"/>
          </w:tcPr>
          <w:p w14:paraId="69656A8A">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811" w:type="pct"/>
            <w:tcBorders>
              <w:tl2br w:val="nil"/>
              <w:tr2bl w:val="nil"/>
            </w:tcBorders>
            <w:vAlign w:val="center"/>
          </w:tcPr>
          <w:p w14:paraId="72B51F79">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本项目租用已建成的厂房进行生产，施工期项目不涉及土建施工，仅涉及设备进场和安装，施工期工艺简单，工期短，扬尘产生量少，对周边环境的影响较小。</w:t>
            </w:r>
          </w:p>
        </w:tc>
        <w:tc>
          <w:tcPr>
            <w:tcW w:w="279" w:type="pct"/>
            <w:tcBorders>
              <w:tl2br w:val="nil"/>
              <w:tr2bl w:val="nil"/>
            </w:tcBorders>
            <w:vAlign w:val="center"/>
          </w:tcPr>
          <w:p w14:paraId="29856204">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6D56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tcBorders>
              <w:tl2br w:val="nil"/>
              <w:tr2bl w:val="nil"/>
            </w:tcBorders>
            <w:vAlign w:val="center"/>
          </w:tcPr>
          <w:p w14:paraId="1A4CBF88">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2396" w:type="pct"/>
            <w:tcBorders>
              <w:tl2br w:val="nil"/>
              <w:tr2bl w:val="nil"/>
            </w:tcBorders>
            <w:vAlign w:val="center"/>
          </w:tcPr>
          <w:p w14:paraId="0D5C7EC7">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加强VOCs全过程综合治理。污水处理场所高浓度有机废气要单独收集处理；含VOCs有机废水储罐、装置区集水井（池）有机废气要密闭收集处理。</w:t>
            </w:r>
          </w:p>
        </w:tc>
        <w:tc>
          <w:tcPr>
            <w:tcW w:w="1811" w:type="pct"/>
            <w:tcBorders>
              <w:tl2br w:val="nil"/>
              <w:tr2bl w:val="nil"/>
            </w:tcBorders>
            <w:vAlign w:val="center"/>
          </w:tcPr>
          <w:p w14:paraId="30785EE0">
            <w:pPr>
              <w:pStyle w:val="2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本项目不涉及含VOCs废水</w:t>
            </w:r>
            <w:r>
              <w:rPr>
                <w:rFonts w:hint="eastAsia" w:cs="Times New Roman"/>
                <w:bCs/>
                <w:color w:val="000000" w:themeColor="text1"/>
                <w:szCs w:val="21"/>
                <w14:textFill>
                  <w14:solidFill>
                    <w14:schemeClr w14:val="tx1"/>
                  </w14:solidFill>
                </w14:textFill>
              </w:rPr>
              <w:t>。本项目</w:t>
            </w:r>
            <w:r>
              <w:rPr>
                <w:color w:val="000000" w:themeColor="text1"/>
                <w14:textFill>
                  <w14:solidFill>
                    <w14:schemeClr w14:val="tx1"/>
                  </w14:solidFill>
                </w14:textFill>
              </w:rPr>
              <w:t>外购的有机溶剂密闭桶装暂存于原料暂存间内，有机溶剂作为研磨介质使用，研磨设备全封闭，不涉及敞开液面逸散。研磨废气通过管道收集后进入废气处理系统，通过</w:t>
            </w:r>
            <w:r>
              <w:rPr>
                <w:rFonts w:hint="eastAsia"/>
                <w:color w:val="000000" w:themeColor="text1"/>
                <w14:textFill>
                  <w14:solidFill>
                    <w14:schemeClr w14:val="tx1"/>
                  </w14:solidFill>
                </w14:textFill>
              </w:rPr>
              <w:t>碱喷淋+除雾+活性炭吸附</w:t>
            </w:r>
            <w:r>
              <w:rPr>
                <w:color w:val="000000" w:themeColor="text1"/>
                <w14:textFill>
                  <w14:solidFill>
                    <w14:schemeClr w14:val="tx1"/>
                  </w14:solidFill>
                </w14:textFill>
              </w:rPr>
              <w:t>处理后通过15m高的排气筒排放。</w:t>
            </w:r>
          </w:p>
        </w:tc>
        <w:tc>
          <w:tcPr>
            <w:tcW w:w="279" w:type="pct"/>
            <w:tcBorders>
              <w:tl2br w:val="nil"/>
              <w:tr2bl w:val="nil"/>
            </w:tcBorders>
            <w:vAlign w:val="center"/>
          </w:tcPr>
          <w:p w14:paraId="14DC9543">
            <w:pPr>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bl>
    <w:p w14:paraId="3C1B82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综上，本项目符合《云南省空气质量持续改善行动实施方案》的相关要求。</w:t>
      </w:r>
    </w:p>
    <w:p w14:paraId="4E440348">
      <w:pPr>
        <w:pStyle w:val="3"/>
        <w:rPr>
          <w:color w:val="000000" w:themeColor="text1"/>
          <w14:textFill>
            <w14:solidFill>
              <w14:schemeClr w14:val="tx1"/>
            </w14:solidFill>
          </w14:textFill>
        </w:rPr>
      </w:pPr>
      <w:bookmarkStart w:id="163" w:name="_Toc22042"/>
      <w:r>
        <w:rPr>
          <w:rFonts w:hint="eastAsia"/>
          <w:color w:val="000000" w:themeColor="text1"/>
          <w14:textFill>
            <w14:solidFill>
              <w14:schemeClr w14:val="tx1"/>
            </w14:solidFill>
          </w14:textFill>
        </w:rPr>
        <w:t>9.9与《云南省土壤、地下水污染防治“十四五”规划》符合性分析</w:t>
      </w:r>
      <w:bookmarkEnd w:id="163"/>
    </w:p>
    <w:p w14:paraId="266D25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云南省土壤、地下水污染防治“十四五”规划》是云南省针对土壤和地下水污染防治工作制定的重要规划，旨在通过一系列措施提升土壤和地下水环境质量，保障人民群众的生命健康和生态环境安全。本项目建设与该规划相关内容的符合性分析见下表9.9-1。</w:t>
      </w:r>
    </w:p>
    <w:p w14:paraId="7FAD7DF8">
      <w:pPr>
        <w:pStyle w:val="27"/>
        <w:rPr>
          <w:rFonts w:hint="eastAsia"/>
          <w:color w:val="000000" w:themeColor="text1"/>
          <w14:textFill>
            <w14:solidFill>
              <w14:schemeClr w14:val="tx1"/>
            </w14:solidFill>
          </w14:textFill>
        </w:rPr>
      </w:pPr>
    </w:p>
    <w:p w14:paraId="78346BA9">
      <w:pPr>
        <w:pStyle w:val="27"/>
        <w:rPr>
          <w:rFonts w:hint="eastAsia"/>
          <w:color w:val="000000" w:themeColor="text1"/>
          <w14:textFill>
            <w14:solidFill>
              <w14:schemeClr w14:val="tx1"/>
            </w14:solidFill>
          </w14:textFill>
        </w:rPr>
      </w:pPr>
    </w:p>
    <w:p w14:paraId="7C8C6AD8">
      <w:pPr>
        <w:pStyle w:val="27"/>
        <w:rPr>
          <w:rFonts w:hint="eastAsia"/>
          <w:color w:val="000000" w:themeColor="text1"/>
          <w14:textFill>
            <w14:solidFill>
              <w14:schemeClr w14:val="tx1"/>
            </w14:solidFill>
          </w14:textFill>
        </w:rPr>
      </w:pPr>
    </w:p>
    <w:p w14:paraId="43EC07EC">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表9.9-1  与《云南省土壤、地下水污染防治“十四五”规划》符合性分析对照表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64"/>
        <w:gridCol w:w="3381"/>
        <w:gridCol w:w="3435"/>
        <w:gridCol w:w="486"/>
      </w:tblGrid>
      <w:tr w14:paraId="4F1D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68" w:type="pct"/>
            <w:vAlign w:val="center"/>
          </w:tcPr>
          <w:p w14:paraId="7F2A8CE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431" w:type="pct"/>
            <w:gridSpan w:val="2"/>
            <w:vAlign w:val="center"/>
          </w:tcPr>
          <w:p w14:paraId="113944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规划要求</w:t>
            </w:r>
          </w:p>
        </w:tc>
        <w:tc>
          <w:tcPr>
            <w:tcW w:w="2015" w:type="pct"/>
            <w:vAlign w:val="center"/>
          </w:tcPr>
          <w:p w14:paraId="4F272F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85" w:type="pct"/>
            <w:vAlign w:val="center"/>
          </w:tcPr>
          <w:p w14:paraId="2B8CB2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BA0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70979A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48" w:type="pct"/>
            <w:vMerge w:val="restart"/>
            <w:vAlign w:val="center"/>
          </w:tcPr>
          <w:p w14:paraId="496FA87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防范工矿企业新增土壤污染</w:t>
            </w:r>
          </w:p>
        </w:tc>
        <w:tc>
          <w:tcPr>
            <w:tcW w:w="1983" w:type="pct"/>
            <w:vAlign w:val="center"/>
          </w:tcPr>
          <w:p w14:paraId="125562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严格建设项目 土壤环境影响评价制度。 对涉及有毒有害物质可能造成土壤污染的新（ 改、扩） 建项目 ，依法进行环境影响评价， 提出并落实防腐蚀、 防渗漏、 防遗撒等土壤污染防治具体措施。 建设项目 配套建设的土壤污染防治设施，应当与主体工程</w:t>
            </w:r>
          </w:p>
          <w:p w14:paraId="64AE890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时设计、 同时施工、 同时投入使用。</w:t>
            </w:r>
          </w:p>
        </w:tc>
        <w:tc>
          <w:tcPr>
            <w:tcW w:w="2015" w:type="pct"/>
            <w:vAlign w:val="center"/>
          </w:tcPr>
          <w:p w14:paraId="75677C5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本项目正在办理环评手续，项目配套建设土壤污染防治措施（详见本项目“6.2.5章节”），且土壤污染防治措施与主体工程时设计、 同时施工、 同时投入使用。</w:t>
            </w:r>
          </w:p>
        </w:tc>
        <w:tc>
          <w:tcPr>
            <w:tcW w:w="285" w:type="pct"/>
            <w:vAlign w:val="center"/>
          </w:tcPr>
          <w:p w14:paraId="668C7D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376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6DDA99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48" w:type="pct"/>
            <w:vMerge w:val="continue"/>
            <w:vAlign w:val="center"/>
          </w:tcPr>
          <w:p w14:paraId="5C270DBF">
            <w:pPr>
              <w:pStyle w:val="28"/>
              <w:rPr>
                <w:color w:val="000000" w:themeColor="text1"/>
                <w14:textFill>
                  <w14:solidFill>
                    <w14:schemeClr w14:val="tx1"/>
                  </w14:solidFill>
                </w14:textFill>
              </w:rPr>
            </w:pPr>
          </w:p>
        </w:tc>
        <w:tc>
          <w:tcPr>
            <w:tcW w:w="1983" w:type="pct"/>
            <w:vAlign w:val="center"/>
          </w:tcPr>
          <w:p w14:paraId="7B7CB3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推动实施绿色化提标改造。鼓励土壤污染重点监管单位因地制宜采用管道化、密闭化改造，重点区域、重点设施设备防腐蚀防渗漏改造，以及物料、污水、废气管线架空建设和改造。</w:t>
            </w:r>
          </w:p>
        </w:tc>
        <w:tc>
          <w:tcPr>
            <w:tcW w:w="2015" w:type="pct"/>
            <w:vAlign w:val="center"/>
          </w:tcPr>
          <w:p w14:paraId="3D8721D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本环评要求项目建设过程中废气、废水输送管道采用密闭式，严格落实本环评提出的分区防渗措施。</w:t>
            </w:r>
          </w:p>
        </w:tc>
        <w:tc>
          <w:tcPr>
            <w:tcW w:w="285" w:type="pct"/>
            <w:vAlign w:val="center"/>
          </w:tcPr>
          <w:p w14:paraId="07CE93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80D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14:paraId="6D0F243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48" w:type="pct"/>
            <w:vAlign w:val="center"/>
          </w:tcPr>
          <w:p w14:paraId="0DC4FAA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加强地下水污染风险防控</w:t>
            </w:r>
          </w:p>
        </w:tc>
        <w:tc>
          <w:tcPr>
            <w:tcW w:w="1983" w:type="pct"/>
            <w:vAlign w:val="center"/>
          </w:tcPr>
          <w:p w14:paraId="467318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落实地下水防渗和监测措施。督促“一企一库”、“两场两区”采取防渗漏措施，按要求建设地下水环境监测井，开展地下水环境自行监测。</w:t>
            </w:r>
          </w:p>
        </w:tc>
        <w:tc>
          <w:tcPr>
            <w:tcW w:w="2015" w:type="pct"/>
            <w:vAlign w:val="center"/>
          </w:tcPr>
          <w:p w14:paraId="422C2C1B">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本项目本项目原料暂存间、危废暂存间按要求进行重点防渗处理，污染物通过垂直入渗、地面漫流的途径对土壤、地下水造成污染的可能性很小，本项目在严格落实本环评提出的地下水、土壤环境污染防治措施后，项目运营过程中对地下水、土壤环境影响较小。本项目所在区域无地下水环境敏感区，项目不在飞井海水库饮用水水源地保护区、回水区与飞井海水库所在区域无水力联系，且本项目地下水环境影响评价项目类别为Ⅳ类，不开展地下水环境影响评价。因此未设置地下水跟踪监测井</w:t>
            </w:r>
          </w:p>
        </w:tc>
        <w:tc>
          <w:tcPr>
            <w:tcW w:w="285" w:type="pct"/>
            <w:vAlign w:val="center"/>
          </w:tcPr>
          <w:p w14:paraId="7F8930E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F5ECD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综上，本项目建设符合《云南省土壤、地下水污染防治“十四五”规划》的相关要求。</w:t>
      </w:r>
    </w:p>
    <w:p w14:paraId="6178BD08">
      <w:pPr>
        <w:pStyle w:val="3"/>
        <w:rPr>
          <w:color w:val="000000" w:themeColor="text1"/>
          <w14:textFill>
            <w14:solidFill>
              <w14:schemeClr w14:val="tx1"/>
            </w14:solidFill>
          </w14:textFill>
        </w:rPr>
      </w:pPr>
      <w:bookmarkStart w:id="164" w:name="_Toc22343"/>
      <w:r>
        <w:rPr>
          <w:rFonts w:hint="eastAsia"/>
          <w:color w:val="000000" w:themeColor="text1"/>
          <w14:textFill>
            <w14:solidFill>
              <w14:schemeClr w14:val="tx1"/>
            </w14:solidFill>
          </w14:textFill>
        </w:rPr>
        <w:t>9.10与《云南省“十四五”生态环境保护规划》符合性分析</w:t>
      </w:r>
      <w:bookmarkEnd w:id="164"/>
    </w:p>
    <w:p w14:paraId="653161F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《云南省“十四五”生态环境保护规划》于2022年4月8日由云南省生态环境发布。对照《规划》，本项目建设规划符合性分析详见下表9.11-1。</w:t>
      </w:r>
    </w:p>
    <w:p w14:paraId="2A3C8938">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表9.10-1 与《云南省“十四五”生态环境保护规划》符合性分析对照表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435"/>
        <w:gridCol w:w="3497"/>
        <w:gridCol w:w="3466"/>
        <w:gridCol w:w="609"/>
      </w:tblGrid>
      <w:tr w14:paraId="2BE2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43A24C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306" w:type="pct"/>
            <w:gridSpan w:val="2"/>
            <w:vAlign w:val="center"/>
          </w:tcPr>
          <w:p w14:paraId="1C7324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规划要求</w:t>
            </w:r>
          </w:p>
        </w:tc>
        <w:tc>
          <w:tcPr>
            <w:tcW w:w="2033" w:type="pct"/>
            <w:vAlign w:val="center"/>
          </w:tcPr>
          <w:p w14:paraId="53C680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357" w:type="pct"/>
            <w:vAlign w:val="center"/>
          </w:tcPr>
          <w:p w14:paraId="1472EE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0042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4C7D38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55" w:type="pct"/>
            <w:vMerge w:val="restart"/>
            <w:vAlign w:val="center"/>
          </w:tcPr>
          <w:p w14:paraId="659F02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优化产业结构</w:t>
            </w:r>
          </w:p>
        </w:tc>
        <w:tc>
          <w:tcPr>
            <w:tcW w:w="2050" w:type="pct"/>
            <w:vAlign w:val="center"/>
          </w:tcPr>
          <w:p w14:paraId="24F3C0E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推进重点行业绿色化改造。推动钢铁、建材、有色、石化等原材料产业布局优化和结构调整，以钢铁、焦化、铸造、建材、 有色、 石化、化工、工业涂装、包装印刷、电镀、制革、造纸、纺织印染、农副食品加工等行业为重点， 开展全流程清洁化、循环化、低碳化改造，全面推动传统优势产业绿色转型升级。</w:t>
            </w:r>
          </w:p>
        </w:tc>
        <w:tc>
          <w:tcPr>
            <w:tcW w:w="2033" w:type="pct"/>
            <w:vAlign w:val="center"/>
          </w:tcPr>
          <w:p w14:paraId="0688330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本项目行业类别属于C3985电子专用材料制造，不属于重点行业。</w:t>
            </w:r>
          </w:p>
        </w:tc>
        <w:tc>
          <w:tcPr>
            <w:tcW w:w="357" w:type="pct"/>
            <w:vAlign w:val="center"/>
          </w:tcPr>
          <w:p w14:paraId="0388524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77D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28187F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55" w:type="pct"/>
            <w:vMerge w:val="continue"/>
            <w:vAlign w:val="center"/>
          </w:tcPr>
          <w:p w14:paraId="6F3EB687">
            <w:pPr>
              <w:pStyle w:val="28"/>
              <w:rPr>
                <w:color w:val="000000" w:themeColor="text1"/>
                <w14:textFill>
                  <w14:solidFill>
                    <w14:schemeClr w14:val="tx1"/>
                  </w14:solidFill>
                </w14:textFill>
              </w:rPr>
            </w:pPr>
          </w:p>
        </w:tc>
        <w:tc>
          <w:tcPr>
            <w:tcW w:w="2050" w:type="pct"/>
            <w:vAlign w:val="center"/>
          </w:tcPr>
          <w:p w14:paraId="2A2A28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推动落后低效和过剩产能淘汰。 认真落实产业政策，严格环境影响评价，坚决遏制高耗能高排放项目盲目发展，加快淘汰落后产能，推动产业结构优化升级。</w:t>
            </w:r>
          </w:p>
        </w:tc>
        <w:tc>
          <w:tcPr>
            <w:tcW w:w="2033" w:type="pct"/>
            <w:vAlign w:val="center"/>
          </w:tcPr>
          <w:p w14:paraId="4D95F9C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根据《产业结构调整指导目录（2024年本）》，本项目属于鼓励类，项目已于2025年7月11日经玉溪市高新技术产业开发区管理委员会备案，同意项目建设，项目符合当前国家产业政策。</w:t>
            </w:r>
          </w:p>
        </w:tc>
        <w:tc>
          <w:tcPr>
            <w:tcW w:w="357" w:type="pct"/>
            <w:vAlign w:val="center"/>
          </w:tcPr>
          <w:p w14:paraId="6962078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0D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16DF16E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55" w:type="pct"/>
            <w:vMerge w:val="continue"/>
            <w:vAlign w:val="center"/>
          </w:tcPr>
          <w:p w14:paraId="5B60A7A2">
            <w:pPr>
              <w:pStyle w:val="28"/>
              <w:rPr>
                <w:color w:val="000000" w:themeColor="text1"/>
                <w14:textFill>
                  <w14:solidFill>
                    <w14:schemeClr w14:val="tx1"/>
                  </w14:solidFill>
                </w14:textFill>
              </w:rPr>
            </w:pPr>
          </w:p>
        </w:tc>
        <w:tc>
          <w:tcPr>
            <w:tcW w:w="2050" w:type="pct"/>
            <w:vAlign w:val="center"/>
          </w:tcPr>
          <w:p w14:paraId="680E15F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提高资源能源利用效率。提升行业资源能源利用效率，严格执行产品能效、水效、能耗限额、碳排放、污染物排放等标准。建立健全节能、循环经济、清洁生产监督体系。</w:t>
            </w:r>
          </w:p>
        </w:tc>
        <w:tc>
          <w:tcPr>
            <w:tcW w:w="2033" w:type="pct"/>
            <w:vAlign w:val="center"/>
          </w:tcPr>
          <w:p w14:paraId="0A4E66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根据碳排放源核别和工程分析，本项目碳排放主要为购入的电力产生CO2的排放。经核算，本项目碳排放量为2088.108tCO/a。本项目单位工业总产值碳排放0.348tCO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/万元，单位能耗碳排放4.29tCO2/吨标煤，低于行业单位工业增加值碳排放参考值，符合高附加值新材料项目的低碳特征。</w:t>
            </w:r>
            <w:r>
              <w:rPr>
                <w:color w:val="000000" w:themeColor="text1"/>
                <w14:textFill>
                  <w14:solidFill>
                    <w14:schemeClr w14:val="tx1"/>
                  </w14:solidFill>
                </w14:textFill>
              </w:rPr>
              <w:t>项目使用的能源均为清洁能源，项目所需原辅材料均符合相关质量标准；项目采取的污控措施均为行业内的先进控制技术，废气、废水、噪声污染物满足达标排放的要求，固废有完整的处置、回收利用方案，节能减排效果突出，</w:t>
            </w:r>
            <w:r>
              <w:rPr>
                <w:rFonts w:hint="eastAsia"/>
                <w:color w:val="000000" w:themeColor="text1"/>
                <w14:textFill>
                  <w14:solidFill>
                    <w14:schemeClr w14:val="tx1"/>
                  </w14:solidFill>
                </w14:textFill>
              </w:rPr>
              <w:t>满足清洁生产要求</w:t>
            </w:r>
            <w:r>
              <w:rPr>
                <w:color w:val="000000" w:themeColor="text1"/>
                <w14:textFill>
                  <w14:solidFill>
                    <w14:schemeClr w14:val="tx1"/>
                  </w14:solidFill>
                </w14:textFill>
              </w:rPr>
              <w:t>。</w:t>
            </w:r>
          </w:p>
          <w:p w14:paraId="3BE975F5">
            <w:pPr>
              <w:pStyle w:val="28"/>
              <w:rPr>
                <w:color w:val="000000" w:themeColor="text1"/>
                <w14:textFill>
                  <w14:solidFill>
                    <w14:schemeClr w14:val="tx1"/>
                  </w14:solidFill>
                </w14:textFill>
              </w:rPr>
            </w:pPr>
          </w:p>
        </w:tc>
        <w:tc>
          <w:tcPr>
            <w:tcW w:w="357" w:type="pct"/>
            <w:vAlign w:val="center"/>
          </w:tcPr>
          <w:p w14:paraId="2962333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162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5AE4DA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55" w:type="pct"/>
            <w:vAlign w:val="center"/>
          </w:tcPr>
          <w:p w14:paraId="72FFAA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持续深化水污染治理</w:t>
            </w:r>
          </w:p>
        </w:tc>
        <w:tc>
          <w:tcPr>
            <w:tcW w:w="2050" w:type="pct"/>
            <w:vAlign w:val="center"/>
          </w:tcPr>
          <w:p w14:paraId="12B53B7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狠抓工业污染防治。推动重点行业、重点区域绿色发展，指导地方制定差别化的流域性环境标准和管控要求。加强农副食品加工、 化工、印染等行业综合治理，加快推进流域产业布局调整升级。</w:t>
            </w:r>
          </w:p>
        </w:tc>
        <w:tc>
          <w:tcPr>
            <w:tcW w:w="2033" w:type="pct"/>
            <w:vAlign w:val="center"/>
          </w:tcPr>
          <w:p w14:paraId="551A90D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采取的措施均为技术规范推荐的可行技术，采取相应措施后，颗粒物、硫化氢、挥发性有机物均能达标排放，废水。噪声达标排放，固废全部合理处置，环境风险可控，项目建设不会改变和降低周边环境质量和功能</w:t>
            </w:r>
          </w:p>
        </w:tc>
        <w:tc>
          <w:tcPr>
            <w:tcW w:w="357" w:type="pct"/>
            <w:vAlign w:val="center"/>
          </w:tcPr>
          <w:p w14:paraId="67E743F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6D6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37A9000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55" w:type="pct"/>
            <w:vAlign w:val="center"/>
          </w:tcPr>
          <w:p w14:paraId="0ACDCD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强化土壤污染源头防控</w:t>
            </w:r>
          </w:p>
        </w:tc>
        <w:tc>
          <w:tcPr>
            <w:tcW w:w="2050" w:type="pct"/>
            <w:vAlign w:val="center"/>
          </w:tcPr>
          <w:p w14:paraId="63F02BE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加强工矿企业污染源环境监管。动态更新土壤污染重点监管单位名录，监督土壤污染重点监管单位全面落实土壤污染防治义务，依法纳入排污许可管理，定期对土壤污染重点监管单位周边土壤开展监督性监测。</w:t>
            </w:r>
          </w:p>
        </w:tc>
        <w:tc>
          <w:tcPr>
            <w:tcW w:w="2033" w:type="pct"/>
            <w:vAlign w:val="center"/>
          </w:tcPr>
          <w:p w14:paraId="65E321E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本项目属于新建项目，企业不属于土壤污染重点监管单位。</w:t>
            </w:r>
          </w:p>
        </w:tc>
        <w:tc>
          <w:tcPr>
            <w:tcW w:w="357" w:type="pct"/>
            <w:vAlign w:val="center"/>
          </w:tcPr>
          <w:p w14:paraId="6BD28F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FFA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trPr>
        <w:tc>
          <w:tcPr>
            <w:tcW w:w="302" w:type="pct"/>
            <w:vAlign w:val="center"/>
          </w:tcPr>
          <w:p w14:paraId="326BB1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55" w:type="pct"/>
            <w:vAlign w:val="center"/>
          </w:tcPr>
          <w:p w14:paraId="43E875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持续提升危险废物医疗废物风险防范能力</w:t>
            </w:r>
          </w:p>
        </w:tc>
        <w:tc>
          <w:tcPr>
            <w:tcW w:w="2050" w:type="pct"/>
            <w:vAlign w:val="center"/>
          </w:tcPr>
          <w:p w14:paraId="3053950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深入推进危险废物规范化环境管理和专项整治，加强危险废物环境执法检查，严厉打击非法排放、倾倒、收集、贮存、转移、 利用 、处置危险废物等环境违法犯罪行为。</w:t>
            </w:r>
          </w:p>
        </w:tc>
        <w:tc>
          <w:tcPr>
            <w:tcW w:w="2033" w:type="pct"/>
            <w:vAlign w:val="center"/>
          </w:tcPr>
          <w:p w14:paraId="72FCD62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本项目各类危险废物（如沾染其余物料的包装物、废有机溶剂、砂磨机碱洗废碱液等）进行分区存放，一般固废采用袋装，危险废物采用密闭桶装，符合《危险废物贮存污染控制标准》中 “分类存放、防止交叉污染” 的要求。废活性炭、废抹布、手套等存储过程采用密闭包装，可防止挥发性有机物（VOCs）、有毒有害气体逸散，降低对操作人员及周边大气环境的影响，符合危险废物规范化管理要求。</w:t>
            </w:r>
          </w:p>
          <w:p w14:paraId="68797E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原料废包装物统一收集后外售至废品回收站，实现了资源回收利用，符合 “减量化、资源化” 的固废处理原则。</w:t>
            </w:r>
          </w:p>
          <w:p w14:paraId="7CC1F88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所有危险废物均交由有资质的单位清运、处置，满足法定要求，可有效避免危险废物非法倾倒、随意处置带来的环境风险。</w:t>
            </w:r>
          </w:p>
          <w:p w14:paraId="5A2BA8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污水处理污泥、喷淋循环系统定期排水采取 “即产即清” 的方式，缩短了危险废物在厂区的贮存时间，进一步降低了环境风险。</w:t>
            </w:r>
          </w:p>
          <w:p w14:paraId="5F6B6C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综上，本项目固废存储、处置方式合理。</w:t>
            </w:r>
          </w:p>
        </w:tc>
        <w:tc>
          <w:tcPr>
            <w:tcW w:w="357" w:type="pct"/>
            <w:vAlign w:val="center"/>
          </w:tcPr>
          <w:p w14:paraId="086B97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6AC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5BD7F4C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55" w:type="pct"/>
            <w:vAlign w:val="center"/>
          </w:tcPr>
          <w:p w14:paraId="2E8997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强化环境风险应急管理</w:t>
            </w:r>
          </w:p>
        </w:tc>
        <w:tc>
          <w:tcPr>
            <w:tcW w:w="2050" w:type="pct"/>
            <w:vAlign w:val="center"/>
          </w:tcPr>
          <w:p w14:paraId="7B0D5AB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强化生态环境应急管理。利用 全国环境应急预案电子备案系统，对全省环境应急预案管理工作实施统一监督管理。</w:t>
            </w:r>
          </w:p>
        </w:tc>
        <w:tc>
          <w:tcPr>
            <w:tcW w:w="2033" w:type="pct"/>
            <w:vAlign w:val="center"/>
          </w:tcPr>
          <w:p w14:paraId="6FA21E0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本项目属于新建项目，本环评要求待本项目审批建成后，及时编制“突发环境事件风险应急预案”，并在玉溪市生态环境局红塔分局备案。</w:t>
            </w:r>
          </w:p>
        </w:tc>
        <w:tc>
          <w:tcPr>
            <w:tcW w:w="357" w:type="pct"/>
            <w:vAlign w:val="center"/>
          </w:tcPr>
          <w:p w14:paraId="31DFB7C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580C1716">
      <w:pPr>
        <w:ind w:firstLine="480"/>
        <w:rPr>
          <w:rStyle w:val="63"/>
        </w:rPr>
      </w:pPr>
      <w:r>
        <w:rPr>
          <w:rFonts w:hint="eastAsia"/>
          <w:color w:val="000000" w:themeColor="text1"/>
          <w14:textFill>
            <w14:solidFill>
              <w14:schemeClr w14:val="tx1"/>
            </w14:solidFill>
          </w14:textFill>
        </w:rPr>
        <w:t>综上，本项目建设符合《云南省“十四五”生态环境保护规划》相关要求。</w:t>
      </w:r>
    </w:p>
    <w:p w14:paraId="2CD1CA45">
      <w:pPr>
        <w:pStyle w:val="3"/>
        <w:bidi w:val="0"/>
        <w:rPr>
          <w:rFonts w:hint="default"/>
          <w:lang w:val="en-US" w:eastAsia="zh-CN"/>
        </w:rPr>
      </w:pPr>
      <w:bookmarkStart w:id="165" w:name="_Toc2182"/>
      <w:r>
        <w:rPr>
          <w:rFonts w:hint="eastAsia"/>
          <w:lang w:val="en-US" w:eastAsia="zh-CN"/>
        </w:rPr>
        <w:t>9.11与《玉溪市红塔区国土空间总体规划》（2021-2035年）符合性分析</w:t>
      </w:r>
      <w:bookmarkEnd w:id="165"/>
    </w:p>
    <w:p w14:paraId="77E85E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本项目位于玉溪高新区九龙片区，与《玉溪市红塔区国土空间总体规划（2021—2035 年）》在空间布局、产业导向、生态底线与创新定位等关键维度的符合新分析见下表：</w:t>
      </w:r>
    </w:p>
    <w:p w14:paraId="6DF506CB">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表9.11-1  与《玉溪市红塔区国土空间总体规划》符合性分析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515"/>
        <w:gridCol w:w="3965"/>
        <w:gridCol w:w="3102"/>
        <w:gridCol w:w="486"/>
      </w:tblGrid>
      <w:tr w14:paraId="4192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3E7764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627" w:type="pct"/>
            <w:gridSpan w:val="2"/>
            <w:vAlign w:val="center"/>
          </w:tcPr>
          <w:p w14:paraId="3DAD461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规划内容</w:t>
            </w:r>
          </w:p>
        </w:tc>
        <w:tc>
          <w:tcPr>
            <w:tcW w:w="1819" w:type="pct"/>
            <w:vAlign w:val="center"/>
          </w:tcPr>
          <w:p w14:paraId="3273B5B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85" w:type="pct"/>
            <w:vAlign w:val="center"/>
          </w:tcPr>
          <w:p w14:paraId="711812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E88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5D9C59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02" w:type="pct"/>
            <w:vAlign w:val="center"/>
          </w:tcPr>
          <w:p w14:paraId="51D808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w:t>
            </w:r>
          </w:p>
        </w:tc>
        <w:tc>
          <w:tcPr>
            <w:tcW w:w="2325" w:type="pct"/>
            <w:vAlign w:val="center"/>
          </w:tcPr>
          <w:p w14:paraId="5C9B3A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牢固树立和践行绿水青山就是金山银山的理念，加大对生态重要地区的保护力度及生态修复治理，以云南玉溪红塔山森</w:t>
            </w:r>
          </w:p>
          <w:p w14:paraId="19E68C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林公园为核心，玉溪大河等重要水系为廊道，全面推进生态廊道和生态网络构建，全面提升自然生态系统稳定性和生态服务功能，切实筑牢全域生态安全，持续推进生态环境保护，着力推进生态园林城建设；严守耕地、永久基本农田保护红线，筑牢农业发展基础，加大粮食生产功能区和重要农产品生产保护区保护力度，保障粮食等重要农产品供给，促进生产生活生态协调发展，打造美丽宜人的农业生产、生态空间，建设“美丽红塔”。</w:t>
            </w:r>
          </w:p>
        </w:tc>
        <w:tc>
          <w:tcPr>
            <w:tcW w:w="1819" w:type="pct"/>
            <w:vAlign w:val="center"/>
          </w:tcPr>
          <w:p w14:paraId="5D944DB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本项目位于玉溪高新区九龙片区，属于重点管控单元中的开发区及工业集中区，符合工业项目用地要求，且位于城镇开发边界内（，不涉及生态保护红线、永久基本农田等禁止/限制开发区域。</w:t>
            </w:r>
          </w:p>
        </w:tc>
        <w:tc>
          <w:tcPr>
            <w:tcW w:w="285" w:type="pct"/>
            <w:vAlign w:val="center"/>
          </w:tcPr>
          <w:p w14:paraId="5A6F26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A63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5DE1514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02" w:type="pct"/>
            <w:vAlign w:val="center"/>
          </w:tcPr>
          <w:p w14:paraId="633D17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产业方向</w:t>
            </w:r>
          </w:p>
        </w:tc>
        <w:tc>
          <w:tcPr>
            <w:tcW w:w="2325" w:type="pct"/>
            <w:vAlign w:val="center"/>
          </w:tcPr>
          <w:p w14:paraId="7090EB31">
            <w:pPr>
              <w:pStyle w:val="28"/>
              <w:rPr>
                <w:b/>
                <w:bCs/>
                <w:color w:val="000000" w:themeColor="text1"/>
                <w14:textFill>
                  <w14:solidFill>
                    <w14:schemeClr w14:val="tx1"/>
                  </w14:solidFill>
                </w14:textFill>
              </w:rPr>
            </w:pPr>
            <w:r>
              <w:rPr>
                <w:rFonts w:hint="eastAsia"/>
                <w:color w:val="000000" w:themeColor="text1"/>
                <w14:textFill>
                  <w14:solidFill>
                    <w14:schemeClr w14:val="tx1"/>
                  </w14:solidFill>
                </w14:textFill>
              </w:rPr>
              <w:t>以科教创新城玉枕山片区建设为着力点，协同联合高新区九龙片区、高龙潭片区，以点带面实现全域发展水平提升，促进红塔区传统支柱产业转型升级、新兴产业培育壮大、现代服务业提质增效、社会和谐发展，辐射带动全市经济发展由以要素驱动为主向以创新驱动为主转变，成为全省创新驱动引领的新高地。</w:t>
            </w:r>
          </w:p>
        </w:tc>
        <w:tc>
          <w:tcPr>
            <w:tcW w:w="1819" w:type="pct"/>
            <w:vAlign w:val="center"/>
          </w:tcPr>
          <w:p w14:paraId="245E23F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本项目属于规划鼓励的新能源新材料产业。</w:t>
            </w:r>
          </w:p>
        </w:tc>
        <w:tc>
          <w:tcPr>
            <w:tcW w:w="285" w:type="pct"/>
            <w:vAlign w:val="center"/>
          </w:tcPr>
          <w:p w14:paraId="3D366BE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9EE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507042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02" w:type="pct"/>
            <w:vAlign w:val="center"/>
          </w:tcPr>
          <w:p w14:paraId="7EF53D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w:t>
            </w:r>
          </w:p>
        </w:tc>
        <w:tc>
          <w:tcPr>
            <w:tcW w:w="2325" w:type="pct"/>
            <w:vAlign w:val="center"/>
          </w:tcPr>
          <w:p w14:paraId="42DFE5BC">
            <w:pPr>
              <w:pStyle w:val="28"/>
              <w:rPr>
                <w:color w:val="000000" w:themeColor="text1"/>
                <w14:textFill>
                  <w14:solidFill>
                    <w14:schemeClr w14:val="tx1"/>
                  </w14:solidFill>
                </w14:textFill>
              </w:rPr>
            </w:pPr>
            <w:r>
              <w:rPr>
                <w:rFonts w:hint="eastAsia"/>
                <w:b/>
                <w:bCs/>
                <w:color w:val="000000" w:themeColor="text1"/>
                <w14:textFill>
                  <w14:solidFill>
                    <w14:schemeClr w14:val="tx1"/>
                  </w14:solidFill>
                </w14:textFill>
              </w:rPr>
              <w:t>优化产业链空间：</w:t>
            </w:r>
            <w:r>
              <w:rPr>
                <w:rFonts w:hint="eastAsia"/>
                <w:color w:val="000000" w:themeColor="text1"/>
                <w14:textFill>
                  <w14:solidFill>
                    <w14:schemeClr w14:val="tx1"/>
                  </w14:solidFill>
                </w14:textFill>
              </w:rPr>
              <w:t>依托高新技术开发区电子信息制造业发展，通过标准化厂房建设引进电子信息制造产业企业，依托云南红塔产业园区卧牛山地块打造电子信息产业园。推动玉溪高新区九龙片区和云南红塔产业园区电子信息制造产业空间聚集。</w:t>
            </w:r>
          </w:p>
        </w:tc>
        <w:tc>
          <w:tcPr>
            <w:tcW w:w="1819" w:type="pct"/>
            <w:vAlign w:val="center"/>
          </w:tcPr>
          <w:p w14:paraId="0F2A86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本项目位于新区九龙片区，主要是进行固态电解质生产，属于电子信息制造产业企业，符合产业布局要求。</w:t>
            </w:r>
          </w:p>
        </w:tc>
        <w:tc>
          <w:tcPr>
            <w:tcW w:w="285" w:type="pct"/>
            <w:vAlign w:val="center"/>
          </w:tcPr>
          <w:p w14:paraId="2A298D7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7FB56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综上，本项目符合《玉溪市红塔区国土空间总体规划（2021—2035 年）》的要求。</w:t>
      </w:r>
    </w:p>
    <w:p w14:paraId="065CF4B4">
      <w:pPr>
        <w:pStyle w:val="3"/>
        <w:rPr>
          <w:color w:val="000000" w:themeColor="text1"/>
          <w14:textFill>
            <w14:solidFill>
              <w14:schemeClr w14:val="tx1"/>
            </w14:solidFill>
          </w14:textFill>
        </w:rPr>
      </w:pPr>
      <w:bookmarkStart w:id="166" w:name="_Toc4198"/>
      <w:r>
        <w:rPr>
          <w:rFonts w:hint="eastAsia"/>
          <w:color w:val="000000" w:themeColor="text1"/>
          <w14:textFill>
            <w14:solidFill>
              <w14:schemeClr w14:val="tx1"/>
            </w14:solidFill>
          </w14:textFill>
        </w:rPr>
        <w:t>9.12与《锂离子电池行业规范条件（2024年本）》符合分析</w:t>
      </w:r>
      <w:bookmarkEnd w:id="166"/>
    </w:p>
    <w:p w14:paraId="37244B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本项目生产的固态电解质属于锂电池材料，本项目与《锂离子电池行业规范条件（2024年本）》相关要求相符性分析如下表9.12-1：</w:t>
      </w:r>
    </w:p>
    <w:p w14:paraId="066D4FC4">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表9.12-1  与《行业规范条件》符合性分析对照表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97"/>
        <w:gridCol w:w="3219"/>
        <w:gridCol w:w="3792"/>
        <w:gridCol w:w="469"/>
      </w:tblGrid>
      <w:tr w14:paraId="627E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A99BF2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238" w:type="pct"/>
            <w:gridSpan w:val="2"/>
            <w:vAlign w:val="center"/>
          </w:tcPr>
          <w:p w14:paraId="6747612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行业规范条件</w:t>
            </w:r>
          </w:p>
        </w:tc>
        <w:tc>
          <w:tcPr>
            <w:tcW w:w="2224" w:type="pct"/>
            <w:vAlign w:val="center"/>
          </w:tcPr>
          <w:p w14:paraId="38663C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75" w:type="pct"/>
            <w:vAlign w:val="center"/>
          </w:tcPr>
          <w:p w14:paraId="4518C6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3B36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A67023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0" w:type="pct"/>
            <w:vMerge w:val="restart"/>
            <w:vAlign w:val="center"/>
          </w:tcPr>
          <w:p w14:paraId="4CCD68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产业布局和项目设立</w:t>
            </w:r>
          </w:p>
        </w:tc>
        <w:tc>
          <w:tcPr>
            <w:tcW w:w="1888" w:type="pct"/>
            <w:vAlign w:val="center"/>
          </w:tcPr>
          <w:p w14:paraId="7F3A525E">
            <w:pPr>
              <w:pStyle w:val="28"/>
              <w:rPr>
                <w:color w:val="000000" w:themeColor="text1"/>
                <w14:textFill>
                  <w14:solidFill>
                    <w14:schemeClr w14:val="tx1"/>
                  </w14:solidFill>
                </w14:textFill>
              </w:rPr>
            </w:pPr>
            <w:r>
              <w:rPr>
                <w:color w:val="000000" w:themeColor="text1"/>
                <w14:textFill>
                  <w14:solidFill>
                    <w14:schemeClr w14:val="tx1"/>
                  </w14:solidFill>
                </w14:textFill>
              </w:rPr>
              <w:t>锂离子电池企业及项目应符合国家资源开发利用、生态环境保护、节能管理、安全生产等法律法规要求，符合国家产业政策和相关产业规划及布局要求，符合当地国土空间规划和生态环境保护专项规划等要求，符合区域生态环境分区管控及规划环评要求，应具备相应的运输条件。</w:t>
            </w:r>
          </w:p>
        </w:tc>
        <w:tc>
          <w:tcPr>
            <w:tcW w:w="2224" w:type="pct"/>
            <w:vAlign w:val="center"/>
          </w:tcPr>
          <w:p w14:paraId="7B76CE71">
            <w:pPr>
              <w:pStyle w:val="28"/>
              <w:rPr>
                <w:color w:val="000000" w:themeColor="text1"/>
                <w14:textFill>
                  <w14:solidFill>
                    <w14:schemeClr w14:val="tx1"/>
                  </w14:solidFill>
                </w14:textFill>
              </w:rPr>
            </w:pPr>
            <w:r>
              <w:rPr>
                <w:color w:val="000000" w:themeColor="text1"/>
                <w14:textFill>
                  <w14:solidFill>
                    <w14:schemeClr w14:val="tx1"/>
                  </w14:solidFill>
                </w14:textFill>
              </w:rPr>
              <w:t>本项目符合生态环境保护相关法律法规、法定规划，以及相关产业结构调整，符合产业政策，本项目租用已建厂房进行建设，不新增用地，不涉及生态保护红线，项目符合生态环境分区管控要求。本项目位于玉溪高新区核心区九龙地块，项目已取得玉溪市高新技术产业开发区管理委员会签发的备案证，同意项目建设，与园区规划不冲突，符合规划环评及审查意见的要求。</w:t>
            </w:r>
          </w:p>
        </w:tc>
        <w:tc>
          <w:tcPr>
            <w:tcW w:w="275" w:type="pct"/>
            <w:vAlign w:val="center"/>
          </w:tcPr>
          <w:p w14:paraId="17DAAD4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2BE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CB7ECC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0" w:type="pct"/>
            <w:vMerge w:val="continue"/>
            <w:vAlign w:val="center"/>
          </w:tcPr>
          <w:p w14:paraId="270306E0">
            <w:pPr>
              <w:pStyle w:val="28"/>
              <w:rPr>
                <w:color w:val="000000" w:themeColor="text1"/>
                <w14:textFill>
                  <w14:solidFill>
                    <w14:schemeClr w14:val="tx1"/>
                  </w14:solidFill>
                </w14:textFill>
              </w:rPr>
            </w:pPr>
          </w:p>
        </w:tc>
        <w:tc>
          <w:tcPr>
            <w:tcW w:w="1888" w:type="pct"/>
            <w:vAlign w:val="center"/>
          </w:tcPr>
          <w:p w14:paraId="3A2B99E4">
            <w:pPr>
              <w:pStyle w:val="28"/>
              <w:rPr>
                <w:color w:val="000000" w:themeColor="text1"/>
                <w14:textFill>
                  <w14:solidFill>
                    <w14:schemeClr w14:val="tx1"/>
                  </w14:solidFill>
                </w14:textFill>
              </w:rPr>
            </w:pPr>
            <w:r>
              <w:rPr>
                <w:color w:val="000000" w:themeColor="text1"/>
                <w14:textFill>
                  <w14:solidFill>
                    <w14:schemeClr w14:val="tx1"/>
                  </w14:solidFill>
                </w14:textFill>
              </w:rPr>
              <w:t>在规划确定的永久基本农田、生态保护红线，以及国家法律法规、规章规定禁止建设工业企业的区域不得建设锂离子电池及配套项目。上述区域内的现有企业应按照法律法规要求关闭拆除，或严格控制规模、逐步迁出</w:t>
            </w:r>
          </w:p>
        </w:tc>
        <w:tc>
          <w:tcPr>
            <w:tcW w:w="2224" w:type="pct"/>
            <w:vAlign w:val="center"/>
          </w:tcPr>
          <w:p w14:paraId="35BB83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本项目租用位于</w:t>
            </w:r>
            <w:r>
              <w:rPr>
                <w:color w:val="000000" w:themeColor="text1"/>
                <w14:textFill>
                  <w14:solidFill>
                    <w14:schemeClr w14:val="tx1"/>
                  </w14:solidFill>
                </w14:textFill>
              </w:rPr>
              <w:t>玉溪高新区核心区九龙地块</w:t>
            </w:r>
            <w:r>
              <w:rPr>
                <w:rFonts w:hint="eastAsia"/>
                <w:color w:val="000000" w:themeColor="text1"/>
                <w14:textFill>
                  <w14:solidFill>
                    <w14:schemeClr w14:val="tx1"/>
                  </w14:solidFill>
                </w14:textFill>
              </w:rPr>
              <w:t>的已建厂房进行建设，不新增占地，不涉及永久基本农田、生态保护红线</w:t>
            </w:r>
          </w:p>
        </w:tc>
        <w:tc>
          <w:tcPr>
            <w:tcW w:w="275" w:type="pct"/>
            <w:vAlign w:val="center"/>
          </w:tcPr>
          <w:p w14:paraId="75B02D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5A5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4E9917F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50" w:type="pct"/>
            <w:vMerge w:val="continue"/>
            <w:vAlign w:val="center"/>
          </w:tcPr>
          <w:p w14:paraId="623A6AF4">
            <w:pPr>
              <w:pStyle w:val="28"/>
              <w:rPr>
                <w:color w:val="000000" w:themeColor="text1"/>
                <w14:textFill>
                  <w14:solidFill>
                    <w14:schemeClr w14:val="tx1"/>
                  </w14:solidFill>
                </w14:textFill>
              </w:rPr>
            </w:pPr>
          </w:p>
        </w:tc>
        <w:tc>
          <w:tcPr>
            <w:tcW w:w="1888" w:type="pct"/>
            <w:vAlign w:val="center"/>
          </w:tcPr>
          <w:p w14:paraId="7625F0E6">
            <w:pPr>
              <w:pStyle w:val="28"/>
              <w:rPr>
                <w:color w:val="000000" w:themeColor="text1"/>
                <w14:textFill>
                  <w14:solidFill>
                    <w14:schemeClr w14:val="tx1"/>
                  </w14:solidFill>
                </w14:textFill>
              </w:rPr>
            </w:pPr>
            <w:r>
              <w:rPr>
                <w:color w:val="000000" w:themeColor="text1"/>
                <w14:textFill>
                  <w14:solidFill>
                    <w14:schemeClr w14:val="tx1"/>
                  </w14:solidFill>
                </w14:textFill>
              </w:rPr>
              <w:t>引导企业减少单纯扩大产能的制造项目，加强技术创新、提高产品质量、降低生产成本。</w:t>
            </w:r>
          </w:p>
        </w:tc>
        <w:tc>
          <w:tcPr>
            <w:tcW w:w="2224" w:type="pct"/>
            <w:vAlign w:val="center"/>
          </w:tcPr>
          <w:p w14:paraId="289794B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本项目属于新建项目。</w:t>
            </w:r>
          </w:p>
        </w:tc>
        <w:tc>
          <w:tcPr>
            <w:tcW w:w="275" w:type="pct"/>
            <w:vAlign w:val="center"/>
          </w:tcPr>
          <w:p w14:paraId="5A3170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A4C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1A7E8C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50" w:type="pct"/>
            <w:vMerge w:val="restart"/>
            <w:vAlign w:val="center"/>
          </w:tcPr>
          <w:p w14:paraId="4199F2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生产经营和工艺水平</w:t>
            </w:r>
          </w:p>
        </w:tc>
        <w:tc>
          <w:tcPr>
            <w:tcW w:w="1888" w:type="pct"/>
            <w:vAlign w:val="center"/>
          </w:tcPr>
          <w:p w14:paraId="49FB30BD">
            <w:pPr>
              <w:pStyle w:val="28"/>
              <w:rPr>
                <w:color w:val="000000" w:themeColor="text1"/>
                <w14:textFill>
                  <w14:solidFill>
                    <w14:schemeClr w14:val="tx1"/>
                  </w14:solidFill>
                </w14:textFill>
              </w:rPr>
            </w:pPr>
            <w:r>
              <w:rPr>
                <w:color w:val="000000" w:themeColor="text1"/>
                <w14:textFill>
                  <w14:solidFill>
                    <w14:schemeClr w14:val="tx1"/>
                  </w14:solidFill>
                </w14:textFill>
              </w:rPr>
              <w:t>企业应具备以下条件：在中华人民共和国境内依法注册成立、具有独立法人资格；具有锂离子电池行业相关产品的独立生产、销售和服务能力；每年用于研发及工艺改进的费用不低于主营业务收入的3%，鼓励企业取得省级以上独立研发机构、工程实验室、技术中心或高新技术企业资质；鼓励企业创建绿色工厂；鼓励企业自建或参与联合建设中试平台；主要产品具有技术发明专利；申报时上一年度实际产量不低于同年实际产能的50%。</w:t>
            </w:r>
          </w:p>
        </w:tc>
        <w:tc>
          <w:tcPr>
            <w:tcW w:w="2224" w:type="pct"/>
            <w:vAlign w:val="center"/>
          </w:tcPr>
          <w:p w14:paraId="4489A5D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属于恩捷股份旗下湖南恩捷前沿新材料科技有限公司子公司，建设单位已依法注册成立，取得营业执照，建设单位将成为恩捷股份在硫化物固态电解质材料规模化生产的关键实施主体和战略支点，其核心任务是推进与玉溪高新技术产业开发区管理委员会签约的年产千吨级硫化物固态电解质材料项目。</w:t>
            </w:r>
          </w:p>
        </w:tc>
        <w:tc>
          <w:tcPr>
            <w:tcW w:w="275" w:type="pct"/>
            <w:vAlign w:val="center"/>
          </w:tcPr>
          <w:p w14:paraId="6FACFC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194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48E473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50" w:type="pct"/>
            <w:vMerge w:val="continue"/>
            <w:vAlign w:val="center"/>
          </w:tcPr>
          <w:p w14:paraId="7F337C0F">
            <w:pPr>
              <w:pStyle w:val="28"/>
              <w:rPr>
                <w:color w:val="000000" w:themeColor="text1"/>
                <w14:textFill>
                  <w14:solidFill>
                    <w14:schemeClr w14:val="tx1"/>
                  </w14:solidFill>
                </w14:textFill>
              </w:rPr>
            </w:pPr>
          </w:p>
        </w:tc>
        <w:tc>
          <w:tcPr>
            <w:tcW w:w="1888" w:type="pct"/>
            <w:vAlign w:val="center"/>
          </w:tcPr>
          <w:p w14:paraId="752B5697">
            <w:pPr>
              <w:pStyle w:val="28"/>
              <w:rPr>
                <w:color w:val="000000" w:themeColor="text1"/>
                <w14:textFill>
                  <w14:solidFill>
                    <w14:schemeClr w14:val="tx1"/>
                  </w14:solidFill>
                </w14:textFill>
              </w:rPr>
            </w:pPr>
            <w:r>
              <w:rPr>
                <w:color w:val="000000" w:themeColor="text1"/>
                <w14:textFill>
                  <w14:solidFill>
                    <w14:schemeClr w14:val="tx1"/>
                  </w14:solidFill>
                </w14:textFill>
              </w:rPr>
              <w:t>企业应采用技术先进、节能环保、安全稳定、智能化程度高的生产工艺和设备</w:t>
            </w:r>
          </w:p>
        </w:tc>
        <w:tc>
          <w:tcPr>
            <w:tcW w:w="2224" w:type="pct"/>
            <w:vAlign w:val="center"/>
          </w:tcPr>
          <w:p w14:paraId="1AA5C4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恩捷股份旗下湖南恩捷前沿新材料科技有限公司已完成小试吨级年产能建设和稳定运行，本项目在小试研发线的基础上进行建设，生产工艺先进，设备</w:t>
            </w:r>
            <w:r>
              <w:rPr>
                <w:color w:val="000000" w:themeColor="text1"/>
                <w14:textFill>
                  <w14:solidFill>
                    <w14:schemeClr w14:val="tx1"/>
                  </w14:solidFill>
                </w14:textFill>
              </w:rPr>
              <w:t>节能环保、安全稳定、智能化程度高</w:t>
            </w:r>
            <w:r>
              <w:rPr>
                <w:rFonts w:hint="eastAsia"/>
                <w:color w:val="000000" w:themeColor="text1"/>
                <w14:textFill>
                  <w14:solidFill>
                    <w14:schemeClr w14:val="tx1"/>
                  </w14:solidFill>
                </w14:textFill>
              </w:rPr>
              <w:t>。</w:t>
            </w:r>
          </w:p>
        </w:tc>
        <w:tc>
          <w:tcPr>
            <w:tcW w:w="275" w:type="pct"/>
            <w:vAlign w:val="center"/>
          </w:tcPr>
          <w:p w14:paraId="647181F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302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DCAD10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50" w:type="pct"/>
            <w:vMerge w:val="restart"/>
            <w:vAlign w:val="center"/>
          </w:tcPr>
          <w:p w14:paraId="48C0F29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安全和质量管理</w:t>
            </w:r>
          </w:p>
        </w:tc>
        <w:tc>
          <w:tcPr>
            <w:tcW w:w="1888" w:type="pct"/>
            <w:vAlign w:val="center"/>
          </w:tcPr>
          <w:p w14:paraId="2D27AC41">
            <w:pPr>
              <w:pStyle w:val="28"/>
              <w:rPr>
                <w:color w:val="000000" w:themeColor="text1"/>
                <w14:textFill>
                  <w14:solidFill>
                    <w14:schemeClr w14:val="tx1"/>
                  </w14:solidFill>
                </w14:textFill>
              </w:rPr>
            </w:pPr>
            <w:r>
              <w:rPr>
                <w:color w:val="000000" w:themeColor="text1"/>
                <w14:textFill>
                  <w14:solidFill>
                    <w14:schemeClr w14:val="tx1"/>
                  </w14:solidFill>
                </w14:textFill>
              </w:rPr>
              <w:t>企业应遵守《中华人民共和国安全生产法》及其他安全生产有关法律法规，执行保障安全生产的国家或行业标准，严格落实建设项目安全设施</w:t>
            </w:r>
            <w:r>
              <w:rPr>
                <w:rFonts w:hint="eastAsia" w:ascii="宋体" w:hAnsi="宋体" w:cs="宋体"/>
                <w:color w:val="000000" w:themeColor="text1"/>
                <w14:textFill>
                  <w14:solidFill>
                    <w14:schemeClr w14:val="tx1"/>
                  </w14:solidFill>
                </w14:textFill>
              </w:rPr>
              <w:t>“三同时”</w:t>
            </w:r>
            <w:r>
              <w:rPr>
                <w:color w:val="000000" w:themeColor="text1"/>
                <w14:textFill>
                  <w14:solidFill>
                    <w14:schemeClr w14:val="tx1"/>
                  </w14:solidFill>
                </w14:textFill>
              </w:rPr>
              <w:t>制度要求，当年及上一年度未发生较大及以上生产安全事故。</w:t>
            </w:r>
          </w:p>
        </w:tc>
        <w:tc>
          <w:tcPr>
            <w:tcW w:w="2224" w:type="pct"/>
            <w:vAlign w:val="center"/>
          </w:tcPr>
          <w:p w14:paraId="6607F6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本项目建成后，按照设计要求进行设计和操作，落实和完善设计各项安全防护措施，</w:t>
            </w:r>
            <w:r>
              <w:rPr>
                <w:color w:val="000000" w:themeColor="text1"/>
                <w14:textFill>
                  <w14:solidFill>
                    <w14:schemeClr w14:val="tx1"/>
                  </w14:solidFill>
                </w14:textFill>
              </w:rPr>
              <w:t>严格落实建设项目安全设施</w:t>
            </w:r>
            <w:r>
              <w:rPr>
                <w:rFonts w:hint="eastAsia" w:ascii="宋体" w:hAnsi="宋体" w:cs="宋体"/>
                <w:color w:val="000000" w:themeColor="text1"/>
                <w14:textFill>
                  <w14:solidFill>
                    <w14:schemeClr w14:val="tx1"/>
                  </w14:solidFill>
                </w14:textFill>
              </w:rPr>
              <w:t>“三同时”</w:t>
            </w:r>
            <w:r>
              <w:rPr>
                <w:color w:val="000000" w:themeColor="text1"/>
                <w14:textFill>
                  <w14:solidFill>
                    <w14:schemeClr w14:val="tx1"/>
                  </w14:solidFill>
                </w14:textFill>
              </w:rPr>
              <w:t>制度</w:t>
            </w:r>
            <w:r>
              <w:rPr>
                <w:rFonts w:hint="eastAsia"/>
                <w:color w:val="000000" w:themeColor="text1"/>
                <w14:textFill>
                  <w14:solidFill>
                    <w14:schemeClr w14:val="tx1"/>
                  </w14:solidFill>
                </w14:textFill>
              </w:rPr>
              <w:t>，达到国家要求的安全标准要求。</w:t>
            </w:r>
          </w:p>
        </w:tc>
        <w:tc>
          <w:tcPr>
            <w:tcW w:w="275" w:type="pct"/>
            <w:vAlign w:val="center"/>
          </w:tcPr>
          <w:p w14:paraId="5A950C3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A9D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0448F6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50" w:type="pct"/>
            <w:vMerge w:val="continue"/>
            <w:vAlign w:val="center"/>
          </w:tcPr>
          <w:p w14:paraId="513E7D72">
            <w:pPr>
              <w:pStyle w:val="28"/>
              <w:rPr>
                <w:color w:val="000000" w:themeColor="text1"/>
                <w14:textFill>
                  <w14:solidFill>
                    <w14:schemeClr w14:val="tx1"/>
                  </w14:solidFill>
                </w14:textFill>
              </w:rPr>
            </w:pPr>
          </w:p>
        </w:tc>
        <w:tc>
          <w:tcPr>
            <w:tcW w:w="1888" w:type="pct"/>
            <w:vAlign w:val="center"/>
          </w:tcPr>
          <w:p w14:paraId="655F5122">
            <w:pPr>
              <w:pStyle w:val="28"/>
              <w:rPr>
                <w:color w:val="000000" w:themeColor="text1"/>
                <w14:textFill>
                  <w14:solidFill>
                    <w14:schemeClr w14:val="tx1"/>
                  </w14:solidFill>
                </w14:textFill>
              </w:rPr>
            </w:pPr>
            <w:r>
              <w:rPr>
                <w:color w:val="000000" w:themeColor="text1"/>
                <w14:textFill>
                  <w14:solidFill>
                    <w14:schemeClr w14:val="tx1"/>
                  </w14:solidFill>
                </w14:textFill>
              </w:rPr>
              <w:t>企业应建立健全安全生产责任制和安全生产规章制度，加大对安全生产资金、物资、技术、人员的投入保障力度，改善安全生产条件，加强安全生产信息化建设，设立产品制造安全质量追溯手段，加强从业人员安全生产教育和培训，构建安全风险分级管控和隐患排查治理双重预防机制，健全风险防范化解机制，开展安全生产标准化建设并达到三级及以上水平</w:t>
            </w:r>
            <w:r>
              <w:rPr>
                <w:rFonts w:hint="eastAsia"/>
                <w:color w:val="000000" w:themeColor="text1"/>
                <w14:textFill>
                  <w14:solidFill>
                    <w14:schemeClr w14:val="tx1"/>
                  </w14:solidFill>
                </w14:textFill>
              </w:rPr>
              <w:t>。</w:t>
            </w:r>
          </w:p>
        </w:tc>
        <w:tc>
          <w:tcPr>
            <w:tcW w:w="2224" w:type="pct"/>
            <w:vAlign w:val="center"/>
          </w:tcPr>
          <w:p w14:paraId="14B873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本项目属于新建项目，企业有制定劳动安全卫生制度，并严格执行所制定的劳</w:t>
            </w:r>
          </w:p>
          <w:p w14:paraId="0336894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动安全卫生制度，公司设有安全卫生机构，配备劳动安全卫生专职人员，维修及日常检验人员、对生产过程中的劳动安全规章制度进行监督检查，对各类人员进行安全卫生知识培训、教育，防止发生事故和职业病，并对操作工人进行定期检查。新建生产装置的各级管理、操作人员要了解本车间有毒有害物质的性质，主要危险和发生事故的应急措施，通过安全教育考试，合格后持证上岗。在生产中严格执行安全操作规程。根据岗位特点，配备完善的防护设备，如防毒面具，防护眼镜、防护手套、防护工作服，还要配置急救箱、关键岗位配置氧气呼吸器。按照《中华人民共和国安全生产法》（国家主席令[2021]第88 号）的有关要求，结合企业的行业特点，建立健全以安全生产责任制度为中心的安全基础管理制度。并应当建立相应的机制，加强对全员安全生产责任制落实情况的监督考核，确保全员安全生产责任制的落实。按照《企业安全生产标准化》（GB/T33000-2016）和《职业健康安全管理体系要求及使用指南》（GB/T45001-2020）有关要求，结合行业特点，建立健全企业安全管理体系。</w:t>
            </w:r>
          </w:p>
        </w:tc>
        <w:tc>
          <w:tcPr>
            <w:tcW w:w="275" w:type="pct"/>
            <w:vAlign w:val="center"/>
          </w:tcPr>
          <w:p w14:paraId="5E3DF99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5B0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AABA8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50" w:type="pct"/>
            <w:vMerge w:val="continue"/>
            <w:vAlign w:val="center"/>
          </w:tcPr>
          <w:p w14:paraId="065BA038">
            <w:pPr>
              <w:pStyle w:val="28"/>
              <w:rPr>
                <w:color w:val="000000" w:themeColor="text1"/>
                <w14:textFill>
                  <w14:solidFill>
                    <w14:schemeClr w14:val="tx1"/>
                  </w14:solidFill>
                </w14:textFill>
              </w:rPr>
            </w:pPr>
          </w:p>
        </w:tc>
        <w:tc>
          <w:tcPr>
            <w:tcW w:w="1888" w:type="pct"/>
            <w:vAlign w:val="center"/>
          </w:tcPr>
          <w:p w14:paraId="041E4A7B">
            <w:pPr>
              <w:pStyle w:val="28"/>
              <w:rPr>
                <w:color w:val="000000" w:themeColor="text1"/>
                <w14:textFill>
                  <w14:solidFill>
                    <w14:schemeClr w14:val="tx1"/>
                  </w14:solidFill>
                </w14:textFill>
              </w:rPr>
            </w:pPr>
            <w:r>
              <w:rPr>
                <w:color w:val="000000" w:themeColor="text1"/>
                <w14:textFill>
                  <w14:solidFill>
                    <w14:schemeClr w14:val="tx1"/>
                  </w14:solidFill>
                </w14:textFill>
              </w:rPr>
              <w:t>锂离子电池企业应加强应急处置能力建设，制定事故应急预案并定期开展演练，建设事故处置专业队伍，并配备与企业规模相适应的人员和装备。</w:t>
            </w:r>
          </w:p>
        </w:tc>
        <w:tc>
          <w:tcPr>
            <w:tcW w:w="2224" w:type="pct"/>
            <w:vAlign w:val="center"/>
          </w:tcPr>
          <w:p w14:paraId="191C04C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企业认真落实环境风险防控和应急处置措施，制定事故应急预案并定期开展演练。</w:t>
            </w:r>
          </w:p>
        </w:tc>
        <w:tc>
          <w:tcPr>
            <w:tcW w:w="275" w:type="pct"/>
            <w:vAlign w:val="center"/>
          </w:tcPr>
          <w:p w14:paraId="62EF69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854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B26DA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50" w:type="pct"/>
            <w:vMerge w:val="continue"/>
            <w:vAlign w:val="center"/>
          </w:tcPr>
          <w:p w14:paraId="0C86EE20">
            <w:pPr>
              <w:pStyle w:val="28"/>
              <w:rPr>
                <w:color w:val="000000" w:themeColor="text1"/>
                <w14:textFill>
                  <w14:solidFill>
                    <w14:schemeClr w14:val="tx1"/>
                  </w14:solidFill>
                </w14:textFill>
              </w:rPr>
            </w:pPr>
          </w:p>
        </w:tc>
        <w:tc>
          <w:tcPr>
            <w:tcW w:w="1888" w:type="pct"/>
            <w:vAlign w:val="center"/>
          </w:tcPr>
          <w:p w14:paraId="2F6A0237">
            <w:pPr>
              <w:pStyle w:val="28"/>
              <w:rPr>
                <w:color w:val="000000" w:themeColor="text1"/>
                <w14:textFill>
                  <w14:solidFill>
                    <w14:schemeClr w14:val="tx1"/>
                  </w14:solidFill>
                </w14:textFill>
              </w:rPr>
            </w:pPr>
            <w:r>
              <w:rPr>
                <w:color w:val="000000" w:themeColor="text1"/>
                <w14:textFill>
                  <w14:solidFill>
                    <w14:schemeClr w14:val="tx1"/>
                  </w14:solidFill>
                </w14:textFill>
              </w:rPr>
              <w:t>锂离子电池产品的安全应符合有关强制性标准和强制性认证要求。鼓励企业制定和执行高于国家或行业标准的产品技术标准或规范。</w:t>
            </w:r>
          </w:p>
        </w:tc>
        <w:tc>
          <w:tcPr>
            <w:tcW w:w="2224" w:type="pct"/>
            <w:vAlign w:val="center"/>
          </w:tcPr>
          <w:p w14:paraId="10E3C17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全国来看，目前硫化物固态电解质材料还没有统一标准，对此，本项目的产品与国内先进水平进行对比。在技术指标方面，本项目采用系列先进技术，调控材料组分、形貌及结构，制备的硫化物固态电解质材料，属于低成本、高性能电解质材料，具有极高的性价比。</w:t>
            </w:r>
          </w:p>
        </w:tc>
        <w:tc>
          <w:tcPr>
            <w:tcW w:w="275" w:type="pct"/>
            <w:vAlign w:val="center"/>
          </w:tcPr>
          <w:p w14:paraId="0C8293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741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FA6188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50" w:type="pct"/>
            <w:vMerge w:val="continue"/>
            <w:vAlign w:val="center"/>
          </w:tcPr>
          <w:p w14:paraId="4206B2B4">
            <w:pPr>
              <w:pStyle w:val="28"/>
              <w:rPr>
                <w:color w:val="000000" w:themeColor="text1"/>
                <w14:textFill>
                  <w14:solidFill>
                    <w14:schemeClr w14:val="tx1"/>
                  </w14:solidFill>
                </w14:textFill>
              </w:rPr>
            </w:pPr>
          </w:p>
        </w:tc>
        <w:tc>
          <w:tcPr>
            <w:tcW w:w="1888" w:type="pct"/>
            <w:vAlign w:val="center"/>
          </w:tcPr>
          <w:p w14:paraId="160272D1">
            <w:pPr>
              <w:pStyle w:val="28"/>
              <w:rPr>
                <w:color w:val="000000" w:themeColor="text1"/>
                <w14:textFill>
                  <w14:solidFill>
                    <w14:schemeClr w14:val="tx1"/>
                  </w14:solidFill>
                </w14:textFill>
              </w:rPr>
            </w:pPr>
            <w:r>
              <w:rPr>
                <w:color w:val="000000" w:themeColor="text1"/>
                <w14:textFill>
                  <w14:solidFill>
                    <w14:schemeClr w14:val="tx1"/>
                  </w14:solidFill>
                </w14:textFill>
              </w:rPr>
              <w:t>企业应建立质量管理体系。质量管理体系至少包括质量方面的控制流程、防止和发现内外部短路故障的控制程序、试验数据和质量记录等内容。企业应设立质量检查部门，配备专职检验人员。鼓励通过第三方质量管理体系认证。</w:t>
            </w:r>
          </w:p>
        </w:tc>
        <w:tc>
          <w:tcPr>
            <w:tcW w:w="2224" w:type="pct"/>
            <w:vAlign w:val="center"/>
          </w:tcPr>
          <w:p w14:paraId="76FB841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企业建立质量管理体系，企业应设立质量检查部门，配备专职检验人员，进行第三方质量管理体系认证。</w:t>
            </w:r>
          </w:p>
        </w:tc>
        <w:tc>
          <w:tcPr>
            <w:tcW w:w="275" w:type="pct"/>
            <w:vAlign w:val="center"/>
          </w:tcPr>
          <w:p w14:paraId="2A06F06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64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4C50185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50" w:type="pct"/>
            <w:vMerge w:val="restart"/>
            <w:vAlign w:val="center"/>
          </w:tcPr>
          <w:p w14:paraId="37C1B8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资源综合利用和生态环境保护</w:t>
            </w:r>
          </w:p>
        </w:tc>
        <w:tc>
          <w:tcPr>
            <w:tcW w:w="1888" w:type="pct"/>
            <w:vAlign w:val="center"/>
          </w:tcPr>
          <w:p w14:paraId="1DCC7DF2">
            <w:pPr>
              <w:pStyle w:val="28"/>
              <w:rPr>
                <w:color w:val="000000" w:themeColor="text1"/>
                <w14:textFill>
                  <w14:solidFill>
                    <w14:schemeClr w14:val="tx1"/>
                  </w14:solidFill>
                </w14:textFill>
              </w:rPr>
            </w:pPr>
            <w:r>
              <w:rPr>
                <w:color w:val="000000" w:themeColor="text1"/>
                <w14:textFill>
                  <w14:solidFill>
                    <w14:schemeClr w14:val="tx1"/>
                  </w14:solidFill>
                </w14:textFill>
              </w:rPr>
              <w:t>企业及项目应符合国家出台的土地使用标准，严格保护耕地，节约集约用地。企业应依法开展建设项目环境影响评价，严格执行环境保护设施</w:t>
            </w:r>
            <w:r>
              <w:rPr>
                <w:rFonts w:hint="eastAsia" w:ascii="宋体" w:hAnsi="宋体" w:cs="宋体"/>
                <w:color w:val="000000" w:themeColor="text1"/>
                <w14:textFill>
                  <w14:solidFill>
                    <w14:schemeClr w14:val="tx1"/>
                  </w14:solidFill>
                </w14:textFill>
              </w:rPr>
              <w:t>“三同时”</w:t>
            </w:r>
            <w:r>
              <w:rPr>
                <w:color w:val="000000" w:themeColor="text1"/>
                <w14:textFill>
                  <w14:solidFill>
                    <w14:schemeClr w14:val="tx1"/>
                  </w14:solidFill>
                </w14:textFill>
              </w:rPr>
              <w:t>制度，并按规定开展环境保护设施竣工验收。</w:t>
            </w:r>
          </w:p>
        </w:tc>
        <w:tc>
          <w:tcPr>
            <w:tcW w:w="2224" w:type="pct"/>
            <w:vAlign w:val="center"/>
          </w:tcPr>
          <w:p w14:paraId="490872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本项目租用已建厂房进行生产，不涉及新增用地，项目正在办理环评手续，本环评要求建设单位严格落实</w:t>
            </w:r>
            <w:r>
              <w:rPr>
                <w:color w:val="000000" w:themeColor="text1"/>
                <w14:textFill>
                  <w14:solidFill>
                    <w14:schemeClr w14:val="tx1"/>
                  </w14:solidFill>
                </w14:textFill>
              </w:rPr>
              <w:t>环境保护设施</w:t>
            </w:r>
            <w:r>
              <w:rPr>
                <w:rFonts w:hint="eastAsia" w:ascii="宋体" w:hAnsi="宋体" w:cs="宋体"/>
                <w:color w:val="000000" w:themeColor="text1"/>
                <w14:textFill>
                  <w14:solidFill>
                    <w14:schemeClr w14:val="tx1"/>
                  </w14:solidFill>
                </w14:textFill>
              </w:rPr>
              <w:t>“三同时”制</w:t>
            </w:r>
            <w:r>
              <w:rPr>
                <w:color w:val="000000" w:themeColor="text1"/>
                <w14:textFill>
                  <w14:solidFill>
                    <w14:schemeClr w14:val="tx1"/>
                  </w14:solidFill>
                </w14:textFill>
              </w:rPr>
              <w:t>度，并按规定开展环境保护设施竣工验收。</w:t>
            </w:r>
          </w:p>
        </w:tc>
        <w:tc>
          <w:tcPr>
            <w:tcW w:w="275" w:type="pct"/>
            <w:vAlign w:val="center"/>
          </w:tcPr>
          <w:p w14:paraId="64240E7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4F2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5CDAF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50" w:type="pct"/>
            <w:vMerge w:val="continue"/>
            <w:vAlign w:val="center"/>
          </w:tcPr>
          <w:p w14:paraId="0EC08260">
            <w:pPr>
              <w:pStyle w:val="28"/>
              <w:rPr>
                <w:color w:val="000000" w:themeColor="text1"/>
                <w14:textFill>
                  <w14:solidFill>
                    <w14:schemeClr w14:val="tx1"/>
                  </w14:solidFill>
                </w14:textFill>
              </w:rPr>
            </w:pPr>
          </w:p>
        </w:tc>
        <w:tc>
          <w:tcPr>
            <w:tcW w:w="1888" w:type="pct"/>
            <w:vAlign w:val="center"/>
          </w:tcPr>
          <w:p w14:paraId="0A5666C2">
            <w:pPr>
              <w:pStyle w:val="28"/>
              <w:rPr>
                <w:color w:val="000000" w:themeColor="text1"/>
                <w14:textFill>
                  <w14:solidFill>
                    <w14:schemeClr w14:val="tx1"/>
                  </w14:solidFill>
                </w14:textFill>
              </w:rPr>
            </w:pPr>
            <w:r>
              <w:rPr>
                <w:color w:val="000000" w:themeColor="text1"/>
                <w14:textFill>
                  <w14:solidFill>
                    <w14:schemeClr w14:val="tx1"/>
                  </w14:solidFill>
                </w14:textFill>
              </w:rPr>
              <w:t>企业应依法申领排污许可证，按照排污许可证排放污染物并落实各项环境管理要求，采取有效措施防止污染土壤和地下水，锂离子电池生产过程中产生的固体废物应依证分类收集、贮存、运输、综合利用或无害化处理，工业污染物达标排放</w:t>
            </w:r>
            <w:r>
              <w:rPr>
                <w:rFonts w:hint="eastAsia"/>
                <w:color w:val="000000" w:themeColor="text1"/>
                <w14:textFill>
                  <w14:solidFill>
                    <w14:schemeClr w14:val="tx1"/>
                  </w14:solidFill>
                </w14:textFill>
              </w:rPr>
              <w:t>，溶剂回收率</w:t>
            </w:r>
            <w:r>
              <w:rPr>
                <w:rFonts w:ascii="Arial" w:hAnsi="Arial" w:cs="Arial"/>
                <w:color w:val="000000" w:themeColor="text1"/>
                <w14:textFill>
                  <w14:solidFill>
                    <w14:schemeClr w14:val="tx1"/>
                  </w14:solidFill>
                </w14:textFill>
              </w:rPr>
              <w:t>≥</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w:t>
            </w:r>
          </w:p>
        </w:tc>
        <w:tc>
          <w:tcPr>
            <w:tcW w:w="2224" w:type="pct"/>
            <w:vAlign w:val="center"/>
          </w:tcPr>
          <w:p w14:paraId="2FB0D7B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建成后依法申领排污许可证，按照排污许可证排放污染物并落实各项环境管理要求，采取有效措施防止污染土壤和地下水。本项目固废主要为废包装材料、废有机溶剂、砂磨机碱洗废碱液、污水处理污泥、喷淋循环系统定期排污废液、废活性炭、废导热油、测试残渣、废抹布、废手套和生活垃圾。废包装材料统一收集后外售至废品回收站，废有机溶剂、砂磨机碱洗废碱液、废活性炭、废导热油、测试残渣、废抹布、废手套按要求进行收集后存于危废暂存间内交由有资质的单位清运处置。污水处理污泥委托有资质的单位清掏、清运处置。生活垃圾统一收集后委托当地环卫部门清运。项目运营过程中所产生的固体废物均可得到妥善的处置，且处置方式合理可行，不易造成二次污染。该规范条件中溶剂回收率≥90% 的要求，核心针对电解液、锂离子电池等生产中大量使用有机溶剂的品类。固态电解质与电解液截然不同，固态电解质生产核心是固体原料的混合、烧结、粉碎等，而非依赖有机溶剂溶解或调配，本质上与依赖有机溶剂的电解液生产工艺有本质区别，而且本项目溶剂使用仅为研磨阶段，根据客户需要才进行研磨，并不是该项目生产的核心工段，并且结合项目规模和发展规划，当前本项目产能小</w:t>
            </w:r>
            <w:r>
              <w:rPr>
                <w:rStyle w:val="26"/>
                <w:rFonts w:hint="eastAsia"/>
                <w:color w:val="000000" w:themeColor="text1"/>
                <w14:textFill>
                  <w14:solidFill>
                    <w14:schemeClr w14:val="tx1"/>
                  </w14:solidFill>
                </w14:textFill>
              </w:rPr>
              <w:t>（10t/a，约33.3kg/d）</w:t>
            </w:r>
            <w:r>
              <w:rPr>
                <w:rFonts w:hint="eastAsia"/>
                <w:color w:val="000000" w:themeColor="text1"/>
                <w14:textFill>
                  <w14:solidFill>
                    <w14:schemeClr w14:val="tx1"/>
                  </w14:solidFill>
                </w14:textFill>
              </w:rPr>
              <w:t>，单独购置蒸馏回收、吸附回收等设备，不符合中小企业实际生产情况，若后续企业</w:t>
            </w:r>
            <w:r>
              <w:rPr>
                <w:rStyle w:val="26"/>
                <w:rFonts w:hint="eastAsia"/>
                <w:color w:val="000000" w:themeColor="text1"/>
                <w14:textFill>
                  <w14:solidFill>
                    <w14:schemeClr w14:val="tx1"/>
                  </w14:solidFill>
                </w14:textFill>
              </w:rPr>
              <w:t>扩大生产规模</w:t>
            </w:r>
            <w:r>
              <w:rPr>
                <w:rFonts w:hint="eastAsia"/>
                <w:color w:val="000000" w:themeColor="text1"/>
                <w14:textFill>
                  <w14:solidFill>
                    <w14:schemeClr w14:val="tx1"/>
                  </w14:solidFill>
                </w14:textFill>
              </w:rPr>
              <w:t>将会着重有机溶剂的回收利用。</w:t>
            </w:r>
          </w:p>
        </w:tc>
        <w:tc>
          <w:tcPr>
            <w:tcW w:w="275" w:type="pct"/>
            <w:vAlign w:val="center"/>
          </w:tcPr>
          <w:p w14:paraId="2E4FC2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D0E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13BA9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50" w:type="pct"/>
            <w:vMerge w:val="continue"/>
            <w:vAlign w:val="center"/>
          </w:tcPr>
          <w:p w14:paraId="58E29559">
            <w:pPr>
              <w:pStyle w:val="28"/>
              <w:rPr>
                <w:color w:val="000000" w:themeColor="text1"/>
                <w14:textFill>
                  <w14:solidFill>
                    <w14:schemeClr w14:val="tx1"/>
                  </w14:solidFill>
                </w14:textFill>
              </w:rPr>
            </w:pPr>
          </w:p>
        </w:tc>
        <w:tc>
          <w:tcPr>
            <w:tcW w:w="1888" w:type="pct"/>
            <w:vAlign w:val="center"/>
          </w:tcPr>
          <w:p w14:paraId="07886F39">
            <w:pPr>
              <w:pStyle w:val="28"/>
              <w:rPr>
                <w:color w:val="000000" w:themeColor="text1"/>
                <w14:textFill>
                  <w14:solidFill>
                    <w14:schemeClr w14:val="tx1"/>
                  </w14:solidFill>
                </w14:textFill>
              </w:rPr>
            </w:pPr>
            <w:r>
              <w:rPr>
                <w:color w:val="000000" w:themeColor="text1"/>
                <w14:textFill>
                  <w14:solidFill>
                    <w14:schemeClr w14:val="tx1"/>
                  </w14:solidFill>
                </w14:textFill>
              </w:rPr>
              <w:t>企业应制定包含产品单耗指标和能耗台帐，不得使用国家明令淘汰的、严重污染环境的落后用能设备和生产工艺。鼓励企业调整用能结构，使用光伏等清洁能源，建设应用工业绿色微电网，开展节能技术应用研究，制定节能规章制度，开发节能共性和关键技术，促进节能技术创新与成果转化。</w:t>
            </w:r>
          </w:p>
        </w:tc>
        <w:tc>
          <w:tcPr>
            <w:tcW w:w="2224" w:type="pct"/>
            <w:vAlign w:val="center"/>
          </w:tcPr>
          <w:p w14:paraId="181F82C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本项目不使用</w:t>
            </w:r>
            <w:r>
              <w:rPr>
                <w:color w:val="000000" w:themeColor="text1"/>
                <w14:textFill>
                  <w14:solidFill>
                    <w14:schemeClr w14:val="tx1"/>
                  </w14:solidFill>
                </w14:textFill>
              </w:rPr>
              <w:t>国家明令淘汰的、严重污染环境的落后用能设备和生产工艺</w:t>
            </w:r>
            <w:r>
              <w:rPr>
                <w:rFonts w:hint="eastAsia"/>
                <w:color w:val="000000" w:themeColor="text1"/>
                <w14:textFill>
                  <w14:solidFill>
                    <w14:schemeClr w14:val="tx1"/>
                  </w14:solidFill>
                </w14:textFill>
              </w:rPr>
              <w:t>，本项目使用电能，项目运行过程中</w:t>
            </w:r>
            <w:r>
              <w:rPr>
                <w:color w:val="000000" w:themeColor="text1"/>
                <w14:textFill>
                  <w14:solidFill>
                    <w14:schemeClr w14:val="tx1"/>
                  </w14:solidFill>
                </w14:textFill>
              </w:rPr>
              <w:t>制定节能规章制度</w:t>
            </w:r>
            <w:r>
              <w:rPr>
                <w:rFonts w:hint="eastAsia"/>
                <w:color w:val="000000" w:themeColor="text1"/>
                <w14:textFill>
                  <w14:solidFill>
                    <w14:schemeClr w14:val="tx1"/>
                  </w14:solidFill>
                </w14:textFill>
              </w:rPr>
              <w:t>，并严格落实。</w:t>
            </w:r>
          </w:p>
        </w:tc>
        <w:tc>
          <w:tcPr>
            <w:tcW w:w="275" w:type="pct"/>
            <w:vAlign w:val="center"/>
          </w:tcPr>
          <w:p w14:paraId="0BE9A2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10F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CB8A2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50" w:type="pct"/>
            <w:vMerge w:val="continue"/>
            <w:vAlign w:val="center"/>
          </w:tcPr>
          <w:p w14:paraId="32423839">
            <w:pPr>
              <w:pStyle w:val="28"/>
              <w:rPr>
                <w:color w:val="000000" w:themeColor="text1"/>
                <w14:textFill>
                  <w14:solidFill>
                    <w14:schemeClr w14:val="tx1"/>
                  </w14:solidFill>
                </w14:textFill>
              </w:rPr>
            </w:pPr>
          </w:p>
        </w:tc>
        <w:tc>
          <w:tcPr>
            <w:tcW w:w="1888" w:type="pct"/>
            <w:vAlign w:val="center"/>
          </w:tcPr>
          <w:p w14:paraId="3173B37B">
            <w:pPr>
              <w:pStyle w:val="28"/>
              <w:rPr>
                <w:color w:val="000000" w:themeColor="text1"/>
                <w14:textFill>
                  <w14:solidFill>
                    <w14:schemeClr w14:val="tx1"/>
                  </w14:solidFill>
                </w14:textFill>
              </w:rPr>
            </w:pPr>
            <w:r>
              <w:rPr>
                <w:color w:val="000000" w:themeColor="text1"/>
                <w14:textFill>
                  <w14:solidFill>
                    <w14:schemeClr w14:val="tx1"/>
                  </w14:solidFill>
                </w14:textFill>
              </w:rPr>
              <w:t>企业应按照国家有关规定制定突发环境事件应急预案，妥善处理突发环境事件。企业应按照《企业环境信息依法披露管理办法》有关要求，依法披露环境信息。当年及上一年度未发生重大及以上环境污染事件和生态破坏事件。</w:t>
            </w:r>
          </w:p>
        </w:tc>
        <w:tc>
          <w:tcPr>
            <w:tcW w:w="2224" w:type="pct"/>
            <w:vAlign w:val="center"/>
          </w:tcPr>
          <w:p w14:paraId="3EB9482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企业将按照国家有关规定制定突发环境事件应急预案，妥善处理突发环境事件，依法披露环境信息。</w:t>
            </w:r>
          </w:p>
        </w:tc>
        <w:tc>
          <w:tcPr>
            <w:tcW w:w="275" w:type="pct"/>
            <w:vAlign w:val="center"/>
          </w:tcPr>
          <w:p w14:paraId="6512E60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7B4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627C5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50" w:type="pct"/>
            <w:vMerge w:val="continue"/>
            <w:vAlign w:val="center"/>
          </w:tcPr>
          <w:p w14:paraId="1ECAB2F0">
            <w:pPr>
              <w:pStyle w:val="28"/>
              <w:rPr>
                <w:color w:val="000000" w:themeColor="text1"/>
                <w14:textFill>
                  <w14:solidFill>
                    <w14:schemeClr w14:val="tx1"/>
                  </w14:solidFill>
                </w14:textFill>
              </w:rPr>
            </w:pPr>
          </w:p>
        </w:tc>
        <w:tc>
          <w:tcPr>
            <w:tcW w:w="1888" w:type="pct"/>
            <w:vAlign w:val="center"/>
          </w:tcPr>
          <w:p w14:paraId="613F5F3A">
            <w:pPr>
              <w:pStyle w:val="28"/>
              <w:rPr>
                <w:color w:val="000000" w:themeColor="text1"/>
                <w14:textFill>
                  <w14:solidFill>
                    <w14:schemeClr w14:val="tx1"/>
                  </w14:solidFill>
                </w14:textFill>
              </w:rPr>
            </w:pPr>
            <w:r>
              <w:rPr>
                <w:color w:val="000000" w:themeColor="text1"/>
                <w14:textFill>
                  <w14:solidFill>
                    <w14:schemeClr w14:val="tx1"/>
                  </w14:solidFill>
                </w14:textFill>
              </w:rPr>
              <w:t>企业应建立环境管理体系，鼓励通过第三方环境管理体系认证。鼓励企业持续开展清洁生产审核工作，清洁生产指标宜达到《电池行业清洁生产评价指标体系》中Ⅲ级及以上水平。</w:t>
            </w:r>
          </w:p>
        </w:tc>
        <w:tc>
          <w:tcPr>
            <w:tcW w:w="2224" w:type="pct"/>
            <w:vAlign w:val="center"/>
          </w:tcPr>
          <w:p w14:paraId="57351D3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本项目不属于锂离子电池制造。</w:t>
            </w:r>
          </w:p>
        </w:tc>
        <w:tc>
          <w:tcPr>
            <w:tcW w:w="275" w:type="pct"/>
            <w:vAlign w:val="center"/>
          </w:tcPr>
          <w:p w14:paraId="2BADDA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00EF728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根据上表分析，本项目符合《锂离子电池行业规范条件（2024年本）》相关要求。</w:t>
      </w:r>
    </w:p>
    <w:p w14:paraId="7D090831">
      <w:pPr>
        <w:pStyle w:val="3"/>
        <w:rPr>
          <w:color w:val="000000" w:themeColor="text1"/>
          <w14:textFill>
            <w14:solidFill>
              <w14:schemeClr w14:val="tx1"/>
            </w14:solidFill>
          </w14:textFill>
        </w:rPr>
      </w:pPr>
      <w:bookmarkStart w:id="167" w:name="_Toc14364"/>
      <w:r>
        <w:rPr>
          <w:rFonts w:hint="eastAsia"/>
          <w:color w:val="000000" w:themeColor="text1"/>
          <w14:textFill>
            <w14:solidFill>
              <w14:schemeClr w14:val="tx1"/>
            </w14:solidFill>
          </w14:textFill>
        </w:rPr>
        <w:t>9.13与园区规划符合性分析</w:t>
      </w:r>
      <w:bookmarkEnd w:id="167"/>
    </w:p>
    <w:p w14:paraId="5E8C42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玉溪高新技术产业开发区总体规划》，本项目位于玉溪高新区核心区九龙地块，该片区以高质量产城融合为发展导向，以大健康为特色，重点发展生物医药大健康和数字服务，坚持创新要素集聚，打造产城融合示范区。九龙片区承载技术研发、创业孵化、技术转移转化等功能。</w:t>
      </w:r>
    </w:p>
    <w:p w14:paraId="45E4DF0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本项目主要进行固态电解质生产，项目已取得玉溪市高新技术产业开发区管理委员会签发的备案证，同意项目建设，本项目与玉溪高新技术产业开发区总体规划不冲突。</w:t>
      </w:r>
    </w:p>
    <w:p w14:paraId="784DB0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本项目与玉溪高新技术产业开发区产业布局规划图叠图详见附图9.1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-1。</w:t>
      </w:r>
    </w:p>
    <w:p w14:paraId="5788EDE1">
      <w:pPr>
        <w:pStyle w:val="3"/>
        <w:rPr>
          <w:color w:val="000000" w:themeColor="text1"/>
          <w14:textFill>
            <w14:solidFill>
              <w14:schemeClr w14:val="tx1"/>
            </w14:solidFill>
          </w14:textFill>
        </w:rPr>
      </w:pPr>
      <w:bookmarkStart w:id="168" w:name="_Toc3182"/>
      <w:r>
        <w:rPr>
          <w:rFonts w:hint="eastAsia"/>
          <w:color w:val="000000" w:themeColor="text1"/>
          <w14:textFill>
            <w14:solidFill>
              <w14:schemeClr w14:val="tx1"/>
            </w14:solidFill>
          </w14:textFill>
        </w:rPr>
        <w:t>9.14与《玉溪高新技术产业开发区总体规划修编（2021-2035年）环境影响报告书》及审查意见符合性分析</w:t>
      </w:r>
      <w:bookmarkEnd w:id="168"/>
    </w:p>
    <w:p w14:paraId="3B1AA7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本项目位于玉溪高新区核心区九龙地块，与《玉溪高新技术产业开发区总体规划修编（2021-2035年）环境影响报告书》及审查意见中提出的环境管控要求的符合性分析详见下表9.14-1、表9.14-2：</w:t>
      </w:r>
    </w:p>
    <w:p w14:paraId="08A1865B">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9.1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项目</w:t>
      </w:r>
      <w:r>
        <w:rPr>
          <w:rFonts w:hint="eastAsia"/>
          <w:color w:val="000000" w:themeColor="text1"/>
          <w14:textFill>
            <w14:solidFill>
              <w14:schemeClr w14:val="tx1"/>
            </w14:solidFill>
          </w14:textFill>
        </w:rPr>
        <w:t>与《玉溪高新技术产业开发区总体规划修编（2021-2035年）环境影响报告书》符合性分析对照表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3222"/>
        <w:gridCol w:w="4177"/>
        <w:gridCol w:w="486"/>
      </w:tblGrid>
      <w:tr w14:paraId="65D5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pct"/>
            <w:vAlign w:val="center"/>
          </w:tcPr>
          <w:p w14:paraId="37AC073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c>
          <w:tcPr>
            <w:tcW w:w="1890" w:type="pct"/>
            <w:vAlign w:val="center"/>
          </w:tcPr>
          <w:p w14:paraId="5D9E48C9">
            <w:pPr>
              <w:pStyle w:val="28"/>
              <w:rPr>
                <w:color w:val="000000" w:themeColor="text1"/>
                <w14:textFill>
                  <w14:solidFill>
                    <w14:schemeClr w14:val="tx1"/>
                  </w14:solidFill>
                </w14:textFill>
              </w:rPr>
            </w:pPr>
            <w:r>
              <w:rPr>
                <w:color w:val="000000" w:themeColor="text1"/>
                <w14:textFill>
                  <w14:solidFill>
                    <w14:schemeClr w14:val="tx1"/>
                  </w14:solidFill>
                </w14:textFill>
              </w:rPr>
              <w:t>规划环评提出的准入要求</w:t>
            </w:r>
          </w:p>
        </w:tc>
        <w:tc>
          <w:tcPr>
            <w:tcW w:w="2450" w:type="pct"/>
            <w:vAlign w:val="center"/>
          </w:tcPr>
          <w:p w14:paraId="1C5B2582">
            <w:pPr>
              <w:pStyle w:val="28"/>
              <w:rPr>
                <w:color w:val="000000" w:themeColor="text1"/>
                <w14:textFill>
                  <w14:solidFill>
                    <w14:schemeClr w14:val="tx1"/>
                  </w14:solidFill>
                </w14:textFill>
              </w:rPr>
            </w:pPr>
            <w:r>
              <w:rPr>
                <w:color w:val="000000" w:themeColor="text1"/>
                <w14:textFill>
                  <w14:solidFill>
                    <w14:schemeClr w14:val="tx1"/>
                  </w14:solidFill>
                </w14:textFill>
              </w:rPr>
              <w:t>项目情况</w:t>
            </w:r>
          </w:p>
        </w:tc>
        <w:tc>
          <w:tcPr>
            <w:tcW w:w="285" w:type="pct"/>
            <w:vAlign w:val="center"/>
          </w:tcPr>
          <w:p w14:paraId="6FBAA193">
            <w:pPr>
              <w:pStyle w:val="28"/>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0B22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74" w:type="pct"/>
            <w:vAlign w:val="center"/>
          </w:tcPr>
          <w:p w14:paraId="47702C8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w:t>
            </w:r>
          </w:p>
        </w:tc>
        <w:tc>
          <w:tcPr>
            <w:tcW w:w="1890" w:type="pct"/>
            <w:vAlign w:val="center"/>
          </w:tcPr>
          <w:p w14:paraId="3569AF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.九龙地块、南地块禁止《环境保护综合名录（2021 年版）》中高风险、高污染行业以及《云南省城镇人口密集区危险化学品生产企业搬迁改造实施方案》中相关企业入驻。</w:t>
            </w:r>
          </w:p>
          <w:p w14:paraId="326D8EC5">
            <w:pPr>
              <w:pStyle w:val="28"/>
              <w:rPr>
                <w:color w:val="000000" w:themeColor="text1"/>
                <w14:textFill>
                  <w14:solidFill>
                    <w14:schemeClr w14:val="tx1"/>
                  </w14:solidFill>
                </w14:textFill>
              </w:rPr>
            </w:pPr>
            <w:r>
              <w:rPr>
                <w:color w:val="000000" w:themeColor="text1"/>
                <w14:textFill>
                  <w14:solidFill>
                    <w14:schemeClr w14:val="tx1"/>
                  </w14:solidFill>
                </w14:textFill>
              </w:rPr>
              <w:t xml:space="preserve">2.南地块距离红塔山保护区较近，该地块企业入驻时，应优化企业的内部布局，与红塔自然保护区保持一定缓冲距离；对主要产排废气的装置区，应远离红塔自然保护区。 </w:t>
            </w:r>
          </w:p>
          <w:p w14:paraId="300AD783">
            <w:pPr>
              <w:pStyle w:val="28"/>
              <w:rPr>
                <w:color w:val="000000" w:themeColor="text1"/>
                <w14:textFill>
                  <w14:solidFill>
                    <w14:schemeClr w14:val="tx1"/>
                  </w14:solidFill>
                </w14:textFill>
              </w:rPr>
            </w:pPr>
            <w:r>
              <w:rPr>
                <w:color w:val="000000" w:themeColor="text1"/>
                <w14:textFill>
                  <w14:solidFill>
                    <w14:schemeClr w14:val="tx1"/>
                  </w14:solidFill>
                </w14:textFill>
              </w:rPr>
              <w:t>3.禁止不符合产业政策、不符合片区产业定位企业入驻。</w:t>
            </w:r>
          </w:p>
          <w:p w14:paraId="2AFA7C0E">
            <w:pPr>
              <w:pStyle w:val="28"/>
              <w:rPr>
                <w:color w:val="000000" w:themeColor="text1"/>
                <w14:textFill>
                  <w14:solidFill>
                    <w14:schemeClr w14:val="tx1"/>
                  </w14:solidFill>
                </w14:textFill>
              </w:rPr>
            </w:pPr>
            <w:r>
              <w:rPr>
                <w:color w:val="000000" w:themeColor="text1"/>
                <w14:textFill>
                  <w14:solidFill>
                    <w14:schemeClr w14:val="tx1"/>
                  </w14:solidFill>
                </w14:textFill>
              </w:rPr>
              <w:t>4.在玉溪大河、石邑河水质达标前，禁止引入排水量大的水污染型企业。</w:t>
            </w:r>
          </w:p>
        </w:tc>
        <w:tc>
          <w:tcPr>
            <w:tcW w:w="2450" w:type="pct"/>
            <w:vAlign w:val="center"/>
          </w:tcPr>
          <w:p w14:paraId="6675F92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1.本项目位于九龙地块，不属于《环境保护综合名录（2021 年版）》中高风险、高污染行业以及《云南省城镇人口密集区危险化学品生产企业搬迁改造实施方案》中相关的企业。</w:t>
            </w:r>
          </w:p>
          <w:p w14:paraId="56E445BA">
            <w:pPr>
              <w:pStyle w:val="2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.本项目位于九龙地块，本项目占地及评价范围不涉及红塔山自然保护区，不涉及公益林、天然林。</w:t>
            </w:r>
          </w:p>
          <w:p w14:paraId="0E53D461">
            <w:pPr>
              <w:pStyle w:val="28"/>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本项目属于《产业结构调整指导目录（2024年本）》中的鼓励类，不属于《淘汰落后生产能力、工艺和产品的名录（第一、二、三批）》中的淘汰类，本项目主要进行固态电解质的生产，项目已取得玉溪市高新技术产业开发区管理委员会签发的备案证，同意项目建设，本项目与玉溪高新技术产业开发区总体规划不冲突。</w:t>
            </w:r>
          </w:p>
          <w:p w14:paraId="41073E9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4.根据工程分析可知，本项目用水环节较少，用水量小，废水排放量较小，不涉及工业废水直排</w:t>
            </w:r>
            <w:r>
              <w:rPr>
                <w:color w:val="000000" w:themeColor="text1"/>
                <w14:textFill>
                  <w14:solidFill>
                    <w14:schemeClr w14:val="tx1"/>
                  </w14:solidFill>
                </w14:textFill>
              </w:rPr>
              <w:t>。</w:t>
            </w:r>
          </w:p>
        </w:tc>
        <w:tc>
          <w:tcPr>
            <w:tcW w:w="285" w:type="pct"/>
            <w:vAlign w:val="center"/>
          </w:tcPr>
          <w:p w14:paraId="4DFA01C6">
            <w:pPr>
              <w:pStyle w:val="2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29B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74" w:type="pct"/>
            <w:vAlign w:val="center"/>
          </w:tcPr>
          <w:p w14:paraId="545CB17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1890" w:type="pct"/>
            <w:vAlign w:val="center"/>
          </w:tcPr>
          <w:p w14:paraId="031236C6">
            <w:pPr>
              <w:pStyle w:val="28"/>
              <w:rPr>
                <w:color w:val="000000" w:themeColor="text1"/>
                <w14:textFill>
                  <w14:solidFill>
                    <w14:schemeClr w14:val="tx1"/>
                  </w14:solidFill>
                </w14:textFill>
              </w:rPr>
            </w:pPr>
            <w:r>
              <w:rPr>
                <w:color w:val="000000" w:themeColor="text1"/>
                <w14:textFill>
                  <w14:solidFill>
                    <w14:schemeClr w14:val="tx1"/>
                  </w14:solidFill>
                </w14:textFill>
              </w:rPr>
              <w:t>1.废水含难降解的有机污染物（多环芳烃、氯苯、芳烃、硝基化合物）、“三致”污染物（甲基汞、多氯联苯、氯甲烷、氯乙烯、苯、镍等致癌、致畸、致突变的物质）项目禁止外排废水。</w:t>
            </w:r>
          </w:p>
          <w:p w14:paraId="6CCBF10A">
            <w:pPr>
              <w:pStyle w:val="28"/>
              <w:rPr>
                <w:color w:val="000000" w:themeColor="text1"/>
                <w14:textFill>
                  <w14:solidFill>
                    <w14:schemeClr w14:val="tx1"/>
                  </w14:solidFill>
                </w14:textFill>
              </w:rPr>
            </w:pPr>
            <w:r>
              <w:rPr>
                <w:color w:val="000000" w:themeColor="text1"/>
                <w14:textFill>
                  <w14:solidFill>
                    <w14:schemeClr w14:val="tx1"/>
                  </w14:solidFill>
                </w14:textFill>
              </w:rPr>
              <w:t>2.南片区新建项目废气污染物实行等量或减量替代。</w:t>
            </w:r>
          </w:p>
          <w:p w14:paraId="66EB05CB">
            <w:pPr>
              <w:pStyle w:val="28"/>
              <w:rPr>
                <w:color w:val="000000" w:themeColor="text1"/>
                <w14:textFill>
                  <w14:solidFill>
                    <w14:schemeClr w14:val="tx1"/>
                  </w14:solidFill>
                </w14:textFill>
              </w:rPr>
            </w:pPr>
            <w:r>
              <w:rPr>
                <w:color w:val="000000" w:themeColor="text1"/>
                <w14:textFill>
                  <w14:solidFill>
                    <w14:schemeClr w14:val="tx1"/>
                  </w14:solidFill>
                </w14:textFill>
              </w:rPr>
              <w:t>3.新改扩建项目排放区域大气环境超标污染因子的，在区域环境质量不能稳定达标前，须做到“增产不增污”，废气污染物排放必须实施“区域倍量削减替代”。</w:t>
            </w:r>
          </w:p>
          <w:p w14:paraId="614A2292">
            <w:pPr>
              <w:pStyle w:val="28"/>
              <w:rPr>
                <w:color w:val="000000" w:themeColor="text1"/>
                <w14:textFill>
                  <w14:solidFill>
                    <w14:schemeClr w14:val="tx1"/>
                  </w14:solidFill>
                </w14:textFill>
              </w:rPr>
            </w:pPr>
            <w:r>
              <w:rPr>
                <w:color w:val="000000" w:themeColor="text1"/>
                <w14:textFill>
                  <w14:solidFill>
                    <w14:schemeClr w14:val="tx1"/>
                  </w14:solidFill>
                </w14:textFill>
              </w:rPr>
              <w:t>4.在区域水环境质量不能稳定达标前，排放受纳水体超标污染因子的新建、扩建项目，实行区域内现有污染源1.5-2 倍的削减替代。</w:t>
            </w:r>
          </w:p>
        </w:tc>
        <w:tc>
          <w:tcPr>
            <w:tcW w:w="2450" w:type="pct"/>
            <w:vAlign w:val="center"/>
          </w:tcPr>
          <w:p w14:paraId="741D357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1.本项目废水主要污染物是 SS、COD、TP、硫化物，不含</w:t>
            </w:r>
            <w:r>
              <w:rPr>
                <w:color w:val="000000" w:themeColor="text1"/>
                <w14:textFill>
                  <w14:solidFill>
                    <w14:schemeClr w14:val="tx1"/>
                  </w14:solidFill>
                </w14:textFill>
              </w:rPr>
              <w:t>难降解的有机污染物（多环芳烃、氯苯、芳烃、硝基化合物）、“三致”污染物（甲基汞、多氯联苯、氯甲烷、氯乙烯、苯、镍等致癌、致畸、致突变的物质）</w:t>
            </w:r>
            <w:r>
              <w:rPr>
                <w:rFonts w:hint="eastAsia"/>
                <w:color w:val="000000" w:themeColor="text1"/>
                <w14:textFill>
                  <w14:solidFill>
                    <w14:schemeClr w14:val="tx1"/>
                  </w14:solidFill>
                </w14:textFill>
              </w:rPr>
              <w:t>。</w:t>
            </w:r>
          </w:p>
          <w:p w14:paraId="1F99352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2.本项目位于九龙片区，不在南片区。</w:t>
            </w:r>
          </w:p>
          <w:p w14:paraId="5398FD0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3.本项目属于新建项目，项目位于达标区。</w:t>
            </w:r>
          </w:p>
          <w:p w14:paraId="2F30941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4.本项目废水经处理后排入玉溪市污水处理厂进行处理，不涉及废水直排。</w:t>
            </w:r>
          </w:p>
        </w:tc>
        <w:tc>
          <w:tcPr>
            <w:tcW w:w="285" w:type="pct"/>
            <w:vAlign w:val="center"/>
          </w:tcPr>
          <w:p w14:paraId="75AD40C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485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374" w:type="pct"/>
            <w:vAlign w:val="center"/>
          </w:tcPr>
          <w:p w14:paraId="73693CE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1890" w:type="pct"/>
            <w:vAlign w:val="center"/>
          </w:tcPr>
          <w:p w14:paraId="27532B10">
            <w:pPr>
              <w:pStyle w:val="28"/>
              <w:rPr>
                <w:color w:val="000000" w:themeColor="text1"/>
                <w14:textFill>
                  <w14:solidFill>
                    <w14:schemeClr w14:val="tx1"/>
                  </w14:solidFill>
                </w14:textFill>
              </w:rPr>
            </w:pPr>
            <w:r>
              <w:rPr>
                <w:color w:val="000000" w:themeColor="text1"/>
                <w14:textFill>
                  <w14:solidFill>
                    <w14:schemeClr w14:val="tx1"/>
                  </w14:solidFill>
                </w14:textFill>
              </w:rPr>
              <w:t>1.禁止《环境保护综合名录（2021年版）》中高风险、高污染行业以及《云南省城镇人口密集区危险化学品生产企业搬迁改造实施方案》中相关企业入驻；</w:t>
            </w:r>
          </w:p>
          <w:p w14:paraId="3CA7CC12">
            <w:pPr>
              <w:pStyle w:val="28"/>
              <w:rPr>
                <w:color w:val="000000" w:themeColor="text1"/>
                <w14:textFill>
                  <w14:solidFill>
                    <w14:schemeClr w14:val="tx1"/>
                  </w14:solidFill>
                </w14:textFill>
              </w:rPr>
            </w:pPr>
            <w:r>
              <w:rPr>
                <w:color w:val="000000" w:themeColor="text1"/>
                <w14:textFill>
                  <w14:solidFill>
                    <w14:schemeClr w14:val="tx1"/>
                  </w14:solidFill>
                </w14:textFill>
              </w:rPr>
              <w:t>2.片区内企业入驻项目需与敏感点保持足够的卫生、环境防护距离要求</w:t>
            </w:r>
            <w:r>
              <w:rPr>
                <w:rFonts w:hint="eastAsia"/>
                <w:color w:val="000000" w:themeColor="text1"/>
                <w14:textFill>
                  <w14:solidFill>
                    <w14:schemeClr w14:val="tx1"/>
                  </w14:solidFill>
                </w14:textFill>
              </w:rPr>
              <w:t>。</w:t>
            </w:r>
          </w:p>
        </w:tc>
        <w:tc>
          <w:tcPr>
            <w:tcW w:w="2450" w:type="pct"/>
            <w:vAlign w:val="center"/>
          </w:tcPr>
          <w:p w14:paraId="0C4C9E6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1.本项目不属于</w:t>
            </w:r>
            <w:r>
              <w:rPr>
                <w:color w:val="000000" w:themeColor="text1"/>
                <w14:textFill>
                  <w14:solidFill>
                    <w14:schemeClr w14:val="tx1"/>
                  </w14:solidFill>
                </w14:textFill>
              </w:rPr>
              <w:t>《环境保护综合名录（2021年版）》中高风险、高污染行业以及《云南省城镇人口密集区危险化学品生产企业搬迁改造实施方案》中相关企业</w:t>
            </w:r>
            <w:r>
              <w:rPr>
                <w:rFonts w:hint="eastAsia"/>
                <w:color w:val="000000" w:themeColor="text1"/>
                <w14:textFill>
                  <w14:solidFill>
                    <w14:schemeClr w14:val="tx1"/>
                  </w14:solidFill>
                </w14:textFill>
              </w:rPr>
              <w:t>。</w:t>
            </w:r>
          </w:p>
          <w:p w14:paraId="7266141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距离本项目最近的村庄为项目区下风向东北面约180m处的大莲池村，但本项目排放的废气污染物为颗粒物、硫化氢、挥发性有机物（以非甲烷总烃计），不涉及《有毒有害大气污染物名录》中的污染物，大气污染物的排放可控制在国家标准允许的范围内，对周围大气关心点影响较小。</w:t>
            </w:r>
          </w:p>
        </w:tc>
        <w:tc>
          <w:tcPr>
            <w:tcW w:w="285" w:type="pct"/>
            <w:vAlign w:val="center"/>
          </w:tcPr>
          <w:p w14:paraId="511E5A9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C8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374" w:type="pct"/>
            <w:vAlign w:val="center"/>
          </w:tcPr>
          <w:p w14:paraId="65B8E8D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1890" w:type="pct"/>
            <w:vAlign w:val="center"/>
          </w:tcPr>
          <w:p w14:paraId="01C85041">
            <w:pPr>
              <w:pStyle w:val="28"/>
              <w:rPr>
                <w:color w:val="000000" w:themeColor="text1"/>
                <w14:textFill>
                  <w14:solidFill>
                    <w14:schemeClr w14:val="tx1"/>
                  </w14:solidFill>
                </w14:textFill>
              </w:rPr>
            </w:pPr>
            <w:r>
              <w:rPr>
                <w:color w:val="000000" w:themeColor="text1"/>
                <w14:textFill>
                  <w14:solidFill>
                    <w14:schemeClr w14:val="tx1"/>
                  </w14:solidFill>
                </w14:textFill>
              </w:rPr>
              <w:t>1.入驻企业工业用水鼓励优先使用再生水，禁止取用地下水作为生产用水。</w:t>
            </w:r>
          </w:p>
        </w:tc>
        <w:tc>
          <w:tcPr>
            <w:tcW w:w="2450" w:type="pct"/>
            <w:vAlign w:val="center"/>
          </w:tcPr>
          <w:p w14:paraId="7CBB75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本项目供水</w:t>
            </w:r>
            <w:r>
              <w:rPr>
                <w:rFonts w:hint="eastAsia"/>
                <w:color w:val="000000" w:themeColor="text1"/>
                <w14:textFill>
                  <w14:solidFill>
                    <w14:schemeClr w14:val="tx1"/>
                  </w14:solidFill>
                </w14:textFill>
              </w:rPr>
              <w:t>依托园区给水管网，不取用地下水，</w:t>
            </w:r>
            <w:r>
              <w:rPr>
                <w:color w:val="000000" w:themeColor="text1"/>
                <w14:textFill>
                  <w14:solidFill>
                    <w14:schemeClr w14:val="tx1"/>
                  </w14:solidFill>
                </w14:textFill>
              </w:rPr>
              <w:t>用水主要为</w:t>
            </w:r>
            <w:r>
              <w:rPr>
                <w:rFonts w:hint="eastAsia"/>
                <w:color w:val="000000" w:themeColor="text1"/>
                <w14:textFill>
                  <w14:solidFill>
                    <w14:schemeClr w14:val="tx1"/>
                  </w14:solidFill>
                </w14:textFill>
              </w:rPr>
              <w:t>生活用水、测试器具清洗用纯水、设备冷却水、喷淋用水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生活用水、纯水用水量较小，</w:t>
            </w:r>
            <w:r>
              <w:rPr>
                <w:color w:val="000000" w:themeColor="text1"/>
                <w14:textFill>
                  <w14:solidFill>
                    <w14:schemeClr w14:val="tx1"/>
                  </w14:solidFill>
                </w14:textFill>
              </w:rPr>
              <w:t>设备冷却水、喷淋用水</w:t>
            </w:r>
            <w:r>
              <w:rPr>
                <w:rFonts w:hint="eastAsia"/>
                <w:color w:val="000000" w:themeColor="text1"/>
                <w14:textFill>
                  <w14:solidFill>
                    <w14:schemeClr w14:val="tx1"/>
                  </w14:solidFill>
                </w14:textFill>
              </w:rPr>
              <w:t>循环使用，不外排。</w:t>
            </w:r>
          </w:p>
        </w:tc>
        <w:tc>
          <w:tcPr>
            <w:tcW w:w="285" w:type="pct"/>
            <w:vAlign w:val="center"/>
          </w:tcPr>
          <w:p w14:paraId="3E8B15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0CC25B1F">
      <w:pPr>
        <w:pStyle w:val="27"/>
        <w:rPr>
          <w:color w:val="000000" w:themeColor="text1"/>
          <w14:textFill>
            <w14:solidFill>
              <w14:schemeClr w14:val="tx1"/>
            </w14:solidFill>
          </w14:textFill>
        </w:rPr>
      </w:pPr>
    </w:p>
    <w:p w14:paraId="04DB4D83">
      <w:pPr>
        <w:pStyle w:val="27"/>
        <w:rPr>
          <w:color w:val="000000" w:themeColor="text1"/>
          <w14:textFill>
            <w14:solidFill>
              <w14:schemeClr w14:val="tx1"/>
            </w14:solidFill>
          </w14:textFill>
        </w:rPr>
      </w:pPr>
    </w:p>
    <w:p w14:paraId="5883A203">
      <w:pPr>
        <w:pStyle w:val="27"/>
        <w:rPr>
          <w:color w:val="000000" w:themeColor="text1"/>
          <w14:textFill>
            <w14:solidFill>
              <w14:schemeClr w14:val="tx1"/>
            </w14:solidFill>
          </w14:textFill>
        </w:rPr>
      </w:pPr>
    </w:p>
    <w:p w14:paraId="58C95104">
      <w:pPr>
        <w:rPr>
          <w:color w:val="000000" w:themeColor="text1"/>
          <w14:textFill>
            <w14:solidFill>
              <w14:schemeClr w14:val="tx1"/>
            </w14:solidFill>
          </w14:textFill>
        </w:rPr>
      </w:pPr>
    </w:p>
    <w:p w14:paraId="33A768E1">
      <w:pPr>
        <w:rPr>
          <w:color w:val="000000" w:themeColor="text1"/>
          <w14:textFill>
            <w14:solidFill>
              <w14:schemeClr w14:val="tx1"/>
            </w14:solidFill>
          </w14:textFill>
        </w:rPr>
      </w:pPr>
    </w:p>
    <w:p w14:paraId="33B2611C">
      <w:pPr>
        <w:pStyle w:val="2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9.1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项目规划环评审查意见符合性分析一览表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3346"/>
        <w:gridCol w:w="4015"/>
        <w:gridCol w:w="587"/>
      </w:tblGrid>
      <w:tr w14:paraId="3711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5D442C3D">
            <w:pPr>
              <w:pStyle w:val="2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62" w:type="pct"/>
            <w:vAlign w:val="center"/>
          </w:tcPr>
          <w:p w14:paraId="1B61FB6D">
            <w:pPr>
              <w:pStyle w:val="28"/>
              <w:rPr>
                <w:color w:val="000000" w:themeColor="text1"/>
                <w14:textFill>
                  <w14:solidFill>
                    <w14:schemeClr w14:val="tx1"/>
                  </w14:solidFill>
                </w14:textFill>
              </w:rPr>
            </w:pPr>
            <w:r>
              <w:rPr>
                <w:color w:val="000000" w:themeColor="text1"/>
                <w14:textFill>
                  <w14:solidFill>
                    <w14:schemeClr w14:val="tx1"/>
                  </w14:solidFill>
                </w14:textFill>
              </w:rPr>
              <w:t>审查意见</w:t>
            </w:r>
          </w:p>
        </w:tc>
        <w:tc>
          <w:tcPr>
            <w:tcW w:w="2354" w:type="pct"/>
            <w:vAlign w:val="center"/>
          </w:tcPr>
          <w:p w14:paraId="18F74138">
            <w:pPr>
              <w:pStyle w:val="28"/>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344" w:type="pct"/>
            <w:vAlign w:val="center"/>
          </w:tcPr>
          <w:p w14:paraId="608DB2CB">
            <w:pPr>
              <w:pStyle w:val="28"/>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0A7E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24D764B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62" w:type="pct"/>
            <w:shd w:val="clear" w:color="auto" w:fill="auto"/>
            <w:vAlign w:val="center"/>
          </w:tcPr>
          <w:p w14:paraId="763F5E3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加强规划引导，坚持绿色低碳高质量发展理念，结合生态环境分区管控要求，区域统筹保护好生态空间。产业开发应符合国家产业政策和相关规划。</w:t>
            </w:r>
          </w:p>
        </w:tc>
        <w:tc>
          <w:tcPr>
            <w:tcW w:w="2354" w:type="pct"/>
            <w:vAlign w:val="center"/>
          </w:tcPr>
          <w:p w14:paraId="780EB52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本项目符合国家相关产业政策和相关规划。</w:t>
            </w:r>
          </w:p>
        </w:tc>
        <w:tc>
          <w:tcPr>
            <w:tcW w:w="344" w:type="pct"/>
            <w:vAlign w:val="center"/>
          </w:tcPr>
          <w:p w14:paraId="674984F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020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20B873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62" w:type="pct"/>
            <w:shd w:val="clear" w:color="auto" w:fill="auto"/>
            <w:vAlign w:val="center"/>
          </w:tcPr>
          <w:p w14:paraId="5F36D9D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严格限制《环境保护综合名录》中高污染、高环境风险产品名录”的企业入驻，其中九龙地块、南地块、大营街地块、龙泉片区禁止上述企业入驻。南地块、大营街地块禁止引入高污染燃料企业，禁止新建、扩建三类工业用地布局的项目。南地块、青龙山地块应优化布局，企业与红塔山自然保护区保持一定缓冲距离。</w:t>
            </w:r>
          </w:p>
        </w:tc>
        <w:tc>
          <w:tcPr>
            <w:tcW w:w="2354" w:type="pct"/>
            <w:vAlign w:val="center"/>
          </w:tcPr>
          <w:p w14:paraId="56500E9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本项目位于九龙地块，为固体电解质生产项目，不属于《环境保护综合名录》中高污染、高环境风险产品名录”的企业，不属于高污染燃料企业。</w:t>
            </w:r>
          </w:p>
        </w:tc>
        <w:tc>
          <w:tcPr>
            <w:tcW w:w="344" w:type="pct"/>
            <w:vAlign w:val="center"/>
          </w:tcPr>
          <w:p w14:paraId="584C3F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310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7451899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62" w:type="pct"/>
            <w:shd w:val="clear" w:color="auto" w:fill="auto"/>
            <w:vAlign w:val="center"/>
          </w:tcPr>
          <w:p w14:paraId="771842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严守环境质量底线，严格环境管控。</w:t>
            </w:r>
          </w:p>
          <w:p w14:paraId="78BACA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入驻企业要采用先进高效的污染防治措施，重点做好外排废气中颗粒物削减、脱硫脱硝，挥发性有机物、异味等特征污染物的减排工作，大气污染物排放水平应达到国内先进水平，必要时对高新区开发强度及布局产业规模进行控制。新建、扩建钢铁冶炼项目大气污染物需满足超低排放要求，重点行业建设项目应实行主要污染物区域削减。南片区新建、扩建项目废气污染物实行减量替代。</w:t>
            </w:r>
          </w:p>
          <w:p w14:paraId="31082E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高度重视高新区废水收集、处理、回用、排放的环境管理。项目建设应充分考虑对地下水环境的影响，优化布局，严格水文地质、工程地质勘察，合理规避地下暗河及落水洞发育区，做好地下水污染防治和监控，按相关规范要求采取针对性防渗措施。</w:t>
            </w:r>
          </w:p>
          <w:p w14:paraId="21F96C8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3.采取有效预防措施，防止、减少土壤污染。重视污染物通过大气一土壤一地下水等环境介质跨相输送、迁移和累积过程及影响，确保满足土壤环境管控要求。</w:t>
            </w:r>
          </w:p>
          <w:p w14:paraId="78C57E5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4.危险废物须按规定严格管控，积极推进工业固体废物综合利用，确实需要暂存或安全填埋处置的，暂存（处置）场的选址、建设必须按照相关要求严格落实污染防治措施。</w:t>
            </w:r>
          </w:p>
        </w:tc>
        <w:tc>
          <w:tcPr>
            <w:tcW w:w="2354" w:type="pct"/>
            <w:vAlign w:val="center"/>
          </w:tcPr>
          <w:p w14:paraId="4B8D9146">
            <w:pPr>
              <w:pStyle w:val="28"/>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1.本项目废气主要是投料粉尘、研磨废气、干燥废气、测试残渣及废水处理废气，主要污染物为颗粒物、挥发性有机物（以非甲烷总烃计）、硫化氢。本项目采用密闭式生产装置，生产过程中挥发出的有机废气通过管道收集后经碱喷淋+除雾+活性炭吸附处理后通过15m高的排气筒排放。根据源强核算结果，颗粒物、非甲烷总烃满足《大气污染物综合排放标准》（GB16297-1996）表2中二级标准限值，硫化氢排放速率满足《恶臭污染物排放标准》（GB 14554-93）中表2最高允许排放速率。</w:t>
            </w:r>
          </w:p>
          <w:p w14:paraId="110AFC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本项目纯水制备废水、测试器具清洗废水、冷却水循环系统定期排污水。生产废水经自建一体化污水处理站处理达标后排入市政污水管网排入玉溪市污水处理厂。生活污水、车间拖把清洁废水经化粪池处理后通过市政污水管网排入玉溪市污水处理厂。喷淋废水循环使用不外排。项目建成后实行分区防渗，做好地下水污染防治。</w:t>
            </w:r>
          </w:p>
          <w:p w14:paraId="6D736AF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3.本项目不涉及对地下水存在较大环境风险的设施，且本项目环境风险可控，不易发生泄漏污染地下水及土壤。</w:t>
            </w:r>
          </w:p>
          <w:p w14:paraId="7FDB581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4.本项目固废合理处置，本项目要求建设单位按要求设置危废暂存间，做好危险废物的分类，液态危险废物采用带盖收集桶进行盛装，设置专职人员负责危废暂存间的日常管理。</w:t>
            </w:r>
          </w:p>
        </w:tc>
        <w:tc>
          <w:tcPr>
            <w:tcW w:w="344" w:type="pct"/>
            <w:vAlign w:val="center"/>
          </w:tcPr>
          <w:p w14:paraId="1CCEC2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8E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79F01EE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62" w:type="pct"/>
            <w:shd w:val="clear" w:color="auto" w:fill="auto"/>
            <w:vAlign w:val="center"/>
          </w:tcPr>
          <w:p w14:paraId="0BDFAC1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严格执行环境准入要求，加强入园项目生态环境准入管理。落实蓝天、碧水、净土保卫战有关管控要求，加强“两高”行业生态环境源头防控，引进项目的生产工艺、设备、污染物排放和资源利用等，应达到清洁生产国内先进水平。</w:t>
            </w:r>
          </w:p>
          <w:p w14:paraId="1ED9AC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要以高新区的资源环境承载能力为基础，充分论证、有序发展，严禁引进工艺装备落后，不符合污染物排放总量控制要求的企业。</w:t>
            </w:r>
          </w:p>
        </w:tc>
        <w:tc>
          <w:tcPr>
            <w:tcW w:w="2354" w:type="pct"/>
            <w:vAlign w:val="center"/>
          </w:tcPr>
          <w:p w14:paraId="1FAEE83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本项目不属于“两高”行业，所用生产工艺、设备均不落后，根据工程分析，废气、废水、噪声均能达标排放，固废均得到合理处置。</w:t>
            </w:r>
          </w:p>
        </w:tc>
        <w:tc>
          <w:tcPr>
            <w:tcW w:w="344" w:type="pct"/>
            <w:vAlign w:val="center"/>
          </w:tcPr>
          <w:p w14:paraId="140EF3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596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0FF2398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62" w:type="pct"/>
            <w:shd w:val="clear" w:color="auto" w:fill="auto"/>
            <w:vAlign w:val="center"/>
          </w:tcPr>
          <w:p w14:paraId="5A95444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立健全区域环境风险防范和生态安全保障体系。加强高新区内易导致环境风险的有毒有害和易燃易爆物质的生产、使用、贮运等管理，统筹考虑区内污染防治、生态恢复与建设、环境风险防范、环境管理等事宜。强化高新区危险化学品储运和废水的环境风险管理，制定建立厂区、园区、区域三级防控措施，强化高新区环境监测与预警能力建设、环境风险应急与防范措施，建立应急响应联动机制和风险防控体系并编制应急预案，防范环境风险，避免事故废水排入区外水体，保障区域环境安全。</w:t>
            </w:r>
          </w:p>
        </w:tc>
        <w:tc>
          <w:tcPr>
            <w:tcW w:w="2354" w:type="pct"/>
            <w:vAlign w:val="center"/>
          </w:tcPr>
          <w:p w14:paraId="2B697B5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风险主要是环己烷泄漏可能引发火灾或土壤污染；五硫化二磷遇水反应释放硫化氢，导致大气污染及人员中毒。本项目有机溶剂存放于原料暂存间内，设置专人负责管理，加强巡视检查，项目区内禁止烟火。本项目原料暂存间地面已硬化处理，车间内存放的有机溶剂为桶装，本项目要求有机溶剂盛装桶下方放置不锈钢托盘，一旦发生泄漏，泄漏的物料可以收集在托盘内，能将泄漏范围有效控制，不易流出厂区。原料暂存间内严格防潮，原料配备干燥剂。企业环境风险小，项目环境风险是可控的。项目投产后，根据相关要求编制环境风险应急预案，建立厂区、园区、区域三级防控措施，强化环境监测与预警能力建设、环境风险应急与防范措施，并落实相关风险防范措施。</w:t>
            </w:r>
          </w:p>
        </w:tc>
        <w:tc>
          <w:tcPr>
            <w:tcW w:w="344" w:type="pct"/>
            <w:vAlign w:val="center"/>
          </w:tcPr>
          <w:p w14:paraId="08AE664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722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0BDC0B4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62" w:type="pct"/>
            <w:shd w:val="clear" w:color="auto" w:fill="auto"/>
            <w:vAlign w:val="center"/>
          </w:tcPr>
          <w:p w14:paraId="13A9D5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建立环境质量监测网络并共享数据。做好区内大气、地表水、地下水、土壤等环境的长期跟踪监测与管理，督促排污企业落实自行监测责任。</w:t>
            </w:r>
          </w:p>
        </w:tc>
        <w:tc>
          <w:tcPr>
            <w:tcW w:w="2354" w:type="pct"/>
            <w:shd w:val="clear" w:color="auto" w:fill="auto"/>
            <w:vAlign w:val="center"/>
          </w:tcPr>
          <w:p w14:paraId="755F0BE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本项目建成后及时申报排污许可证，并按要求进行自行监测，确保达标排放。</w:t>
            </w:r>
          </w:p>
        </w:tc>
        <w:tc>
          <w:tcPr>
            <w:tcW w:w="344" w:type="pct"/>
            <w:vAlign w:val="center"/>
          </w:tcPr>
          <w:p w14:paraId="5A59190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56F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14:paraId="017BD43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962" w:type="pct"/>
            <w:shd w:val="clear" w:color="auto" w:fill="auto"/>
            <w:vAlign w:val="center"/>
          </w:tcPr>
          <w:p w14:paraId="068A1E7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推进高新区环保基础设施建设，促进区域环境质量持续改善。加快建设配套的污水处理厂和再生水水厂，并同步建设污水管网、雨水管网及中水回用管网。做好“雨污分流”、“清污分流”，做好污染雨水收集处理、强化中水回用。督促高新区企业加强废气、废水、噪声、固废等环保设施建设和运行管理。</w:t>
            </w:r>
          </w:p>
        </w:tc>
        <w:tc>
          <w:tcPr>
            <w:tcW w:w="2354" w:type="pct"/>
            <w:shd w:val="clear" w:color="auto" w:fill="auto"/>
            <w:vAlign w:val="center"/>
          </w:tcPr>
          <w:p w14:paraId="7BBFDA8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云南捷辰包装材料有限公司已建厂房进行生产，租用厂区已设置雨污分流系统，厂房四周均布置有雨水收集沟，雨水经现有雨水收集沟收集后排至园区雨水管网。经工程分析，废气、废水、噪声均能达标排放，固废全部合理处置。</w:t>
            </w:r>
          </w:p>
        </w:tc>
        <w:tc>
          <w:tcPr>
            <w:tcW w:w="344" w:type="pct"/>
            <w:vAlign w:val="center"/>
          </w:tcPr>
          <w:p w14:paraId="0A2F58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CE57E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根据上表分析，本项目建设符合《玉溪高新技术产业开发区总体规划修编（2021-2035年）环境影响报告书》及审查意见对入驻企业的环保要求。</w:t>
      </w:r>
    </w:p>
    <w:p w14:paraId="7B2CDC8B">
      <w:pPr>
        <w:pStyle w:val="3"/>
        <w:rPr>
          <w:color w:val="000000" w:themeColor="text1"/>
          <w14:textFill>
            <w14:solidFill>
              <w14:schemeClr w14:val="tx1"/>
            </w14:solidFill>
          </w14:textFill>
        </w:rPr>
      </w:pPr>
      <w:bookmarkStart w:id="169" w:name="_Toc20679"/>
      <w:r>
        <w:rPr>
          <w:rFonts w:hint="eastAsia"/>
          <w:color w:val="000000" w:themeColor="text1"/>
          <w14:textFill>
            <w14:solidFill>
              <w14:schemeClr w14:val="tx1"/>
            </w14:solidFill>
          </w14:textFill>
        </w:rPr>
        <w:t>9.15</w:t>
      </w:r>
      <w:r>
        <w:rPr>
          <w:color w:val="000000" w:themeColor="text1"/>
          <w14:textFill>
            <w14:solidFill>
              <w14:schemeClr w14:val="tx1"/>
            </w14:solidFill>
          </w14:textFill>
        </w:rPr>
        <w:t>选址合理性分析</w:t>
      </w:r>
      <w:bookmarkEnd w:id="169"/>
    </w:p>
    <w:p w14:paraId="0315B3E4">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用地合理性</w:t>
      </w:r>
    </w:p>
    <w:p w14:paraId="72A2DAD0">
      <w:pPr>
        <w:ind w:firstLine="480"/>
        <w:rPr>
          <w:color w:val="000000" w:themeColor="text1"/>
          <w14:textFill>
            <w14:solidFill>
              <w14:schemeClr w14:val="tx1"/>
            </w14:solidFill>
          </w14:textFill>
        </w:rPr>
      </w:pPr>
      <w:r>
        <w:rPr>
          <w:color w:val="000000" w:themeColor="text1"/>
          <w14:textFill>
            <w14:solidFill>
              <w14:schemeClr w14:val="tx1"/>
            </w14:solidFill>
          </w14:textFill>
        </w:rPr>
        <w:t>根据高新技术产业开发区产业布局规划图，项目位于玉溪高新区九龙片区，用地属于工业用地，不涉及生态红线范围和一般生态空间。本项目租用现有厂房进行生产，不涉及新增用地，对照《</w:t>
      </w:r>
      <w:r>
        <w:rPr>
          <w:rFonts w:hint="eastAsia"/>
          <w:color w:val="000000" w:themeColor="text1"/>
          <w14:textFill>
            <w14:solidFill>
              <w14:schemeClr w14:val="tx1"/>
            </w14:solidFill>
          </w14:textFill>
        </w:rPr>
        <w:t>玉溪市生态环境分区管控动态更新调整方案</w:t>
      </w:r>
      <w:r>
        <w:rPr>
          <w:color w:val="000000" w:themeColor="text1"/>
          <w14:textFill>
            <w14:solidFill>
              <w14:schemeClr w14:val="tx1"/>
            </w14:solidFill>
          </w14:textFill>
        </w:rPr>
        <w:t>》本项目位于红塔区工业集中区重点管控单元，满足该单元空间布局约束要求。项目用地合理。</w:t>
      </w:r>
    </w:p>
    <w:p w14:paraId="6CB1451D">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环境</w:t>
      </w:r>
      <w:r>
        <w:rPr>
          <w:rFonts w:hint="eastAsia"/>
          <w:b/>
          <w:bCs/>
          <w:color w:val="000000" w:themeColor="text1"/>
          <w14:textFill>
            <w14:solidFill>
              <w14:schemeClr w14:val="tx1"/>
            </w14:solidFill>
          </w14:textFill>
        </w:rPr>
        <w:t>影响角度</w:t>
      </w:r>
    </w:p>
    <w:p w14:paraId="67B55B8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本项目位于工业园区内，所在区域不涉及自然保护区、风景名胜区、森林公园，饮用水水源保护区等环境敏感区。根据现场踏勘，</w:t>
      </w:r>
      <w:r>
        <w:rPr>
          <w:rFonts w:hint="eastAsia"/>
          <w:color w:val="000000" w:themeColor="text1"/>
          <w14:textFill>
            <w14:solidFill>
              <w14:schemeClr w14:val="tx1"/>
            </w14:solidFill>
          </w14:textFill>
        </w:rPr>
        <w:t>项目厂界500m范围内存在居民区、学校，</w:t>
      </w:r>
      <w:r>
        <w:rPr>
          <w:color w:val="000000" w:themeColor="text1"/>
          <w14:textFill>
            <w14:solidFill>
              <w14:schemeClr w14:val="tx1"/>
            </w14:solidFill>
          </w14:textFill>
        </w:rPr>
        <w:t>距离本项目最近的村庄为</w:t>
      </w:r>
      <w:r>
        <w:rPr>
          <w:rFonts w:hint="eastAsia"/>
          <w:color w:val="000000" w:themeColor="text1"/>
          <w14:textFill>
            <w14:solidFill>
              <w14:schemeClr w14:val="tx1"/>
            </w14:solidFill>
          </w14:textFill>
        </w:rPr>
        <w:t>东</w:t>
      </w:r>
      <w:r>
        <w:rPr>
          <w:color w:val="000000" w:themeColor="text1"/>
          <w14:textFill>
            <w14:solidFill>
              <w14:schemeClr w14:val="tx1"/>
            </w14:solidFill>
          </w14:textFill>
        </w:rPr>
        <w:t>北面约</w:t>
      </w:r>
      <w:r>
        <w:rPr>
          <w:rFonts w:hint="eastAsia"/>
          <w:color w:val="000000" w:themeColor="text1"/>
          <w14:textFill>
            <w14:solidFill>
              <w14:schemeClr w14:val="tx1"/>
            </w14:solidFill>
          </w14:textFill>
        </w:rPr>
        <w:t>180</w:t>
      </w:r>
      <w:r>
        <w:rPr>
          <w:color w:val="000000" w:themeColor="text1"/>
          <w14:textFill>
            <w14:solidFill>
              <w14:schemeClr w14:val="tx1"/>
            </w14:solidFill>
          </w14:textFill>
        </w:rPr>
        <w:t>m处的大莲池村，</w:t>
      </w:r>
      <w:r>
        <w:rPr>
          <w:rFonts w:hint="eastAsia"/>
          <w:color w:val="000000" w:themeColor="text1"/>
          <w14:textFill>
            <w14:solidFill>
              <w14:schemeClr w14:val="tx1"/>
            </w14:solidFill>
          </w14:textFill>
        </w:rPr>
        <w:t>项目最近的学校为项目东南面440m处的</w:t>
      </w:r>
      <w:r>
        <w:rPr>
          <w:color w:val="000000" w:themeColor="text1"/>
          <w14:textFill>
            <w14:solidFill>
              <w14:schemeClr w14:val="tx1"/>
            </w14:solidFill>
          </w14:textFill>
        </w:rPr>
        <w:t>南莲幼儿园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项目区常年主导风向为西南风，距离本项目最近的村庄大莲池村</w:t>
      </w:r>
      <w:r>
        <w:rPr>
          <w:rFonts w:hint="eastAsia"/>
          <w:color w:val="000000" w:themeColor="text1"/>
          <w14:textFill>
            <w14:solidFill>
              <w14:schemeClr w14:val="tx1"/>
            </w14:solidFill>
          </w14:textFill>
        </w:rPr>
        <w:t>位于项目下风向，</w:t>
      </w:r>
      <w:r>
        <w:rPr>
          <w:color w:val="000000" w:themeColor="text1"/>
          <w14:textFill>
            <w14:solidFill>
              <w14:schemeClr w14:val="tx1"/>
            </w14:solidFill>
          </w14:textFill>
        </w:rPr>
        <w:t>本项目排放的废气污染物为颗粒物、硫化氢、挥发性有机物（以非甲烷总烃计），在严格落实各项环保措施后，</w:t>
      </w:r>
      <w:r>
        <w:rPr>
          <w:rFonts w:hint="eastAsia"/>
          <w:color w:val="000000" w:themeColor="text1"/>
          <w14:textFill>
            <w14:solidFill>
              <w14:schemeClr w14:val="tx1"/>
            </w14:solidFill>
          </w14:textFill>
        </w:rPr>
        <w:t>污染物排放量较少，</w:t>
      </w:r>
      <w:r>
        <w:rPr>
          <w:color w:val="000000" w:themeColor="text1"/>
          <w14:textFill>
            <w14:solidFill>
              <w14:schemeClr w14:val="tx1"/>
            </w14:solidFill>
          </w14:textFill>
        </w:rPr>
        <w:t>各污染因子对外环境的影响可控制在国家标准允许的范围内。</w:t>
      </w:r>
    </w:p>
    <w:p w14:paraId="338421FB">
      <w:pPr>
        <w:ind w:firstLine="480"/>
        <w:rPr>
          <w:color w:val="000000" w:themeColor="text1"/>
          <w14:textFill>
            <w14:solidFill>
              <w14:schemeClr w14:val="tx1"/>
            </w14:solidFill>
          </w14:textFill>
        </w:rPr>
      </w:pPr>
      <w:r>
        <w:rPr>
          <w:color w:val="000000" w:themeColor="text1"/>
          <w14:textFill>
            <w14:solidFill>
              <w14:schemeClr w14:val="tx1"/>
            </w14:solidFill>
          </w14:textFill>
        </w:rPr>
        <w:t>根据预测结果可知，在各污染物最大落地浓度出现后，本项目运营期有组织排放的废气影响最大的是小莲池，有组织排放的PM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的贡献值远远低于《环境空气质量标准》（GB3095-2</w:t>
      </w:r>
      <w:r>
        <w:rPr>
          <w:rFonts w:hint="eastAsia"/>
          <w:color w:val="000000" w:themeColor="text1"/>
          <w14:textFill>
            <w14:solidFill>
              <w14:schemeClr w14:val="tx1"/>
            </w14:solidFill>
          </w14:textFill>
        </w:rPr>
        <w:t>026</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过渡期</w:t>
      </w:r>
      <w:r>
        <w:rPr>
          <w:color w:val="000000" w:themeColor="text1"/>
          <w14:textFill>
            <w14:solidFill>
              <w14:schemeClr w14:val="tx1"/>
            </w14:solidFill>
          </w14:textFill>
        </w:rPr>
        <w:t>二级标准要求，有组织排放的TVOC、H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S的贡献值远远低于《环境影响评价技术导则 大气环境》（HJ 2.2-2018） 附录D。无组织排放的H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S影响最大的是大莲池村，H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S的贡献值远远低于《环境影响评价技术导则 大气环境》（HJ 2.2-2018）附录D。根据现场勘查，距离项目最近的村庄为项目东北面180m的大莲池村，项目区常年主导风向为西南风，该村庄位于项目下风向，村庄与项目区有道路、绿化相隔，项目运营期废气对其影响较小。</w:t>
      </w:r>
    </w:p>
    <w:p w14:paraId="6F1863E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本项目废水经预处理后通过市政污水管网排入玉溪市污水处理厂，对区域水环境影响不大。</w:t>
      </w:r>
    </w:p>
    <w:p w14:paraId="15BDD7A9">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项目区最近噪声关心点为位于项目区东北面的大莲池村，</w:t>
      </w:r>
      <w:r>
        <w:rPr>
          <w:rFonts w:hint="eastAsia"/>
          <w:color w:val="000000" w:themeColor="text1"/>
          <w14:textFill>
            <w14:solidFill>
              <w14:schemeClr w14:val="tx1"/>
            </w14:solidFill>
          </w14:textFill>
        </w:rPr>
        <w:t>根据噪声预测结果可知</w:t>
      </w:r>
      <w:r>
        <w:rPr>
          <w:color w:val="000000" w:themeColor="text1"/>
          <w14:textFill>
            <w14:solidFill>
              <w14:schemeClr w14:val="tx1"/>
            </w14:solidFill>
          </w14:textFill>
        </w:rPr>
        <w:t>，噪声预测值昼间、夜间能满足《声环境质量标准》（GB3096-2008）中2类标准：昼间≤60dB(A)、夜间≤50dB(A)的要求。</w:t>
      </w:r>
    </w:p>
    <w:p w14:paraId="2F07252B">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综上所述，本项目位于工业园区，用地属于工业用地，严格落实环保措施，确保大气、废水、噪声达标排放，固废合理处置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项目建设不会改变和降低周边环境质量和功能，从环境影响角度分析本项目选址合理。</w:t>
      </w:r>
    </w:p>
    <w:p w14:paraId="4029B3FE">
      <w:pPr>
        <w:pStyle w:val="3"/>
        <w:rPr>
          <w:color w:val="000000" w:themeColor="text1"/>
          <w14:textFill>
            <w14:solidFill>
              <w14:schemeClr w14:val="tx1"/>
            </w14:solidFill>
          </w14:textFill>
        </w:rPr>
      </w:pPr>
      <w:bookmarkStart w:id="170" w:name="_Toc5309"/>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16环境相容性分析</w:t>
      </w:r>
      <w:bookmarkEnd w:id="170"/>
    </w:p>
    <w:p w14:paraId="1AEAFB28">
      <w:pPr>
        <w:ind w:firstLine="482"/>
        <w:rPr>
          <w:color w:val="000000" w:themeColor="text1"/>
          <w14:textFill>
            <w14:solidFill>
              <w14:schemeClr w14:val="tx1"/>
            </w14:solidFill>
          </w14:textFill>
        </w:rPr>
      </w:pPr>
      <w:r>
        <w:rPr>
          <w:b/>
          <w:bCs/>
          <w:color w:val="000000" w:themeColor="text1"/>
          <w14:textFill>
            <w14:solidFill>
              <w14:schemeClr w14:val="tx1"/>
            </w14:solidFill>
          </w14:textFill>
        </w:rPr>
        <w:t>一、与周边工业企业的相容性分析</w:t>
      </w:r>
    </w:p>
    <w:p w14:paraId="43B1E5E1">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产业定位与园区规划匹配</w:t>
      </w:r>
    </w:p>
    <w:p w14:paraId="1ACCB2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根据现场踏勘，本项目最近的企业主要是云南捷辰包装材料有限公司、恒达空间钢结构有限公司和云南红塔塑胶有限公司，均为工业企业，</w:t>
      </w:r>
      <w:r>
        <w:rPr>
          <w:color w:val="000000" w:themeColor="text1"/>
          <w14:textFill>
            <w14:solidFill>
              <w14:schemeClr w14:val="tx1"/>
            </w14:solidFill>
          </w14:textFill>
        </w:rPr>
        <w:t>均符合工业园区的产业规划定位，无产业类型冲突。</w:t>
      </w:r>
    </w:p>
    <w:p w14:paraId="39FB9457">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污染类型互补无叠加风险</w:t>
      </w:r>
    </w:p>
    <w:p w14:paraId="03768DD3">
      <w:pPr>
        <w:ind w:firstLine="480"/>
        <w:rPr>
          <w:color w:val="000000" w:themeColor="text1"/>
          <w14:textFill>
            <w14:solidFill>
              <w14:schemeClr w14:val="tx1"/>
            </w14:solidFill>
          </w14:textFill>
        </w:rPr>
      </w:pPr>
      <w:r>
        <w:rPr>
          <w:color w:val="000000" w:themeColor="text1"/>
          <w14:textFill>
            <w14:solidFill>
              <w14:schemeClr w14:val="tx1"/>
            </w14:solidFill>
          </w14:textFill>
        </w:rPr>
        <w:t>周边企业以包装材料、钢结构、塑胶生产为主，主要污染物为颗粒物、常规 VOCs、噪声等；本项目污染物为颗粒物、非甲烷总烃、硫化氢，污染类型虽有部分重叠，但均属于工业园区常规工业污染范畴，且项目已配套</w:t>
      </w:r>
      <w:r>
        <w:rPr>
          <w:rFonts w:hint="eastAsia" w:ascii="宋体" w:hAnsi="宋体" w:cs="宋体"/>
          <w:color w:val="000000" w:themeColor="text1"/>
          <w14:textFill>
            <w14:solidFill>
              <w14:schemeClr w14:val="tx1"/>
            </w14:solidFill>
          </w14:textFill>
        </w:rPr>
        <w:t>“碱喷淋+除雾+活性炭吸附”</w:t>
      </w:r>
      <w:r>
        <w:rPr>
          <w:color w:val="000000" w:themeColor="text1"/>
          <w14:textFill>
            <w14:solidFill>
              <w14:schemeClr w14:val="tx1"/>
            </w14:solidFill>
          </w14:textFill>
        </w:rPr>
        <w:t>废气处理系统，污染物排放可控制在标准限值内，不会与周边企业形成污染叠加效应，</w:t>
      </w:r>
      <w:r>
        <w:rPr>
          <w:rFonts w:hint="eastAsia"/>
          <w:color w:val="000000" w:themeColor="text1"/>
          <w14:textFill>
            <w14:solidFill>
              <w14:schemeClr w14:val="tx1"/>
            </w14:solidFill>
          </w14:textFill>
        </w:rPr>
        <w:t>周边企业</w:t>
      </w:r>
      <w:r>
        <w:rPr>
          <w:color w:val="000000" w:themeColor="text1"/>
          <w14:textFill>
            <w14:solidFill>
              <w14:schemeClr w14:val="tx1"/>
            </w14:solidFill>
          </w14:textFill>
        </w:rPr>
        <w:t>互相之间在落实各自污染防治措施处理，相互影响较小，环境相容。</w:t>
      </w:r>
    </w:p>
    <w:p w14:paraId="762B7E5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3、公共设施依托</w:t>
      </w:r>
    </w:p>
    <w:p w14:paraId="7D99B8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本项目租用云南捷辰包装材料有限公司厂房进行建设，公用工程与其共用，化粪池、雨污分流管网、事故应急池等依托云南捷辰包装材料有限公司建设的。</w:t>
      </w:r>
    </w:p>
    <w:p w14:paraId="0D526B8F">
      <w:pPr>
        <w:ind w:firstLine="480"/>
        <w:rPr>
          <w:color w:val="000000" w:themeColor="text1"/>
          <w14:textFill>
            <w14:solidFill>
              <w14:schemeClr w14:val="tx1"/>
            </w14:solidFill>
          </w14:textFill>
        </w:rPr>
      </w:pPr>
      <w:r>
        <w:rPr>
          <w:color w:val="000000" w:themeColor="text1"/>
          <w14:textFill>
            <w14:solidFill>
              <w14:schemeClr w14:val="tx1"/>
            </w14:solidFill>
          </w14:textFill>
        </w:rPr>
        <w:t>项目依托工业园区现有市政污水管网、道路运输等基础设施，与周边企业共用配套资源，无需额外新建大规模基础设施，符合园区资源集约利用要求，相容性良好。</w:t>
      </w:r>
    </w:p>
    <w:p w14:paraId="2DF5088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二、与周边敏感区域（居民区、学校）的相容性分析</w:t>
      </w:r>
    </w:p>
    <w:p w14:paraId="2C5499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根据现场踏勘，项目厂界500m范围内存在居民区、学校，距离本项目最近的村庄为东北面约180m处的大莲池村，项目最近的学校为项目东南面440m处的南莲幼儿园。</w:t>
      </w:r>
    </w:p>
    <w:p w14:paraId="448A07A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、废气排放的影响</w:t>
      </w:r>
    </w:p>
    <w:p w14:paraId="7E543B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本项目大气环境影响评价等级为二级，根据《环境影响评价技术导则-大气环境》（HJ2.2-2018），无需进行进一步预测和评价，因此无需设置大气防护距离。</w:t>
      </w:r>
      <w:r>
        <w:rPr>
          <w:color w:val="000000" w:themeColor="text1"/>
          <w14:textFill>
            <w14:solidFill>
              <w14:schemeClr w14:val="tx1"/>
            </w14:solidFill>
          </w14:textFill>
        </w:rPr>
        <w:t>项目与最近居民区（大莲池村 180m）、学校（南莲幼儿园 440m）的距离符合工业项目与敏感点的安全防护距离要求（一般工业项目与居民区安全距离≥100m，与学校≥300m），具备基本防护空间。</w:t>
      </w:r>
    </w:p>
    <w:p w14:paraId="00805E8B">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项目区常年主导风向为西南风，距离本项目最近的村庄大莲池村位于项目下风向，根据</w:t>
      </w: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预测结果可知，在各污染物最大落地浓度出现后，本项目运营期有组织排放的废气影响最大的是小莲池，无组织</w:t>
      </w:r>
      <w:r>
        <w:rPr>
          <w:rFonts w:hint="eastAsia"/>
          <w:color w:val="000000" w:themeColor="text1"/>
          <w14:textFill>
            <w14:solidFill>
              <w14:schemeClr w14:val="tx1"/>
            </w14:solidFill>
          </w14:textFill>
        </w:rPr>
        <w:t>废物排放</w:t>
      </w:r>
      <w:r>
        <w:rPr>
          <w:color w:val="000000" w:themeColor="text1"/>
          <w14:textFill>
            <w14:solidFill>
              <w14:schemeClr w14:val="tx1"/>
            </w14:solidFill>
          </w14:textFill>
        </w:rPr>
        <w:t>影响最大的是大莲池村，贡献值远远低于《环境影响评价技术导则 大气环境》（HJ 2.2-2018）附录D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项目运营期废气对其影响较小。</w:t>
      </w:r>
    </w:p>
    <w:p w14:paraId="57B79F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本项目采取的废气处理措施合理可知，</w:t>
      </w:r>
      <w:r>
        <w:rPr>
          <w:color w:val="000000" w:themeColor="text1"/>
          <w14:textFill>
            <w14:solidFill>
              <w14:schemeClr w14:val="tx1"/>
            </w14:solidFill>
          </w14:textFill>
        </w:rPr>
        <w:t>污染物排放可控制在标准限值内，不会对居民区、学校造成大气污染影响。</w:t>
      </w:r>
    </w:p>
    <w:p w14:paraId="3A7D937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2、废水外排的影响</w:t>
      </w:r>
    </w:p>
    <w:p w14:paraId="7E8E4265">
      <w:pPr>
        <w:ind w:firstLine="480"/>
        <w:rPr>
          <w:b/>
          <w:bCs/>
          <w:color w:val="000000" w:themeColor="text1"/>
          <w14:textFill>
            <w14:solidFill>
              <w14:schemeClr w14:val="tx1"/>
            </w14:solidFill>
          </w14:textFill>
        </w:rPr>
      </w:pPr>
      <w:r>
        <w:rPr>
          <w:color w:val="000000" w:themeColor="text1"/>
          <w14:textFill>
            <w14:solidFill>
              <w14:schemeClr w14:val="tx1"/>
            </w14:solidFill>
          </w14:textFill>
        </w:rPr>
        <w:t>项目无生产废水直接外排，所有废水经处理后接入市政污水管网，不会污染周边饮用水源或土壤，避免通过地下水或地表径流影响敏感点用水安全。</w:t>
      </w:r>
    </w:p>
    <w:p w14:paraId="32960F8F">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噪声</w:t>
      </w:r>
    </w:p>
    <w:p w14:paraId="116ECD87">
      <w:pPr>
        <w:ind w:firstLine="482"/>
        <w:rPr>
          <w:rFonts w:hint="eastAsia"/>
          <w:color w:val="000000" w:themeColor="text1"/>
          <w14:textFill>
            <w14:solidFill>
              <w14:schemeClr w14:val="tx1"/>
            </w14:solidFill>
          </w14:textFill>
        </w:rPr>
      </w:pPr>
      <w:r>
        <w:rPr>
          <w:color w:val="000000" w:themeColor="text1"/>
          <w14:textFill>
            <w14:solidFill>
              <w14:schemeClr w14:val="tx1"/>
            </w14:solidFill>
          </w14:textFill>
        </w:rPr>
        <w:t>生产设备（砂磨、破碎等）可采取基础减振、厂房隔声等措施，可控制</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厂界噪声</w:t>
      </w:r>
      <w:r>
        <w:rPr>
          <w:rFonts w:hint="eastAsia"/>
          <w:color w:val="000000" w:themeColor="text1"/>
          <w14:textFill>
            <w14:solidFill>
              <w14:schemeClr w14:val="tx1"/>
            </w14:solidFill>
          </w14:textFill>
        </w:rPr>
        <w:t>、租用厂区厂界</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w:t>
      </w:r>
      <w:r>
        <w:rPr>
          <w:color w:val="000000" w:themeColor="text1"/>
          <w14:textFill>
            <w14:solidFill>
              <w14:schemeClr w14:val="tx1"/>
            </w14:solidFill>
          </w14:textFill>
        </w:rPr>
        <w:t>昼间≤65dB、夜间≤55dB，符合《工业企业厂界环境噪声排放标准》（GB12348-2008）3类标准，</w:t>
      </w:r>
      <w:r>
        <w:rPr>
          <w:rFonts w:hint="eastAsia"/>
          <w:color w:val="000000" w:themeColor="text1"/>
          <w:lang w:val="en-US" w:eastAsia="zh-CN"/>
          <w14:textFill>
            <w14:solidFill>
              <w14:schemeClr w14:val="tx1"/>
            </w14:solidFill>
          </w14:textFill>
        </w:rPr>
        <w:t>西面噪声</w:t>
      </w:r>
      <w:r>
        <w:rPr>
          <w:rFonts w:hint="eastAsia"/>
          <w:color w:val="000000" w:themeColor="text1"/>
          <w14:textFill>
            <w14:solidFill>
              <w14:schemeClr w14:val="tx1"/>
            </w14:solidFill>
          </w14:textFill>
        </w:rPr>
        <w:t>预测值昼间、夜间</w:t>
      </w:r>
      <w:r>
        <w:rPr>
          <w:rFonts w:hint="eastAsia"/>
          <w:color w:val="000000" w:themeColor="text1"/>
          <w:lang w:val="en-US" w:eastAsia="zh-CN"/>
          <w14:textFill>
            <w14:solidFill>
              <w14:schemeClr w14:val="tx1"/>
            </w14:solidFill>
          </w14:textFill>
        </w:rPr>
        <w:t>噪声</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70</w:t>
      </w:r>
      <w:r>
        <w:rPr>
          <w:color w:val="000000" w:themeColor="text1"/>
          <w14:textFill>
            <w14:solidFill>
              <w14:schemeClr w14:val="tx1"/>
            </w14:solidFill>
          </w14:textFill>
        </w:rPr>
        <w:t>dB、夜间≤55dB，符合</w:t>
      </w:r>
      <w:r>
        <w:rPr>
          <w:rFonts w:hint="eastAsia"/>
          <w:color w:val="000000" w:themeColor="text1"/>
          <w14:textFill>
            <w14:solidFill>
              <w14:schemeClr w14:val="tx1"/>
            </w14:solidFill>
          </w14:textFill>
        </w:rPr>
        <w:t>《工业企业厂界环境噪声排放标准》（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类标准要求。 </w:t>
      </w:r>
    </w:p>
    <w:p w14:paraId="41DFA5F5">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项目区最近噪声关心点为位于项目区东北面的大莲池村，经预测，噪声预测值昼间、夜间能满足《声环境质量标准》（GB3096-2008）中2类标准：昼间≤60dB(A)、夜间≤50dB(A)的要求</w:t>
      </w:r>
      <w:r>
        <w:rPr>
          <w:rFonts w:hint="eastAsia"/>
          <w:color w:val="000000" w:themeColor="text1"/>
          <w14:textFill>
            <w14:solidFill>
              <w14:schemeClr w14:val="tx1"/>
            </w14:solidFill>
          </w14:textFill>
        </w:rPr>
        <w:t>，项目运营</w:t>
      </w:r>
      <w:r>
        <w:rPr>
          <w:color w:val="000000" w:themeColor="text1"/>
          <w14:textFill>
            <w14:solidFill>
              <w14:schemeClr w14:val="tx1"/>
            </w14:solidFill>
          </w14:textFill>
        </w:rPr>
        <w:t>不会对居民区、学校的日常活动造成干扰。</w:t>
      </w:r>
    </w:p>
    <w:p w14:paraId="3BEE8D02">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4、固废</w:t>
      </w:r>
    </w:p>
    <w:p w14:paraId="49A459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项目运营过程中所产生的固体废物均可做到妥善的处置，且处置方式合理可行，不会造二次污染，对周围环境影响不大。</w:t>
      </w:r>
    </w:p>
    <w:p w14:paraId="411899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综上分析，本项目与周边环境相容。</w:t>
      </w:r>
    </w:p>
    <w:p w14:paraId="67B93307">
      <w:pPr>
        <w:pStyle w:val="3"/>
        <w:rPr>
          <w:color w:val="000000" w:themeColor="text1"/>
          <w14:textFill>
            <w14:solidFill>
              <w14:schemeClr w14:val="tx1"/>
            </w14:solidFill>
          </w14:textFill>
        </w:rPr>
      </w:pPr>
      <w:bookmarkStart w:id="171" w:name="_Toc22287"/>
      <w:r>
        <w:rPr>
          <w:rFonts w:hint="eastAsia"/>
          <w:color w:val="000000" w:themeColor="text1"/>
          <w14:textFill>
            <w14:solidFill>
              <w14:schemeClr w14:val="tx1"/>
            </w14:solidFill>
          </w14:textFill>
        </w:rPr>
        <w:t>9.1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平面布置合理性分析</w:t>
      </w:r>
      <w:bookmarkEnd w:id="171"/>
    </w:p>
    <w:p w14:paraId="46E7920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租用现有厂房西北角进行建设，本项目工程布置分为两部分：生产厂房及辅房，辅房位于生产厂房西面。辅房自北向南依次为卫生间、废水处理间、清洗间、原料暂存间、球磨房、除湿机房、备品备件及机修间、办公室、成品库房。生产厂房分为四个区域，西北角设置混料区、检验室，东北角设置烧结车间，东南角设置研磨干燥车间，西南角设置混料车间。</w:t>
      </w:r>
    </w:p>
    <w:p w14:paraId="3CD9BB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污水处理设施设置于废水处理间内，废气处理装置及排气筒位于辅房顶部。危废暂存间依托云南捷辰包装材料有限公司的，位于本项目西南面，与生产办公区间隔，事故情况下不会互相影响。</w:t>
      </w:r>
    </w:p>
    <w:p w14:paraId="07E90D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本项目充分利用租用厂房布局，生产区和辅助生产区分开，平面布置层次分明，总体布局合理，动静分区、物流畅通，整个厂区平面布置合理。</w:t>
      </w:r>
    </w:p>
    <w:p w14:paraId="12B221AC">
      <w:pPr>
        <w:pStyle w:val="3"/>
        <w:rPr>
          <w:color w:val="000000" w:themeColor="text1"/>
          <w14:textFill>
            <w14:solidFill>
              <w14:schemeClr w14:val="tx1"/>
            </w14:solidFill>
          </w14:textFill>
        </w:rPr>
      </w:pPr>
      <w:bookmarkStart w:id="172" w:name="_Toc25066"/>
      <w:r>
        <w:rPr>
          <w:rFonts w:hint="eastAsia"/>
          <w:color w:val="000000" w:themeColor="text1"/>
          <w14:textFill>
            <w14:solidFill>
              <w14:schemeClr w14:val="tx1"/>
            </w14:solidFill>
          </w14:textFill>
        </w:rPr>
        <w:t>9.1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与《锂离子电池及相关电池材料制造建设项目环境影响评价文件审批原则》（2024年版）符合性分析</w:t>
      </w:r>
      <w:bookmarkEnd w:id="172"/>
    </w:p>
    <w:p w14:paraId="56C26D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生态环境部办公厅2023年12月5日发布的《关于印发集成电路制造、锂离子电池及相关电池材料制造、电解铝、水泥制造四个行业建设项目环境影响评价文件审批原则的通知》（环办环评〔2023〕18号），本项目与《锂离子电池及相关电池材料制造建设项目环境影响评价文件审批原则》（2024年版）符合性分析见下表9.1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-1：</w:t>
      </w:r>
    </w:p>
    <w:p w14:paraId="7BE1FDFA">
      <w:pPr>
        <w:pStyle w:val="27"/>
        <w:rPr>
          <w:color w:val="000000" w:themeColor="text1"/>
          <w14:textFill>
            <w14:solidFill>
              <w14:schemeClr w14:val="tx1"/>
            </w14:solidFill>
          </w14:textFill>
        </w:rPr>
      </w:pPr>
      <w:r>
        <w:rPr>
          <w:rFonts w:hint="eastAsia"/>
          <w:color w:val="000000" w:themeColor="text1"/>
          <w14:textFill>
            <w14:solidFill>
              <w14:schemeClr w14:val="tx1"/>
            </w14:solidFill>
          </w14:textFill>
        </w:rPr>
        <w:t>表9.1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-1与</w:t>
      </w:r>
      <w:r>
        <w:rPr>
          <w:color w:val="000000" w:themeColor="text1"/>
          <w14:textFill>
            <w14:solidFill>
              <w14:schemeClr w14:val="tx1"/>
            </w14:solidFill>
          </w14:textFill>
        </w:rPr>
        <w:t>审批原则</w:t>
      </w:r>
      <w:r>
        <w:rPr>
          <w:rFonts w:hint="eastAsia"/>
          <w:color w:val="000000" w:themeColor="text1"/>
          <w14:textFill>
            <w14:solidFill>
              <w14:schemeClr w14:val="tx1"/>
            </w14:solidFill>
          </w14:textFill>
        </w:rPr>
        <w:t>符合性分析对照表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023"/>
        <w:gridCol w:w="3590"/>
        <w:gridCol w:w="464"/>
      </w:tblGrid>
      <w:tr w14:paraId="0640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7D9625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359" w:type="pct"/>
            <w:vAlign w:val="center"/>
          </w:tcPr>
          <w:p w14:paraId="599EB3F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审批原则</w:t>
            </w:r>
          </w:p>
        </w:tc>
        <w:tc>
          <w:tcPr>
            <w:tcW w:w="2105" w:type="pct"/>
            <w:vAlign w:val="center"/>
          </w:tcPr>
          <w:p w14:paraId="386BF1F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272" w:type="pct"/>
            <w:vAlign w:val="center"/>
          </w:tcPr>
          <w:p w14:paraId="202D55C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6609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7FD60B6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59" w:type="pct"/>
            <w:vAlign w:val="center"/>
          </w:tcPr>
          <w:p w14:paraId="5180136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项目应符合生态环境保护相关法律法规、法定规划，以及相关产业结构调整、区域及行业碳达峰碳中和目标、重点污染物总量控制等政策要求。</w:t>
            </w:r>
          </w:p>
        </w:tc>
        <w:tc>
          <w:tcPr>
            <w:tcW w:w="2105" w:type="pct"/>
            <w:vAlign w:val="center"/>
          </w:tcPr>
          <w:p w14:paraId="397658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本项目符合生态环境保护相关法律法规、法定规划，以及相关产业结构调整，符合产业政策，与园区规划不冲突，符合规划环评及审查意见的要求，</w:t>
            </w:r>
            <w:r>
              <w:rPr>
                <w:color w:val="000000" w:themeColor="text1"/>
                <w14:textFill>
                  <w14:solidFill>
                    <w14:schemeClr w14:val="tx1"/>
                  </w14:solidFill>
                </w14:textFill>
              </w:rPr>
              <w:t>根据碳排放源核别和工程分析，本项目</w:t>
            </w:r>
            <w:r>
              <w:rPr>
                <w:rFonts w:hint="eastAsia"/>
                <w:color w:val="000000" w:themeColor="text1"/>
                <w14:textFill>
                  <w14:solidFill>
                    <w14:schemeClr w14:val="tx1"/>
                  </w14:solidFill>
                </w14:textFill>
              </w:rPr>
              <w:t>单位工业总产值</w:t>
            </w:r>
            <w:r>
              <w:rPr>
                <w:color w:val="000000" w:themeColor="text1"/>
                <w14:textFill>
                  <w14:solidFill>
                    <w14:schemeClr w14:val="tx1"/>
                  </w14:solidFill>
                </w14:textFill>
              </w:rPr>
              <w:t>碳排放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能耗</w:t>
            </w:r>
            <w:r>
              <w:rPr>
                <w:color w:val="000000" w:themeColor="text1"/>
                <w14:textFill>
                  <w14:solidFill>
                    <w14:schemeClr w14:val="tx1"/>
                  </w14:solidFill>
                </w14:textFill>
              </w:rPr>
              <w:t>碳排放，低于</w:t>
            </w:r>
            <w:r>
              <w:rPr>
                <w:rFonts w:hint="eastAsia"/>
                <w:color w:val="000000" w:themeColor="text1"/>
                <w14:textFill>
                  <w14:solidFill>
                    <w14:schemeClr w14:val="tx1"/>
                  </w14:solidFill>
                </w14:textFill>
              </w:rPr>
              <w:t>同行业</w:t>
            </w:r>
            <w:r>
              <w:rPr>
                <w:color w:val="000000" w:themeColor="text1"/>
                <w14:textFill>
                  <w14:solidFill>
                    <w14:schemeClr w14:val="tx1"/>
                  </w14:solidFill>
                </w14:textFill>
              </w:rPr>
              <w:t>排放参考值</w:t>
            </w:r>
            <w:r>
              <w:rPr>
                <w:rFonts w:hint="eastAsia"/>
                <w:color w:val="000000" w:themeColor="text1"/>
                <w14:textFill>
                  <w14:solidFill>
                    <w14:schemeClr w14:val="tx1"/>
                  </w14:solidFill>
                </w14:textFill>
              </w:rPr>
              <w:t>，符合高附加值新材料项目的低碳特征</w:t>
            </w:r>
            <w:r>
              <w:rPr>
                <w:color w:val="000000" w:themeColor="text1"/>
                <w14:textFill>
                  <w14:solidFill>
                    <w14:schemeClr w14:val="tx1"/>
                  </w14:solidFill>
                </w14:textFill>
              </w:rPr>
              <w:t>。</w:t>
            </w:r>
          </w:p>
          <w:p w14:paraId="0C40258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本项目污染物排放量较少，不会突破区域污染物总量控制要求。</w:t>
            </w:r>
          </w:p>
        </w:tc>
        <w:tc>
          <w:tcPr>
            <w:tcW w:w="272" w:type="pct"/>
            <w:vAlign w:val="center"/>
          </w:tcPr>
          <w:p w14:paraId="13EC29B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36A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0AEBF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59" w:type="pct"/>
            <w:vAlign w:val="center"/>
          </w:tcPr>
          <w:p w14:paraId="1B010F9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选址应符合生态环境分区管控要求，不得位于法律法规明令禁止建设的区域，应避开生态保护红线。新建、扩建涉及正极材料前驱体和锂盐制造的建设项目（盐湖资源类锂盐制造项目除外）应布设在依法合规设立的产业园区内，符合园区规划及规划环境影响评价要求。</w:t>
            </w:r>
          </w:p>
        </w:tc>
        <w:tc>
          <w:tcPr>
            <w:tcW w:w="2105" w:type="pct"/>
            <w:vAlign w:val="center"/>
          </w:tcPr>
          <w:p w14:paraId="12C0C25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租用已建厂房进行建设，不新增用地，不涉及生态保护红线，项目符合生态环境分区管控要求。本项目位于玉溪高新区核心区九龙地块，项目已取得玉溪市高新技术产业开发区管理委员会签发的备案证，同意项目建设，与园区规划不冲突，符合规划环评及审查意见的要求。</w:t>
            </w:r>
          </w:p>
        </w:tc>
        <w:tc>
          <w:tcPr>
            <w:tcW w:w="272" w:type="pct"/>
            <w:vAlign w:val="center"/>
          </w:tcPr>
          <w:p w14:paraId="07EC685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716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77570F8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59" w:type="pct"/>
            <w:vAlign w:val="center"/>
          </w:tcPr>
          <w:p w14:paraId="61FB8C3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新建、改建、扩建项目应采用资源利用率高、污染物产生量小的清洁生产技术、工艺和设备，单位产品的能耗、物耗、水耗、资源综合利用和污染物控制等指标应达到行业先进水平。新建锂离子电池制造项目清洁生产指标宜达到《电池行业清洁生产评价指标体系》中国内清洁生产先进水平。</w:t>
            </w:r>
          </w:p>
        </w:tc>
        <w:tc>
          <w:tcPr>
            <w:tcW w:w="2105" w:type="pct"/>
            <w:vAlign w:val="center"/>
          </w:tcPr>
          <w:p w14:paraId="0A3F735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本项目工艺及装备水平具备国内先进水平，项目配套污染防治措施可确保项目排放废气及废水满足相应排放标准限值要求。项目不属于锂离子电池制造。</w:t>
            </w:r>
          </w:p>
        </w:tc>
        <w:tc>
          <w:tcPr>
            <w:tcW w:w="272" w:type="pct"/>
            <w:vAlign w:val="center"/>
          </w:tcPr>
          <w:p w14:paraId="3F38F4D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A92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735747C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59" w:type="pct"/>
            <w:vAlign w:val="center"/>
          </w:tcPr>
          <w:p w14:paraId="766AB92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项目应根据工程内容、原辅材料性质、工艺流程情况配备高效的除尘、脱硫、脱硝以及特征污染物治理设施，依据废气特征等合理选择治理技术。涉及使用VOCs 物料的，厂区内挥发性有机物无组织排放控制还应符合《挥发性有机物无组织排放控制标准》（GB 37822）相关要求。大气环境防护距离范围内不应有居民区、学校、医院等环境敏感目标。有地方污染物排放标准的，废气排放还应符合地方标准要求。</w:t>
            </w:r>
          </w:p>
        </w:tc>
        <w:tc>
          <w:tcPr>
            <w:tcW w:w="2105" w:type="pct"/>
            <w:vAlign w:val="center"/>
          </w:tcPr>
          <w:p w14:paraId="774EB9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项目废气经收集进废气处理系统经碱喷淋+除雾+活性炭吸附处理后达标排放，厂区内挥发性有机物无组织排放控制执行《挥发性有机物无组织排放控制标准》（GB 37822-2019）相关要求，根据预测结果无需设置大气环境防护距离。</w:t>
            </w:r>
          </w:p>
          <w:p w14:paraId="2225DE96">
            <w:pPr>
              <w:pStyle w:val="28"/>
              <w:rPr>
                <w:color w:val="000000" w:themeColor="text1"/>
                <w14:textFill>
                  <w14:solidFill>
                    <w14:schemeClr w14:val="tx1"/>
                  </w14:solidFill>
                </w14:textFill>
              </w:rPr>
            </w:pPr>
          </w:p>
        </w:tc>
        <w:tc>
          <w:tcPr>
            <w:tcW w:w="272" w:type="pct"/>
            <w:vAlign w:val="center"/>
          </w:tcPr>
          <w:p w14:paraId="21D8F0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F07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08AB14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59" w:type="pct"/>
            <w:vAlign w:val="center"/>
          </w:tcPr>
          <w:p w14:paraId="264ACCE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鼓励将温室气体排放纳入建设项目环境影响评价，核算项目温室气体排放量，推进减污降碳协同增效，推动减碳技术创新示范应用。优先采用电、天然气等清洁能源或新能源加热方式，鼓励高温烟气余热回收。</w:t>
            </w:r>
          </w:p>
        </w:tc>
        <w:tc>
          <w:tcPr>
            <w:tcW w:w="2105" w:type="pct"/>
            <w:vAlign w:val="center"/>
          </w:tcPr>
          <w:p w14:paraId="1EA3832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根据碳排放源核别和工程分析，本项目碳排放主要为购入的电力产生CO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的排放。经核算，本项目碳排放量为2088.108tCO/a。本项目单位工业总产值碳排放0.348tCO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/万元，单位能耗碳排放4.29tCO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/吨标煤，低于行业单位工业增加值碳排放参考值，符合高附加值新材料项目的低碳特征。</w:t>
            </w:r>
          </w:p>
        </w:tc>
        <w:tc>
          <w:tcPr>
            <w:tcW w:w="272" w:type="pct"/>
            <w:vAlign w:val="center"/>
          </w:tcPr>
          <w:p w14:paraId="01EA27D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7E0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3F87216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359" w:type="pct"/>
            <w:vAlign w:val="center"/>
          </w:tcPr>
          <w:p w14:paraId="3E18512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做好清污分流、雨污分流、分类收集、分质处理。生产废水优先回用，污染雨水收集处理。含盐废水应根据来水水质和排水去向，有针对性设置具备脱氮、脱盐、除氟（锂云母类）、除重金属等功能的处理设施。严禁生产废水未经有效处理直接排入城镇污水收集处理系统。有地方污染物排放标准的，废水排放还应符合地方标准要求。</w:t>
            </w:r>
          </w:p>
        </w:tc>
        <w:tc>
          <w:tcPr>
            <w:tcW w:w="2105" w:type="pct"/>
            <w:vAlign w:val="center"/>
          </w:tcPr>
          <w:p w14:paraId="45EEAAA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本项目清污分流、雨污分流、分类收集、分质处理。废水执行《电子工业水污染物排放标准》（GB39731-2020）电子专用材料间接排放标准、《污水排入城镇下水道水质标准》（GB/T31962-2015）中表1 A等级标准及《污水综合排放标准》（GB8978-1996）表4三级，三者取严执行。</w:t>
            </w:r>
          </w:p>
        </w:tc>
        <w:tc>
          <w:tcPr>
            <w:tcW w:w="272" w:type="pct"/>
            <w:vAlign w:val="center"/>
          </w:tcPr>
          <w:p w14:paraId="7016705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5CE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665B60A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359" w:type="pct"/>
            <w:vAlign w:val="center"/>
          </w:tcPr>
          <w:p w14:paraId="5A98750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土壤及地下水污染防治应坚持源头控制、分区防控、跟踪监测和应急响应的防控原则。项目应对涉及有毒有害物质生产、使用、贮存、运输、回收、处置、排放的装置、设备设施及场所，提出防腐蚀、防渗漏、防流失、防扬散等土壤和地下水污染防治具体措施，并根据环境保护目标的敏感程度、项目平面布局、水文地质条件等采取分区防渗措施，提出有效的土壤、地下水监控和应急方案，避免污染土壤和地下水。对于可能受影响的地下水环境敏感目标，应提出保护措施；涉及饮用水功能的，强化地下水环境保护措施，确保饮用水安全。涉及土壤污染重点监管单位的新建、改建、扩建项目，需提出土壤污染隐患排查、土壤和地下水自行监测相关要求。</w:t>
            </w:r>
          </w:p>
        </w:tc>
        <w:tc>
          <w:tcPr>
            <w:tcW w:w="2105" w:type="pct"/>
            <w:vAlign w:val="center"/>
          </w:tcPr>
          <w:p w14:paraId="25CDB55B">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土壤及地下水污染防治坚持源头控制、分区防控、跟踪监测和应急响应的防控原则，本环评污染防治章节对土壤及地下水污染防治作出详细要求。本项目位于合规化工园区，不涉及地下水环境敏感目标及饮用水功能区。</w:t>
            </w:r>
          </w:p>
        </w:tc>
        <w:tc>
          <w:tcPr>
            <w:tcW w:w="272" w:type="pct"/>
            <w:vAlign w:val="center"/>
          </w:tcPr>
          <w:p w14:paraId="5FB31F8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CF1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05776EB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359" w:type="pct"/>
            <w:vAlign w:val="center"/>
          </w:tcPr>
          <w:p w14:paraId="51E03EF9">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按照减量化、资源化、无害化原则，妥善处理处置固体废物。NMP废液、废浆料等应严格管理，规范其收集、贮存、资源</w:t>
            </w:r>
          </w:p>
          <w:p w14:paraId="22DCA90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化利用等过程各项环境管理要求；废水处理产生的结晶盐作为副产品外售的应满足适用的产品质量标准要求；鼓励锂渣综合利用，无法综合利用的明确处理或处置去向，属于危险废物的应落实危险废物相关管理要求。固体废物贮存和处置应符合《危险废物贮存污染控制标准》（GB 18597）、《危险废物填埋污染控制标准》（GB 18598）、《一般工业固体废物贮存和填埋污染控制标准》（GB 18599）、《危险废物焚烧污染控制标准》（GB 18484）等相关要求。</w:t>
            </w:r>
          </w:p>
        </w:tc>
        <w:tc>
          <w:tcPr>
            <w:tcW w:w="2105" w:type="pct"/>
            <w:vAlign w:val="center"/>
          </w:tcPr>
          <w:p w14:paraId="064D51D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项目按照减量化、资源化、无害化原则，妥善处理处置固体废物。项目不涉及副产品，固体废物贮存符合《危险废物贮存污染控制标准》（GB 18597）、《一般工业固体废物贮存和填埋污染控制标准》（GB18599），危险废物委托有资质单位处置。</w:t>
            </w:r>
          </w:p>
        </w:tc>
        <w:tc>
          <w:tcPr>
            <w:tcW w:w="272" w:type="pct"/>
            <w:vAlign w:val="center"/>
          </w:tcPr>
          <w:p w14:paraId="5F48F52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E89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DFD35F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359" w:type="pct"/>
            <w:vAlign w:val="center"/>
          </w:tcPr>
          <w:p w14:paraId="660BA17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优化厂区平面布置，优先选择低噪声设备和工艺，采取减振、隔声、消声等措施有效控制噪声污染。加强厂区内固定设</w:t>
            </w:r>
          </w:p>
          <w:p w14:paraId="673D30A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备、运输工具、货物装卸等噪声源管理，同时避免突发噪声扰民。厂界噪声应满足《工业企业厂界环境噪声排放标准》（GB 12348）要求。位于噪声敏感建筑物集中区域的改建、扩建项目，应强化噪声污染防治措施，进一步降低噪声影响。</w:t>
            </w:r>
          </w:p>
        </w:tc>
        <w:tc>
          <w:tcPr>
            <w:tcW w:w="2105" w:type="pct"/>
            <w:vAlign w:val="center"/>
          </w:tcPr>
          <w:p w14:paraId="3181921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企业合理优化厂区布置，优先选择低噪声设备和工艺，采取减振、隔声、消声等措施有效控制噪声污染。加强厂区内固定设备、运输工具、货物装卸等噪声源管理，同时避免突发噪声扰民。根据预测结果，各厂界噪声预测值昼间、夜间均能满足《工业企业厂界环境噪声排放标准》（GB12348-2008）3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4类</w:t>
            </w:r>
            <w:r>
              <w:rPr>
                <w:rFonts w:hint="eastAsia"/>
                <w:color w:val="000000" w:themeColor="text1"/>
                <w14:textFill>
                  <w14:solidFill>
                    <w14:schemeClr w14:val="tx1"/>
                  </w14:solidFill>
                </w14:textFill>
              </w:rPr>
              <w:t>标准的要求。项目区最近噪声关心点噪声预测值昼间、夜间能满足《声环境质量标准》（GB3096-2008）中2类标准的要求。</w:t>
            </w:r>
          </w:p>
        </w:tc>
        <w:tc>
          <w:tcPr>
            <w:tcW w:w="272" w:type="pct"/>
            <w:vAlign w:val="center"/>
          </w:tcPr>
          <w:p w14:paraId="52CEB1D5">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81E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4B2B046A">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359" w:type="pct"/>
            <w:vAlign w:val="center"/>
          </w:tcPr>
          <w:p w14:paraId="4C55228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严密防控项目环境风险，建立完善的环境风险防控体系，提升环境风险防控能力，确保环境风险防范和应急措施合理、有效。针对项目可能产生的突发环境事件制定有效的风险防范和应急措施，建立项目环境风险防范与应急管理体系，提出运行期突发环境事件应急预案编制要求。</w:t>
            </w:r>
          </w:p>
        </w:tc>
        <w:tc>
          <w:tcPr>
            <w:tcW w:w="2105" w:type="pct"/>
            <w:vAlign w:val="center"/>
          </w:tcPr>
          <w:p w14:paraId="791BAFCC">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项目拟在实施阶段开展预案编制和落实相关应急措施，建立完善的环境风险防控体系。</w:t>
            </w:r>
          </w:p>
        </w:tc>
        <w:tc>
          <w:tcPr>
            <w:tcW w:w="272" w:type="pct"/>
            <w:vAlign w:val="center"/>
          </w:tcPr>
          <w:p w14:paraId="36341BD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C01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045CAA5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2359" w:type="pct"/>
            <w:vAlign w:val="center"/>
          </w:tcPr>
          <w:p w14:paraId="71FF668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改、扩建项目应全面梳理现有工程存在的环保问题或减排潜力，提出有效整改或改进措施。</w:t>
            </w:r>
          </w:p>
        </w:tc>
        <w:tc>
          <w:tcPr>
            <w:tcW w:w="2105" w:type="pct"/>
            <w:vAlign w:val="center"/>
          </w:tcPr>
          <w:p w14:paraId="6E0C44B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w:t>
            </w:r>
          </w:p>
        </w:tc>
        <w:tc>
          <w:tcPr>
            <w:tcW w:w="272" w:type="pct"/>
            <w:vAlign w:val="center"/>
          </w:tcPr>
          <w:p w14:paraId="67B5295F">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3C9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41A8447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59" w:type="pct"/>
            <w:vAlign w:val="center"/>
          </w:tcPr>
          <w:p w14:paraId="6F5758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明确项目实施后的环境管理要求和环境监测计划。根据自行监测技术指南和排污许可证申请与核发技术规范要求，制定废水、废气污染物排放及厂界环境噪声监测计划并开展监测，监测位置应符合技术规范要求。涉及水、大气有毒有害污染物名录以及重点控制的土壤有毒有害物质名录中污染物排放的，还应依法依规制定周边环境监测计划。负极材料制造等项目应关注苯并[a]芘等特征污染物的累积环境影响。</w:t>
            </w:r>
          </w:p>
        </w:tc>
        <w:tc>
          <w:tcPr>
            <w:tcW w:w="2105" w:type="pct"/>
            <w:vAlign w:val="center"/>
          </w:tcPr>
          <w:p w14:paraId="04E84D9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建成后按自行监测技术指南和排污许可证申请与核发技术规范要求开展自行监测。项目不涉及水、大气有毒有害污染物名录以及重点控制的土壤有毒有害物质名录中污染物排放，不涉及苯并[a]芘等特征污染物。</w:t>
            </w:r>
          </w:p>
        </w:tc>
        <w:tc>
          <w:tcPr>
            <w:tcW w:w="272" w:type="pct"/>
            <w:vAlign w:val="center"/>
          </w:tcPr>
          <w:p w14:paraId="5EF4E38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E9E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D90F80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2359" w:type="pct"/>
            <w:vAlign w:val="center"/>
          </w:tcPr>
          <w:p w14:paraId="5D86C807">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按相关规定开展信息公开和公众参与。</w:t>
            </w:r>
          </w:p>
        </w:tc>
        <w:tc>
          <w:tcPr>
            <w:tcW w:w="2105" w:type="pct"/>
            <w:vAlign w:val="center"/>
          </w:tcPr>
          <w:p w14:paraId="16B49EF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建设单位已按照按《环境影响评价公众参与办法》进行了公众参与调查，根据调查结果编制了公众参与说明。</w:t>
            </w:r>
          </w:p>
        </w:tc>
        <w:tc>
          <w:tcPr>
            <w:tcW w:w="272" w:type="pct"/>
            <w:vAlign w:val="center"/>
          </w:tcPr>
          <w:p w14:paraId="2A425AB2">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E38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2297D054">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2359" w:type="pct"/>
            <w:vAlign w:val="center"/>
          </w:tcPr>
          <w:p w14:paraId="351FE741">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项目污染防治设施建设依照《中华人民共和国安全生产法》有关规定接受监督。</w:t>
            </w:r>
          </w:p>
        </w:tc>
        <w:tc>
          <w:tcPr>
            <w:tcW w:w="2105" w:type="pct"/>
            <w:vAlign w:val="center"/>
          </w:tcPr>
          <w:p w14:paraId="23F7800E">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项目污染防治设施建设依照《中华人民共和国安全生产法》有关规定接受监督。</w:t>
            </w:r>
          </w:p>
        </w:tc>
        <w:tc>
          <w:tcPr>
            <w:tcW w:w="272" w:type="pct"/>
            <w:vAlign w:val="center"/>
          </w:tcPr>
          <w:p w14:paraId="68F871F3">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0CF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73FF6160">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359" w:type="pct"/>
            <w:vAlign w:val="center"/>
          </w:tcPr>
          <w:p w14:paraId="27478F98">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环境影响评价文件编制规范，基础资料数据应符合实际情况，内容完整、准确。环境影响评价结论应明确、合理，符合环境影响评价技术导则或建设项目环境影响报告表编制技术指南要求。</w:t>
            </w:r>
          </w:p>
        </w:tc>
        <w:tc>
          <w:tcPr>
            <w:tcW w:w="2105" w:type="pct"/>
            <w:vAlign w:val="center"/>
          </w:tcPr>
          <w:p w14:paraId="7F5C8D76">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本环评编制基础资料数据根据企业提供并展开分析，符合行业实际情况，环评已通过专家组审查，结论明确、合理，符合环境影响评价技术导则。</w:t>
            </w:r>
          </w:p>
          <w:p w14:paraId="1CABE081">
            <w:pPr>
              <w:pStyle w:val="28"/>
              <w:rPr>
                <w:color w:val="000000" w:themeColor="text1"/>
                <w14:textFill>
                  <w14:solidFill>
                    <w14:schemeClr w14:val="tx1"/>
                  </w14:solidFill>
                </w14:textFill>
              </w:rPr>
            </w:pPr>
          </w:p>
        </w:tc>
        <w:tc>
          <w:tcPr>
            <w:tcW w:w="272" w:type="pct"/>
            <w:vAlign w:val="center"/>
          </w:tcPr>
          <w:p w14:paraId="08D0796D">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611E03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根据上表分析，本项目符合《锂离子电池及相关电池材料制造建设项目环境影响评价文件审批原则》的要求。</w:t>
      </w:r>
    </w:p>
    <w:p w14:paraId="576FAB87">
      <w:pPr>
        <w:ind w:firstLine="480"/>
        <w:rPr>
          <w:color w:val="000000" w:themeColor="text1"/>
          <w14:textFill>
            <w14:solidFill>
              <w14:schemeClr w14:val="tx1"/>
            </w14:solidFill>
          </w14:textFill>
        </w:rPr>
      </w:pPr>
    </w:p>
    <w:p w14:paraId="72144EDA">
      <w:pPr>
        <w:pStyle w:val="2"/>
        <w:rPr>
          <w:color w:val="000000" w:themeColor="text1"/>
          <w14:textFill>
            <w14:solidFill>
              <w14:schemeClr w14:val="tx1"/>
            </w14:solidFill>
          </w14:textFill>
        </w:rPr>
      </w:pPr>
      <w:bookmarkStart w:id="173" w:name="_Toc5776"/>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、环境影响评价结论</w:t>
      </w:r>
      <w:bookmarkEnd w:id="173"/>
    </w:p>
    <w:p w14:paraId="10220838">
      <w:pPr>
        <w:pStyle w:val="3"/>
        <w:rPr>
          <w:color w:val="000000" w:themeColor="text1"/>
          <w14:textFill>
            <w14:solidFill>
              <w14:schemeClr w14:val="tx1"/>
            </w14:solidFill>
          </w14:textFill>
        </w:rPr>
      </w:pPr>
      <w:bookmarkStart w:id="174" w:name="_Toc22760"/>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.1项目概况</w:t>
      </w:r>
      <w:bookmarkEnd w:id="174"/>
    </w:p>
    <w:p w14:paraId="04A20C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租用云南捷辰包装材料有限公司已建成的生产厂房投资建设10吨级硫化物固态电解质材料生产线，本项目主要是采用五硫化二磷、硫化锂、氯化锂进行硫化物固态电解质材料生产，</w:t>
      </w:r>
      <w:r>
        <w:rPr>
          <w:rFonts w:hint="eastAsia"/>
          <w:color w:val="000000" w:themeColor="text1"/>
          <w:lang w:val="en-US" w:eastAsia="zh-CN"/>
          <w14:textFill>
            <w14:solidFill>
              <w14:schemeClr w14:val="tx1"/>
            </w14:solidFill>
          </w14:textFill>
        </w:rPr>
        <w:t>生产工艺</w:t>
      </w:r>
      <w:r>
        <w:rPr>
          <w:color w:val="000000" w:themeColor="text1"/>
          <w14:textFill>
            <w14:solidFill>
              <w14:schemeClr w14:val="tx1"/>
            </w14:solidFill>
          </w14:textFill>
        </w:rPr>
        <w:t>主要是</w:t>
      </w:r>
      <w:r>
        <w:rPr>
          <w:rFonts w:hint="eastAsia"/>
          <w:color w:val="000000" w:themeColor="text1"/>
          <w14:textFill>
            <w14:solidFill>
              <w14:schemeClr w14:val="tx1"/>
            </w14:solidFill>
          </w14:textFill>
        </w:rPr>
        <w:t>混合、烧结、破碎、砂磨、离心、干燥、二次破碎、产品测试、打包</w:t>
      </w:r>
      <w:r>
        <w:rPr>
          <w:color w:val="000000" w:themeColor="text1"/>
          <w14:textFill>
            <w14:solidFill>
              <w14:schemeClr w14:val="tx1"/>
            </w14:solidFill>
          </w14:textFill>
        </w:rPr>
        <w:t>。</w:t>
      </w:r>
    </w:p>
    <w:p w14:paraId="57B757C0">
      <w:pPr>
        <w:pStyle w:val="3"/>
        <w:rPr>
          <w:color w:val="000000" w:themeColor="text1"/>
          <w14:textFill>
            <w14:solidFill>
              <w14:schemeClr w14:val="tx1"/>
            </w14:solidFill>
          </w14:textFill>
        </w:rPr>
      </w:pPr>
      <w:bookmarkStart w:id="175" w:name="_Toc4401"/>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.2产业政策符合性结论</w:t>
      </w:r>
      <w:bookmarkEnd w:id="175"/>
    </w:p>
    <w:p w14:paraId="2FAE48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根据《产业结构调整指导目录（2024年本）》中鼓励类第十九项轻工</w:t>
      </w:r>
      <w:bookmarkStart w:id="176" w:name="_Hlk226627788"/>
      <w:r>
        <w:rPr>
          <w:rFonts w:hint="eastAsia"/>
          <w:color w:val="000000" w:themeColor="text1"/>
          <w14:textFill>
            <w14:solidFill>
              <w14:schemeClr w14:val="tx1"/>
            </w14:solidFill>
          </w14:textFill>
        </w:rPr>
        <w:t>第11款</w:t>
      </w:r>
      <w:bookmarkEnd w:id="176"/>
      <w:r>
        <w:rPr>
          <w:rFonts w:hint="eastAsia"/>
          <w:color w:val="000000" w:themeColor="text1"/>
          <w14:textFill>
            <w14:solidFill>
              <w14:schemeClr w14:val="tx1"/>
            </w14:solidFill>
          </w14:textFill>
        </w:rPr>
        <w:t>“</w:t>
      </w:r>
      <w:bookmarkStart w:id="177" w:name="_Hlk226627797"/>
      <w:r>
        <w:rPr>
          <w:rFonts w:hint="eastAsia"/>
          <w:color w:val="000000" w:themeColor="text1"/>
          <w14:textFill>
            <w14:solidFill>
              <w14:schemeClr w14:val="tx1"/>
            </w14:solidFill>
          </w14:textFill>
        </w:rPr>
        <w:t>锂离子电池用三元和多元、磷酸铁锂等正极材料、中间相炭微球和硅碳等负极材料、单层与三层复合锂离子电池隔膜、氟代碳酸乙烯酯（FEC）等电解质与添加剂生产</w:t>
      </w:r>
      <w:bookmarkEnd w:id="177"/>
      <w:r>
        <w:rPr>
          <w:rFonts w:hint="eastAsia"/>
          <w:color w:val="000000" w:themeColor="text1"/>
          <w14:textFill>
            <w14:solidFill>
              <w14:schemeClr w14:val="tx1"/>
            </w14:solidFill>
          </w14:textFill>
        </w:rPr>
        <w:t>”，本项目产品为硫化物固态电解质，属于鼓励类</w:t>
      </w:r>
      <w:r>
        <w:rPr>
          <w:color w:val="000000" w:themeColor="text1"/>
          <w14:textFill>
            <w14:solidFill>
              <w14:schemeClr w14:val="tx1"/>
            </w14:solidFill>
          </w14:textFill>
        </w:rPr>
        <w:t>。项目已于2025年7月11日经玉溪市高新技术产业开发区管理委员会备案，符合国家相关产业政策。</w:t>
      </w:r>
    </w:p>
    <w:p w14:paraId="4C2CABF4">
      <w:pPr>
        <w:pStyle w:val="3"/>
        <w:rPr>
          <w:color w:val="000000" w:themeColor="text1"/>
          <w14:textFill>
            <w14:solidFill>
              <w14:schemeClr w14:val="tx1"/>
            </w14:solidFill>
          </w14:textFill>
        </w:rPr>
      </w:pPr>
      <w:bookmarkStart w:id="178" w:name="_Toc18899"/>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玉溪市生态环境分区管控动态更新调整方案</w:t>
      </w:r>
      <w:r>
        <w:rPr>
          <w:color w:val="000000" w:themeColor="text1"/>
          <w14:textFill>
            <w14:solidFill>
              <w14:schemeClr w14:val="tx1"/>
            </w14:solidFill>
          </w14:textFill>
        </w:rPr>
        <w:t>符合性结论</w:t>
      </w:r>
      <w:bookmarkEnd w:id="178"/>
    </w:p>
    <w:p w14:paraId="68CD9FA8">
      <w:pPr>
        <w:ind w:firstLine="480"/>
        <w:rPr>
          <w:color w:val="000000" w:themeColor="text1"/>
          <w14:textFill>
            <w14:solidFill>
              <w14:schemeClr w14:val="tx1"/>
            </w14:solidFill>
          </w14:textFill>
        </w:rPr>
      </w:pPr>
      <w:r>
        <w:rPr>
          <w:color w:val="000000" w:themeColor="text1"/>
          <w14:textFill>
            <w14:solidFill>
              <w14:schemeClr w14:val="tx1"/>
            </w14:solidFill>
          </w14:textFill>
        </w:rPr>
        <w:t>项目位于玉溪高新技术产业开发区核心区九龙地块，用地属于工业园区规划用地，不涉及生态红线范围和一般生态空间。本项目废水经处理达标后外排至玉溪市污水处理厂，不会对区域地表水造成影响。项目废气污染物达标排放，且排放量不大，对大气环境的影响不大。项目危险化学品得到有效管控，运营期固废合理处置。项目建成后对区域土壤环境质量产生影响较小，土壤环境风险较低。本项目租用现有厂房进行建设，不新增占地，</w:t>
      </w:r>
      <w:r>
        <w:rPr>
          <w:rFonts w:hint="eastAsia"/>
          <w:color w:val="000000" w:themeColor="text1"/>
          <w14:textFill>
            <w14:solidFill>
              <w14:schemeClr w14:val="tx1"/>
            </w14:solidFill>
          </w14:textFill>
        </w:rPr>
        <w:t>不会突破</w:t>
      </w:r>
      <w:r>
        <w:rPr>
          <w:color w:val="000000" w:themeColor="text1"/>
          <w14:textFill>
            <w14:solidFill>
              <w14:schemeClr w14:val="tx1"/>
            </w14:solidFill>
          </w14:textFill>
        </w:rPr>
        <w:t>土地利用上线。本项目用水量少，</w:t>
      </w:r>
      <w:r>
        <w:rPr>
          <w:rFonts w:hint="eastAsia"/>
          <w:color w:val="000000" w:themeColor="text1"/>
          <w14:textFill>
            <w14:solidFill>
              <w14:schemeClr w14:val="tx1"/>
            </w14:solidFill>
          </w14:textFill>
        </w:rPr>
        <w:t>不会突破</w:t>
      </w:r>
      <w:r>
        <w:rPr>
          <w:color w:val="000000" w:themeColor="text1"/>
          <w14:textFill>
            <w14:solidFill>
              <w14:schemeClr w14:val="tx1"/>
            </w14:solidFill>
          </w14:textFill>
        </w:rPr>
        <w:t>水资源利用上线。本项目冷却水、喷淋水循环使用不外排，循环利用水资源，符合资源利用上线要求。项目已</w:t>
      </w:r>
      <w:r>
        <w:rPr>
          <w:rFonts w:hint="eastAsia"/>
          <w:color w:val="000000" w:themeColor="text1"/>
          <w14:textFill>
            <w14:solidFill>
              <w14:schemeClr w14:val="tx1"/>
            </w14:solidFill>
          </w14:textFill>
        </w:rPr>
        <w:t>取得</w:t>
      </w:r>
      <w:r>
        <w:rPr>
          <w:color w:val="000000" w:themeColor="text1"/>
          <w14:textFill>
            <w14:solidFill>
              <w14:schemeClr w14:val="tx1"/>
            </w14:solidFill>
          </w14:textFill>
        </w:rPr>
        <w:t>玉溪市高新技术产业开发区管理委员会备案，项目园区产业发展规划及定位不冲突，同意项目建设。本项目位于红塔区工业集中区重点管控单元，满足该单元空间布局约束要求。本项目符合</w:t>
      </w:r>
      <w:r>
        <w:rPr>
          <w:rFonts w:hint="eastAsia"/>
          <w:color w:val="000000" w:themeColor="text1"/>
          <w14:textFill>
            <w14:solidFill>
              <w14:schemeClr w14:val="tx1"/>
            </w14:solidFill>
          </w14:textFill>
        </w:rPr>
        <w:t>玉溪市生态环境分区管控动态更新调整方案</w:t>
      </w:r>
      <w:r>
        <w:rPr>
          <w:color w:val="000000" w:themeColor="text1"/>
          <w14:textFill>
            <w14:solidFill>
              <w14:schemeClr w14:val="tx1"/>
            </w14:solidFill>
          </w14:textFill>
        </w:rPr>
        <w:t>的要求。</w:t>
      </w:r>
    </w:p>
    <w:p w14:paraId="3372DF13">
      <w:pPr>
        <w:pStyle w:val="3"/>
        <w:rPr>
          <w:color w:val="000000" w:themeColor="text1"/>
          <w14:textFill>
            <w14:solidFill>
              <w14:schemeClr w14:val="tx1"/>
            </w14:solidFill>
          </w14:textFill>
        </w:rPr>
      </w:pPr>
      <w:bookmarkStart w:id="179" w:name="_Toc7464"/>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.4 选址合理性结论</w:t>
      </w:r>
      <w:bookmarkEnd w:id="179"/>
    </w:p>
    <w:p w14:paraId="58E4BD15">
      <w:pPr>
        <w:ind w:firstLine="480"/>
        <w:rPr>
          <w:color w:val="000000" w:themeColor="text1"/>
          <w14:textFill>
            <w14:solidFill>
              <w14:schemeClr w14:val="tx1"/>
            </w14:solidFill>
          </w14:textFill>
        </w:rPr>
      </w:pPr>
      <w:r>
        <w:rPr>
          <w:color w:val="000000" w:themeColor="text1"/>
          <w14:textFill>
            <w14:solidFill>
              <w14:schemeClr w14:val="tx1"/>
            </w14:solidFill>
          </w14:textFill>
        </w:rPr>
        <w:t>项目位于玉溪高新区九龙片区，用地属于工业用地，不涉及生态红线范围和一般生态空间。项目位于红塔区工业集中区重点管控单元，满足该单元空间布局约束要求。项目用地合理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位于工业园区内，所在区域不涉及自然保护区、风景名胜区、森林公园，饮用水水源保护区等环境敏感区。本项目排放的废气污染物为颗粒物、硫化氢、挥发性有机物（以非甲烷总烃计），在严格落实各项环保措施后，各污染因子对外环境的影响可控制在国家标准允许的范围内</w:t>
      </w:r>
      <w:r>
        <w:rPr>
          <w:rFonts w:hint="eastAsia"/>
          <w:color w:val="000000" w:themeColor="text1"/>
          <w14:textFill>
            <w14:solidFill>
              <w14:schemeClr w14:val="tx1"/>
            </w14:solidFill>
          </w14:textFill>
        </w:rPr>
        <w:t>，对项目区环境影响较小</w:t>
      </w:r>
      <w:r>
        <w:rPr>
          <w:color w:val="000000" w:themeColor="text1"/>
          <w14:textFill>
            <w14:solidFill>
              <w14:schemeClr w14:val="tx1"/>
            </w14:solidFill>
          </w14:textFill>
        </w:rPr>
        <w:t>。本项目废水经预处理后通过市政污水管网排入玉溪市污水处理厂，对区域水环境影响不大。项目周边</w:t>
      </w:r>
      <w:r>
        <w:rPr>
          <w:rFonts w:hint="eastAsia"/>
          <w:color w:val="000000" w:themeColor="text1"/>
          <w14:textFill>
            <w14:solidFill>
              <w14:schemeClr w14:val="tx1"/>
            </w14:solidFill>
          </w14:textFill>
        </w:rPr>
        <w:t>分布</w:t>
      </w:r>
      <w:r>
        <w:rPr>
          <w:color w:val="000000" w:themeColor="text1"/>
          <w14:textFill>
            <w14:solidFill>
              <w14:schemeClr w14:val="tx1"/>
            </w14:solidFill>
          </w14:textFill>
        </w:rPr>
        <w:t>工业企业，互相之间在落实各自污染防治措施处理，影响较小</w:t>
      </w:r>
      <w:r>
        <w:rPr>
          <w:rFonts w:hint="eastAsia"/>
          <w:color w:val="000000" w:themeColor="text1"/>
          <w14:textFill>
            <w14:solidFill>
              <w14:schemeClr w14:val="tx1"/>
            </w14:solidFill>
          </w14:textFill>
        </w:rPr>
        <w:t>，环境相容。</w:t>
      </w:r>
      <w:r>
        <w:rPr>
          <w:color w:val="000000" w:themeColor="text1"/>
          <w14:textFill>
            <w14:solidFill>
              <w14:schemeClr w14:val="tx1"/>
            </w14:solidFill>
          </w14:textFill>
        </w:rPr>
        <w:t>项目建设不会改变和降低周边环境质量和功能，从环境影响角度分析本项目选址合理。</w:t>
      </w:r>
    </w:p>
    <w:p w14:paraId="5A36BF05">
      <w:pPr>
        <w:pStyle w:val="3"/>
        <w:rPr>
          <w:color w:val="000000" w:themeColor="text1"/>
          <w14:textFill>
            <w14:solidFill>
              <w14:schemeClr w14:val="tx1"/>
            </w14:solidFill>
          </w14:textFill>
        </w:rPr>
      </w:pPr>
      <w:bookmarkStart w:id="180" w:name="_Toc1643"/>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.5 环境质量现状评价结论</w:t>
      </w:r>
      <w:bookmarkEnd w:id="180"/>
    </w:p>
    <w:p w14:paraId="014B0E58">
      <w:pPr>
        <w:pStyle w:val="4"/>
        <w:rPr>
          <w:color w:val="000000" w:themeColor="text1"/>
          <w14:textFill>
            <w14:solidFill>
              <w14:schemeClr w14:val="tx1"/>
            </w14:solidFill>
          </w14:textFill>
        </w:rPr>
      </w:pPr>
      <w:bookmarkStart w:id="181" w:name="_Toc20491"/>
      <w:r>
        <w:rPr>
          <w:rFonts w:hint="eastAsia"/>
          <w:color w:val="000000" w:themeColor="text1"/>
          <w14:textFill>
            <w14:solidFill>
              <w14:schemeClr w14:val="tx1"/>
            </w14:solidFill>
          </w14:textFill>
        </w:rPr>
        <w:t>10.5.1大气环境质量现状评价结论</w:t>
      </w:r>
      <w:bookmarkEnd w:id="181"/>
    </w:p>
    <w:p w14:paraId="3771EC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根据2024年北城街道环境空气质量自动监测站全年监测数据，项目所在区域SO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、CO六项污染物均达到《环境空气质量标准》（GB3095-2026）过渡期二级标准，项目处于达标区。补充监测九龙池风景名胜区的SO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、CO监测值均满足《环境空气质量标准》（GB3095-2026）过渡期一级标准要求；九龙池风景名胜区、项目区及下风向大莲池村监测点TVOC、H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S满足环境影响评价技术导则大气环境》（HJ2.2-2018）附录表D浓度限值。</w:t>
      </w:r>
    </w:p>
    <w:p w14:paraId="287E92FB">
      <w:pPr>
        <w:pStyle w:val="4"/>
        <w:rPr>
          <w:color w:val="000000" w:themeColor="text1"/>
          <w14:textFill>
            <w14:solidFill>
              <w14:schemeClr w14:val="tx1"/>
            </w14:solidFill>
          </w14:textFill>
        </w:rPr>
      </w:pPr>
      <w:bookmarkStart w:id="182" w:name="_Toc5469"/>
      <w:r>
        <w:rPr>
          <w:rFonts w:hint="eastAsia"/>
          <w:color w:val="000000" w:themeColor="text1"/>
          <w14:textFill>
            <w14:solidFill>
              <w14:schemeClr w14:val="tx1"/>
            </w14:solidFill>
          </w14:textFill>
        </w:rPr>
        <w:t>10.5.2地表水环境现状评价结论</w:t>
      </w:r>
      <w:bookmarkEnd w:id="182"/>
    </w:p>
    <w:p w14:paraId="1AD96633">
      <w:pPr>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本项目地表径流受纳水体为老西河（位于项目东面655m处），最终汇入玉溪大河。根据引用的监测数据可知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老西河（项目区下游472m处）</w:t>
      </w:r>
      <w:r>
        <w:rPr>
          <w:color w:val="000000" w:themeColor="text1"/>
          <w14:textFill>
            <w14:solidFill>
              <w14:schemeClr w14:val="tx1"/>
            </w14:solidFill>
          </w14:textFill>
        </w:rPr>
        <w:t>监测断面中监测</w:t>
      </w:r>
      <w:r>
        <w:rPr>
          <w:rFonts w:hint="eastAsia"/>
          <w:color w:val="000000" w:themeColor="text1"/>
          <w14:textFill>
            <w14:solidFill>
              <w14:schemeClr w14:val="tx1"/>
            </w14:solidFill>
          </w14:textFill>
        </w:rPr>
        <w:t>指标除BOD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外其他</w:t>
      </w:r>
      <w:r>
        <w:rPr>
          <w:color w:val="000000" w:themeColor="text1"/>
          <w14:textFill>
            <w14:solidFill>
              <w14:schemeClr w14:val="tx1"/>
            </w14:solidFill>
          </w14:textFill>
        </w:rPr>
        <w:t>均出现不同程度的超标</w:t>
      </w:r>
      <w:r>
        <w:rPr>
          <w:rFonts w:hint="eastAsia"/>
          <w:color w:val="000000" w:themeColor="text1"/>
          <w14:textFill>
            <w14:solidFill>
              <w14:schemeClr w14:val="tx1"/>
            </w14:solidFill>
          </w14:textFill>
        </w:rPr>
        <w:t>，老</w:t>
      </w:r>
      <w:r>
        <w:rPr>
          <w:color w:val="000000" w:themeColor="text1"/>
          <w14:textFill>
            <w14:solidFill>
              <w14:schemeClr w14:val="tx1"/>
            </w14:solidFill>
          </w14:textFill>
        </w:rPr>
        <w:t>西河水质不满足《地表水环境质量标准》（GB3838-2002）Ⅴ类水质标准，为劣Ⅴ类，超标原因主要是沿途农村生活面源和农田面源的污染。</w:t>
      </w:r>
    </w:p>
    <w:p w14:paraId="213283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根据《玉溪市生态环境状况公报（2024年度）》玉溪大河（矣读可断面）为出境断面，2024年综合水质评价</w:t>
      </w:r>
      <w:r>
        <w:rPr>
          <w:rFonts w:cs="Times New Roman"/>
          <w:color w:val="000000" w:themeColor="text1"/>
          <w14:textFill>
            <w14:solidFill>
              <w14:schemeClr w14:val="tx1"/>
            </w14:solidFill>
          </w14:textFill>
        </w:rPr>
        <w:t>Ⅳ</w:t>
      </w:r>
      <w:r>
        <w:rPr>
          <w:rFonts w:hint="eastAsia"/>
          <w:color w:val="000000" w:themeColor="text1"/>
          <w14:textFill>
            <w14:solidFill>
              <w14:schemeClr w14:val="tx1"/>
            </w14:solidFill>
          </w14:textFill>
        </w:rPr>
        <w:t>类（与2023年相同），不满足水功能区划</w:t>
      </w:r>
      <w:r>
        <w:rPr>
          <w:rFonts w:cs="Times New Roman"/>
          <w:color w:val="000000" w:themeColor="text1"/>
          <w14:textFill>
            <w14:solidFill>
              <w14:schemeClr w14:val="tx1"/>
            </w14:solidFill>
          </w14:textFill>
        </w:rPr>
        <w:t>Ⅲ</w:t>
      </w:r>
      <w:r>
        <w:rPr>
          <w:rFonts w:hint="eastAsia"/>
          <w:color w:val="000000" w:themeColor="text1"/>
          <w14:textFill>
            <w14:solidFill>
              <w14:schemeClr w14:val="tx1"/>
            </w14:solidFill>
          </w14:textFill>
        </w:rPr>
        <w:t>类水质标准的要求，超标原因主要为玉溪大河接纳了中心城区污水处理厂尾水及沿途村庄生活污水及农业面源污染所致。</w:t>
      </w:r>
    </w:p>
    <w:p w14:paraId="29DE33BB">
      <w:pPr>
        <w:pStyle w:val="4"/>
        <w:rPr>
          <w:color w:val="000000" w:themeColor="text1"/>
          <w14:textFill>
            <w14:solidFill>
              <w14:schemeClr w14:val="tx1"/>
            </w14:solidFill>
          </w14:textFill>
        </w:rPr>
      </w:pPr>
      <w:bookmarkStart w:id="183" w:name="_Toc1921"/>
      <w:r>
        <w:rPr>
          <w:rFonts w:hint="eastAsia"/>
          <w:color w:val="000000" w:themeColor="text1"/>
          <w14:textFill>
            <w14:solidFill>
              <w14:schemeClr w14:val="tx1"/>
            </w14:solidFill>
          </w14:textFill>
        </w:rPr>
        <w:t>10.5.3声环境现状评价结论</w:t>
      </w:r>
      <w:bookmarkEnd w:id="183"/>
    </w:p>
    <w:p w14:paraId="4C7348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本次环评对租用厂房厂界、项目区最近的村庄噪声进行监测，根据监测结果，项目区厂界东、南、北面监测点的环境噪声均满足《声环境质量标准》（GB3096-2008）3类标准要求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西面监测点</w:t>
      </w:r>
      <w:r>
        <w:rPr>
          <w:rFonts w:hint="eastAsia"/>
          <w:color w:val="000000" w:themeColor="text1"/>
          <w14:textFill>
            <w14:solidFill>
              <w14:schemeClr w14:val="tx1"/>
            </w14:solidFill>
          </w14:textFill>
        </w:rPr>
        <w:t>昼间、夜间满足《工业企业厂界环境噪声排放标准》（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4a</w:t>
      </w:r>
      <w:r>
        <w:rPr>
          <w:rFonts w:hint="eastAsia"/>
          <w:color w:val="000000" w:themeColor="text1"/>
          <w14:textFill>
            <w14:solidFill>
              <w14:schemeClr w14:val="tx1"/>
            </w14:solidFill>
          </w14:textFill>
        </w:rPr>
        <w:t>类标准：昼间</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70</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)，夜间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的要求。 关心点监测结果满足《声环境质量标准》（GB3096-2008）2类标准要求。项目区声环境现状良好。</w:t>
      </w:r>
    </w:p>
    <w:p w14:paraId="7DA2E07E">
      <w:pPr>
        <w:pStyle w:val="4"/>
        <w:rPr>
          <w:color w:val="000000" w:themeColor="text1"/>
          <w14:textFill>
            <w14:solidFill>
              <w14:schemeClr w14:val="tx1"/>
            </w14:solidFill>
          </w14:textFill>
        </w:rPr>
      </w:pPr>
      <w:bookmarkStart w:id="184" w:name="_Toc12477"/>
      <w:r>
        <w:rPr>
          <w:rFonts w:hint="eastAsia"/>
          <w:color w:val="000000" w:themeColor="text1"/>
          <w14:textFill>
            <w14:solidFill>
              <w14:schemeClr w14:val="tx1"/>
            </w14:solidFill>
          </w14:textFill>
        </w:rPr>
        <w:t>10.5.4土壤环境现状评价结论</w:t>
      </w:r>
      <w:bookmarkEnd w:id="184"/>
    </w:p>
    <w:p w14:paraId="6C8B3F0D">
      <w:pPr>
        <w:ind w:firstLine="480"/>
        <w:rPr>
          <w:color w:val="000000" w:themeColor="text1"/>
          <w14:textFill>
            <w14:solidFill>
              <w14:schemeClr w14:val="tx1"/>
            </w14:solidFill>
          </w14:textFill>
        </w:rPr>
      </w:pPr>
      <w:r>
        <w:rPr>
          <w:color w:val="000000" w:themeColor="text1"/>
          <w14:textFill>
            <w14:solidFill>
              <w14:schemeClr w14:val="tx1"/>
            </w14:solidFill>
          </w14:textFill>
        </w:rPr>
        <w:t>厂区内及厂区外对照点土壤各监测因子均低于《土壤环境质量 建设用地土壤污染风险管控标准》（GB36600-2018）</w:t>
      </w:r>
      <w:r>
        <w:rPr>
          <w:rFonts w:hint="eastAsia"/>
          <w:color w:val="000000" w:themeColor="text1"/>
          <w14:textFill>
            <w14:solidFill>
              <w14:schemeClr w14:val="tx1"/>
            </w14:solidFill>
          </w14:textFill>
        </w:rPr>
        <w:t>中第二类用地筛选值标准。</w:t>
      </w:r>
    </w:p>
    <w:p w14:paraId="34FECA89">
      <w:pPr>
        <w:pStyle w:val="4"/>
        <w:rPr>
          <w:color w:val="000000" w:themeColor="text1"/>
          <w14:textFill>
            <w14:solidFill>
              <w14:schemeClr w14:val="tx1"/>
            </w14:solidFill>
          </w14:textFill>
        </w:rPr>
      </w:pPr>
      <w:bookmarkStart w:id="185" w:name="_Toc9287"/>
      <w:r>
        <w:rPr>
          <w:rFonts w:hint="eastAsia"/>
          <w:color w:val="000000" w:themeColor="text1"/>
          <w14:textFill>
            <w14:solidFill>
              <w14:schemeClr w14:val="tx1"/>
            </w14:solidFill>
          </w14:textFill>
        </w:rPr>
        <w:t>10.5.</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生态环境现状性价结论</w:t>
      </w:r>
      <w:bookmarkEnd w:id="185"/>
    </w:p>
    <w:p w14:paraId="2DACCA81">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项目所在区域原生植被已不存在，区域内被建筑及水泥路覆盖，厂区内植被主要为人工绿化植被，场地内生物多样性较差，生态环境质量一般。</w:t>
      </w:r>
    </w:p>
    <w:p w14:paraId="58E17D72">
      <w:pPr>
        <w:pStyle w:val="3"/>
        <w:rPr>
          <w:color w:val="000000" w:themeColor="text1"/>
          <w14:textFill>
            <w14:solidFill>
              <w14:schemeClr w14:val="tx1"/>
            </w14:solidFill>
          </w14:textFill>
        </w:rPr>
      </w:pPr>
      <w:bookmarkStart w:id="186" w:name="_Toc29021"/>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.6 运营期环境影响评价结论</w:t>
      </w:r>
      <w:bookmarkEnd w:id="186"/>
    </w:p>
    <w:p w14:paraId="5D965C4C">
      <w:pPr>
        <w:pStyle w:val="4"/>
        <w:rPr>
          <w:color w:val="000000" w:themeColor="text1"/>
          <w14:textFill>
            <w14:solidFill>
              <w14:schemeClr w14:val="tx1"/>
            </w14:solidFill>
          </w14:textFill>
        </w:rPr>
      </w:pPr>
      <w:bookmarkStart w:id="187" w:name="_Toc29359"/>
      <w:r>
        <w:rPr>
          <w:rFonts w:hint="eastAsia"/>
          <w:color w:val="000000" w:themeColor="text1"/>
          <w14:textFill>
            <w14:solidFill>
              <w14:schemeClr w14:val="tx1"/>
            </w14:solidFill>
          </w14:textFill>
        </w:rPr>
        <w:t>10.6.1大气环境影响评价结论</w:t>
      </w:r>
      <w:bookmarkEnd w:id="187"/>
    </w:p>
    <w:p w14:paraId="6C5FC0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本项目运营过程中的废气主要是投料粉尘、研磨废气、干燥废气、测试残渣处理废气和污水处理站废气。主要污染物为颗粒物、挥发性有机物、硫化氢。</w:t>
      </w:r>
    </w:p>
    <w:p w14:paraId="30612B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密闭式生产装置，生产过程产生的投料粉尘、研磨废气、干燥废气、通过管道接入废气处理系统处理，经碱喷淋+除雾+活性炭吸附处理后通过15m高的排气筒排放。测试残渣处理废气经通风橱收集后通过管道接入废气处理系统处理后通过DA001排气筒排放，污水处理站废气通过废水收集池封闭，池体上方设置集气罩+管道收集进入废气处理系统处理后通过DA001排气筒排放。参照《排污许可证申请与核发技术规范 电子工业》（HJ1031-2019），本项目采取的碱喷淋+除雾+活性炭吸附法属于可行性技术。通过采取本环评提出的污染治理措施处理后，本项目有组织排放的颗粒物、非甲烷总烃排放浓度和排放速率满足《大气污染物综合排放标准》（GB16297－1996）表2新建污染源大气污染物排放二级排放标准限值，硫化氢排放速率满足《恶臭污染物排放标准》（GB 14554-93）。根据估算结果，本项目大气环境影响评价工作等级为二级。项目废气正常排放对周围大气环境及敏感点环境影响在可接受范围或程度内。本项目无需设置大气防护距离，排气筒高度设置合理。运营期排放的废气不会对周围环境产生大的影响，大气环境影响可接受，项目的建设不会改变周边环境质量。</w:t>
      </w:r>
    </w:p>
    <w:p w14:paraId="1ABBA7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域属于环境空气二类功能区，环境空气质量满足《环境空气质量标准》（GB3095-2026）中过渡期二级标准，为达标区，九龙池公园风景名胜区位于一类功能区，环境空气质量现状良好，位于本项目西南面，距离较远，且位于项目区常年主导风向的上风向，项目运营过程中排放的废气对其影响较小。运营期排放的废气不会对周围环境产生大的影响，项目的建设不会改变周边环境质量。</w:t>
      </w:r>
    </w:p>
    <w:p w14:paraId="2C24D090">
      <w:pPr>
        <w:pStyle w:val="4"/>
        <w:rPr>
          <w:color w:val="000000" w:themeColor="text1"/>
          <w14:textFill>
            <w14:solidFill>
              <w14:schemeClr w14:val="tx1"/>
            </w14:solidFill>
          </w14:textFill>
        </w:rPr>
      </w:pPr>
      <w:bookmarkStart w:id="188" w:name="_Toc21997"/>
      <w:r>
        <w:rPr>
          <w:rFonts w:hint="eastAsia"/>
          <w:color w:val="000000" w:themeColor="text1"/>
          <w14:textFill>
            <w14:solidFill>
              <w14:schemeClr w14:val="tx1"/>
            </w14:solidFill>
          </w14:textFill>
        </w:rPr>
        <w:t>10.6.2 地表水环境影响评价结论</w:t>
      </w:r>
      <w:bookmarkEnd w:id="188"/>
    </w:p>
    <w:p w14:paraId="1B61EC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是生活污水和生产废水，生产废水主要是纯水制备废水、测试器具清洗废水、车间拖把清洁废水、冷却水循环系统定期排污水。生产废水经自建一体化污水处理站处理达标后通过生产废水排放口（DW002）排入云南捷辰包装材料有限公司已建成的污水管网，与依托现有化粪池预处理后生活污水一起通过云南捷辰包装材料有限公司以批复的排放口（DW001）排入市政污水管网，排入玉溪市污水处理厂。</w:t>
      </w:r>
    </w:p>
    <w:p w14:paraId="16A84F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水方案符合《玉溪高新技术产业开发区总体规划修编（2021-2035年）环境影响报告书》中核心区排水工程规划。建设单位已于2026年1月22日取得了《城镇污水排入排水管网许可证》，本项目废水达标排放进入玉溪市污水处理厂可行。本项目一体化污水处理站处理处理工艺为：PH调节+混凝沉淀，处理工艺属于《电子工业水污染防治可行技术指南》（HJ 1298—2023）中表7电子工业企业水污染防治可行技术指南中规定的可行性技术。本项目各类废水经处理后达标排放，处理规模满足日常废水处理需求，配置的调节池容积大于日均废水量，间歇运行模式下可实现有效调节，可保证进水水量、水质稳定，确保污水处理站正常运行。一体化污水处理站处理能力可行。根据本环评分析结果，依托处理后进入</w:t>
      </w:r>
      <w:r>
        <w:rPr>
          <w:rFonts w:hint="eastAsia" w:cs="Times New Roman"/>
          <w:color w:val="000000" w:themeColor="text1"/>
          <w14:textFill>
            <w14:solidFill>
              <w14:schemeClr w14:val="tx1"/>
            </w14:solidFill>
          </w14:textFill>
        </w:rPr>
        <w:t>生活污水产生量小于化粪池容积，可以保证污水24h的停留时间，因此本项目生活污水依托现有可行。在认真落实本评价措施的前提下，废水对区域地表水环境影响不大。</w:t>
      </w:r>
    </w:p>
    <w:p w14:paraId="51F0CAF4">
      <w:pPr>
        <w:pStyle w:val="4"/>
        <w:rPr>
          <w:color w:val="000000" w:themeColor="text1"/>
          <w14:textFill>
            <w14:solidFill>
              <w14:schemeClr w14:val="tx1"/>
            </w14:solidFill>
          </w14:textFill>
        </w:rPr>
      </w:pPr>
      <w:bookmarkStart w:id="189" w:name="_Toc21441"/>
      <w:r>
        <w:rPr>
          <w:rFonts w:hint="eastAsia"/>
          <w:color w:val="000000" w:themeColor="text1"/>
          <w14:textFill>
            <w14:solidFill>
              <w14:schemeClr w14:val="tx1"/>
            </w14:solidFill>
          </w14:textFill>
        </w:rPr>
        <w:t>10.6.3 声环境环境影响评价结论</w:t>
      </w:r>
      <w:bookmarkEnd w:id="189"/>
    </w:p>
    <w:p w14:paraId="1DA6D9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是高混机、气流粉碎机、砂磨机、干燥塔、除湿机组、空压机、风机、水泵等机械设备噪声，通过采取选用低噪声设备，基座设置减震垫，利用车间墙体隔声，水泵进出口管道间安装软橡胶接头等措施有效降低噪声。根据噪声预测结果可知：项目设备噪声经降噪措施、距离衰减后，本项目厂界、租用厂区厂界</w:t>
      </w:r>
      <w:r>
        <w:rPr>
          <w:rFonts w:hint="eastAsia"/>
          <w:color w:val="000000" w:themeColor="text1"/>
          <w:lang w:val="en-US" w:eastAsia="zh-CN"/>
          <w14:textFill>
            <w14:solidFill>
              <w14:schemeClr w14:val="tx1"/>
            </w14:solidFill>
          </w14:textFill>
        </w:rPr>
        <w:t>东、南、北面</w:t>
      </w:r>
      <w:r>
        <w:rPr>
          <w:rFonts w:hint="eastAsia"/>
          <w:color w:val="000000" w:themeColor="text1"/>
          <w14:textFill>
            <w14:solidFill>
              <w14:schemeClr w14:val="tx1"/>
            </w14:solidFill>
          </w14:textFill>
        </w:rPr>
        <w:t>噪声预测值昼间、夜间均能满足《工业企业厂界环境噪声排放标准》（GB12348-2008）3类标准：昼间≤65dB(A)，夜间≤55dB(A)的要求</w:t>
      </w:r>
      <w:r>
        <w:rPr>
          <w:rFonts w:hint="eastAsia"/>
          <w:color w:val="000000" w:themeColor="text1"/>
          <w:lang w:eastAsia="zh-CN"/>
          <w14:textFill>
            <w14:solidFill>
              <w14:schemeClr w14:val="tx1"/>
            </w14:solidFill>
          </w14:textFill>
        </w:rPr>
        <w:t xml:space="preserve">，西面噪声预测值昼间、夜间能满足《工业企业厂界环境噪声排放标准》（GB12348-2008）4类标准：昼间≤70dB(A)，夜间≤55dB(A)的要求。 </w:t>
      </w:r>
      <w:r>
        <w:rPr>
          <w:rFonts w:hint="eastAsia"/>
          <w:color w:val="000000" w:themeColor="text1"/>
          <w14:textFill>
            <w14:solidFill>
              <w14:schemeClr w14:val="tx1"/>
            </w14:solidFill>
          </w14:textFill>
        </w:rPr>
        <w:t>项目区最近噪声关心点噪声预测值昼间、夜间能满足《声环境质量标准》（GB3096-2008）中2类标准：昼间≤60dB(A)、夜间≤50dB(A)的要求。</w:t>
      </w:r>
    </w:p>
    <w:p w14:paraId="24EAE63E">
      <w:pPr>
        <w:pStyle w:val="4"/>
        <w:rPr>
          <w:color w:val="000000" w:themeColor="text1"/>
          <w14:textFill>
            <w14:solidFill>
              <w14:schemeClr w14:val="tx1"/>
            </w14:solidFill>
          </w14:textFill>
        </w:rPr>
      </w:pPr>
      <w:bookmarkStart w:id="190" w:name="_Toc3080"/>
      <w:r>
        <w:rPr>
          <w:rFonts w:hint="eastAsia"/>
          <w:color w:val="000000" w:themeColor="text1"/>
          <w14:textFill>
            <w14:solidFill>
              <w14:schemeClr w14:val="tx1"/>
            </w14:solidFill>
          </w14:textFill>
        </w:rPr>
        <w:t>10.6.4 固体废物</w:t>
      </w:r>
      <w:bookmarkEnd w:id="190"/>
    </w:p>
    <w:p w14:paraId="628FA3C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本项目固废主要为</w:t>
      </w:r>
      <w:r>
        <w:rPr>
          <w:rFonts w:hint="eastAsia"/>
          <w:color w:val="000000" w:themeColor="text1"/>
          <w14:textFill>
            <w14:solidFill>
              <w14:schemeClr w14:val="tx1"/>
            </w14:solidFill>
          </w14:textFill>
        </w:rPr>
        <w:t>废包装材料、废有机溶剂、砂磨机碱洗废碱液、污水处理污泥、喷淋循环系统定期排污废液、废活性炭、废导热油、测试残渣、废抹布、废手套和生活垃圾。</w:t>
      </w:r>
    </w:p>
    <w:p w14:paraId="3B89E4A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经分类收集后暂存于危废暂存间内，委托有资质的单位清运处置。废有机溶剂、砂磨机碱洗废碱液、喷淋循环系统定期排污废液采用废液桶收集后，暂存于危废暂存间内交由有资质的单位清运处置。污水处理污泥定期清掏后送至周边砖厂制砖使用。废活性炭用带盖收集桶收集后暂存于危废暂存间内交由有资质的单位清运处置。废导热油更换后采用带盖废油桶收集后暂存于危废暂存间内委托有资质的单位进行清运处置。测试残渣收集后放置于通风橱内，待其性质稳定收集后送至周边砖厂制砖使用。废抹布采用带盖容器收集后暂存于危废暂存间内委托有资质的单位进行清运处置。废手套、生活垃圾统一收集后委托当地环卫部门清运。。项目运营过程中所产生的固体废物均可得到妥善的处置，且处置方式合理可行，不易造成二次污染，对周围环境影响不大。</w:t>
      </w:r>
    </w:p>
    <w:p w14:paraId="34169837">
      <w:pPr>
        <w:pStyle w:val="4"/>
        <w:rPr>
          <w:color w:val="000000" w:themeColor="text1"/>
          <w14:textFill>
            <w14:solidFill>
              <w14:schemeClr w14:val="tx1"/>
            </w14:solidFill>
          </w14:textFill>
        </w:rPr>
      </w:pPr>
      <w:bookmarkStart w:id="191" w:name="_Toc5278"/>
      <w:r>
        <w:rPr>
          <w:rFonts w:hint="eastAsia"/>
          <w:color w:val="000000" w:themeColor="text1"/>
          <w14:textFill>
            <w14:solidFill>
              <w14:schemeClr w14:val="tx1"/>
            </w14:solidFill>
          </w14:textFill>
        </w:rPr>
        <w:t>10.6.5 土壤、地下水环境影响评价结论</w:t>
      </w:r>
      <w:bookmarkEnd w:id="191"/>
    </w:p>
    <w:p w14:paraId="61DA47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评价范围内除了绿化用地外，以建筑物和混凝土路面为主，直接裸露的土壤较少，因此，通过大气沉降形式对土壤造成污染的可能性很小。原料暂存间、危废暂存间按要求进行重点防渗处理，污染物通过垂直入渗、地面漫流的途径对土壤、地下水造成污染的可能性很小，本项目在严格落实本环评提出的地下水、土壤环境污染防治措施后，项目运营过程中对地下水、土壤环境影响较小。</w:t>
      </w:r>
    </w:p>
    <w:p w14:paraId="0E044AAC">
      <w:pPr>
        <w:pStyle w:val="4"/>
        <w:rPr>
          <w:color w:val="000000" w:themeColor="text1"/>
          <w14:textFill>
            <w14:solidFill>
              <w14:schemeClr w14:val="tx1"/>
            </w14:solidFill>
          </w14:textFill>
        </w:rPr>
      </w:pPr>
      <w:bookmarkStart w:id="192" w:name="_Toc21131"/>
      <w:r>
        <w:rPr>
          <w:rFonts w:hint="eastAsia"/>
          <w:color w:val="000000" w:themeColor="text1"/>
          <w14:textFill>
            <w14:solidFill>
              <w14:schemeClr w14:val="tx1"/>
            </w14:solidFill>
          </w14:textFill>
        </w:rPr>
        <w:t>10.6.6 环境风险评价结论</w:t>
      </w:r>
      <w:bookmarkEnd w:id="192"/>
    </w:p>
    <w:p w14:paraId="55B16A5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本项目涉及的风险物质为</w:t>
      </w:r>
      <w:r>
        <w:rPr>
          <w:rFonts w:hint="eastAsia"/>
          <w:color w:val="000000" w:themeColor="text1"/>
          <w:lang w:val="en-US" w:eastAsia="zh-CN"/>
          <w14:textFill>
            <w14:solidFill>
              <w14:schemeClr w14:val="tx1"/>
            </w14:solidFill>
          </w14:textFill>
        </w:rPr>
        <w:t>五</w:t>
      </w:r>
      <w:r>
        <w:rPr>
          <w:rFonts w:hint="eastAsia"/>
          <w:color w:val="000000" w:themeColor="text1"/>
          <w14:textFill>
            <w14:solidFill>
              <w14:schemeClr w14:val="tx1"/>
            </w14:solidFill>
          </w14:textFill>
        </w:rPr>
        <w:t>硫化二磷、有机溶剂（环己烷、）、导热油、危险废物，风险单元为原料暂存区、理化间、生产车间、危废暂存间、污水处理间，本项目Q值小于1，环境风险潜势较低，风险类型为五硫化二磷、有机溶剂（环己烷）、导热油、砂磨机碱洗废碱液、喷淋循环系统定期排污废液及生产废水等风险物质泄漏。火灾、爆炸事故产生的废水、废气等污染物排放。通过采取上述风险防范措施和应急措施，可有效降低项目的环境风险，确保项目在生产运营过程中对周围环境的影响控制在可接受范围内。在项目实施过程中，应严格遵守相关环境保护法律法规，定期开展环境风险评估和应急演练，不断完善风险管控体系，保障环境安全。</w:t>
      </w:r>
    </w:p>
    <w:p w14:paraId="1249A536">
      <w:pPr>
        <w:pStyle w:val="3"/>
        <w:rPr>
          <w:color w:val="000000" w:themeColor="text1"/>
          <w14:textFill>
            <w14:solidFill>
              <w14:schemeClr w14:val="tx1"/>
            </w14:solidFill>
          </w14:textFill>
        </w:rPr>
      </w:pPr>
      <w:bookmarkStart w:id="193" w:name="_Toc3553"/>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.7 总量控制结论</w:t>
      </w:r>
      <w:bookmarkEnd w:id="193"/>
    </w:p>
    <w:p w14:paraId="2E53CA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本项目颗粒物有组织排放量为0.0001t/a，VOCs有组织排放量为0.3t/a，</w:t>
      </w:r>
      <w:bookmarkStart w:id="194" w:name="_Hlk226627609"/>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bookmarkEnd w:id="194"/>
      <w:r>
        <w:rPr>
          <w:rFonts w:hint="eastAsia"/>
          <w:color w:val="000000" w:themeColor="text1"/>
          <w14:textFill>
            <w14:solidFill>
              <w14:schemeClr w14:val="tx1"/>
            </w14:solidFill>
          </w14:textFill>
        </w:rPr>
        <w:t>有组织排放量为0.0017t/a，无组织排放量为0.0038t/a，合计0.0055t/a。废水排放量为</w:t>
      </w:r>
      <w:bookmarkStart w:id="195" w:name="_Hlk226627345"/>
      <w:r>
        <w:rPr>
          <w:rFonts w:hint="eastAsia"/>
          <w:color w:val="000000" w:themeColor="text1"/>
          <w14:textFill>
            <w14:solidFill>
              <w14:schemeClr w14:val="tx1"/>
            </w14:solidFill>
          </w14:textFill>
        </w:rPr>
        <w:t>467.736</w:t>
      </w:r>
      <w:bookmarkEnd w:id="195"/>
      <w:bookmarkStart w:id="196" w:name="_Hlk226627357"/>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/a，COD排放为0.0462t/a，NH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-H排放量为0.0061t/a</w:t>
      </w:r>
      <w:bookmarkEnd w:id="196"/>
      <w:r>
        <w:rPr>
          <w:rFonts w:hint="eastAsia"/>
          <w:color w:val="000000" w:themeColor="text1"/>
          <w14:textFill>
            <w14:solidFill>
              <w14:schemeClr w14:val="tx1"/>
            </w14:solidFill>
          </w14:textFill>
        </w:rPr>
        <w:t>，总量纳入玉溪市城市污水处理厂总量控制。固体废物处置率100%。</w:t>
      </w:r>
    </w:p>
    <w:p w14:paraId="5F7A5E56">
      <w:pPr>
        <w:pStyle w:val="3"/>
        <w:rPr>
          <w:color w:val="000000" w:themeColor="text1"/>
          <w14:textFill>
            <w14:solidFill>
              <w14:schemeClr w14:val="tx1"/>
            </w14:solidFill>
          </w14:textFill>
        </w:rPr>
      </w:pPr>
      <w:bookmarkStart w:id="197" w:name="_Toc18429"/>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.8 公众参与结论</w:t>
      </w:r>
      <w:bookmarkEnd w:id="197"/>
    </w:p>
    <w:p w14:paraId="7481E361">
      <w:pPr>
        <w:ind w:firstLine="480"/>
        <w:rPr>
          <w:color w:val="000000" w:themeColor="text1"/>
          <w14:textFill>
            <w14:solidFill>
              <w14:schemeClr w14:val="tx1"/>
            </w14:solidFill>
          </w14:textFill>
        </w:rPr>
      </w:pPr>
      <w:r>
        <w:rPr>
          <w:color w:val="000000" w:themeColor="text1"/>
          <w14:textFill>
            <w14:solidFill>
              <w14:schemeClr w14:val="tx1"/>
            </w14:solidFill>
          </w14:textFill>
        </w:rPr>
        <w:t>按《环境影响评价公众参与办法》，在接受环评委托后，建设单位于2</w:t>
      </w:r>
      <w:r>
        <w:rPr>
          <w:rFonts w:hint="eastAsia"/>
          <w:color w:val="000000" w:themeColor="text1"/>
          <w14:textFill>
            <w14:solidFill>
              <w14:schemeClr w14:val="tx1"/>
            </w14:solidFill>
          </w14:textFill>
        </w:rPr>
        <w:t>025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日在玉溪“</w:t>
      </w:r>
      <w:bookmarkStart w:id="198" w:name="_Hlk226626604"/>
      <w:r>
        <w:rPr>
          <w:color w:val="000000" w:themeColor="text1"/>
          <w14:textFill>
            <w14:solidFill>
              <w14:schemeClr w14:val="tx1"/>
            </w14:solidFill>
          </w14:textFill>
        </w:rPr>
        <w:t>高古楼</w:t>
      </w:r>
      <w:bookmarkEnd w:id="198"/>
      <w:r>
        <w:rPr>
          <w:color w:val="000000" w:themeColor="text1"/>
          <w14:textFill>
            <w14:solidFill>
              <w14:schemeClr w14:val="tx1"/>
            </w14:solidFill>
          </w14:textFill>
        </w:rPr>
        <w:t>”网站上进行了第一次网络公示。</w:t>
      </w:r>
      <w:r>
        <w:rPr>
          <w:rFonts w:hint="eastAsia"/>
          <w:color w:val="000000" w:themeColor="text1"/>
          <w14:textFill>
            <w14:solidFill>
              <w14:schemeClr w14:val="tx1"/>
            </w14:solidFill>
          </w14:textFill>
        </w:rPr>
        <w:t>征求意见稿完成后，</w:t>
      </w:r>
      <w:r>
        <w:rPr>
          <w:color w:val="000000" w:themeColor="text1"/>
          <w14:textFill>
            <w14:solidFill>
              <w14:schemeClr w14:val="tx1"/>
            </w14:solidFill>
          </w14:textFill>
        </w:rPr>
        <w:t>建设单位于2025年10月24日在“高古楼”网站上进行了全文公示。2025年10月27日、2025年10月30日在“玉溪日报”上进行了两次报纸公示。2025年10月24日在项目区附近</w:t>
      </w:r>
      <w:bookmarkStart w:id="199" w:name="_Hlk226626787"/>
      <w:r>
        <w:rPr>
          <w:color w:val="000000" w:themeColor="text1"/>
          <w14:textFill>
            <w14:solidFill>
              <w14:schemeClr w14:val="tx1"/>
            </w14:solidFill>
          </w14:textFill>
        </w:rPr>
        <w:t>莲池村、高家屯、莲池小学</w:t>
      </w:r>
      <w:bookmarkEnd w:id="199"/>
      <w:r>
        <w:rPr>
          <w:color w:val="000000" w:themeColor="text1"/>
          <w14:textFill>
            <w14:solidFill>
              <w14:schemeClr w14:val="tx1"/>
            </w14:solidFill>
          </w14:textFill>
        </w:rPr>
        <w:t>进行了现场公示。</w:t>
      </w:r>
      <w:r>
        <w:rPr>
          <w:rFonts w:hint="eastAsia"/>
          <w:color w:val="000000" w:themeColor="text1"/>
          <w14:textFill>
            <w14:solidFill>
              <w14:schemeClr w14:val="tx1"/>
            </w14:solidFill>
          </w14:textFill>
        </w:rPr>
        <w:t>2026年4月1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日在高古楼网站进行报批前公示。</w:t>
      </w:r>
    </w:p>
    <w:p w14:paraId="35FCEDC9">
      <w:pPr>
        <w:ind w:firstLine="480"/>
        <w:rPr>
          <w:color w:val="000000" w:themeColor="text1"/>
          <w14:textFill>
            <w14:solidFill>
              <w14:schemeClr w14:val="tx1"/>
            </w14:solidFill>
          </w14:textFill>
        </w:rPr>
      </w:pPr>
      <w:r>
        <w:rPr>
          <w:color w:val="000000" w:themeColor="text1"/>
          <w14:textFill>
            <w14:solidFill>
              <w14:schemeClr w14:val="tx1"/>
            </w14:solidFill>
          </w14:textFill>
        </w:rPr>
        <w:t>公示期间，建设单位及我公司均未收集到任何形式的反馈意见。</w:t>
      </w:r>
    </w:p>
    <w:p w14:paraId="433B0113">
      <w:pPr>
        <w:pStyle w:val="3"/>
        <w:rPr>
          <w:color w:val="000000" w:themeColor="text1"/>
          <w14:textFill>
            <w14:solidFill>
              <w14:schemeClr w14:val="tx1"/>
            </w14:solidFill>
          </w14:textFill>
        </w:rPr>
      </w:pPr>
      <w:bookmarkStart w:id="200" w:name="_Toc13061"/>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.9 总结论</w:t>
      </w:r>
      <w:bookmarkEnd w:id="200"/>
    </w:p>
    <w:p w14:paraId="49A513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玉溪高新技术产业开发区，项目符合国家产业政策要求，符合玉溪市生态环境分区管控动态更新调整方案要求，符合产业园区规划及规划环评要求；该项目采取的措施均为技术规范推荐的可行技术，采取相应措施后，颗粒物、硫化氢、挥发性有机物均能达标排放，废水。噪声达标排放，固废全部合理处置，环境风险可控，项目建设不会改变和降低周边环境质量和功能。建设单位已按照有关规范进行环境影响公众参与调查，公示期间，建设单位及我公司均未收集到任何形式的反馈意见。本环评认为，在切实落实环评报告提出的各项污染防治措施，并做好“三同时”制度的基础上，该项目对环境影响可接受，项目建设可行。</w:t>
      </w:r>
    </w:p>
    <w:p w14:paraId="5CEC5719">
      <w:pPr>
        <w:pStyle w:val="3"/>
        <w:rPr>
          <w:color w:val="000000" w:themeColor="text1"/>
          <w14:textFill>
            <w14:solidFill>
              <w14:schemeClr w14:val="tx1"/>
            </w14:solidFill>
          </w14:textFill>
        </w:rPr>
      </w:pPr>
      <w:bookmarkStart w:id="201" w:name="_Toc19654"/>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.10 建议及要求</w:t>
      </w:r>
      <w:bookmarkEnd w:id="201"/>
    </w:p>
    <w:p w14:paraId="71D6477A">
      <w:pPr>
        <w:ind w:firstLine="480"/>
        <w:rPr>
          <w:color w:val="000000" w:themeColor="text1"/>
          <w14:textFill>
            <w14:solidFill>
              <w14:schemeClr w14:val="tx1"/>
            </w14:solidFill>
          </w14:textFill>
        </w:rPr>
      </w:pPr>
      <w:r>
        <w:rPr>
          <w:color w:val="000000" w:themeColor="text1"/>
          <w14:textFill>
            <w14:solidFill>
              <w14:schemeClr w14:val="tx1"/>
            </w14:solidFill>
          </w14:textFill>
        </w:rPr>
        <w:t>（1）建设过程中严格落实相关污染防治措施，做好施工监理工作；</w:t>
      </w:r>
    </w:p>
    <w:p w14:paraId="4480F4A7">
      <w:pPr>
        <w:ind w:firstLine="480"/>
        <w:rPr>
          <w:color w:val="000000" w:themeColor="text1"/>
          <w14:textFill>
            <w14:solidFill>
              <w14:schemeClr w14:val="tx1"/>
            </w14:solidFill>
          </w14:textFill>
        </w:rPr>
      </w:pPr>
      <w:r>
        <w:rPr>
          <w:color w:val="000000" w:themeColor="text1"/>
          <w14:textFill>
            <w14:solidFill>
              <w14:schemeClr w14:val="tx1"/>
            </w14:solidFill>
          </w14:textFill>
        </w:rPr>
        <w:t>（2）运营期加强内部人员管理，制定专门的环境管理规章制度，加强污染治理设施、设备的管理工作。</w:t>
      </w:r>
    </w:p>
    <w:p w14:paraId="686B26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（3）项目运行期间加强对废气、废水处理系统的日常维护，杜绝废气、废水非正常排放。加强危险废物分类管理，制定相关管理台账，严格记录活性炭更换时间、废水处理系统加药频次以及危险废物转移情况。</w:t>
      </w:r>
    </w:p>
    <w:p w14:paraId="4DCF6E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项目污水处理污泥、测试残渣等处置过程中需要与固废处置单位签订书面委托利用合同，明确：固废种类、成分、数量、有害成分限值，运输、贮存、利用、污染防治、应急、责任划分，处置单位需有资质、能力、环保手续需要齐全。</w:t>
      </w:r>
    </w:p>
    <w:sectPr>
      <w:pgSz w:w="11906" w:h="16838"/>
      <w:pgMar w:top="1440" w:right="1800" w:bottom="1440" w:left="1800" w:header="907"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94A0D">
    <w:pPr>
      <w:pStyle w:val="31"/>
      <w:ind w:right="360" w:firstLine="360"/>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10160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AA9DD">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8pt;height:144pt;width:144pt;mso-position-horizontal:center;mso-position-horizontal-relative:margin;mso-wrap-style:none;z-index:251661312;mso-width-relative:page;mso-height-relative:page;" filled="f" stroked="f" coordsize="21600,21600" o:gfxdata="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YZHV0gAAAAYBAAAPAAAAAAAAAAEAIAAAACIAAABkcnMvZG93bnJldi54bWxQSwECFAAUAAAA&#10;CACHTuJAUO6xny0CAABXBAAADgAAAAAAAAABACAAAAAhAQAAZHJzL2Uyb0RvYy54bWxQSwUGAAAA&#10;AAYABgBZAQAAwAUAAAAA&#10;">
              <v:fill on="f" focussize="0,0"/>
              <v:stroke on="f" weight="0.5pt"/>
              <v:imagedata o:title=""/>
              <o:lock v:ext="edit" aspectratio="f"/>
              <v:textbox inset="0mm,0mm,0mm,0mm" style="mso-fit-shape-to-text:t;">
                <w:txbxContent>
                  <w:p w14:paraId="6EEAA9DD">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3D70">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D8C15">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F38B">
    <w:pPr>
      <w:pStyle w:val="31"/>
      <w:ind w:right="360" w:firstLine="360"/>
      <w:jc w:val="center"/>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10160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E8163">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8pt;height:144pt;width:144pt;mso-position-horizontal:center;mso-position-horizontal-relative:margin;mso-wrap-style:none;z-index:251663360;mso-width-relative:page;mso-height-relative:page;" filled="f" stroked="f" coordsize="21600,21600" o:gfxdata="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5hkdXSAAAABgEAAA8AAAAAAAAAAQAgAAAAIgAAAGRycy9kb3ducmV2LnhtbFBLAQIUABQAAAAI&#10;AIdO4kDKv6PlLAIAAFUEAAAOAAAAAAAAAAEAIAAAACEBAABkcnMvZTJvRG9jLnhtbFBLBQYAAAAA&#10;BgAGAFkBAAC/BQAAAAA=&#10;">
              <v:fill on="f" focussize="0,0"/>
              <v:stroke on="f" weight="0.5pt"/>
              <v:imagedata o:title=""/>
              <o:lock v:ext="edit" aspectratio="f"/>
              <v:textbox inset="0mm,0mm,0mm,0mm" style="mso-fit-shape-to-text:t;">
                <w:txbxContent>
                  <w:p w14:paraId="3CCE8163">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337F0">
    <w:pPr>
      <w:pStyle w:val="31"/>
      <w:ind w:right="360" w:firstLine="360"/>
      <w:jc w:val="center"/>
      <w:rPr>
        <w:sz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10160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7111A">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8pt;height:144pt;width:144pt;mso-position-horizontal:center;mso-position-horizontal-relative:margin;mso-wrap-style:none;z-index:251662336;mso-width-relative:page;mso-height-relative:page;" filled="f" stroked="f" coordsize="21600,21600" o:gfxdata="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mGR1dIAAAAGAQAADwAAAAAAAAABACAAAAAiAAAAZHJzL2Rvd25yZXYueG1sUEsBAhQAFAAAAAgA&#10;h07iQAVhjD8rAgAAVQQAAA4AAAAAAAAAAQAgAAAAIQEAAGRycy9lMm9Eb2MueG1sUEsFBgAAAAAG&#10;AAYAWQEAAL4FAAAAAA==&#10;">
              <v:fill on="f" focussize="0,0"/>
              <v:stroke on="f" weight="0.5pt"/>
              <v:imagedata o:title=""/>
              <o:lock v:ext="edit" aspectratio="f"/>
              <v:textbox inset="0mm,0mm,0mm,0mm" style="mso-fit-shape-to-text:t;">
                <w:txbxContent>
                  <w:p w14:paraId="7F67111A">
                    <w:pPr>
                      <w:pStyle w:val="31"/>
                      <w:ind w:right="360" w:firstLine="360"/>
                      <w:jc w:val="center"/>
                    </w:pPr>
                    <w:r>
                      <w:rPr>
                        <w:rStyle w:val="25"/>
                        <w:sz w:val="18"/>
                        <w:szCs w:val="18"/>
                      </w:rPr>
                      <w:fldChar w:fldCharType="begin"/>
                    </w:r>
                    <w:r>
                      <w:rPr>
                        <w:rStyle w:val="25"/>
                        <w:sz w:val="18"/>
                        <w:szCs w:val="18"/>
                      </w:rPr>
                      <w:instrText xml:space="preserve"> PAGE </w:instrText>
                    </w:r>
                    <w:r>
                      <w:rPr>
                        <w:rStyle w:val="25"/>
                        <w:sz w:val="18"/>
                        <w:szCs w:val="18"/>
                      </w:rPr>
                      <w:fldChar w:fldCharType="separate"/>
                    </w:r>
                    <w:r>
                      <w:rPr>
                        <w:rStyle w:val="25"/>
                        <w:sz w:val="18"/>
                        <w:szCs w:val="18"/>
                      </w:rPr>
                      <w:t>141</w:t>
                    </w:r>
                    <w:r>
                      <w:rPr>
                        <w:rStyle w:val="25"/>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A02B">
    <w:pPr>
      <w:ind w:firstLine="48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C4264">
                          <w:pPr>
                            <w:pStyle w:val="15"/>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2FC4264">
                    <w:pPr>
                      <w:pStyle w:val="15"/>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8209">
    <w:pPr>
      <w:pStyle w:val="16"/>
      <w:pBdr>
        <w:bottom w:val="single" w:color="auto" w:sz="4" w:space="1"/>
      </w:pBdr>
    </w:pPr>
    <w:r>
      <w:rPr>
        <w:rFonts w:hint="eastAsia"/>
      </w:rPr>
      <w:t>硫化物固态电解质材料生产项目（一期）环境影响报告书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CF7A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EAB81">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5E072">
    <w:pPr>
      <w:pStyle w:val="16"/>
      <w:pBdr>
        <w:bottom w:val="single" w:color="auto" w:sz="4" w:space="1"/>
      </w:pBdr>
    </w:pPr>
    <w:r>
      <w:rPr>
        <w:rFonts w:hint="eastAsia"/>
      </w:rPr>
      <w:t>硫化物固态电解质材料生产项目（一期）环境影响报告书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0A5"/>
    <w:rsid w:val="00020FD3"/>
    <w:rsid w:val="00021D5E"/>
    <w:rsid w:val="0004406A"/>
    <w:rsid w:val="000546D7"/>
    <w:rsid w:val="00056E2B"/>
    <w:rsid w:val="00063425"/>
    <w:rsid w:val="000779B6"/>
    <w:rsid w:val="0008241B"/>
    <w:rsid w:val="00084514"/>
    <w:rsid w:val="000A0712"/>
    <w:rsid w:val="000A20F8"/>
    <w:rsid w:val="000A47AD"/>
    <w:rsid w:val="000B08A7"/>
    <w:rsid w:val="000B143B"/>
    <w:rsid w:val="000B1885"/>
    <w:rsid w:val="000B7D6A"/>
    <w:rsid w:val="000C0D3F"/>
    <w:rsid w:val="000C2BC8"/>
    <w:rsid w:val="000C341B"/>
    <w:rsid w:val="000D0C6B"/>
    <w:rsid w:val="000E3E0B"/>
    <w:rsid w:val="00113FAB"/>
    <w:rsid w:val="00120E1F"/>
    <w:rsid w:val="00126877"/>
    <w:rsid w:val="001323CE"/>
    <w:rsid w:val="00133387"/>
    <w:rsid w:val="001609EF"/>
    <w:rsid w:val="001660B3"/>
    <w:rsid w:val="00172A27"/>
    <w:rsid w:val="001A07B8"/>
    <w:rsid w:val="001A7794"/>
    <w:rsid w:val="001B044F"/>
    <w:rsid w:val="001B303C"/>
    <w:rsid w:val="001B40B9"/>
    <w:rsid w:val="001B7334"/>
    <w:rsid w:val="001C35F9"/>
    <w:rsid w:val="001D4206"/>
    <w:rsid w:val="001D7BB4"/>
    <w:rsid w:val="001E4656"/>
    <w:rsid w:val="001E7E8E"/>
    <w:rsid w:val="00201AF2"/>
    <w:rsid w:val="00206D5D"/>
    <w:rsid w:val="00210732"/>
    <w:rsid w:val="0021506A"/>
    <w:rsid w:val="0021591F"/>
    <w:rsid w:val="0021766F"/>
    <w:rsid w:val="002202F8"/>
    <w:rsid w:val="00225378"/>
    <w:rsid w:val="00227A99"/>
    <w:rsid w:val="002363FF"/>
    <w:rsid w:val="0023761D"/>
    <w:rsid w:val="002515CD"/>
    <w:rsid w:val="0025299D"/>
    <w:rsid w:val="00256063"/>
    <w:rsid w:val="00262671"/>
    <w:rsid w:val="0026282A"/>
    <w:rsid w:val="002743E5"/>
    <w:rsid w:val="00275C91"/>
    <w:rsid w:val="00285085"/>
    <w:rsid w:val="00291DD0"/>
    <w:rsid w:val="00295A0A"/>
    <w:rsid w:val="00297098"/>
    <w:rsid w:val="002A2F67"/>
    <w:rsid w:val="002B09A3"/>
    <w:rsid w:val="002C624F"/>
    <w:rsid w:val="002E01C1"/>
    <w:rsid w:val="002E4D0F"/>
    <w:rsid w:val="002E621E"/>
    <w:rsid w:val="002F1965"/>
    <w:rsid w:val="002F45FF"/>
    <w:rsid w:val="00302426"/>
    <w:rsid w:val="00306BA6"/>
    <w:rsid w:val="00332190"/>
    <w:rsid w:val="00333292"/>
    <w:rsid w:val="00336C0D"/>
    <w:rsid w:val="00343B14"/>
    <w:rsid w:val="00352250"/>
    <w:rsid w:val="0036407F"/>
    <w:rsid w:val="00364819"/>
    <w:rsid w:val="00377076"/>
    <w:rsid w:val="0039259C"/>
    <w:rsid w:val="003A6462"/>
    <w:rsid w:val="003A6CED"/>
    <w:rsid w:val="003B437F"/>
    <w:rsid w:val="003B4A8E"/>
    <w:rsid w:val="003B749E"/>
    <w:rsid w:val="003C3216"/>
    <w:rsid w:val="003C468C"/>
    <w:rsid w:val="003C48CF"/>
    <w:rsid w:val="003C6D4D"/>
    <w:rsid w:val="003D4995"/>
    <w:rsid w:val="003D66BA"/>
    <w:rsid w:val="003E2F14"/>
    <w:rsid w:val="003E3FE0"/>
    <w:rsid w:val="003F2DF2"/>
    <w:rsid w:val="00405D68"/>
    <w:rsid w:val="00406196"/>
    <w:rsid w:val="00410339"/>
    <w:rsid w:val="004263E0"/>
    <w:rsid w:val="00426D35"/>
    <w:rsid w:val="00431416"/>
    <w:rsid w:val="00432E21"/>
    <w:rsid w:val="00433E99"/>
    <w:rsid w:val="00455033"/>
    <w:rsid w:val="004672B9"/>
    <w:rsid w:val="004715C0"/>
    <w:rsid w:val="00477538"/>
    <w:rsid w:val="0048087F"/>
    <w:rsid w:val="00481B78"/>
    <w:rsid w:val="004A7D5A"/>
    <w:rsid w:val="004B17A9"/>
    <w:rsid w:val="004D1CCB"/>
    <w:rsid w:val="004E34BA"/>
    <w:rsid w:val="004E4514"/>
    <w:rsid w:val="004F0233"/>
    <w:rsid w:val="00505FB0"/>
    <w:rsid w:val="00524484"/>
    <w:rsid w:val="005311BC"/>
    <w:rsid w:val="00534E67"/>
    <w:rsid w:val="005410F0"/>
    <w:rsid w:val="005438C8"/>
    <w:rsid w:val="005441F4"/>
    <w:rsid w:val="005517A1"/>
    <w:rsid w:val="00556C5B"/>
    <w:rsid w:val="005673BF"/>
    <w:rsid w:val="005701C0"/>
    <w:rsid w:val="00581A50"/>
    <w:rsid w:val="00582056"/>
    <w:rsid w:val="005831A5"/>
    <w:rsid w:val="005938E7"/>
    <w:rsid w:val="00593F76"/>
    <w:rsid w:val="005A26FB"/>
    <w:rsid w:val="005A610B"/>
    <w:rsid w:val="005C3844"/>
    <w:rsid w:val="005C6ADC"/>
    <w:rsid w:val="005E1BAB"/>
    <w:rsid w:val="005E62D0"/>
    <w:rsid w:val="005E76B0"/>
    <w:rsid w:val="005F2B40"/>
    <w:rsid w:val="005F59E2"/>
    <w:rsid w:val="005F7860"/>
    <w:rsid w:val="00603291"/>
    <w:rsid w:val="006051EA"/>
    <w:rsid w:val="00616A00"/>
    <w:rsid w:val="00616BD1"/>
    <w:rsid w:val="00622F66"/>
    <w:rsid w:val="0063324B"/>
    <w:rsid w:val="00640A71"/>
    <w:rsid w:val="00640F33"/>
    <w:rsid w:val="0066518F"/>
    <w:rsid w:val="006774A7"/>
    <w:rsid w:val="006820F8"/>
    <w:rsid w:val="006879CC"/>
    <w:rsid w:val="00690BB1"/>
    <w:rsid w:val="00691772"/>
    <w:rsid w:val="00696254"/>
    <w:rsid w:val="006A2CC4"/>
    <w:rsid w:val="006A5267"/>
    <w:rsid w:val="006A7C14"/>
    <w:rsid w:val="006D512F"/>
    <w:rsid w:val="006E49CE"/>
    <w:rsid w:val="006F2C9F"/>
    <w:rsid w:val="006F661C"/>
    <w:rsid w:val="006F7266"/>
    <w:rsid w:val="00702085"/>
    <w:rsid w:val="007064E4"/>
    <w:rsid w:val="007070C4"/>
    <w:rsid w:val="0071091C"/>
    <w:rsid w:val="007214E6"/>
    <w:rsid w:val="0077116D"/>
    <w:rsid w:val="0077364D"/>
    <w:rsid w:val="00781409"/>
    <w:rsid w:val="0078143C"/>
    <w:rsid w:val="007B197D"/>
    <w:rsid w:val="007C4636"/>
    <w:rsid w:val="007D3F02"/>
    <w:rsid w:val="007D65E4"/>
    <w:rsid w:val="007E2ED7"/>
    <w:rsid w:val="00810600"/>
    <w:rsid w:val="008249BF"/>
    <w:rsid w:val="00824D6D"/>
    <w:rsid w:val="00825357"/>
    <w:rsid w:val="00825565"/>
    <w:rsid w:val="00827F80"/>
    <w:rsid w:val="00833AAB"/>
    <w:rsid w:val="00834854"/>
    <w:rsid w:val="008505CB"/>
    <w:rsid w:val="00851F67"/>
    <w:rsid w:val="008532AD"/>
    <w:rsid w:val="008534FD"/>
    <w:rsid w:val="008609D6"/>
    <w:rsid w:val="0088007A"/>
    <w:rsid w:val="00886579"/>
    <w:rsid w:val="00892FEB"/>
    <w:rsid w:val="00895132"/>
    <w:rsid w:val="008A4BBD"/>
    <w:rsid w:val="008A6BAB"/>
    <w:rsid w:val="008D1474"/>
    <w:rsid w:val="00900F01"/>
    <w:rsid w:val="00906831"/>
    <w:rsid w:val="009073D2"/>
    <w:rsid w:val="00910D8F"/>
    <w:rsid w:val="009138DF"/>
    <w:rsid w:val="00943B38"/>
    <w:rsid w:val="00947726"/>
    <w:rsid w:val="00960C22"/>
    <w:rsid w:val="00995E86"/>
    <w:rsid w:val="009A1323"/>
    <w:rsid w:val="009B098E"/>
    <w:rsid w:val="009B5B7D"/>
    <w:rsid w:val="009B5E0B"/>
    <w:rsid w:val="009C2E9D"/>
    <w:rsid w:val="009C4E82"/>
    <w:rsid w:val="009C641E"/>
    <w:rsid w:val="009C729E"/>
    <w:rsid w:val="009D4F31"/>
    <w:rsid w:val="009D7D8C"/>
    <w:rsid w:val="009F3670"/>
    <w:rsid w:val="009F4516"/>
    <w:rsid w:val="009F59D0"/>
    <w:rsid w:val="00A0380E"/>
    <w:rsid w:val="00A03B26"/>
    <w:rsid w:val="00A12E7C"/>
    <w:rsid w:val="00A2219A"/>
    <w:rsid w:val="00A33663"/>
    <w:rsid w:val="00A41FA0"/>
    <w:rsid w:val="00A50B0D"/>
    <w:rsid w:val="00A533FF"/>
    <w:rsid w:val="00A62E60"/>
    <w:rsid w:val="00A664C3"/>
    <w:rsid w:val="00A73026"/>
    <w:rsid w:val="00A83196"/>
    <w:rsid w:val="00AA106C"/>
    <w:rsid w:val="00AA6729"/>
    <w:rsid w:val="00AB7C27"/>
    <w:rsid w:val="00AC1C4F"/>
    <w:rsid w:val="00AC5189"/>
    <w:rsid w:val="00AD040E"/>
    <w:rsid w:val="00AD45D3"/>
    <w:rsid w:val="00AD575F"/>
    <w:rsid w:val="00AD7FE3"/>
    <w:rsid w:val="00AE1F3C"/>
    <w:rsid w:val="00AF01A1"/>
    <w:rsid w:val="00B05A59"/>
    <w:rsid w:val="00B14F6F"/>
    <w:rsid w:val="00B16C69"/>
    <w:rsid w:val="00B20D72"/>
    <w:rsid w:val="00B259C6"/>
    <w:rsid w:val="00B30AD4"/>
    <w:rsid w:val="00B362EB"/>
    <w:rsid w:val="00B40904"/>
    <w:rsid w:val="00B56C47"/>
    <w:rsid w:val="00B6737A"/>
    <w:rsid w:val="00B83F2A"/>
    <w:rsid w:val="00B8737E"/>
    <w:rsid w:val="00B94997"/>
    <w:rsid w:val="00BA3399"/>
    <w:rsid w:val="00BB0ED9"/>
    <w:rsid w:val="00BC32F5"/>
    <w:rsid w:val="00BC6349"/>
    <w:rsid w:val="00BD0D7F"/>
    <w:rsid w:val="00BD16F7"/>
    <w:rsid w:val="00BD405C"/>
    <w:rsid w:val="00BF2216"/>
    <w:rsid w:val="00C02465"/>
    <w:rsid w:val="00C04076"/>
    <w:rsid w:val="00C151A6"/>
    <w:rsid w:val="00C15407"/>
    <w:rsid w:val="00C31890"/>
    <w:rsid w:val="00C31DD7"/>
    <w:rsid w:val="00C372E9"/>
    <w:rsid w:val="00C37AA9"/>
    <w:rsid w:val="00C37F59"/>
    <w:rsid w:val="00C44B92"/>
    <w:rsid w:val="00C45ECE"/>
    <w:rsid w:val="00C51B7E"/>
    <w:rsid w:val="00C60DEE"/>
    <w:rsid w:val="00C62C52"/>
    <w:rsid w:val="00C75A5E"/>
    <w:rsid w:val="00C835A6"/>
    <w:rsid w:val="00C83C79"/>
    <w:rsid w:val="00C9253B"/>
    <w:rsid w:val="00CB040A"/>
    <w:rsid w:val="00CB47A2"/>
    <w:rsid w:val="00CB5A10"/>
    <w:rsid w:val="00CC2508"/>
    <w:rsid w:val="00CC347E"/>
    <w:rsid w:val="00CC47E7"/>
    <w:rsid w:val="00CD32A7"/>
    <w:rsid w:val="00CE0808"/>
    <w:rsid w:val="00CE179C"/>
    <w:rsid w:val="00CF16FD"/>
    <w:rsid w:val="00CF6127"/>
    <w:rsid w:val="00D12B22"/>
    <w:rsid w:val="00D20415"/>
    <w:rsid w:val="00D23F0B"/>
    <w:rsid w:val="00D26D9F"/>
    <w:rsid w:val="00D355EA"/>
    <w:rsid w:val="00D36B0F"/>
    <w:rsid w:val="00D55211"/>
    <w:rsid w:val="00D71AC7"/>
    <w:rsid w:val="00D801F9"/>
    <w:rsid w:val="00D839CE"/>
    <w:rsid w:val="00DC016E"/>
    <w:rsid w:val="00DC11F1"/>
    <w:rsid w:val="00DC5809"/>
    <w:rsid w:val="00DD2BE4"/>
    <w:rsid w:val="00DD3092"/>
    <w:rsid w:val="00DD7256"/>
    <w:rsid w:val="00DD760A"/>
    <w:rsid w:val="00DE1BE7"/>
    <w:rsid w:val="00DE470E"/>
    <w:rsid w:val="00DE6953"/>
    <w:rsid w:val="00DE7D27"/>
    <w:rsid w:val="00DF5BF3"/>
    <w:rsid w:val="00E023F7"/>
    <w:rsid w:val="00E03FC3"/>
    <w:rsid w:val="00E14B8D"/>
    <w:rsid w:val="00E21039"/>
    <w:rsid w:val="00E300D7"/>
    <w:rsid w:val="00E34EF9"/>
    <w:rsid w:val="00E538CE"/>
    <w:rsid w:val="00E72F7A"/>
    <w:rsid w:val="00E96FCF"/>
    <w:rsid w:val="00EB60B2"/>
    <w:rsid w:val="00EC4843"/>
    <w:rsid w:val="00EC755C"/>
    <w:rsid w:val="00ED00CE"/>
    <w:rsid w:val="00ED03B3"/>
    <w:rsid w:val="00ED3BD8"/>
    <w:rsid w:val="00ED7F5E"/>
    <w:rsid w:val="00EE1973"/>
    <w:rsid w:val="00EE55B6"/>
    <w:rsid w:val="00EE71B0"/>
    <w:rsid w:val="00EF72A0"/>
    <w:rsid w:val="00F04537"/>
    <w:rsid w:val="00F0711F"/>
    <w:rsid w:val="00F35455"/>
    <w:rsid w:val="00F429F3"/>
    <w:rsid w:val="00F452C3"/>
    <w:rsid w:val="00F66952"/>
    <w:rsid w:val="00F8076C"/>
    <w:rsid w:val="00FA4C35"/>
    <w:rsid w:val="00FC250A"/>
    <w:rsid w:val="00FD3031"/>
    <w:rsid w:val="00FD7C99"/>
    <w:rsid w:val="00FE44EB"/>
    <w:rsid w:val="00FE472B"/>
    <w:rsid w:val="00FF2C6A"/>
    <w:rsid w:val="00FF4582"/>
    <w:rsid w:val="01050F22"/>
    <w:rsid w:val="0106663B"/>
    <w:rsid w:val="010E7869"/>
    <w:rsid w:val="01317F69"/>
    <w:rsid w:val="015500B5"/>
    <w:rsid w:val="015E034F"/>
    <w:rsid w:val="0160084E"/>
    <w:rsid w:val="01607FCF"/>
    <w:rsid w:val="0166457E"/>
    <w:rsid w:val="01914021"/>
    <w:rsid w:val="01B2416E"/>
    <w:rsid w:val="01C733F4"/>
    <w:rsid w:val="01C761D7"/>
    <w:rsid w:val="01D86637"/>
    <w:rsid w:val="02117D9A"/>
    <w:rsid w:val="022278B2"/>
    <w:rsid w:val="0227136C"/>
    <w:rsid w:val="02405F8A"/>
    <w:rsid w:val="025C1016"/>
    <w:rsid w:val="027A3F9F"/>
    <w:rsid w:val="029854B2"/>
    <w:rsid w:val="02A12ECC"/>
    <w:rsid w:val="02A14C7A"/>
    <w:rsid w:val="02A76009"/>
    <w:rsid w:val="02A837E9"/>
    <w:rsid w:val="02CD73A2"/>
    <w:rsid w:val="030D41CD"/>
    <w:rsid w:val="03127926"/>
    <w:rsid w:val="0328714A"/>
    <w:rsid w:val="03353615"/>
    <w:rsid w:val="036D00AF"/>
    <w:rsid w:val="038325D2"/>
    <w:rsid w:val="038D4BE9"/>
    <w:rsid w:val="03966111"/>
    <w:rsid w:val="039B791C"/>
    <w:rsid w:val="03A10CAA"/>
    <w:rsid w:val="03BB7FBE"/>
    <w:rsid w:val="03BC7E2E"/>
    <w:rsid w:val="03C03826"/>
    <w:rsid w:val="03C70711"/>
    <w:rsid w:val="03EC0177"/>
    <w:rsid w:val="03FE4DF0"/>
    <w:rsid w:val="040A4AA1"/>
    <w:rsid w:val="040A684F"/>
    <w:rsid w:val="040D64B5"/>
    <w:rsid w:val="04114082"/>
    <w:rsid w:val="04155920"/>
    <w:rsid w:val="04166B3C"/>
    <w:rsid w:val="043164D2"/>
    <w:rsid w:val="04553F6E"/>
    <w:rsid w:val="046B3792"/>
    <w:rsid w:val="04784101"/>
    <w:rsid w:val="04910D1F"/>
    <w:rsid w:val="049307F5"/>
    <w:rsid w:val="04982B21"/>
    <w:rsid w:val="049C16D0"/>
    <w:rsid w:val="04BD0CD5"/>
    <w:rsid w:val="04D56E5D"/>
    <w:rsid w:val="04DC0C65"/>
    <w:rsid w:val="04DE21B6"/>
    <w:rsid w:val="04E946B7"/>
    <w:rsid w:val="04FE4606"/>
    <w:rsid w:val="05085485"/>
    <w:rsid w:val="05263B5D"/>
    <w:rsid w:val="05410997"/>
    <w:rsid w:val="05432019"/>
    <w:rsid w:val="05573D16"/>
    <w:rsid w:val="05600E1D"/>
    <w:rsid w:val="056F2810"/>
    <w:rsid w:val="05883ED0"/>
    <w:rsid w:val="05900FD6"/>
    <w:rsid w:val="05A2224D"/>
    <w:rsid w:val="05C86C09"/>
    <w:rsid w:val="05C97F0E"/>
    <w:rsid w:val="05CA273A"/>
    <w:rsid w:val="05D84E57"/>
    <w:rsid w:val="05E25CD6"/>
    <w:rsid w:val="05EE0324"/>
    <w:rsid w:val="06020126"/>
    <w:rsid w:val="060F45F1"/>
    <w:rsid w:val="06141C07"/>
    <w:rsid w:val="06147E59"/>
    <w:rsid w:val="06224324"/>
    <w:rsid w:val="062E4A77"/>
    <w:rsid w:val="06367DD0"/>
    <w:rsid w:val="0644429B"/>
    <w:rsid w:val="064E035C"/>
    <w:rsid w:val="06514EE9"/>
    <w:rsid w:val="065D535C"/>
    <w:rsid w:val="067508F8"/>
    <w:rsid w:val="06826B71"/>
    <w:rsid w:val="06A72A7B"/>
    <w:rsid w:val="06B33B1F"/>
    <w:rsid w:val="06B34F7C"/>
    <w:rsid w:val="06B867FC"/>
    <w:rsid w:val="06C61153"/>
    <w:rsid w:val="06E23AB3"/>
    <w:rsid w:val="06F55739"/>
    <w:rsid w:val="06F86E33"/>
    <w:rsid w:val="071719AF"/>
    <w:rsid w:val="07180EFA"/>
    <w:rsid w:val="071A324D"/>
    <w:rsid w:val="0749768F"/>
    <w:rsid w:val="0754675F"/>
    <w:rsid w:val="077E1A2E"/>
    <w:rsid w:val="078B7499"/>
    <w:rsid w:val="07CA6A21"/>
    <w:rsid w:val="07D505B1"/>
    <w:rsid w:val="07D7113E"/>
    <w:rsid w:val="07DC6755"/>
    <w:rsid w:val="081D1247"/>
    <w:rsid w:val="083D48CB"/>
    <w:rsid w:val="083D71F3"/>
    <w:rsid w:val="08617538"/>
    <w:rsid w:val="0878647D"/>
    <w:rsid w:val="088210AA"/>
    <w:rsid w:val="089963F4"/>
    <w:rsid w:val="089F1C5C"/>
    <w:rsid w:val="089F41B4"/>
    <w:rsid w:val="08C76272"/>
    <w:rsid w:val="08CC4A1B"/>
    <w:rsid w:val="08CF1E16"/>
    <w:rsid w:val="08F0070A"/>
    <w:rsid w:val="091E5277"/>
    <w:rsid w:val="094840A2"/>
    <w:rsid w:val="094D16B8"/>
    <w:rsid w:val="0955056D"/>
    <w:rsid w:val="096D1D5A"/>
    <w:rsid w:val="096D58B6"/>
    <w:rsid w:val="09721F8E"/>
    <w:rsid w:val="09A02008"/>
    <w:rsid w:val="09A03EDE"/>
    <w:rsid w:val="09B71227"/>
    <w:rsid w:val="09C07B0E"/>
    <w:rsid w:val="09C556F2"/>
    <w:rsid w:val="09DC0C8E"/>
    <w:rsid w:val="09FC4E8C"/>
    <w:rsid w:val="09FE6E56"/>
    <w:rsid w:val="0A0623AC"/>
    <w:rsid w:val="0A115F02"/>
    <w:rsid w:val="0A1B17B6"/>
    <w:rsid w:val="0A444B34"/>
    <w:rsid w:val="0A503874"/>
    <w:rsid w:val="0A5151D8"/>
    <w:rsid w:val="0A5254C4"/>
    <w:rsid w:val="0A6749FB"/>
    <w:rsid w:val="0A6D21EB"/>
    <w:rsid w:val="0A7113D6"/>
    <w:rsid w:val="0A7D5FCD"/>
    <w:rsid w:val="0A8529AB"/>
    <w:rsid w:val="0A871019"/>
    <w:rsid w:val="0A8D10CF"/>
    <w:rsid w:val="0AC10F38"/>
    <w:rsid w:val="0AC57974"/>
    <w:rsid w:val="0AC91212"/>
    <w:rsid w:val="0ACF434F"/>
    <w:rsid w:val="0ADA657C"/>
    <w:rsid w:val="0AF838A6"/>
    <w:rsid w:val="0B0C55A3"/>
    <w:rsid w:val="0B30303F"/>
    <w:rsid w:val="0B3A25CB"/>
    <w:rsid w:val="0B492353"/>
    <w:rsid w:val="0B620B68"/>
    <w:rsid w:val="0B641412"/>
    <w:rsid w:val="0B7A250D"/>
    <w:rsid w:val="0B8870FA"/>
    <w:rsid w:val="0B8E7D66"/>
    <w:rsid w:val="0BAF4609"/>
    <w:rsid w:val="0BAF480A"/>
    <w:rsid w:val="0BC11EE9"/>
    <w:rsid w:val="0BC65752"/>
    <w:rsid w:val="0BDD4F62"/>
    <w:rsid w:val="0C115D59"/>
    <w:rsid w:val="0C146529"/>
    <w:rsid w:val="0C157FE3"/>
    <w:rsid w:val="0C236700"/>
    <w:rsid w:val="0C25691C"/>
    <w:rsid w:val="0C3703FE"/>
    <w:rsid w:val="0C443240"/>
    <w:rsid w:val="0C4F3999"/>
    <w:rsid w:val="0C514DDC"/>
    <w:rsid w:val="0C606F29"/>
    <w:rsid w:val="0C6644A2"/>
    <w:rsid w:val="0C7E7DDA"/>
    <w:rsid w:val="0C871385"/>
    <w:rsid w:val="0C8F1FE8"/>
    <w:rsid w:val="0CB145DE"/>
    <w:rsid w:val="0CD21ED4"/>
    <w:rsid w:val="0CD30126"/>
    <w:rsid w:val="0CD73A6B"/>
    <w:rsid w:val="0CE3270D"/>
    <w:rsid w:val="0CE560AB"/>
    <w:rsid w:val="0CE9794A"/>
    <w:rsid w:val="0CEE4F60"/>
    <w:rsid w:val="0D1A3FA7"/>
    <w:rsid w:val="0D335AC6"/>
    <w:rsid w:val="0D3B0F0F"/>
    <w:rsid w:val="0D444B80"/>
    <w:rsid w:val="0D68536C"/>
    <w:rsid w:val="0D6D1FAA"/>
    <w:rsid w:val="0D755681"/>
    <w:rsid w:val="0D95362E"/>
    <w:rsid w:val="0DB42553"/>
    <w:rsid w:val="0DBB7B04"/>
    <w:rsid w:val="0DBF4B4E"/>
    <w:rsid w:val="0DC67F5B"/>
    <w:rsid w:val="0DD46CBF"/>
    <w:rsid w:val="0E016F15"/>
    <w:rsid w:val="0E0A401C"/>
    <w:rsid w:val="0E1C2E40"/>
    <w:rsid w:val="0E3746E5"/>
    <w:rsid w:val="0E5928AD"/>
    <w:rsid w:val="0E636784"/>
    <w:rsid w:val="0E67321C"/>
    <w:rsid w:val="0E72571D"/>
    <w:rsid w:val="0E8C2BEA"/>
    <w:rsid w:val="0EAA7549"/>
    <w:rsid w:val="0EAD2BF9"/>
    <w:rsid w:val="0ECA37AB"/>
    <w:rsid w:val="0ECA5069"/>
    <w:rsid w:val="0ECC7523"/>
    <w:rsid w:val="0ED618C0"/>
    <w:rsid w:val="0EDF1AEA"/>
    <w:rsid w:val="0EE26D46"/>
    <w:rsid w:val="0EE91E83"/>
    <w:rsid w:val="0EEC778C"/>
    <w:rsid w:val="0EFB5712"/>
    <w:rsid w:val="0F022F45"/>
    <w:rsid w:val="0F1D1B2D"/>
    <w:rsid w:val="0F3A7885"/>
    <w:rsid w:val="0F65602D"/>
    <w:rsid w:val="0F694D72"/>
    <w:rsid w:val="0F73174D"/>
    <w:rsid w:val="0FA933C0"/>
    <w:rsid w:val="0FB71F81"/>
    <w:rsid w:val="0FC63F72"/>
    <w:rsid w:val="0FCC47CA"/>
    <w:rsid w:val="0FD61CDB"/>
    <w:rsid w:val="0FD67878"/>
    <w:rsid w:val="0FDA14CE"/>
    <w:rsid w:val="0FE8038D"/>
    <w:rsid w:val="0FFA1E6E"/>
    <w:rsid w:val="10120152"/>
    <w:rsid w:val="10303DCD"/>
    <w:rsid w:val="103C5FE2"/>
    <w:rsid w:val="104C34B8"/>
    <w:rsid w:val="10563548"/>
    <w:rsid w:val="10686DD7"/>
    <w:rsid w:val="10855BDB"/>
    <w:rsid w:val="108D4A90"/>
    <w:rsid w:val="10991687"/>
    <w:rsid w:val="10A15B58"/>
    <w:rsid w:val="10BD35C7"/>
    <w:rsid w:val="10E50428"/>
    <w:rsid w:val="10FB40F0"/>
    <w:rsid w:val="110E4E87"/>
    <w:rsid w:val="111A451D"/>
    <w:rsid w:val="113F5831"/>
    <w:rsid w:val="11445362"/>
    <w:rsid w:val="11456666"/>
    <w:rsid w:val="114F1D45"/>
    <w:rsid w:val="11534B75"/>
    <w:rsid w:val="115832F0"/>
    <w:rsid w:val="11584002"/>
    <w:rsid w:val="11625F1D"/>
    <w:rsid w:val="11643A43"/>
    <w:rsid w:val="11763776"/>
    <w:rsid w:val="117874EE"/>
    <w:rsid w:val="11951E4E"/>
    <w:rsid w:val="119836EC"/>
    <w:rsid w:val="11B02492"/>
    <w:rsid w:val="11BF511D"/>
    <w:rsid w:val="11D5049D"/>
    <w:rsid w:val="11E254E5"/>
    <w:rsid w:val="11E64458"/>
    <w:rsid w:val="12011292"/>
    <w:rsid w:val="12046FD4"/>
    <w:rsid w:val="12064AFA"/>
    <w:rsid w:val="12390D89"/>
    <w:rsid w:val="123F625E"/>
    <w:rsid w:val="124B075F"/>
    <w:rsid w:val="125C6E10"/>
    <w:rsid w:val="12600501"/>
    <w:rsid w:val="128A572B"/>
    <w:rsid w:val="12AA1929"/>
    <w:rsid w:val="12AA36D7"/>
    <w:rsid w:val="12C0517B"/>
    <w:rsid w:val="12D6271E"/>
    <w:rsid w:val="12D76496"/>
    <w:rsid w:val="12DC585B"/>
    <w:rsid w:val="12FC7CAB"/>
    <w:rsid w:val="1316525D"/>
    <w:rsid w:val="131B45D5"/>
    <w:rsid w:val="13286CF2"/>
    <w:rsid w:val="13287A7C"/>
    <w:rsid w:val="134A310C"/>
    <w:rsid w:val="135361CD"/>
    <w:rsid w:val="13712447"/>
    <w:rsid w:val="13734411"/>
    <w:rsid w:val="13767A5D"/>
    <w:rsid w:val="13781A7E"/>
    <w:rsid w:val="1379754E"/>
    <w:rsid w:val="13A7023F"/>
    <w:rsid w:val="13A9398F"/>
    <w:rsid w:val="13AC7923"/>
    <w:rsid w:val="13BA5B9C"/>
    <w:rsid w:val="13BD568C"/>
    <w:rsid w:val="13BF1404"/>
    <w:rsid w:val="13C44C6D"/>
    <w:rsid w:val="13C73F1E"/>
    <w:rsid w:val="140137CB"/>
    <w:rsid w:val="141A7667"/>
    <w:rsid w:val="142C45C0"/>
    <w:rsid w:val="144D4C62"/>
    <w:rsid w:val="146E6B13"/>
    <w:rsid w:val="14866E4C"/>
    <w:rsid w:val="148D1503"/>
    <w:rsid w:val="149F4D92"/>
    <w:rsid w:val="14AB3737"/>
    <w:rsid w:val="14AF1479"/>
    <w:rsid w:val="14B720DC"/>
    <w:rsid w:val="14BC3B96"/>
    <w:rsid w:val="14C667C2"/>
    <w:rsid w:val="14D93FE7"/>
    <w:rsid w:val="14E135FC"/>
    <w:rsid w:val="15393438"/>
    <w:rsid w:val="15634011"/>
    <w:rsid w:val="156C55BC"/>
    <w:rsid w:val="156F0C08"/>
    <w:rsid w:val="158346B4"/>
    <w:rsid w:val="158A77F0"/>
    <w:rsid w:val="15915971"/>
    <w:rsid w:val="15937E4A"/>
    <w:rsid w:val="15997A33"/>
    <w:rsid w:val="159C37D9"/>
    <w:rsid w:val="15A07014"/>
    <w:rsid w:val="15AC59B8"/>
    <w:rsid w:val="15BD5E17"/>
    <w:rsid w:val="15DA0777"/>
    <w:rsid w:val="15EA62F4"/>
    <w:rsid w:val="15EA64E1"/>
    <w:rsid w:val="15F80BFE"/>
    <w:rsid w:val="161812A0"/>
    <w:rsid w:val="16287735"/>
    <w:rsid w:val="1649051E"/>
    <w:rsid w:val="164E4CC1"/>
    <w:rsid w:val="165F0C7D"/>
    <w:rsid w:val="16765299"/>
    <w:rsid w:val="1686445B"/>
    <w:rsid w:val="168B1E46"/>
    <w:rsid w:val="168C1346"/>
    <w:rsid w:val="16A82624"/>
    <w:rsid w:val="16C27EED"/>
    <w:rsid w:val="16C84A74"/>
    <w:rsid w:val="16C96A61"/>
    <w:rsid w:val="16E42F30"/>
    <w:rsid w:val="16E52D9F"/>
    <w:rsid w:val="16F7322A"/>
    <w:rsid w:val="16F77107"/>
    <w:rsid w:val="172A3039"/>
    <w:rsid w:val="176C15A2"/>
    <w:rsid w:val="17722603"/>
    <w:rsid w:val="177469AA"/>
    <w:rsid w:val="177804C5"/>
    <w:rsid w:val="17832F34"/>
    <w:rsid w:val="17D07213"/>
    <w:rsid w:val="17E01949"/>
    <w:rsid w:val="17E05DED"/>
    <w:rsid w:val="17E86A50"/>
    <w:rsid w:val="18275D86"/>
    <w:rsid w:val="183121A5"/>
    <w:rsid w:val="18345F44"/>
    <w:rsid w:val="1837038F"/>
    <w:rsid w:val="184620F4"/>
    <w:rsid w:val="18574301"/>
    <w:rsid w:val="187A7FF0"/>
    <w:rsid w:val="18954CE4"/>
    <w:rsid w:val="18954E2A"/>
    <w:rsid w:val="18A31A7B"/>
    <w:rsid w:val="18AB63FB"/>
    <w:rsid w:val="18BD1C8B"/>
    <w:rsid w:val="18E45FED"/>
    <w:rsid w:val="18F356AC"/>
    <w:rsid w:val="18F55316"/>
    <w:rsid w:val="191E097B"/>
    <w:rsid w:val="192432CE"/>
    <w:rsid w:val="19391F6F"/>
    <w:rsid w:val="19720CC7"/>
    <w:rsid w:val="197D7D98"/>
    <w:rsid w:val="197E58BE"/>
    <w:rsid w:val="19805192"/>
    <w:rsid w:val="19AF7825"/>
    <w:rsid w:val="19C9042A"/>
    <w:rsid w:val="19D83220"/>
    <w:rsid w:val="19D84FCE"/>
    <w:rsid w:val="19DB4ABE"/>
    <w:rsid w:val="19DC3E19"/>
    <w:rsid w:val="19E67B09"/>
    <w:rsid w:val="19EA4D01"/>
    <w:rsid w:val="19F21BE7"/>
    <w:rsid w:val="19F3005A"/>
    <w:rsid w:val="19F94F44"/>
    <w:rsid w:val="1A0A53A3"/>
    <w:rsid w:val="1A3366A8"/>
    <w:rsid w:val="1A355B24"/>
    <w:rsid w:val="1A381F10"/>
    <w:rsid w:val="1A3B4A49"/>
    <w:rsid w:val="1A644AB4"/>
    <w:rsid w:val="1A6C3968"/>
    <w:rsid w:val="1A732F49"/>
    <w:rsid w:val="1A840CB2"/>
    <w:rsid w:val="1A91181B"/>
    <w:rsid w:val="1AE31E7C"/>
    <w:rsid w:val="1AE767B2"/>
    <w:rsid w:val="1AF5395E"/>
    <w:rsid w:val="1B041DF3"/>
    <w:rsid w:val="1B100797"/>
    <w:rsid w:val="1B32775E"/>
    <w:rsid w:val="1B366F87"/>
    <w:rsid w:val="1B3C333B"/>
    <w:rsid w:val="1B950DC1"/>
    <w:rsid w:val="1BAA0BEC"/>
    <w:rsid w:val="1BAA64F0"/>
    <w:rsid w:val="1BAD2058"/>
    <w:rsid w:val="1BBD091F"/>
    <w:rsid w:val="1BD85578"/>
    <w:rsid w:val="1BE0016A"/>
    <w:rsid w:val="1BE340FE"/>
    <w:rsid w:val="1BF800DA"/>
    <w:rsid w:val="1C1F67D0"/>
    <w:rsid w:val="1C297D63"/>
    <w:rsid w:val="1C626DD1"/>
    <w:rsid w:val="1C67088B"/>
    <w:rsid w:val="1C76645C"/>
    <w:rsid w:val="1C775C44"/>
    <w:rsid w:val="1C8431EB"/>
    <w:rsid w:val="1C8D7DE8"/>
    <w:rsid w:val="1C9B0535"/>
    <w:rsid w:val="1CC36D89"/>
    <w:rsid w:val="1CC47A8B"/>
    <w:rsid w:val="1CCB706C"/>
    <w:rsid w:val="1CD557F5"/>
    <w:rsid w:val="1CD83537"/>
    <w:rsid w:val="1CE72548"/>
    <w:rsid w:val="1CEE6C3F"/>
    <w:rsid w:val="1D1D719C"/>
    <w:rsid w:val="1D2F75FB"/>
    <w:rsid w:val="1D4665DA"/>
    <w:rsid w:val="1D5F1562"/>
    <w:rsid w:val="1D783268"/>
    <w:rsid w:val="1D81597C"/>
    <w:rsid w:val="1D9C6F32"/>
    <w:rsid w:val="1D9E03A4"/>
    <w:rsid w:val="1DC94AA0"/>
    <w:rsid w:val="1DD67A76"/>
    <w:rsid w:val="1DE303E5"/>
    <w:rsid w:val="1E027949"/>
    <w:rsid w:val="1E0D0FBE"/>
    <w:rsid w:val="1E45567D"/>
    <w:rsid w:val="1E4D4566"/>
    <w:rsid w:val="1E535731"/>
    <w:rsid w:val="1E5B1DB9"/>
    <w:rsid w:val="1E6E5F01"/>
    <w:rsid w:val="1E70525F"/>
    <w:rsid w:val="1E71154D"/>
    <w:rsid w:val="1EA75ED9"/>
    <w:rsid w:val="1EA77665"/>
    <w:rsid w:val="1EB678A8"/>
    <w:rsid w:val="1EBB6C6C"/>
    <w:rsid w:val="1EC52C70"/>
    <w:rsid w:val="1ECC0E79"/>
    <w:rsid w:val="1ECE4BF1"/>
    <w:rsid w:val="1ED1023E"/>
    <w:rsid w:val="1EDB2E6A"/>
    <w:rsid w:val="1EE066D3"/>
    <w:rsid w:val="1EE73F05"/>
    <w:rsid w:val="1EE81578"/>
    <w:rsid w:val="1EFD7285"/>
    <w:rsid w:val="1EFF2FFD"/>
    <w:rsid w:val="1F0A54C5"/>
    <w:rsid w:val="1F0C571A"/>
    <w:rsid w:val="1F122D30"/>
    <w:rsid w:val="1F197261"/>
    <w:rsid w:val="1F1A1BE5"/>
    <w:rsid w:val="1F2428A7"/>
    <w:rsid w:val="1F2D7B6A"/>
    <w:rsid w:val="1F3A5DE3"/>
    <w:rsid w:val="1F446C62"/>
    <w:rsid w:val="1F533349"/>
    <w:rsid w:val="1F5350F7"/>
    <w:rsid w:val="1F78690B"/>
    <w:rsid w:val="1F7C04E2"/>
    <w:rsid w:val="1F7C289F"/>
    <w:rsid w:val="1F861028"/>
    <w:rsid w:val="1F8F4381"/>
    <w:rsid w:val="1F974FE3"/>
    <w:rsid w:val="1FB97650"/>
    <w:rsid w:val="1FBC4A4A"/>
    <w:rsid w:val="1FC72B77"/>
    <w:rsid w:val="1FDF4016"/>
    <w:rsid w:val="1FF322BA"/>
    <w:rsid w:val="202D5948"/>
    <w:rsid w:val="2039253E"/>
    <w:rsid w:val="204123F7"/>
    <w:rsid w:val="20427645"/>
    <w:rsid w:val="205E6558"/>
    <w:rsid w:val="206C021E"/>
    <w:rsid w:val="207B2B57"/>
    <w:rsid w:val="207D242B"/>
    <w:rsid w:val="20B61D55"/>
    <w:rsid w:val="20E57FD0"/>
    <w:rsid w:val="20E71C8B"/>
    <w:rsid w:val="20EC6113"/>
    <w:rsid w:val="20FC3C98"/>
    <w:rsid w:val="211A5ECC"/>
    <w:rsid w:val="21294361"/>
    <w:rsid w:val="212E3725"/>
    <w:rsid w:val="21303941"/>
    <w:rsid w:val="214F7359"/>
    <w:rsid w:val="215869F4"/>
    <w:rsid w:val="215D04AF"/>
    <w:rsid w:val="217F21D3"/>
    <w:rsid w:val="21817CF9"/>
    <w:rsid w:val="21871CA7"/>
    <w:rsid w:val="21912FA1"/>
    <w:rsid w:val="21B207FA"/>
    <w:rsid w:val="21BC6F83"/>
    <w:rsid w:val="21BD0BF3"/>
    <w:rsid w:val="21C347B6"/>
    <w:rsid w:val="21CB5418"/>
    <w:rsid w:val="21E64000"/>
    <w:rsid w:val="220123D8"/>
    <w:rsid w:val="220D3C83"/>
    <w:rsid w:val="22192627"/>
    <w:rsid w:val="22235254"/>
    <w:rsid w:val="222D7E81"/>
    <w:rsid w:val="2234120F"/>
    <w:rsid w:val="22342FBD"/>
    <w:rsid w:val="224B0307"/>
    <w:rsid w:val="224C6559"/>
    <w:rsid w:val="22765384"/>
    <w:rsid w:val="22765C1A"/>
    <w:rsid w:val="227F2CA6"/>
    <w:rsid w:val="22981651"/>
    <w:rsid w:val="22AD2D70"/>
    <w:rsid w:val="22AF4D3A"/>
    <w:rsid w:val="22B8599C"/>
    <w:rsid w:val="22BB36DF"/>
    <w:rsid w:val="22BD1205"/>
    <w:rsid w:val="22C34341"/>
    <w:rsid w:val="22E5075C"/>
    <w:rsid w:val="22FC3078"/>
    <w:rsid w:val="23056708"/>
    <w:rsid w:val="230E7CB2"/>
    <w:rsid w:val="23216730"/>
    <w:rsid w:val="23241284"/>
    <w:rsid w:val="233A2855"/>
    <w:rsid w:val="233D40F4"/>
    <w:rsid w:val="2341673D"/>
    <w:rsid w:val="234B5230"/>
    <w:rsid w:val="23510E00"/>
    <w:rsid w:val="235B59DD"/>
    <w:rsid w:val="237D0994"/>
    <w:rsid w:val="23843AD1"/>
    <w:rsid w:val="23E60B0F"/>
    <w:rsid w:val="240D3AC6"/>
    <w:rsid w:val="24101808"/>
    <w:rsid w:val="24134E54"/>
    <w:rsid w:val="24174945"/>
    <w:rsid w:val="241C01AD"/>
    <w:rsid w:val="241E5CD3"/>
    <w:rsid w:val="242258D5"/>
    <w:rsid w:val="242C30E1"/>
    <w:rsid w:val="24356AF4"/>
    <w:rsid w:val="244B0C98"/>
    <w:rsid w:val="244B45EE"/>
    <w:rsid w:val="244F40DF"/>
    <w:rsid w:val="246102B6"/>
    <w:rsid w:val="246D0A09"/>
    <w:rsid w:val="246F248A"/>
    <w:rsid w:val="247104F9"/>
    <w:rsid w:val="247B17E7"/>
    <w:rsid w:val="248B0E8F"/>
    <w:rsid w:val="24A00DDE"/>
    <w:rsid w:val="24A73F1B"/>
    <w:rsid w:val="24B6415E"/>
    <w:rsid w:val="24E22490"/>
    <w:rsid w:val="24EC5DD1"/>
    <w:rsid w:val="24F032B6"/>
    <w:rsid w:val="24F20F0E"/>
    <w:rsid w:val="24FE78B3"/>
    <w:rsid w:val="2503311B"/>
    <w:rsid w:val="25053949"/>
    <w:rsid w:val="25107F16"/>
    <w:rsid w:val="251610A0"/>
    <w:rsid w:val="25262DC7"/>
    <w:rsid w:val="253432D4"/>
    <w:rsid w:val="253634F0"/>
    <w:rsid w:val="253B3353"/>
    <w:rsid w:val="253D03DB"/>
    <w:rsid w:val="25665B84"/>
    <w:rsid w:val="259049AF"/>
    <w:rsid w:val="25A55F80"/>
    <w:rsid w:val="25B52667"/>
    <w:rsid w:val="25D23219"/>
    <w:rsid w:val="25D725DE"/>
    <w:rsid w:val="25DD396C"/>
    <w:rsid w:val="25E90563"/>
    <w:rsid w:val="25F52A64"/>
    <w:rsid w:val="25FA2770"/>
    <w:rsid w:val="26040EF9"/>
    <w:rsid w:val="260B672B"/>
    <w:rsid w:val="261E4416"/>
    <w:rsid w:val="2626558A"/>
    <w:rsid w:val="2628235B"/>
    <w:rsid w:val="26301CEE"/>
    <w:rsid w:val="264A3FE1"/>
    <w:rsid w:val="265579A6"/>
    <w:rsid w:val="265C6F87"/>
    <w:rsid w:val="26705CF5"/>
    <w:rsid w:val="26775B6F"/>
    <w:rsid w:val="2685028B"/>
    <w:rsid w:val="26855921"/>
    <w:rsid w:val="269845A4"/>
    <w:rsid w:val="26A526DC"/>
    <w:rsid w:val="26B40B71"/>
    <w:rsid w:val="26DC4C68"/>
    <w:rsid w:val="26DE799C"/>
    <w:rsid w:val="26EA00EF"/>
    <w:rsid w:val="26FD2518"/>
    <w:rsid w:val="26FD2EBF"/>
    <w:rsid w:val="27075144"/>
    <w:rsid w:val="270C62B7"/>
    <w:rsid w:val="2725381D"/>
    <w:rsid w:val="274D0351"/>
    <w:rsid w:val="275B2D9A"/>
    <w:rsid w:val="27675BE3"/>
    <w:rsid w:val="277B57A8"/>
    <w:rsid w:val="27AA5AD0"/>
    <w:rsid w:val="27AE4EB0"/>
    <w:rsid w:val="27B562A3"/>
    <w:rsid w:val="27BD3A55"/>
    <w:rsid w:val="27C22E19"/>
    <w:rsid w:val="27CC5901"/>
    <w:rsid w:val="27DD40F7"/>
    <w:rsid w:val="27E67E69"/>
    <w:rsid w:val="27EC60E8"/>
    <w:rsid w:val="27F82CDF"/>
    <w:rsid w:val="27FC632B"/>
    <w:rsid w:val="28074CD0"/>
    <w:rsid w:val="281A4A03"/>
    <w:rsid w:val="283D093C"/>
    <w:rsid w:val="28643ED1"/>
    <w:rsid w:val="28650375"/>
    <w:rsid w:val="286E4D4F"/>
    <w:rsid w:val="28810F26"/>
    <w:rsid w:val="288F53F1"/>
    <w:rsid w:val="28A95D87"/>
    <w:rsid w:val="28B430AA"/>
    <w:rsid w:val="28C76D25"/>
    <w:rsid w:val="28CE644C"/>
    <w:rsid w:val="29192782"/>
    <w:rsid w:val="29253F31"/>
    <w:rsid w:val="29354D30"/>
    <w:rsid w:val="294C32E2"/>
    <w:rsid w:val="295E4DC4"/>
    <w:rsid w:val="29667B4D"/>
    <w:rsid w:val="296A5517"/>
    <w:rsid w:val="298955F8"/>
    <w:rsid w:val="29986528"/>
    <w:rsid w:val="29C27101"/>
    <w:rsid w:val="29C53533"/>
    <w:rsid w:val="29C9048F"/>
    <w:rsid w:val="29D84B76"/>
    <w:rsid w:val="29EA6657"/>
    <w:rsid w:val="29EF3C6E"/>
    <w:rsid w:val="2A01667B"/>
    <w:rsid w:val="2A104310"/>
    <w:rsid w:val="2A351FC9"/>
    <w:rsid w:val="2A4A36B6"/>
    <w:rsid w:val="2A4B446B"/>
    <w:rsid w:val="2A585A8F"/>
    <w:rsid w:val="2A636B36"/>
    <w:rsid w:val="2A6428AE"/>
    <w:rsid w:val="2A7740BB"/>
    <w:rsid w:val="2A813D65"/>
    <w:rsid w:val="2A9036A3"/>
    <w:rsid w:val="2A9860B3"/>
    <w:rsid w:val="2A9A1E2C"/>
    <w:rsid w:val="2AAD35BF"/>
    <w:rsid w:val="2AB47391"/>
    <w:rsid w:val="2AC1560A"/>
    <w:rsid w:val="2ACB46DB"/>
    <w:rsid w:val="2AFE060C"/>
    <w:rsid w:val="2B1C0A93"/>
    <w:rsid w:val="2B2C33CC"/>
    <w:rsid w:val="2B3316C3"/>
    <w:rsid w:val="2B4D3342"/>
    <w:rsid w:val="2B4F2C16"/>
    <w:rsid w:val="2B6A3EF4"/>
    <w:rsid w:val="2B6B12F3"/>
    <w:rsid w:val="2B77216D"/>
    <w:rsid w:val="2B856638"/>
    <w:rsid w:val="2B876854"/>
    <w:rsid w:val="2B940F71"/>
    <w:rsid w:val="2BA32F62"/>
    <w:rsid w:val="2BC52ED8"/>
    <w:rsid w:val="2BD61589"/>
    <w:rsid w:val="2C1C51EE"/>
    <w:rsid w:val="2C22657D"/>
    <w:rsid w:val="2C293467"/>
    <w:rsid w:val="2C31056E"/>
    <w:rsid w:val="2C3F3486"/>
    <w:rsid w:val="2C526E62"/>
    <w:rsid w:val="2C532973"/>
    <w:rsid w:val="2C680433"/>
    <w:rsid w:val="2C756E20"/>
    <w:rsid w:val="2CDB1327"/>
    <w:rsid w:val="2CE5579C"/>
    <w:rsid w:val="2CE850D0"/>
    <w:rsid w:val="2D276A64"/>
    <w:rsid w:val="2D306A77"/>
    <w:rsid w:val="2D350E15"/>
    <w:rsid w:val="2D524C40"/>
    <w:rsid w:val="2D6230D5"/>
    <w:rsid w:val="2D6973AD"/>
    <w:rsid w:val="2D806775"/>
    <w:rsid w:val="2D855015"/>
    <w:rsid w:val="2DB925F5"/>
    <w:rsid w:val="2DC32164"/>
    <w:rsid w:val="2DE53D06"/>
    <w:rsid w:val="2DF81343"/>
    <w:rsid w:val="2DF857E7"/>
    <w:rsid w:val="2DFB0E33"/>
    <w:rsid w:val="2DFF6B75"/>
    <w:rsid w:val="2E073C7C"/>
    <w:rsid w:val="2E0E4B9C"/>
    <w:rsid w:val="2E1348A7"/>
    <w:rsid w:val="2E165C6D"/>
    <w:rsid w:val="2E1909AE"/>
    <w:rsid w:val="2E255EB0"/>
    <w:rsid w:val="2E280481"/>
    <w:rsid w:val="2E402CEA"/>
    <w:rsid w:val="2E5073D1"/>
    <w:rsid w:val="2E8325DC"/>
    <w:rsid w:val="2E951288"/>
    <w:rsid w:val="2EA73A95"/>
    <w:rsid w:val="2EAC037F"/>
    <w:rsid w:val="2EAE40F8"/>
    <w:rsid w:val="2EBA0CEE"/>
    <w:rsid w:val="2EBC6814"/>
    <w:rsid w:val="2EBF6305"/>
    <w:rsid w:val="2ED022C0"/>
    <w:rsid w:val="2EE144CD"/>
    <w:rsid w:val="2F097580"/>
    <w:rsid w:val="2F112D82"/>
    <w:rsid w:val="2F124686"/>
    <w:rsid w:val="2F350375"/>
    <w:rsid w:val="2F432A92"/>
    <w:rsid w:val="2F452CAE"/>
    <w:rsid w:val="2F45680A"/>
    <w:rsid w:val="2F527179"/>
    <w:rsid w:val="2F656EAC"/>
    <w:rsid w:val="2F9C21A2"/>
    <w:rsid w:val="2FCC0A00"/>
    <w:rsid w:val="2FDC6A42"/>
    <w:rsid w:val="2FEC1BAE"/>
    <w:rsid w:val="30064402"/>
    <w:rsid w:val="301B57BD"/>
    <w:rsid w:val="302241EA"/>
    <w:rsid w:val="302D1B4C"/>
    <w:rsid w:val="3034552F"/>
    <w:rsid w:val="303A20E7"/>
    <w:rsid w:val="303B19BB"/>
    <w:rsid w:val="304A60A2"/>
    <w:rsid w:val="306252E1"/>
    <w:rsid w:val="307373A7"/>
    <w:rsid w:val="3075311F"/>
    <w:rsid w:val="30780656"/>
    <w:rsid w:val="307F3F9D"/>
    <w:rsid w:val="30866529"/>
    <w:rsid w:val="308D43B3"/>
    <w:rsid w:val="30A23EB5"/>
    <w:rsid w:val="30AA08EF"/>
    <w:rsid w:val="30D065A7"/>
    <w:rsid w:val="30DC72B8"/>
    <w:rsid w:val="30DD0CC4"/>
    <w:rsid w:val="30E16343"/>
    <w:rsid w:val="311961A0"/>
    <w:rsid w:val="311F308B"/>
    <w:rsid w:val="312E32CE"/>
    <w:rsid w:val="313703D4"/>
    <w:rsid w:val="31552F50"/>
    <w:rsid w:val="31592A40"/>
    <w:rsid w:val="317B29B7"/>
    <w:rsid w:val="31A87524"/>
    <w:rsid w:val="31B25CAD"/>
    <w:rsid w:val="31BC5716"/>
    <w:rsid w:val="31C61758"/>
    <w:rsid w:val="31D64091"/>
    <w:rsid w:val="31E5776A"/>
    <w:rsid w:val="31EC5663"/>
    <w:rsid w:val="31F54FD7"/>
    <w:rsid w:val="31F938DC"/>
    <w:rsid w:val="32144BB9"/>
    <w:rsid w:val="3216623C"/>
    <w:rsid w:val="321B7CF6"/>
    <w:rsid w:val="322A3648"/>
    <w:rsid w:val="32431CE9"/>
    <w:rsid w:val="32560D2E"/>
    <w:rsid w:val="325D3E6B"/>
    <w:rsid w:val="325F4087"/>
    <w:rsid w:val="326C608B"/>
    <w:rsid w:val="32CB5278"/>
    <w:rsid w:val="32D61E6F"/>
    <w:rsid w:val="32D81743"/>
    <w:rsid w:val="32D912FC"/>
    <w:rsid w:val="32E16709"/>
    <w:rsid w:val="32F02F31"/>
    <w:rsid w:val="331C3D26"/>
    <w:rsid w:val="33353039"/>
    <w:rsid w:val="333C43C8"/>
    <w:rsid w:val="336246D8"/>
    <w:rsid w:val="33633703"/>
    <w:rsid w:val="33685DF6"/>
    <w:rsid w:val="336A2CE3"/>
    <w:rsid w:val="33770F5C"/>
    <w:rsid w:val="33874962"/>
    <w:rsid w:val="33A53D1B"/>
    <w:rsid w:val="33B82C3E"/>
    <w:rsid w:val="33C10429"/>
    <w:rsid w:val="33C5616B"/>
    <w:rsid w:val="33EF31E8"/>
    <w:rsid w:val="33F86541"/>
    <w:rsid w:val="33F95E15"/>
    <w:rsid w:val="33FB7DDF"/>
    <w:rsid w:val="34054394"/>
    <w:rsid w:val="340C7415"/>
    <w:rsid w:val="341D3752"/>
    <w:rsid w:val="342E2B27"/>
    <w:rsid w:val="345E211C"/>
    <w:rsid w:val="346040E6"/>
    <w:rsid w:val="34627E5E"/>
    <w:rsid w:val="34784F8C"/>
    <w:rsid w:val="349F56CD"/>
    <w:rsid w:val="34A2025B"/>
    <w:rsid w:val="34AB35B3"/>
    <w:rsid w:val="34DA5C46"/>
    <w:rsid w:val="34DA79F4"/>
    <w:rsid w:val="34F14D3E"/>
    <w:rsid w:val="35074561"/>
    <w:rsid w:val="350E58F0"/>
    <w:rsid w:val="351D1FD7"/>
    <w:rsid w:val="35292F17"/>
    <w:rsid w:val="35325A82"/>
    <w:rsid w:val="354457B6"/>
    <w:rsid w:val="354B08F2"/>
    <w:rsid w:val="355157DD"/>
    <w:rsid w:val="356814A4"/>
    <w:rsid w:val="357B2A57"/>
    <w:rsid w:val="357C6CFE"/>
    <w:rsid w:val="359C114E"/>
    <w:rsid w:val="35A26038"/>
    <w:rsid w:val="35A3178F"/>
    <w:rsid w:val="35A65B28"/>
    <w:rsid w:val="35C506A4"/>
    <w:rsid w:val="35D5640E"/>
    <w:rsid w:val="35E0728C"/>
    <w:rsid w:val="360A2438"/>
    <w:rsid w:val="36260A17"/>
    <w:rsid w:val="36323860"/>
    <w:rsid w:val="3655581D"/>
    <w:rsid w:val="365B4B65"/>
    <w:rsid w:val="366B28CE"/>
    <w:rsid w:val="367252A6"/>
    <w:rsid w:val="36BE6EA2"/>
    <w:rsid w:val="36C73FA8"/>
    <w:rsid w:val="3722347B"/>
    <w:rsid w:val="37357164"/>
    <w:rsid w:val="373873CF"/>
    <w:rsid w:val="37545800"/>
    <w:rsid w:val="378974B0"/>
    <w:rsid w:val="378B3228"/>
    <w:rsid w:val="378D6FA0"/>
    <w:rsid w:val="379522F8"/>
    <w:rsid w:val="37983B97"/>
    <w:rsid w:val="379963C7"/>
    <w:rsid w:val="379C5435"/>
    <w:rsid w:val="379E73FF"/>
    <w:rsid w:val="37AB1B1C"/>
    <w:rsid w:val="37B565B2"/>
    <w:rsid w:val="37C17446"/>
    <w:rsid w:val="37C36E66"/>
    <w:rsid w:val="37EE5128"/>
    <w:rsid w:val="37F25055"/>
    <w:rsid w:val="37FB7365"/>
    <w:rsid w:val="38292433"/>
    <w:rsid w:val="383E64EC"/>
    <w:rsid w:val="38500B74"/>
    <w:rsid w:val="38575800"/>
    <w:rsid w:val="3862042D"/>
    <w:rsid w:val="38673C95"/>
    <w:rsid w:val="386A108F"/>
    <w:rsid w:val="38806B05"/>
    <w:rsid w:val="3881462B"/>
    <w:rsid w:val="3885411B"/>
    <w:rsid w:val="38912AC0"/>
    <w:rsid w:val="38D445C9"/>
    <w:rsid w:val="38D46E50"/>
    <w:rsid w:val="39007C46"/>
    <w:rsid w:val="39316051"/>
    <w:rsid w:val="39461AFC"/>
    <w:rsid w:val="3951224F"/>
    <w:rsid w:val="39537D75"/>
    <w:rsid w:val="39644D95"/>
    <w:rsid w:val="39741150"/>
    <w:rsid w:val="397D3044"/>
    <w:rsid w:val="39893797"/>
    <w:rsid w:val="3994390D"/>
    <w:rsid w:val="3995097E"/>
    <w:rsid w:val="39A14F85"/>
    <w:rsid w:val="39A8206F"/>
    <w:rsid w:val="39BA70D7"/>
    <w:rsid w:val="39D864CC"/>
    <w:rsid w:val="39E03482"/>
    <w:rsid w:val="39F96B6F"/>
    <w:rsid w:val="39FF2F6E"/>
    <w:rsid w:val="3A035D97"/>
    <w:rsid w:val="3A0E0140"/>
    <w:rsid w:val="3A296D28"/>
    <w:rsid w:val="3A2A4F7A"/>
    <w:rsid w:val="3A2E6000"/>
    <w:rsid w:val="3A655FB2"/>
    <w:rsid w:val="3A706705"/>
    <w:rsid w:val="3A7601BF"/>
    <w:rsid w:val="3A916DA7"/>
    <w:rsid w:val="3ABC194A"/>
    <w:rsid w:val="3AD46C94"/>
    <w:rsid w:val="3AE74C19"/>
    <w:rsid w:val="3AEE244B"/>
    <w:rsid w:val="3B091033"/>
    <w:rsid w:val="3B0C4680"/>
    <w:rsid w:val="3B111035"/>
    <w:rsid w:val="3B1705E5"/>
    <w:rsid w:val="3B182ADC"/>
    <w:rsid w:val="3B27770B"/>
    <w:rsid w:val="3B3616FD"/>
    <w:rsid w:val="3B375F3D"/>
    <w:rsid w:val="3B390F77"/>
    <w:rsid w:val="3B583D69"/>
    <w:rsid w:val="3B675E84"/>
    <w:rsid w:val="3B9603ED"/>
    <w:rsid w:val="3BB33BFE"/>
    <w:rsid w:val="3BB4167F"/>
    <w:rsid w:val="3BB44F02"/>
    <w:rsid w:val="3BE70C49"/>
    <w:rsid w:val="3BEA370A"/>
    <w:rsid w:val="3BF5780A"/>
    <w:rsid w:val="3C430575"/>
    <w:rsid w:val="3C4B567C"/>
    <w:rsid w:val="3C4C0A27"/>
    <w:rsid w:val="3C5B2F97"/>
    <w:rsid w:val="3C653CDC"/>
    <w:rsid w:val="3C674EC1"/>
    <w:rsid w:val="3C805325"/>
    <w:rsid w:val="3C8F7316"/>
    <w:rsid w:val="3C936544"/>
    <w:rsid w:val="3CA408E8"/>
    <w:rsid w:val="3CB12907"/>
    <w:rsid w:val="3CC2593E"/>
    <w:rsid w:val="3CD504A1"/>
    <w:rsid w:val="3CE60F00"/>
    <w:rsid w:val="3CE73D6D"/>
    <w:rsid w:val="3CED228F"/>
    <w:rsid w:val="3CFE26EE"/>
    <w:rsid w:val="3D1F337D"/>
    <w:rsid w:val="3D271C45"/>
    <w:rsid w:val="3D2F488F"/>
    <w:rsid w:val="3D3954D4"/>
    <w:rsid w:val="3D411665"/>
    <w:rsid w:val="3D4A629D"/>
    <w:rsid w:val="3D4E0F7F"/>
    <w:rsid w:val="3D595B76"/>
    <w:rsid w:val="3D5F13DF"/>
    <w:rsid w:val="3D6C58AA"/>
    <w:rsid w:val="3D8726E3"/>
    <w:rsid w:val="3D9848F1"/>
    <w:rsid w:val="3D9A2417"/>
    <w:rsid w:val="3D9B618F"/>
    <w:rsid w:val="3DAF6437"/>
    <w:rsid w:val="3DB57251"/>
    <w:rsid w:val="3DBC05DF"/>
    <w:rsid w:val="3DC57048"/>
    <w:rsid w:val="3DD35929"/>
    <w:rsid w:val="3DD7534D"/>
    <w:rsid w:val="3DDB658B"/>
    <w:rsid w:val="3DDF3AB1"/>
    <w:rsid w:val="3DF60935"/>
    <w:rsid w:val="3E0055CC"/>
    <w:rsid w:val="3E014244"/>
    <w:rsid w:val="3E016A21"/>
    <w:rsid w:val="3E0A2E58"/>
    <w:rsid w:val="3E1050C1"/>
    <w:rsid w:val="3E174EC3"/>
    <w:rsid w:val="3E350391"/>
    <w:rsid w:val="3E3A1504"/>
    <w:rsid w:val="3E3E3F6E"/>
    <w:rsid w:val="3E6622F9"/>
    <w:rsid w:val="3E6A0627"/>
    <w:rsid w:val="3E6B790F"/>
    <w:rsid w:val="3E6E56EE"/>
    <w:rsid w:val="3E730D7F"/>
    <w:rsid w:val="3E823D9C"/>
    <w:rsid w:val="3E8D1F7B"/>
    <w:rsid w:val="3EA2148A"/>
    <w:rsid w:val="3EAA16DD"/>
    <w:rsid w:val="3EB07F0C"/>
    <w:rsid w:val="3EB72C41"/>
    <w:rsid w:val="3ED417EA"/>
    <w:rsid w:val="3EEB2D19"/>
    <w:rsid w:val="3EF5058E"/>
    <w:rsid w:val="3EFE0783"/>
    <w:rsid w:val="3F14754C"/>
    <w:rsid w:val="3F147FA7"/>
    <w:rsid w:val="3F277CDA"/>
    <w:rsid w:val="3F2D2E17"/>
    <w:rsid w:val="3F3015A0"/>
    <w:rsid w:val="3F3A354A"/>
    <w:rsid w:val="3F453306"/>
    <w:rsid w:val="3F6C1B91"/>
    <w:rsid w:val="3F6D76B7"/>
    <w:rsid w:val="3F6E5909"/>
    <w:rsid w:val="3F744EE9"/>
    <w:rsid w:val="3F7D4F2E"/>
    <w:rsid w:val="3FB54769"/>
    <w:rsid w:val="3FB86B84"/>
    <w:rsid w:val="3FDA2F9E"/>
    <w:rsid w:val="3FDA3B33"/>
    <w:rsid w:val="3FEE7F68"/>
    <w:rsid w:val="3FFD6C8D"/>
    <w:rsid w:val="40083317"/>
    <w:rsid w:val="402204A1"/>
    <w:rsid w:val="40271093"/>
    <w:rsid w:val="4044666A"/>
    <w:rsid w:val="404E1296"/>
    <w:rsid w:val="40624F27"/>
    <w:rsid w:val="407D705A"/>
    <w:rsid w:val="4092377C"/>
    <w:rsid w:val="409745AE"/>
    <w:rsid w:val="40A62E81"/>
    <w:rsid w:val="40B01F51"/>
    <w:rsid w:val="40B25CC9"/>
    <w:rsid w:val="40BA692C"/>
    <w:rsid w:val="40BF2194"/>
    <w:rsid w:val="40BF5ADB"/>
    <w:rsid w:val="40C34607"/>
    <w:rsid w:val="40C77C97"/>
    <w:rsid w:val="40C96B6F"/>
    <w:rsid w:val="40CF23D7"/>
    <w:rsid w:val="40DC2CE2"/>
    <w:rsid w:val="40F0234E"/>
    <w:rsid w:val="41061B71"/>
    <w:rsid w:val="41390199"/>
    <w:rsid w:val="413D1A37"/>
    <w:rsid w:val="4154397B"/>
    <w:rsid w:val="41635215"/>
    <w:rsid w:val="41656898"/>
    <w:rsid w:val="4182744A"/>
    <w:rsid w:val="418D1865"/>
    <w:rsid w:val="41913B31"/>
    <w:rsid w:val="419B675D"/>
    <w:rsid w:val="41AE2004"/>
    <w:rsid w:val="41D028AB"/>
    <w:rsid w:val="41EC1204"/>
    <w:rsid w:val="41EC21D5"/>
    <w:rsid w:val="41F320F5"/>
    <w:rsid w:val="424961B9"/>
    <w:rsid w:val="425F2679"/>
    <w:rsid w:val="425F778B"/>
    <w:rsid w:val="4283791D"/>
    <w:rsid w:val="428611BC"/>
    <w:rsid w:val="42980EEF"/>
    <w:rsid w:val="429D6505"/>
    <w:rsid w:val="42C42797"/>
    <w:rsid w:val="42E6148E"/>
    <w:rsid w:val="42F04887"/>
    <w:rsid w:val="42F56341"/>
    <w:rsid w:val="43016A94"/>
    <w:rsid w:val="432E43C4"/>
    <w:rsid w:val="43413334"/>
    <w:rsid w:val="434846C3"/>
    <w:rsid w:val="435E3EE6"/>
    <w:rsid w:val="436D5ED7"/>
    <w:rsid w:val="438D0328"/>
    <w:rsid w:val="43AD13EC"/>
    <w:rsid w:val="43D45A60"/>
    <w:rsid w:val="43E97C54"/>
    <w:rsid w:val="43F96E2C"/>
    <w:rsid w:val="43FB1735"/>
    <w:rsid w:val="44056110"/>
    <w:rsid w:val="441571FA"/>
    <w:rsid w:val="44305883"/>
    <w:rsid w:val="443C2C41"/>
    <w:rsid w:val="443F7A85"/>
    <w:rsid w:val="444035EC"/>
    <w:rsid w:val="444201B0"/>
    <w:rsid w:val="44535613"/>
    <w:rsid w:val="44705C7F"/>
    <w:rsid w:val="44823C05"/>
    <w:rsid w:val="4487121B"/>
    <w:rsid w:val="448B2AB9"/>
    <w:rsid w:val="448C37A5"/>
    <w:rsid w:val="44935E12"/>
    <w:rsid w:val="4496320C"/>
    <w:rsid w:val="44C935E1"/>
    <w:rsid w:val="44ED5522"/>
    <w:rsid w:val="451F1453"/>
    <w:rsid w:val="453A4339"/>
    <w:rsid w:val="454964D0"/>
    <w:rsid w:val="45667082"/>
    <w:rsid w:val="45703A5D"/>
    <w:rsid w:val="45733800"/>
    <w:rsid w:val="45800144"/>
    <w:rsid w:val="459B4F7E"/>
    <w:rsid w:val="45AF4585"/>
    <w:rsid w:val="45BA2B7D"/>
    <w:rsid w:val="45D40490"/>
    <w:rsid w:val="45E00BE3"/>
    <w:rsid w:val="45F12DF0"/>
    <w:rsid w:val="45F20916"/>
    <w:rsid w:val="45F3102E"/>
    <w:rsid w:val="46081EE8"/>
    <w:rsid w:val="462E5DF2"/>
    <w:rsid w:val="4642364B"/>
    <w:rsid w:val="464B2752"/>
    <w:rsid w:val="46540AA8"/>
    <w:rsid w:val="467D4684"/>
    <w:rsid w:val="468A0B4E"/>
    <w:rsid w:val="468E063F"/>
    <w:rsid w:val="46A20A89"/>
    <w:rsid w:val="46A75BA4"/>
    <w:rsid w:val="46C87FF5"/>
    <w:rsid w:val="46D11FBC"/>
    <w:rsid w:val="46DA1AD6"/>
    <w:rsid w:val="46DD3374"/>
    <w:rsid w:val="46E97F6B"/>
    <w:rsid w:val="46EB3CE3"/>
    <w:rsid w:val="47022DDB"/>
    <w:rsid w:val="47086643"/>
    <w:rsid w:val="471425D5"/>
    <w:rsid w:val="47264D1B"/>
    <w:rsid w:val="474C59F4"/>
    <w:rsid w:val="474D22A8"/>
    <w:rsid w:val="475F3D89"/>
    <w:rsid w:val="476E313F"/>
    <w:rsid w:val="47947AFC"/>
    <w:rsid w:val="47AD2F34"/>
    <w:rsid w:val="47EA7AF7"/>
    <w:rsid w:val="48185391"/>
    <w:rsid w:val="481D4A12"/>
    <w:rsid w:val="482E4303"/>
    <w:rsid w:val="48421B0B"/>
    <w:rsid w:val="485418DA"/>
    <w:rsid w:val="485A1A8B"/>
    <w:rsid w:val="48CE799F"/>
    <w:rsid w:val="48D12A65"/>
    <w:rsid w:val="48DA2590"/>
    <w:rsid w:val="48F549A5"/>
    <w:rsid w:val="4916491B"/>
    <w:rsid w:val="49175A7A"/>
    <w:rsid w:val="491F7C74"/>
    <w:rsid w:val="4924528A"/>
    <w:rsid w:val="492A3696"/>
    <w:rsid w:val="49425710"/>
    <w:rsid w:val="4944592C"/>
    <w:rsid w:val="49463453"/>
    <w:rsid w:val="496D09DF"/>
    <w:rsid w:val="49866B78"/>
    <w:rsid w:val="49BB5BEF"/>
    <w:rsid w:val="49C32CF5"/>
    <w:rsid w:val="49C34AA3"/>
    <w:rsid w:val="49C4471B"/>
    <w:rsid w:val="49C56A6D"/>
    <w:rsid w:val="49C6119C"/>
    <w:rsid w:val="49CA5E32"/>
    <w:rsid w:val="49D46CB0"/>
    <w:rsid w:val="49D97612"/>
    <w:rsid w:val="49EB5DA8"/>
    <w:rsid w:val="49ED030A"/>
    <w:rsid w:val="49F11610"/>
    <w:rsid w:val="4A1672C9"/>
    <w:rsid w:val="4A396B13"/>
    <w:rsid w:val="4A4554B8"/>
    <w:rsid w:val="4A527BD5"/>
    <w:rsid w:val="4A606796"/>
    <w:rsid w:val="4A78588E"/>
    <w:rsid w:val="4A7933B4"/>
    <w:rsid w:val="4AA51DDF"/>
    <w:rsid w:val="4AC07235"/>
    <w:rsid w:val="4AD52CE0"/>
    <w:rsid w:val="4AD54A8E"/>
    <w:rsid w:val="4ADD1B95"/>
    <w:rsid w:val="4AE253FD"/>
    <w:rsid w:val="4AF40C36"/>
    <w:rsid w:val="4AFA44F5"/>
    <w:rsid w:val="4B0E78FD"/>
    <w:rsid w:val="4B180E1F"/>
    <w:rsid w:val="4B187071"/>
    <w:rsid w:val="4B3C10C7"/>
    <w:rsid w:val="4B685902"/>
    <w:rsid w:val="4B7D5801"/>
    <w:rsid w:val="4B7D6ED4"/>
    <w:rsid w:val="4B897627"/>
    <w:rsid w:val="4B8F7333"/>
    <w:rsid w:val="4BBC17AA"/>
    <w:rsid w:val="4BCB40E3"/>
    <w:rsid w:val="4BCD7E5B"/>
    <w:rsid w:val="4BE13907"/>
    <w:rsid w:val="4C094415"/>
    <w:rsid w:val="4C324162"/>
    <w:rsid w:val="4C3C7520"/>
    <w:rsid w:val="4C644E61"/>
    <w:rsid w:val="4C6C50A2"/>
    <w:rsid w:val="4C9C23CF"/>
    <w:rsid w:val="4CB61310"/>
    <w:rsid w:val="4CBE409E"/>
    <w:rsid w:val="4CE511D4"/>
    <w:rsid w:val="4CE81270"/>
    <w:rsid w:val="4CEF795D"/>
    <w:rsid w:val="4D01075E"/>
    <w:rsid w:val="4D175295"/>
    <w:rsid w:val="4D186EB4"/>
    <w:rsid w:val="4D1912CA"/>
    <w:rsid w:val="4D1D271C"/>
    <w:rsid w:val="4D1F46E6"/>
    <w:rsid w:val="4D2910C1"/>
    <w:rsid w:val="4D333CEE"/>
    <w:rsid w:val="4D41169B"/>
    <w:rsid w:val="4D571ED4"/>
    <w:rsid w:val="4D5F2D35"/>
    <w:rsid w:val="4D706CF0"/>
    <w:rsid w:val="4D720CBA"/>
    <w:rsid w:val="4D9549A9"/>
    <w:rsid w:val="4D97427D"/>
    <w:rsid w:val="4DA02B5D"/>
    <w:rsid w:val="4DA150FB"/>
    <w:rsid w:val="4DA1635B"/>
    <w:rsid w:val="4DA22C22"/>
    <w:rsid w:val="4DBF37C5"/>
    <w:rsid w:val="4DC247E8"/>
    <w:rsid w:val="4DCA28A4"/>
    <w:rsid w:val="4DCB3F26"/>
    <w:rsid w:val="4DD12E39"/>
    <w:rsid w:val="4DFC0584"/>
    <w:rsid w:val="4DFF0074"/>
    <w:rsid w:val="4E1108F4"/>
    <w:rsid w:val="4E281379"/>
    <w:rsid w:val="4E516B22"/>
    <w:rsid w:val="4E5C1022"/>
    <w:rsid w:val="4E6A373F"/>
    <w:rsid w:val="4E7B594C"/>
    <w:rsid w:val="4E7E71EB"/>
    <w:rsid w:val="4E830CA5"/>
    <w:rsid w:val="4E880069"/>
    <w:rsid w:val="4E890D1E"/>
    <w:rsid w:val="4E99003A"/>
    <w:rsid w:val="4EA57EB3"/>
    <w:rsid w:val="4EBD41B7"/>
    <w:rsid w:val="4ED11A10"/>
    <w:rsid w:val="4F0022F6"/>
    <w:rsid w:val="4F09543A"/>
    <w:rsid w:val="4F253B0A"/>
    <w:rsid w:val="4F473A81"/>
    <w:rsid w:val="4F495A4B"/>
    <w:rsid w:val="4F6208BA"/>
    <w:rsid w:val="4F80187B"/>
    <w:rsid w:val="4F822408"/>
    <w:rsid w:val="4F90367A"/>
    <w:rsid w:val="4F9F566B"/>
    <w:rsid w:val="4FA72771"/>
    <w:rsid w:val="4FA904C1"/>
    <w:rsid w:val="4FAA2D7A"/>
    <w:rsid w:val="4FAE3B00"/>
    <w:rsid w:val="4FC13833"/>
    <w:rsid w:val="4FC1761E"/>
    <w:rsid w:val="4FFC2ABD"/>
    <w:rsid w:val="5019541D"/>
    <w:rsid w:val="50221084"/>
    <w:rsid w:val="502A587C"/>
    <w:rsid w:val="504A437F"/>
    <w:rsid w:val="50800F93"/>
    <w:rsid w:val="50813E96"/>
    <w:rsid w:val="508A1E77"/>
    <w:rsid w:val="50AC6291"/>
    <w:rsid w:val="50B51C1E"/>
    <w:rsid w:val="50C80BF1"/>
    <w:rsid w:val="50C92B17"/>
    <w:rsid w:val="50CA7DE7"/>
    <w:rsid w:val="50CD35E8"/>
    <w:rsid w:val="50CE6F9F"/>
    <w:rsid w:val="50F00B2B"/>
    <w:rsid w:val="50FD4D3F"/>
    <w:rsid w:val="51165E00"/>
    <w:rsid w:val="51167BAE"/>
    <w:rsid w:val="516721B8"/>
    <w:rsid w:val="516A7EFA"/>
    <w:rsid w:val="517C74A5"/>
    <w:rsid w:val="518C60C3"/>
    <w:rsid w:val="519A433C"/>
    <w:rsid w:val="51AB26EB"/>
    <w:rsid w:val="51B64EEE"/>
    <w:rsid w:val="51DF5E82"/>
    <w:rsid w:val="51E23F34"/>
    <w:rsid w:val="51EA65FC"/>
    <w:rsid w:val="52120376"/>
    <w:rsid w:val="521A722A"/>
    <w:rsid w:val="52295D9F"/>
    <w:rsid w:val="523C3645"/>
    <w:rsid w:val="5246001F"/>
    <w:rsid w:val="526C3842"/>
    <w:rsid w:val="528774B7"/>
    <w:rsid w:val="528B637A"/>
    <w:rsid w:val="5296438C"/>
    <w:rsid w:val="52966EEB"/>
    <w:rsid w:val="52A5743C"/>
    <w:rsid w:val="52C5363A"/>
    <w:rsid w:val="52D62EAC"/>
    <w:rsid w:val="52DB10B0"/>
    <w:rsid w:val="52E37F64"/>
    <w:rsid w:val="52E43B5E"/>
    <w:rsid w:val="52EF06B7"/>
    <w:rsid w:val="531225F7"/>
    <w:rsid w:val="53165C44"/>
    <w:rsid w:val="53403A04"/>
    <w:rsid w:val="53590226"/>
    <w:rsid w:val="536A2433"/>
    <w:rsid w:val="536F7A4A"/>
    <w:rsid w:val="53801D8B"/>
    <w:rsid w:val="538C05FC"/>
    <w:rsid w:val="53B4545D"/>
    <w:rsid w:val="53B841D5"/>
    <w:rsid w:val="53F341D7"/>
    <w:rsid w:val="54092EF7"/>
    <w:rsid w:val="540A5A6E"/>
    <w:rsid w:val="542645AC"/>
    <w:rsid w:val="5426635A"/>
    <w:rsid w:val="542C1497"/>
    <w:rsid w:val="544D1B39"/>
    <w:rsid w:val="545033D7"/>
    <w:rsid w:val="545253A1"/>
    <w:rsid w:val="54617393"/>
    <w:rsid w:val="54656B86"/>
    <w:rsid w:val="5472334E"/>
    <w:rsid w:val="54843081"/>
    <w:rsid w:val="54994D7E"/>
    <w:rsid w:val="54A90FFE"/>
    <w:rsid w:val="54AA6EBE"/>
    <w:rsid w:val="54C574B1"/>
    <w:rsid w:val="54CD2C7A"/>
    <w:rsid w:val="554C0043"/>
    <w:rsid w:val="55717AA9"/>
    <w:rsid w:val="55760109"/>
    <w:rsid w:val="557F623A"/>
    <w:rsid w:val="55893465"/>
    <w:rsid w:val="55943798"/>
    <w:rsid w:val="559E63C4"/>
    <w:rsid w:val="55A97243"/>
    <w:rsid w:val="55AF1864"/>
    <w:rsid w:val="55B856D8"/>
    <w:rsid w:val="55CC4CE0"/>
    <w:rsid w:val="55FA184D"/>
    <w:rsid w:val="55FB1CD5"/>
    <w:rsid w:val="55FB20AD"/>
    <w:rsid w:val="563C147E"/>
    <w:rsid w:val="5640122A"/>
    <w:rsid w:val="56694C24"/>
    <w:rsid w:val="566C4F24"/>
    <w:rsid w:val="56754B74"/>
    <w:rsid w:val="568E6439"/>
    <w:rsid w:val="56905D0D"/>
    <w:rsid w:val="569752EE"/>
    <w:rsid w:val="569C2904"/>
    <w:rsid w:val="56A95021"/>
    <w:rsid w:val="56AF6ADB"/>
    <w:rsid w:val="56C1236A"/>
    <w:rsid w:val="56C41E5B"/>
    <w:rsid w:val="56D24578"/>
    <w:rsid w:val="56E85B49"/>
    <w:rsid w:val="570F30D6"/>
    <w:rsid w:val="57193E63"/>
    <w:rsid w:val="572D5C52"/>
    <w:rsid w:val="5749313E"/>
    <w:rsid w:val="57566F57"/>
    <w:rsid w:val="57607DD5"/>
    <w:rsid w:val="576176AA"/>
    <w:rsid w:val="57743881"/>
    <w:rsid w:val="57783371"/>
    <w:rsid w:val="57784E8F"/>
    <w:rsid w:val="57822336"/>
    <w:rsid w:val="578A4E52"/>
    <w:rsid w:val="57930498"/>
    <w:rsid w:val="579B0E0D"/>
    <w:rsid w:val="57A71560"/>
    <w:rsid w:val="57A777B2"/>
    <w:rsid w:val="57B72DE7"/>
    <w:rsid w:val="57CC4BC2"/>
    <w:rsid w:val="57D144D8"/>
    <w:rsid w:val="57D41D25"/>
    <w:rsid w:val="57D60097"/>
    <w:rsid w:val="57EF2F07"/>
    <w:rsid w:val="57F44280"/>
    <w:rsid w:val="5822508B"/>
    <w:rsid w:val="582E57DE"/>
    <w:rsid w:val="58316012"/>
    <w:rsid w:val="584957B8"/>
    <w:rsid w:val="5866766D"/>
    <w:rsid w:val="58886673"/>
    <w:rsid w:val="588E0972"/>
    <w:rsid w:val="589C308F"/>
    <w:rsid w:val="58AE691E"/>
    <w:rsid w:val="58BA3515"/>
    <w:rsid w:val="58C93758"/>
    <w:rsid w:val="58CE3923"/>
    <w:rsid w:val="58DC348C"/>
    <w:rsid w:val="58E93DFA"/>
    <w:rsid w:val="58FD050E"/>
    <w:rsid w:val="591946E0"/>
    <w:rsid w:val="591C76F7"/>
    <w:rsid w:val="593A5382"/>
    <w:rsid w:val="59464DA9"/>
    <w:rsid w:val="594C608F"/>
    <w:rsid w:val="596516D3"/>
    <w:rsid w:val="596A1D3C"/>
    <w:rsid w:val="596B480F"/>
    <w:rsid w:val="59745DBA"/>
    <w:rsid w:val="598002BB"/>
    <w:rsid w:val="598C3104"/>
    <w:rsid w:val="59965D30"/>
    <w:rsid w:val="59C77C52"/>
    <w:rsid w:val="59C9625C"/>
    <w:rsid w:val="59D5279A"/>
    <w:rsid w:val="59E6628D"/>
    <w:rsid w:val="59E92304"/>
    <w:rsid w:val="59ED3476"/>
    <w:rsid w:val="59F9006D"/>
    <w:rsid w:val="59FD510C"/>
    <w:rsid w:val="5A025174"/>
    <w:rsid w:val="5A272E2C"/>
    <w:rsid w:val="5A2C3F9F"/>
    <w:rsid w:val="5A3B69CE"/>
    <w:rsid w:val="5A43294D"/>
    <w:rsid w:val="5A432BFB"/>
    <w:rsid w:val="5A437DF3"/>
    <w:rsid w:val="5A67147B"/>
    <w:rsid w:val="5A7D0C9E"/>
    <w:rsid w:val="5A820063"/>
    <w:rsid w:val="5AC47E7A"/>
    <w:rsid w:val="5AC73CC7"/>
    <w:rsid w:val="5AD20FEA"/>
    <w:rsid w:val="5ADA7E9F"/>
    <w:rsid w:val="5AEC2A00"/>
    <w:rsid w:val="5AEE2153"/>
    <w:rsid w:val="5AFC7E15"/>
    <w:rsid w:val="5B10566E"/>
    <w:rsid w:val="5B2348F0"/>
    <w:rsid w:val="5B341957"/>
    <w:rsid w:val="5B345801"/>
    <w:rsid w:val="5B3752F1"/>
    <w:rsid w:val="5B3E042E"/>
    <w:rsid w:val="5B8A5421"/>
    <w:rsid w:val="5B991B08"/>
    <w:rsid w:val="5BA65FD3"/>
    <w:rsid w:val="5BBE331C"/>
    <w:rsid w:val="5BD112B1"/>
    <w:rsid w:val="5BE30FD5"/>
    <w:rsid w:val="5BF81B2D"/>
    <w:rsid w:val="5C0D0EA3"/>
    <w:rsid w:val="5C207B33"/>
    <w:rsid w:val="5C425CFC"/>
    <w:rsid w:val="5C4307BC"/>
    <w:rsid w:val="5C484D92"/>
    <w:rsid w:val="5C4B1054"/>
    <w:rsid w:val="5C563555"/>
    <w:rsid w:val="5C5E02AA"/>
    <w:rsid w:val="5C6F7EB5"/>
    <w:rsid w:val="5C861ED2"/>
    <w:rsid w:val="5C88775A"/>
    <w:rsid w:val="5C966047"/>
    <w:rsid w:val="5C982FA0"/>
    <w:rsid w:val="5CB309A7"/>
    <w:rsid w:val="5CB85FBE"/>
    <w:rsid w:val="5CD1707F"/>
    <w:rsid w:val="5CF7049E"/>
    <w:rsid w:val="5D0E3E30"/>
    <w:rsid w:val="5D1D22C5"/>
    <w:rsid w:val="5D221689"/>
    <w:rsid w:val="5D2850E5"/>
    <w:rsid w:val="5D2C119A"/>
    <w:rsid w:val="5D3A69D3"/>
    <w:rsid w:val="5D3F4D0A"/>
    <w:rsid w:val="5D6677C8"/>
    <w:rsid w:val="5D6A375C"/>
    <w:rsid w:val="5D6F2B20"/>
    <w:rsid w:val="5D8D3526"/>
    <w:rsid w:val="5D907F8D"/>
    <w:rsid w:val="5DAD189A"/>
    <w:rsid w:val="5DB44CC9"/>
    <w:rsid w:val="5DC23D8F"/>
    <w:rsid w:val="5DD230AF"/>
    <w:rsid w:val="5DDE5B0D"/>
    <w:rsid w:val="5DE828D3"/>
    <w:rsid w:val="5E0A56D8"/>
    <w:rsid w:val="5E0F02D8"/>
    <w:rsid w:val="5E1F6E39"/>
    <w:rsid w:val="5E3C5C66"/>
    <w:rsid w:val="5E437B09"/>
    <w:rsid w:val="5E6C0022"/>
    <w:rsid w:val="5E895E64"/>
    <w:rsid w:val="5E8C743B"/>
    <w:rsid w:val="5E955C53"/>
    <w:rsid w:val="5E96232F"/>
    <w:rsid w:val="5E9F11E3"/>
    <w:rsid w:val="5EA66A16"/>
    <w:rsid w:val="5EAB56C6"/>
    <w:rsid w:val="5ECF75EF"/>
    <w:rsid w:val="5ED95D51"/>
    <w:rsid w:val="5F17346F"/>
    <w:rsid w:val="5F1871E8"/>
    <w:rsid w:val="5F2C67EF"/>
    <w:rsid w:val="5F313E05"/>
    <w:rsid w:val="5F3538F6"/>
    <w:rsid w:val="5F3E25A9"/>
    <w:rsid w:val="5F610B8F"/>
    <w:rsid w:val="5F6940CF"/>
    <w:rsid w:val="5F7268F8"/>
    <w:rsid w:val="5F950838"/>
    <w:rsid w:val="5FC52ECB"/>
    <w:rsid w:val="5FCE28ED"/>
    <w:rsid w:val="5FCE4BE3"/>
    <w:rsid w:val="5FD50C35"/>
    <w:rsid w:val="5FD9212E"/>
    <w:rsid w:val="5FE429DF"/>
    <w:rsid w:val="5FE53D24"/>
    <w:rsid w:val="5FF9400F"/>
    <w:rsid w:val="60017C7C"/>
    <w:rsid w:val="60172FFB"/>
    <w:rsid w:val="601D2D07"/>
    <w:rsid w:val="60397415"/>
    <w:rsid w:val="604B209D"/>
    <w:rsid w:val="604C7149"/>
    <w:rsid w:val="60545FFD"/>
    <w:rsid w:val="60563B24"/>
    <w:rsid w:val="607466A0"/>
    <w:rsid w:val="60787F3E"/>
    <w:rsid w:val="60803296"/>
    <w:rsid w:val="608E7761"/>
    <w:rsid w:val="60986FB9"/>
    <w:rsid w:val="60BB7E2A"/>
    <w:rsid w:val="60C010B7"/>
    <w:rsid w:val="60C863F4"/>
    <w:rsid w:val="60D55390"/>
    <w:rsid w:val="60E6759D"/>
    <w:rsid w:val="60F375C4"/>
    <w:rsid w:val="6106379C"/>
    <w:rsid w:val="6109503A"/>
    <w:rsid w:val="610C68D8"/>
    <w:rsid w:val="611F03B9"/>
    <w:rsid w:val="61237025"/>
    <w:rsid w:val="61483DB4"/>
    <w:rsid w:val="614E5143"/>
    <w:rsid w:val="614E6EF1"/>
    <w:rsid w:val="618B5A4F"/>
    <w:rsid w:val="61994610"/>
    <w:rsid w:val="61B2747F"/>
    <w:rsid w:val="61B551C2"/>
    <w:rsid w:val="61E0242D"/>
    <w:rsid w:val="61F47A98"/>
    <w:rsid w:val="61F93300"/>
    <w:rsid w:val="62123983"/>
    <w:rsid w:val="621A5025"/>
    <w:rsid w:val="62220BFC"/>
    <w:rsid w:val="62255EA3"/>
    <w:rsid w:val="62431C69"/>
    <w:rsid w:val="62456545"/>
    <w:rsid w:val="626F3307"/>
    <w:rsid w:val="62737B1F"/>
    <w:rsid w:val="62742987"/>
    <w:rsid w:val="628D3A49"/>
    <w:rsid w:val="62A36DC8"/>
    <w:rsid w:val="62C91749"/>
    <w:rsid w:val="62CA6A4B"/>
    <w:rsid w:val="62F31AFE"/>
    <w:rsid w:val="62F34AE7"/>
    <w:rsid w:val="62FB09B2"/>
    <w:rsid w:val="630F26B0"/>
    <w:rsid w:val="630F6D0E"/>
    <w:rsid w:val="6321792E"/>
    <w:rsid w:val="6329529D"/>
    <w:rsid w:val="63365E8E"/>
    <w:rsid w:val="633D0FCB"/>
    <w:rsid w:val="6347009B"/>
    <w:rsid w:val="634E31D8"/>
    <w:rsid w:val="63672428"/>
    <w:rsid w:val="63702430"/>
    <w:rsid w:val="63953DDD"/>
    <w:rsid w:val="63AB2695"/>
    <w:rsid w:val="63AE1EC8"/>
    <w:rsid w:val="63C90AB0"/>
    <w:rsid w:val="63CF6769"/>
    <w:rsid w:val="63E63410"/>
    <w:rsid w:val="63F36A7C"/>
    <w:rsid w:val="642301C1"/>
    <w:rsid w:val="642D7291"/>
    <w:rsid w:val="64552344"/>
    <w:rsid w:val="645967E3"/>
    <w:rsid w:val="645A14E5"/>
    <w:rsid w:val="646A4041"/>
    <w:rsid w:val="64846130"/>
    <w:rsid w:val="648A6492"/>
    <w:rsid w:val="64906A35"/>
    <w:rsid w:val="64DB0A9B"/>
    <w:rsid w:val="64DC4BF4"/>
    <w:rsid w:val="64EC051E"/>
    <w:rsid w:val="64FB738F"/>
    <w:rsid w:val="65006754"/>
    <w:rsid w:val="651B17E0"/>
    <w:rsid w:val="651D4DB7"/>
    <w:rsid w:val="65362175"/>
    <w:rsid w:val="65366619"/>
    <w:rsid w:val="65420B1A"/>
    <w:rsid w:val="654C7BEB"/>
    <w:rsid w:val="656E4DC5"/>
    <w:rsid w:val="65CE3D15"/>
    <w:rsid w:val="65FF2424"/>
    <w:rsid w:val="660202AA"/>
    <w:rsid w:val="6604670C"/>
    <w:rsid w:val="6612610A"/>
    <w:rsid w:val="664C2FAA"/>
    <w:rsid w:val="66521231"/>
    <w:rsid w:val="66815672"/>
    <w:rsid w:val="668313EA"/>
    <w:rsid w:val="669621BD"/>
    <w:rsid w:val="66AA6977"/>
    <w:rsid w:val="66BB3C93"/>
    <w:rsid w:val="66BB5028"/>
    <w:rsid w:val="66BE2423"/>
    <w:rsid w:val="66D02156"/>
    <w:rsid w:val="66D460EA"/>
    <w:rsid w:val="66D95632"/>
    <w:rsid w:val="66F67E0E"/>
    <w:rsid w:val="66FE5F4E"/>
    <w:rsid w:val="67052615"/>
    <w:rsid w:val="67127C7D"/>
    <w:rsid w:val="6716400D"/>
    <w:rsid w:val="671958AB"/>
    <w:rsid w:val="671A3D37"/>
    <w:rsid w:val="672A3FD1"/>
    <w:rsid w:val="672D7CE1"/>
    <w:rsid w:val="67317098"/>
    <w:rsid w:val="67602B70"/>
    <w:rsid w:val="676F7BC1"/>
    <w:rsid w:val="677551D7"/>
    <w:rsid w:val="67780823"/>
    <w:rsid w:val="67822461"/>
    <w:rsid w:val="679715F1"/>
    <w:rsid w:val="679F2254"/>
    <w:rsid w:val="67B51A77"/>
    <w:rsid w:val="67B81568"/>
    <w:rsid w:val="67DF08A2"/>
    <w:rsid w:val="67FD51CC"/>
    <w:rsid w:val="68093B71"/>
    <w:rsid w:val="68103152"/>
    <w:rsid w:val="682E35D8"/>
    <w:rsid w:val="68330BEE"/>
    <w:rsid w:val="6837248C"/>
    <w:rsid w:val="68464DC5"/>
    <w:rsid w:val="684C37A9"/>
    <w:rsid w:val="685079F2"/>
    <w:rsid w:val="68594AF9"/>
    <w:rsid w:val="687152A7"/>
    <w:rsid w:val="68727968"/>
    <w:rsid w:val="687E00BB"/>
    <w:rsid w:val="68831B76"/>
    <w:rsid w:val="688B27D8"/>
    <w:rsid w:val="68983EEB"/>
    <w:rsid w:val="68A33FC6"/>
    <w:rsid w:val="68CD1043"/>
    <w:rsid w:val="68CD2DF1"/>
    <w:rsid w:val="68E048D2"/>
    <w:rsid w:val="68F91E38"/>
    <w:rsid w:val="690305C1"/>
    <w:rsid w:val="690D7691"/>
    <w:rsid w:val="6939071B"/>
    <w:rsid w:val="693B7D5A"/>
    <w:rsid w:val="693C671A"/>
    <w:rsid w:val="6942558D"/>
    <w:rsid w:val="69535A05"/>
    <w:rsid w:val="696574CD"/>
    <w:rsid w:val="698536CB"/>
    <w:rsid w:val="698E0D6B"/>
    <w:rsid w:val="69DB153D"/>
    <w:rsid w:val="69FD7706"/>
    <w:rsid w:val="6A0311FB"/>
    <w:rsid w:val="6A0E546F"/>
    <w:rsid w:val="6A13107A"/>
    <w:rsid w:val="6A154A4F"/>
    <w:rsid w:val="6A2904FB"/>
    <w:rsid w:val="6A2C1D99"/>
    <w:rsid w:val="6A321D4B"/>
    <w:rsid w:val="6A4D243B"/>
    <w:rsid w:val="6A537326"/>
    <w:rsid w:val="6A565402"/>
    <w:rsid w:val="6A5966E8"/>
    <w:rsid w:val="6A701C86"/>
    <w:rsid w:val="6A7E0847"/>
    <w:rsid w:val="6A8B3798"/>
    <w:rsid w:val="6A9E4A45"/>
    <w:rsid w:val="6AA656A7"/>
    <w:rsid w:val="6AC326FD"/>
    <w:rsid w:val="6ACF4DB3"/>
    <w:rsid w:val="6AD14E1A"/>
    <w:rsid w:val="6AEA5EDC"/>
    <w:rsid w:val="6AF1726A"/>
    <w:rsid w:val="6AF6662F"/>
    <w:rsid w:val="6AFA66E2"/>
    <w:rsid w:val="6B0D15D1"/>
    <w:rsid w:val="6B182A49"/>
    <w:rsid w:val="6B1B3BF9"/>
    <w:rsid w:val="6B4E646B"/>
    <w:rsid w:val="6B5734C2"/>
    <w:rsid w:val="6B760662"/>
    <w:rsid w:val="6BC17BFF"/>
    <w:rsid w:val="6BD55A96"/>
    <w:rsid w:val="6BDE7808"/>
    <w:rsid w:val="6BEC5C84"/>
    <w:rsid w:val="6BEF56FF"/>
    <w:rsid w:val="6BF80185"/>
    <w:rsid w:val="6C066D46"/>
    <w:rsid w:val="6C1A634D"/>
    <w:rsid w:val="6C3118E9"/>
    <w:rsid w:val="6C3A1C47"/>
    <w:rsid w:val="6C4B45B8"/>
    <w:rsid w:val="6C6E0A2A"/>
    <w:rsid w:val="6C9003BD"/>
    <w:rsid w:val="6C97799E"/>
    <w:rsid w:val="6CBF1C8E"/>
    <w:rsid w:val="6CC02668"/>
    <w:rsid w:val="6CC10EBE"/>
    <w:rsid w:val="6CD96208"/>
    <w:rsid w:val="6D036DE1"/>
    <w:rsid w:val="6D154D66"/>
    <w:rsid w:val="6D2F00AE"/>
    <w:rsid w:val="6D3C0545"/>
    <w:rsid w:val="6D3C66A0"/>
    <w:rsid w:val="6D4A4A10"/>
    <w:rsid w:val="6D592EA5"/>
    <w:rsid w:val="6D633D24"/>
    <w:rsid w:val="6D77332B"/>
    <w:rsid w:val="6DAE54DA"/>
    <w:rsid w:val="6DAF6F69"/>
    <w:rsid w:val="6DD24A05"/>
    <w:rsid w:val="6DDA3DCA"/>
    <w:rsid w:val="6DEE183F"/>
    <w:rsid w:val="6E100A21"/>
    <w:rsid w:val="6E1B63AC"/>
    <w:rsid w:val="6E2F12D6"/>
    <w:rsid w:val="6E4A555D"/>
    <w:rsid w:val="6E62222D"/>
    <w:rsid w:val="6E661D1D"/>
    <w:rsid w:val="6E662DA3"/>
    <w:rsid w:val="6E74533B"/>
    <w:rsid w:val="6EA11A6D"/>
    <w:rsid w:val="6EA14B04"/>
    <w:rsid w:val="6EBD0C3B"/>
    <w:rsid w:val="6EC17357"/>
    <w:rsid w:val="6ECD3B4B"/>
    <w:rsid w:val="6ED616E4"/>
    <w:rsid w:val="6EE60768"/>
    <w:rsid w:val="6EEB2223"/>
    <w:rsid w:val="6EF2535F"/>
    <w:rsid w:val="6F03131A"/>
    <w:rsid w:val="6F240AD7"/>
    <w:rsid w:val="6F2914EE"/>
    <w:rsid w:val="6F2B6AC3"/>
    <w:rsid w:val="6F2E0506"/>
    <w:rsid w:val="6F410095"/>
    <w:rsid w:val="6F5B1156"/>
    <w:rsid w:val="6F6170C9"/>
    <w:rsid w:val="6F631DB9"/>
    <w:rsid w:val="6F6E2FF8"/>
    <w:rsid w:val="6F7B35A7"/>
    <w:rsid w:val="6F9C351D"/>
    <w:rsid w:val="6F9D65B5"/>
    <w:rsid w:val="6FC211D5"/>
    <w:rsid w:val="6FC36CFC"/>
    <w:rsid w:val="6FE253D4"/>
    <w:rsid w:val="700E441B"/>
    <w:rsid w:val="701C0B7D"/>
    <w:rsid w:val="70207CAA"/>
    <w:rsid w:val="70393A2A"/>
    <w:rsid w:val="705B6F34"/>
    <w:rsid w:val="70814BED"/>
    <w:rsid w:val="70A00DEB"/>
    <w:rsid w:val="70AD3C34"/>
    <w:rsid w:val="70B82296"/>
    <w:rsid w:val="70C96594"/>
    <w:rsid w:val="70CB230C"/>
    <w:rsid w:val="70D016D0"/>
    <w:rsid w:val="70E872EC"/>
    <w:rsid w:val="70F57389"/>
    <w:rsid w:val="70FC4273"/>
    <w:rsid w:val="71025602"/>
    <w:rsid w:val="710B3DC7"/>
    <w:rsid w:val="711A6DEF"/>
    <w:rsid w:val="711F7F62"/>
    <w:rsid w:val="7121252E"/>
    <w:rsid w:val="712559EA"/>
    <w:rsid w:val="71257C6E"/>
    <w:rsid w:val="712D6B22"/>
    <w:rsid w:val="71526589"/>
    <w:rsid w:val="719E532A"/>
    <w:rsid w:val="71A36DE5"/>
    <w:rsid w:val="71EA7B61"/>
    <w:rsid w:val="71F1013E"/>
    <w:rsid w:val="71F31B1A"/>
    <w:rsid w:val="720158B9"/>
    <w:rsid w:val="720C6CA8"/>
    <w:rsid w:val="720F7FD6"/>
    <w:rsid w:val="721750DD"/>
    <w:rsid w:val="721F0505"/>
    <w:rsid w:val="725455B8"/>
    <w:rsid w:val="726E2F4F"/>
    <w:rsid w:val="72824C4C"/>
    <w:rsid w:val="729B5D0E"/>
    <w:rsid w:val="729F75AC"/>
    <w:rsid w:val="72D66D46"/>
    <w:rsid w:val="72E94CCB"/>
    <w:rsid w:val="72E96A79"/>
    <w:rsid w:val="72EA327F"/>
    <w:rsid w:val="72F35B4A"/>
    <w:rsid w:val="73013DC3"/>
    <w:rsid w:val="73057B87"/>
    <w:rsid w:val="7310153F"/>
    <w:rsid w:val="7312497B"/>
    <w:rsid w:val="73497518"/>
    <w:rsid w:val="735F6D3B"/>
    <w:rsid w:val="736F3422"/>
    <w:rsid w:val="7375030D"/>
    <w:rsid w:val="73781BAB"/>
    <w:rsid w:val="737F2F3A"/>
    <w:rsid w:val="73836ECE"/>
    <w:rsid w:val="73852C46"/>
    <w:rsid w:val="73997733"/>
    <w:rsid w:val="739E5AB6"/>
    <w:rsid w:val="73CF2113"/>
    <w:rsid w:val="73D72D76"/>
    <w:rsid w:val="73E060CE"/>
    <w:rsid w:val="73FE47A6"/>
    <w:rsid w:val="73FF76A9"/>
    <w:rsid w:val="740003DC"/>
    <w:rsid w:val="740578E3"/>
    <w:rsid w:val="74081181"/>
    <w:rsid w:val="740F42BD"/>
    <w:rsid w:val="74341F76"/>
    <w:rsid w:val="74463A57"/>
    <w:rsid w:val="744A3547"/>
    <w:rsid w:val="744F6DB0"/>
    <w:rsid w:val="74534AF2"/>
    <w:rsid w:val="74561EEC"/>
    <w:rsid w:val="746808FF"/>
    <w:rsid w:val="74697E0C"/>
    <w:rsid w:val="74C4154C"/>
    <w:rsid w:val="74C72DEA"/>
    <w:rsid w:val="74D47731"/>
    <w:rsid w:val="74E4574A"/>
    <w:rsid w:val="74F03568"/>
    <w:rsid w:val="74F040EF"/>
    <w:rsid w:val="75026274"/>
    <w:rsid w:val="75104791"/>
    <w:rsid w:val="751C1388"/>
    <w:rsid w:val="75321D1A"/>
    <w:rsid w:val="75330480"/>
    <w:rsid w:val="753A74C2"/>
    <w:rsid w:val="75497CA3"/>
    <w:rsid w:val="756400B3"/>
    <w:rsid w:val="757410D5"/>
    <w:rsid w:val="75742828"/>
    <w:rsid w:val="757E5B9F"/>
    <w:rsid w:val="75A4312B"/>
    <w:rsid w:val="75BF7F65"/>
    <w:rsid w:val="75C17839"/>
    <w:rsid w:val="75CB7223"/>
    <w:rsid w:val="75DA08FB"/>
    <w:rsid w:val="75F0011F"/>
    <w:rsid w:val="75FE283B"/>
    <w:rsid w:val="761330E9"/>
    <w:rsid w:val="761E6A3A"/>
    <w:rsid w:val="762164BD"/>
    <w:rsid w:val="76283D5C"/>
    <w:rsid w:val="762A1882"/>
    <w:rsid w:val="762E09F1"/>
    <w:rsid w:val="7635037C"/>
    <w:rsid w:val="76373F9F"/>
    <w:rsid w:val="76500BBD"/>
    <w:rsid w:val="766C7DB5"/>
    <w:rsid w:val="768E1E11"/>
    <w:rsid w:val="768F7938"/>
    <w:rsid w:val="76937428"/>
    <w:rsid w:val="769413F2"/>
    <w:rsid w:val="76B31878"/>
    <w:rsid w:val="76D17F50"/>
    <w:rsid w:val="76EA2DC0"/>
    <w:rsid w:val="770C71DA"/>
    <w:rsid w:val="77242776"/>
    <w:rsid w:val="77493F8A"/>
    <w:rsid w:val="775E5C88"/>
    <w:rsid w:val="7767476D"/>
    <w:rsid w:val="776C7C79"/>
    <w:rsid w:val="7771278D"/>
    <w:rsid w:val="77B3120C"/>
    <w:rsid w:val="77BA4E88"/>
    <w:rsid w:val="77CA3C95"/>
    <w:rsid w:val="77F03ED5"/>
    <w:rsid w:val="78104AA8"/>
    <w:rsid w:val="78146346"/>
    <w:rsid w:val="781E0F73"/>
    <w:rsid w:val="78212811"/>
    <w:rsid w:val="78236589"/>
    <w:rsid w:val="782A7918"/>
    <w:rsid w:val="782F3180"/>
    <w:rsid w:val="78322C70"/>
    <w:rsid w:val="784D09EB"/>
    <w:rsid w:val="78591FAB"/>
    <w:rsid w:val="785E75C1"/>
    <w:rsid w:val="78767001"/>
    <w:rsid w:val="788A5701"/>
    <w:rsid w:val="788D5058"/>
    <w:rsid w:val="78907B87"/>
    <w:rsid w:val="78947487"/>
    <w:rsid w:val="78AD22F7"/>
    <w:rsid w:val="78B464D6"/>
    <w:rsid w:val="78CA10FB"/>
    <w:rsid w:val="78CA5B8B"/>
    <w:rsid w:val="7908111E"/>
    <w:rsid w:val="79142376"/>
    <w:rsid w:val="791850AA"/>
    <w:rsid w:val="792E63D7"/>
    <w:rsid w:val="793F5645"/>
    <w:rsid w:val="796F0529"/>
    <w:rsid w:val="799C2A97"/>
    <w:rsid w:val="79AC4E08"/>
    <w:rsid w:val="79DC2E94"/>
    <w:rsid w:val="79DE4421"/>
    <w:rsid w:val="79E104AA"/>
    <w:rsid w:val="79E1494E"/>
    <w:rsid w:val="79E24222"/>
    <w:rsid w:val="79F04B91"/>
    <w:rsid w:val="79F503F9"/>
    <w:rsid w:val="79FD2E0A"/>
    <w:rsid w:val="7A102B3D"/>
    <w:rsid w:val="7A146AD1"/>
    <w:rsid w:val="7A3031E0"/>
    <w:rsid w:val="7A362652"/>
    <w:rsid w:val="7A5769BE"/>
    <w:rsid w:val="7A764B78"/>
    <w:rsid w:val="7A8A00EA"/>
    <w:rsid w:val="7A9419C0"/>
    <w:rsid w:val="7AB314B0"/>
    <w:rsid w:val="7AB931D5"/>
    <w:rsid w:val="7ABD0F17"/>
    <w:rsid w:val="7AC04563"/>
    <w:rsid w:val="7AC06311"/>
    <w:rsid w:val="7AD3347A"/>
    <w:rsid w:val="7AD65B35"/>
    <w:rsid w:val="7ADD5115"/>
    <w:rsid w:val="7AE95911"/>
    <w:rsid w:val="7AFE32DE"/>
    <w:rsid w:val="7B14665D"/>
    <w:rsid w:val="7B2C1BF9"/>
    <w:rsid w:val="7B2E5EF7"/>
    <w:rsid w:val="7B8E4662"/>
    <w:rsid w:val="7B94617F"/>
    <w:rsid w:val="7B9C6D7F"/>
    <w:rsid w:val="7BB226F8"/>
    <w:rsid w:val="7BB3231A"/>
    <w:rsid w:val="7BBD2838"/>
    <w:rsid w:val="7BC03488"/>
    <w:rsid w:val="7BD302C6"/>
    <w:rsid w:val="7BE61DA8"/>
    <w:rsid w:val="7BE92C4E"/>
    <w:rsid w:val="7C054C5E"/>
    <w:rsid w:val="7C266648"/>
    <w:rsid w:val="7C272341"/>
    <w:rsid w:val="7C30396B"/>
    <w:rsid w:val="7C336FB7"/>
    <w:rsid w:val="7C364B59"/>
    <w:rsid w:val="7C8F0A6B"/>
    <w:rsid w:val="7CBF65FE"/>
    <w:rsid w:val="7CC81F1D"/>
    <w:rsid w:val="7CEA207E"/>
    <w:rsid w:val="7CF76237"/>
    <w:rsid w:val="7D032E2D"/>
    <w:rsid w:val="7D080444"/>
    <w:rsid w:val="7D0F3580"/>
    <w:rsid w:val="7D136216"/>
    <w:rsid w:val="7D2F3C22"/>
    <w:rsid w:val="7D5B4A17"/>
    <w:rsid w:val="7D5F62B6"/>
    <w:rsid w:val="7D63567A"/>
    <w:rsid w:val="7D6513F2"/>
    <w:rsid w:val="7D7B29C4"/>
    <w:rsid w:val="7D853842"/>
    <w:rsid w:val="7DC9372F"/>
    <w:rsid w:val="7DCF4ABD"/>
    <w:rsid w:val="7DE93DD1"/>
    <w:rsid w:val="7DEB49CB"/>
    <w:rsid w:val="7E061524"/>
    <w:rsid w:val="7E1F3128"/>
    <w:rsid w:val="7E3037AE"/>
    <w:rsid w:val="7E331708"/>
    <w:rsid w:val="7E402DC1"/>
    <w:rsid w:val="7E462FD2"/>
    <w:rsid w:val="7E50411B"/>
    <w:rsid w:val="7E556E73"/>
    <w:rsid w:val="7E5E47BF"/>
    <w:rsid w:val="7E682F48"/>
    <w:rsid w:val="7E694F12"/>
    <w:rsid w:val="7E7538B7"/>
    <w:rsid w:val="7EAA17B2"/>
    <w:rsid w:val="7EC14203"/>
    <w:rsid w:val="7EC23181"/>
    <w:rsid w:val="7EC425E9"/>
    <w:rsid w:val="7ECD5BD8"/>
    <w:rsid w:val="7ED22AB7"/>
    <w:rsid w:val="7EDA196C"/>
    <w:rsid w:val="7EEF3A4D"/>
    <w:rsid w:val="7EF32454"/>
    <w:rsid w:val="7F0A046A"/>
    <w:rsid w:val="7F141322"/>
    <w:rsid w:val="7F1C72B5"/>
    <w:rsid w:val="7F2350C1"/>
    <w:rsid w:val="7F2F3A66"/>
    <w:rsid w:val="7F3153C2"/>
    <w:rsid w:val="7F315A30"/>
    <w:rsid w:val="7F6556D9"/>
    <w:rsid w:val="7F765B38"/>
    <w:rsid w:val="7F8248B5"/>
    <w:rsid w:val="7F836170"/>
    <w:rsid w:val="7F8C710A"/>
    <w:rsid w:val="7F983D01"/>
    <w:rsid w:val="7F98785D"/>
    <w:rsid w:val="7FA2248A"/>
    <w:rsid w:val="7FAE2F34"/>
    <w:rsid w:val="7FC22A5F"/>
    <w:rsid w:val="7FCC5758"/>
    <w:rsid w:val="7FF31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pageBreakBefore/>
      <w:ind w:firstLine="0" w:firstLineChars="0"/>
      <w:jc w:val="center"/>
      <w:outlineLvl w:val="0"/>
    </w:pPr>
    <w:rPr>
      <w:b/>
      <w:kern w:val="44"/>
      <w:sz w:val="36"/>
    </w:rPr>
  </w:style>
  <w:style w:type="paragraph" w:styleId="3">
    <w:name w:val="heading 2"/>
    <w:basedOn w:val="1"/>
    <w:next w:val="1"/>
    <w:link w:val="63"/>
    <w:unhideWhenUsed/>
    <w:qFormat/>
    <w:uiPriority w:val="0"/>
    <w:pPr>
      <w:keepNext/>
      <w:keepLines/>
      <w:widowControl/>
      <w:ind w:firstLine="0" w:firstLineChars="0"/>
      <w:outlineLvl w:val="1"/>
    </w:pPr>
    <w:rPr>
      <w:b/>
      <w:sz w:val="30"/>
    </w:rPr>
  </w:style>
  <w:style w:type="paragraph" w:styleId="4">
    <w:name w:val="heading 3"/>
    <w:basedOn w:val="1"/>
    <w:next w:val="1"/>
    <w:link w:val="34"/>
    <w:unhideWhenUsed/>
    <w:qFormat/>
    <w:uiPriority w:val="0"/>
    <w:pPr>
      <w:keepNext/>
      <w:keepLines/>
      <w:ind w:firstLine="0" w:firstLineChars="0"/>
      <w:outlineLvl w:val="2"/>
    </w:pPr>
    <w:rPr>
      <w:b/>
      <w:sz w:val="28"/>
    </w:rPr>
  </w:style>
  <w:style w:type="paragraph" w:styleId="5">
    <w:name w:val="heading 4"/>
    <w:basedOn w:val="1"/>
    <w:next w:val="1"/>
    <w:link w:val="37"/>
    <w:unhideWhenUsed/>
    <w:qFormat/>
    <w:uiPriority w:val="0"/>
    <w:pPr>
      <w:keepNext/>
      <w:keepLines/>
      <w:ind w:firstLine="0" w:firstLineChars="0"/>
      <w:outlineLvl w:val="3"/>
    </w:pPr>
    <w:rPr>
      <w:b/>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unhideWhenUsed/>
    <w:qFormat/>
    <w:uiPriority w:val="0"/>
    <w:pPr>
      <w:ind w:left="420" w:leftChars="200"/>
    </w:pPr>
  </w:style>
  <w:style w:type="paragraph" w:styleId="7">
    <w:name w:val="Document Map"/>
    <w:basedOn w:val="1"/>
    <w:qFormat/>
    <w:uiPriority w:val="0"/>
    <w:rPr>
      <w:rFonts w:ascii="宋体"/>
      <w:sz w:val="18"/>
      <w:szCs w:val="18"/>
    </w:rPr>
  </w:style>
  <w:style w:type="paragraph" w:styleId="8">
    <w:name w:val="toa heading"/>
    <w:basedOn w:val="1"/>
    <w:next w:val="1"/>
    <w:qFormat/>
    <w:uiPriority w:val="0"/>
    <w:rPr>
      <w:rFonts w:ascii="Arial" w:hAnsi="Arial"/>
    </w:rPr>
  </w:style>
  <w:style w:type="paragraph" w:styleId="9">
    <w:name w:val="annotation text"/>
    <w:basedOn w:val="1"/>
    <w:link w:val="60"/>
    <w:qFormat/>
    <w:uiPriority w:val="0"/>
    <w:pPr>
      <w:jc w:val="left"/>
    </w:pPr>
  </w:style>
  <w:style w:type="paragraph" w:styleId="10">
    <w:name w:val="Salutation"/>
    <w:basedOn w:val="1"/>
    <w:next w:val="1"/>
    <w:qFormat/>
    <w:uiPriority w:val="0"/>
    <w:pPr>
      <w:spacing w:line="240" w:lineRule="auto"/>
      <w:ind w:firstLine="0" w:firstLineChars="0"/>
    </w:pPr>
    <w:rPr>
      <w:szCs w:val="20"/>
    </w:rPr>
  </w:style>
  <w:style w:type="paragraph" w:styleId="11">
    <w:name w:val="Body Text"/>
    <w:basedOn w:val="1"/>
    <w:next w:val="12"/>
    <w:qFormat/>
    <w:uiPriority w:val="0"/>
  </w:style>
  <w:style w:type="paragraph" w:customStyle="1" w:styleId="12">
    <w:name w:val="明显引用1"/>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3">
    <w:name w:val="toc 3"/>
    <w:basedOn w:val="1"/>
    <w:next w:val="1"/>
    <w:qFormat/>
    <w:uiPriority w:val="0"/>
    <w:pPr>
      <w:ind w:left="840" w:leftChars="400"/>
    </w:pPr>
  </w:style>
  <w:style w:type="paragraph" w:styleId="14">
    <w:name w:val="Plain Text"/>
    <w:basedOn w:val="1"/>
    <w:next w:val="10"/>
    <w:qFormat/>
    <w:uiPriority w:val="0"/>
    <w:rPr>
      <w:rFonts w:ascii="宋体" w:hAnsi="Courier New"/>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center"/>
    </w:pPr>
    <w:rPr>
      <w:sz w:val="21"/>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spacing w:beforeAutospacing="1" w:afterAutospacing="1"/>
      <w:jc w:val="left"/>
    </w:pPr>
    <w:rPr>
      <w:rFonts w:cs="Times New Roman"/>
      <w:kern w:val="0"/>
    </w:rPr>
  </w:style>
  <w:style w:type="paragraph" w:styleId="20">
    <w:name w:val="annotation subject"/>
    <w:basedOn w:val="9"/>
    <w:next w:val="9"/>
    <w:link w:val="61"/>
    <w:qFormat/>
    <w:uiPriority w:val="0"/>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annotation reference"/>
    <w:basedOn w:val="23"/>
    <w:qFormat/>
    <w:uiPriority w:val="0"/>
    <w:rPr>
      <w:sz w:val="21"/>
      <w:szCs w:val="21"/>
    </w:rPr>
  </w:style>
  <w:style w:type="paragraph" w:customStyle="1" w:styleId="27">
    <w:name w:val="表格标题"/>
    <w:basedOn w:val="1"/>
    <w:next w:val="1"/>
    <w:link w:val="30"/>
    <w:qFormat/>
    <w:uiPriority w:val="0"/>
    <w:pPr>
      <w:ind w:firstLine="0" w:firstLineChars="0"/>
      <w:jc w:val="center"/>
    </w:pPr>
    <w:rPr>
      <w:b/>
      <w:sz w:val="21"/>
    </w:rPr>
  </w:style>
  <w:style w:type="paragraph" w:customStyle="1" w:styleId="28">
    <w:name w:val="表格内容"/>
    <w:basedOn w:val="27"/>
    <w:next w:val="1"/>
    <w:link w:val="29"/>
    <w:qFormat/>
    <w:uiPriority w:val="0"/>
    <w:pPr>
      <w:spacing w:line="240" w:lineRule="auto"/>
    </w:pPr>
    <w:rPr>
      <w:b w:val="0"/>
    </w:rPr>
  </w:style>
  <w:style w:type="character" w:customStyle="1" w:styleId="29">
    <w:name w:val="表格内容 Char"/>
    <w:link w:val="28"/>
    <w:autoRedefine/>
    <w:qFormat/>
    <w:uiPriority w:val="0"/>
    <w:rPr>
      <w:rFonts w:ascii="Times New Roman" w:hAnsi="Times New Roman" w:eastAsia="宋体"/>
      <w:sz w:val="21"/>
    </w:rPr>
  </w:style>
  <w:style w:type="character" w:customStyle="1" w:styleId="30">
    <w:name w:val="表格标题 Char"/>
    <w:link w:val="27"/>
    <w:qFormat/>
    <w:uiPriority w:val="0"/>
    <w:rPr>
      <w:rFonts w:ascii="Times New Roman" w:hAnsi="Times New Roman" w:eastAsia="宋体"/>
      <w:b/>
      <w:sz w:val="21"/>
    </w:rPr>
  </w:style>
  <w:style w:type="paragraph" w:customStyle="1" w:styleId="31">
    <w:name w:val="Body Text 21"/>
    <w:basedOn w:val="1"/>
    <w:autoRedefine/>
    <w:qFormat/>
    <w:uiPriority w:val="0"/>
    <w:pPr>
      <w:adjustRightInd w:val="0"/>
      <w:textAlignment w:val="baseline"/>
    </w:pPr>
    <w:rPr>
      <w:szCs w:val="20"/>
    </w:rPr>
  </w:style>
  <w:style w:type="table" w:customStyle="1" w:styleId="32">
    <w:name w:val="网格型模版1"/>
    <w:basedOn w:val="2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Table Normal"/>
    <w:semiHidden/>
    <w:unhideWhenUsed/>
    <w:qFormat/>
    <w:uiPriority w:val="0"/>
    <w:tblPr>
      <w:tblCellMar>
        <w:top w:w="0" w:type="dxa"/>
        <w:left w:w="0" w:type="dxa"/>
        <w:bottom w:w="0" w:type="dxa"/>
        <w:right w:w="0" w:type="dxa"/>
      </w:tblCellMar>
    </w:tblPr>
  </w:style>
  <w:style w:type="character" w:customStyle="1" w:styleId="34">
    <w:name w:val="标题 3 字符"/>
    <w:link w:val="4"/>
    <w:qFormat/>
    <w:uiPriority w:val="0"/>
    <w:rPr>
      <w:rFonts w:ascii="Times New Roman" w:hAnsi="Times New Roman"/>
      <w:b/>
      <w:sz w:val="28"/>
    </w:rPr>
  </w:style>
  <w:style w:type="paragraph" w:customStyle="1" w:styleId="35">
    <w:name w:val="表格文字"/>
    <w:basedOn w:val="36"/>
    <w:autoRedefine/>
    <w:qFormat/>
    <w:uiPriority w:val="1"/>
    <w:pPr>
      <w:tabs>
        <w:tab w:val="left" w:pos="3780"/>
      </w:tabs>
      <w:spacing w:line="240" w:lineRule="auto"/>
      <w:ind w:firstLine="0" w:firstLineChars="0"/>
      <w:jc w:val="center"/>
    </w:pPr>
    <w:rPr>
      <w:sz w:val="21"/>
      <w:szCs w:val="22"/>
    </w:rPr>
  </w:style>
  <w:style w:type="paragraph" w:customStyle="1" w:styleId="36">
    <w:name w:val="样式1"/>
    <w:basedOn w:val="6"/>
    <w:autoRedefine/>
    <w:qFormat/>
    <w:uiPriority w:val="0"/>
    <w:pPr>
      <w:ind w:firstLine="510"/>
    </w:pPr>
    <w:rPr>
      <w:rFonts w:cs="Times New Roman"/>
      <w:szCs w:val="20"/>
    </w:rPr>
  </w:style>
  <w:style w:type="character" w:customStyle="1" w:styleId="37">
    <w:name w:val="标题 4 字符"/>
    <w:link w:val="5"/>
    <w:qFormat/>
    <w:uiPriority w:val="0"/>
    <w:rPr>
      <w:rFonts w:ascii="Times New Roman" w:hAnsi="Times New Roman"/>
      <w:b/>
    </w:rPr>
  </w:style>
  <w:style w:type="paragraph" w:customStyle="1" w:styleId="38">
    <w:name w:val="表格 内容"/>
    <w:basedOn w:val="1"/>
    <w:next w:val="1"/>
    <w:qFormat/>
    <w:uiPriority w:val="0"/>
    <w:pPr>
      <w:spacing w:line="240" w:lineRule="auto"/>
      <w:ind w:firstLine="0" w:firstLineChars="0"/>
      <w:jc w:val="center"/>
    </w:pPr>
    <w:rPr>
      <w:rFonts w:asciiTheme="minorHAnsi" w:hAnsiTheme="minorHAnsi"/>
      <w:sz w:val="21"/>
      <w:szCs w:val="22"/>
    </w:rPr>
  </w:style>
  <w:style w:type="paragraph" w:customStyle="1" w:styleId="39">
    <w:name w:val="Default"/>
    <w:next w:val="40"/>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40">
    <w:name w:val="标题4"/>
    <w:basedOn w:val="5"/>
    <w:next w:val="41"/>
    <w:qFormat/>
    <w:uiPriority w:val="0"/>
    <w:pPr>
      <w:spacing w:line="600" w:lineRule="exact"/>
      <w:ind w:firstLine="18"/>
    </w:pPr>
  </w:style>
  <w:style w:type="paragraph" w:customStyle="1" w:styleId="41">
    <w:name w:val="Char1"/>
    <w:basedOn w:val="1"/>
    <w:next w:val="42"/>
    <w:qFormat/>
    <w:uiPriority w:val="0"/>
    <w:pPr>
      <w:widowControl/>
      <w:spacing w:after="160" w:line="240" w:lineRule="exact"/>
      <w:jc w:val="left"/>
    </w:pPr>
    <w:rPr>
      <w:rFonts w:ascii="Verdana" w:hAnsi="Verdana" w:cs="Verdana"/>
      <w:kern w:val="0"/>
      <w:sz w:val="20"/>
      <w:lang w:eastAsia="en-US" w:bidi="en-US"/>
    </w:rPr>
  </w:style>
  <w:style w:type="paragraph" w:customStyle="1" w:styleId="42">
    <w:name w:val="Char"/>
    <w:basedOn w:val="7"/>
    <w:next w:val="43"/>
    <w:qFormat/>
    <w:uiPriority w:val="0"/>
    <w:rPr>
      <w:sz w:val="28"/>
      <w:szCs w:val="28"/>
    </w:rPr>
  </w:style>
  <w:style w:type="paragraph" w:customStyle="1" w:styleId="43">
    <w:name w:val="首行缩进加粗"/>
    <w:basedOn w:val="44"/>
    <w:next w:val="45"/>
    <w:qFormat/>
    <w:uiPriority w:val="0"/>
    <w:pPr>
      <w:spacing w:line="500" w:lineRule="exact"/>
      <w:ind w:firstLine="200"/>
    </w:pPr>
    <w:rPr>
      <w:rFonts w:eastAsia="黑体"/>
      <w:b/>
      <w:bCs/>
      <w:szCs w:val="28"/>
    </w:rPr>
  </w:style>
  <w:style w:type="paragraph" w:customStyle="1" w:styleId="44">
    <w:name w:val="首行缩进"/>
    <w:basedOn w:val="1"/>
    <w:qFormat/>
    <w:uiPriority w:val="0"/>
    <w:pPr>
      <w:ind w:firstLine="561"/>
    </w:pPr>
  </w:style>
  <w:style w:type="paragraph" w:customStyle="1" w:styleId="45">
    <w:name w:val="四级条标题"/>
    <w:basedOn w:val="46"/>
    <w:next w:val="4"/>
    <w:qFormat/>
    <w:uiPriority w:val="0"/>
    <w:pPr>
      <w:tabs>
        <w:tab w:val="left" w:pos="360"/>
        <w:tab w:val="left" w:pos="1152"/>
        <w:tab w:val="left" w:pos="1830"/>
      </w:tabs>
      <w:ind w:left="1152" w:hanging="1152"/>
      <w:outlineLvl w:val="5"/>
    </w:pPr>
  </w:style>
  <w:style w:type="paragraph" w:customStyle="1" w:styleId="46">
    <w:name w:val="三级条标题"/>
    <w:basedOn w:val="47"/>
    <w:next w:val="1"/>
    <w:qFormat/>
    <w:uiPriority w:val="0"/>
    <w:pPr>
      <w:tabs>
        <w:tab w:val="left" w:pos="360"/>
        <w:tab w:val="left" w:pos="1830"/>
      </w:tabs>
      <w:ind w:left="540"/>
      <w:jc w:val="left"/>
      <w:outlineLvl w:val="4"/>
    </w:pPr>
  </w:style>
  <w:style w:type="paragraph" w:customStyle="1" w:styleId="47">
    <w:name w:val="二级条标题"/>
    <w:basedOn w:val="48"/>
    <w:next w:val="1"/>
    <w:qFormat/>
    <w:uiPriority w:val="0"/>
    <w:pPr>
      <w:tabs>
        <w:tab w:val="left" w:pos="1830"/>
      </w:tabs>
      <w:outlineLvl w:val="3"/>
    </w:pPr>
  </w:style>
  <w:style w:type="paragraph" w:customStyle="1" w:styleId="48">
    <w:name w:val="一级条标题"/>
    <w:basedOn w:val="49"/>
    <w:next w:val="1"/>
    <w:qFormat/>
    <w:uiPriority w:val="0"/>
    <w:pPr>
      <w:tabs>
        <w:tab w:val="left" w:pos="1830"/>
      </w:tabs>
      <w:spacing w:before="0" w:after="0" w:line="240" w:lineRule="auto"/>
      <w:ind w:left="1830" w:hanging="420"/>
      <w:jc w:val="both"/>
      <w:outlineLvl w:val="2"/>
    </w:pPr>
    <w:rPr>
      <w:rFonts w:ascii="黑体"/>
      <w:b/>
      <w:bCs/>
      <w:sz w:val="21"/>
    </w:rPr>
  </w:style>
  <w:style w:type="paragraph" w:customStyle="1" w:styleId="49">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50">
    <w:name w:val="表格"/>
    <w:basedOn w:val="1"/>
    <w:qFormat/>
    <w:uiPriority w:val="0"/>
    <w:pPr>
      <w:spacing w:line="240" w:lineRule="auto"/>
      <w:ind w:firstLine="0" w:firstLineChars="0"/>
      <w:jc w:val="center"/>
    </w:pPr>
    <w:rPr>
      <w:sz w:val="21"/>
    </w:rPr>
  </w:style>
  <w:style w:type="paragraph" w:customStyle="1" w:styleId="51">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52">
    <w:name w:val="样式 标题 1 + 四号 段前: 0 磅 段后: 0 磅 行距: 1.5 倍行距"/>
    <w:basedOn w:val="53"/>
    <w:qFormat/>
    <w:uiPriority w:val="0"/>
    <w:pPr>
      <w:spacing w:line="360" w:lineRule="auto"/>
      <w:jc w:val="center"/>
    </w:pPr>
    <w:rPr>
      <w:sz w:val="28"/>
    </w:rPr>
  </w:style>
  <w:style w:type="paragraph" w:customStyle="1" w:styleId="53">
    <w:name w:val="1正文"/>
    <w:basedOn w:val="1"/>
    <w:qFormat/>
    <w:uiPriority w:val="0"/>
    <w:pPr>
      <w:spacing w:line="500" w:lineRule="exact"/>
      <w:ind w:firstLine="588" w:firstLineChars="196"/>
    </w:pPr>
    <w:rPr>
      <w:rFonts w:eastAsia="楷体_GB2312"/>
      <w:sz w:val="30"/>
      <w:szCs w:val="30"/>
    </w:rPr>
  </w:style>
  <w:style w:type="paragraph" w:customStyle="1" w:styleId="54">
    <w:name w:val="Table Paragraph"/>
    <w:basedOn w:val="1"/>
    <w:qFormat/>
    <w:uiPriority w:val="1"/>
    <w:pPr>
      <w:spacing w:line="240" w:lineRule="auto"/>
      <w:ind w:firstLine="0" w:firstLineChars="0"/>
    </w:pPr>
    <w:rPr>
      <w:rFonts w:ascii="Calibri" w:hAnsi="Calibri"/>
      <w:sz w:val="22"/>
      <w:szCs w:val="22"/>
      <w:lang w:eastAsia="en-US"/>
    </w:rPr>
  </w:style>
  <w:style w:type="character" w:customStyle="1" w:styleId="55">
    <w:name w:val="font21"/>
    <w:basedOn w:val="23"/>
    <w:qFormat/>
    <w:uiPriority w:val="0"/>
    <w:rPr>
      <w:rFonts w:hint="default" w:ascii="Times New Roman" w:hAnsi="Times New Roman" w:cs="Times New Roman"/>
      <w:color w:val="000000"/>
      <w:sz w:val="21"/>
      <w:szCs w:val="21"/>
      <w:u w:val="none"/>
    </w:rPr>
  </w:style>
  <w:style w:type="character" w:customStyle="1" w:styleId="56">
    <w:name w:val="font11"/>
    <w:basedOn w:val="23"/>
    <w:qFormat/>
    <w:uiPriority w:val="0"/>
    <w:rPr>
      <w:rFonts w:hint="eastAsia" w:ascii="宋体" w:hAnsi="宋体" w:eastAsia="宋体" w:cs="宋体"/>
      <w:color w:val="000000"/>
      <w:sz w:val="21"/>
      <w:szCs w:val="21"/>
      <w:u w:val="none"/>
    </w:rPr>
  </w:style>
  <w:style w:type="character" w:customStyle="1" w:styleId="57">
    <w:name w:val="font31"/>
    <w:basedOn w:val="23"/>
    <w:qFormat/>
    <w:uiPriority w:val="0"/>
    <w:rPr>
      <w:rFonts w:hint="eastAsia" w:ascii="宋体" w:hAnsi="宋体" w:eastAsia="宋体" w:cs="宋体"/>
      <w:color w:val="0000FF"/>
      <w:sz w:val="21"/>
      <w:szCs w:val="21"/>
      <w:u w:val="none"/>
    </w:rPr>
  </w:style>
  <w:style w:type="character" w:customStyle="1" w:styleId="58">
    <w:name w:val="font41"/>
    <w:basedOn w:val="23"/>
    <w:qFormat/>
    <w:uiPriority w:val="0"/>
    <w:rPr>
      <w:rFonts w:hint="default" w:ascii="Times New Roman" w:hAnsi="Times New Roman" w:cs="Times New Roman"/>
      <w:color w:val="000000"/>
      <w:sz w:val="21"/>
      <w:szCs w:val="21"/>
      <w:u w:val="none"/>
      <w:vertAlign w:val="superscript"/>
    </w:rPr>
  </w:style>
  <w:style w:type="character" w:customStyle="1" w:styleId="59">
    <w:name w:val="font51"/>
    <w:basedOn w:val="23"/>
    <w:qFormat/>
    <w:uiPriority w:val="0"/>
    <w:rPr>
      <w:rFonts w:hint="default" w:ascii="Times New Roman" w:hAnsi="Times New Roman" w:cs="Times New Roman"/>
      <w:color w:val="000000"/>
      <w:sz w:val="21"/>
      <w:szCs w:val="21"/>
      <w:u w:val="none"/>
      <w:vertAlign w:val="subscript"/>
    </w:rPr>
  </w:style>
  <w:style w:type="character" w:customStyle="1" w:styleId="60">
    <w:name w:val="批注文字 字符"/>
    <w:basedOn w:val="23"/>
    <w:link w:val="9"/>
    <w:qFormat/>
    <w:uiPriority w:val="0"/>
    <w:rPr>
      <w:rFonts w:cstheme="minorBidi"/>
      <w:kern w:val="2"/>
      <w:sz w:val="24"/>
      <w:szCs w:val="24"/>
    </w:rPr>
  </w:style>
  <w:style w:type="character" w:customStyle="1" w:styleId="61">
    <w:name w:val="批注主题 字符"/>
    <w:basedOn w:val="60"/>
    <w:link w:val="20"/>
    <w:qFormat/>
    <w:uiPriority w:val="0"/>
    <w:rPr>
      <w:rFonts w:cstheme="minorBidi"/>
      <w:b/>
      <w:bCs/>
      <w:kern w:val="2"/>
      <w:sz w:val="24"/>
      <w:szCs w:val="24"/>
    </w:rPr>
  </w:style>
  <w:style w:type="paragraph" w:customStyle="1" w:styleId="62">
    <w:name w:val="样式 样式 左 首行缩进:  2 字符 + 首行缩进:  2 字符"/>
    <w:basedOn w:val="1"/>
    <w:unhideWhenUsed/>
    <w:qFormat/>
    <w:uiPriority w:val="0"/>
    <w:pPr>
      <w:adjustRightInd w:val="0"/>
      <w:snapToGrid w:val="0"/>
      <w:ind w:left="1134" w:firstLine="480"/>
    </w:pPr>
    <w:rPr>
      <w:rFonts w:cs="宋体"/>
      <w:color w:val="000000"/>
      <w:szCs w:val="20"/>
    </w:rPr>
  </w:style>
  <w:style w:type="character" w:customStyle="1" w:styleId="63">
    <w:name w:val="标题 2 字符"/>
    <w:link w:val="3"/>
    <w:qFormat/>
    <w:uiPriority w:val="0"/>
    <w:rPr>
      <w:b/>
      <w:sz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customXml" Target="../customXml/item1.xml"/><Relationship Id="rId85" Type="http://schemas.openxmlformats.org/officeDocument/2006/relationships/image" Target="media/image50.png"/><Relationship Id="rId84" Type="http://schemas.openxmlformats.org/officeDocument/2006/relationships/image" Target="media/image49.png"/><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footer" Target="footer1.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wmf"/><Relationship Id="rId70" Type="http://schemas.openxmlformats.org/officeDocument/2006/relationships/oleObject" Target="embeddings/oleObject19.bin"/><Relationship Id="rId7" Type="http://schemas.openxmlformats.org/officeDocument/2006/relationships/header" Target="header3.xml"/><Relationship Id="rId69" Type="http://schemas.openxmlformats.org/officeDocument/2006/relationships/image" Target="media/image35.wmf"/><Relationship Id="rId68" Type="http://schemas.openxmlformats.org/officeDocument/2006/relationships/oleObject" Target="embeddings/oleObject18.bin"/><Relationship Id="rId67" Type="http://schemas.openxmlformats.org/officeDocument/2006/relationships/image" Target="media/image34.wmf"/><Relationship Id="rId66" Type="http://schemas.openxmlformats.org/officeDocument/2006/relationships/oleObject" Target="embeddings/oleObject17.bin"/><Relationship Id="rId65" Type="http://schemas.openxmlformats.org/officeDocument/2006/relationships/image" Target="media/image33.wmf"/><Relationship Id="rId64" Type="http://schemas.openxmlformats.org/officeDocument/2006/relationships/oleObject" Target="embeddings/oleObject16.bin"/><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wmf"/><Relationship Id="rId60" Type="http://schemas.openxmlformats.org/officeDocument/2006/relationships/oleObject" Target="embeddings/oleObject15.bin"/><Relationship Id="rId6" Type="http://schemas.openxmlformats.org/officeDocument/2006/relationships/header" Target="header2.xml"/><Relationship Id="rId59" Type="http://schemas.openxmlformats.org/officeDocument/2006/relationships/image" Target="media/image29.wmf"/><Relationship Id="rId58" Type="http://schemas.openxmlformats.org/officeDocument/2006/relationships/oleObject" Target="embeddings/oleObject14.bin"/><Relationship Id="rId57" Type="http://schemas.openxmlformats.org/officeDocument/2006/relationships/image" Target="media/image28.wmf"/><Relationship Id="rId56" Type="http://schemas.openxmlformats.org/officeDocument/2006/relationships/oleObject" Target="embeddings/oleObject13.bin"/><Relationship Id="rId55" Type="http://schemas.openxmlformats.org/officeDocument/2006/relationships/image" Target="media/image27.wmf"/><Relationship Id="rId54" Type="http://schemas.openxmlformats.org/officeDocument/2006/relationships/oleObject" Target="embeddings/oleObject12.bin"/><Relationship Id="rId53" Type="http://schemas.openxmlformats.org/officeDocument/2006/relationships/image" Target="media/image26.wmf"/><Relationship Id="rId52" Type="http://schemas.openxmlformats.org/officeDocument/2006/relationships/oleObject" Target="embeddings/oleObject11.bin"/><Relationship Id="rId51" Type="http://schemas.openxmlformats.org/officeDocument/2006/relationships/image" Target="media/image25.wmf"/><Relationship Id="rId50" Type="http://schemas.openxmlformats.org/officeDocument/2006/relationships/oleObject" Target="embeddings/oleObject10.bin"/><Relationship Id="rId5" Type="http://schemas.openxmlformats.org/officeDocument/2006/relationships/header" Target="header1.xml"/><Relationship Id="rId49" Type="http://schemas.openxmlformats.org/officeDocument/2006/relationships/image" Target="media/image24.wmf"/><Relationship Id="rId48" Type="http://schemas.openxmlformats.org/officeDocument/2006/relationships/oleObject" Target="embeddings/oleObject9.bin"/><Relationship Id="rId47" Type="http://schemas.openxmlformats.org/officeDocument/2006/relationships/image" Target="media/image23.wmf"/><Relationship Id="rId46" Type="http://schemas.openxmlformats.org/officeDocument/2006/relationships/oleObject" Target="embeddings/oleObject8.bin"/><Relationship Id="rId45" Type="http://schemas.openxmlformats.org/officeDocument/2006/relationships/image" Target="media/image22.wmf"/><Relationship Id="rId44" Type="http://schemas.openxmlformats.org/officeDocument/2006/relationships/oleObject" Target="embeddings/oleObject7.bin"/><Relationship Id="rId43" Type="http://schemas.openxmlformats.org/officeDocument/2006/relationships/image" Target="media/image21.wmf"/><Relationship Id="rId42" Type="http://schemas.openxmlformats.org/officeDocument/2006/relationships/oleObject" Target="embeddings/oleObject6.bin"/><Relationship Id="rId41" Type="http://schemas.openxmlformats.org/officeDocument/2006/relationships/image" Target="media/image20.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19.png"/><Relationship Id="rId37" Type="http://schemas.openxmlformats.org/officeDocument/2006/relationships/image" Target="media/image18.wmf"/><Relationship Id="rId36" Type="http://schemas.openxmlformats.org/officeDocument/2006/relationships/oleObject" Target="embeddings/oleObject3.bin"/><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emf"/><Relationship Id="rId23" Type="http://schemas.openxmlformats.org/officeDocument/2006/relationships/oleObject" Target="embeddings/oleObject2.bin"/><Relationship Id="rId22" Type="http://schemas.openxmlformats.org/officeDocument/2006/relationships/image" Target="media/image5.emf"/><Relationship Id="rId21" Type="http://schemas.openxmlformats.org/officeDocument/2006/relationships/oleObject" Target="embeddings/oleObject1.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file:///C:\Users\ADMINI~1\AppData\Local\Temp\ksohtml5108\wps2.jpg" TargetMode="External"/><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19E203-8FD4-45DF-A4DB-63BF56439710}">
  <ds:schemaRefs/>
</ds:datastoreItem>
</file>

<file path=docProps/app.xml><?xml version="1.0" encoding="utf-8"?>
<Properties xmlns="http://schemas.openxmlformats.org/officeDocument/2006/extended-properties" xmlns:vt="http://schemas.openxmlformats.org/officeDocument/2006/docPropsVTypes">
  <Template>Normal.dotm</Template>
  <Pages>266</Pages>
  <Words>165834</Words>
  <Characters>194239</Characters>
  <Lines>1507</Lines>
  <Paragraphs>424</Paragraphs>
  <TotalTime>43</TotalTime>
  <ScaleCrop>false</ScaleCrop>
  <LinksUpToDate>false</LinksUpToDate>
  <CharactersWithSpaces>197682</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2025-08-13T01:36:00Z</dcterms:created>
  <dc:creator>Administrator</dc:creator>
  <cp:lastModifiedBy>Administrator</cp:lastModifiedBy>
  <dcterms:modified xsi:type="dcterms:W3CDTF">2026-04-20T01:48:03Z</dcterms:modified>
  <cp:revision>236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KSOTemplateDocerSaveRecord">
    <vt:lpwstr>eyJoZGlkIjoiOThkODhkODNmYTQwODEyZmE5M2RhYmRkYzE2ZDU0YmIiLCJ1c2VySWQiOiI1NzIyODc2ODAifQ==</vt:lpwstr>
  </property>
  <property fmtid="{D5CDD505-2E9C-101B-9397-08002B2CF9AE}" pid="4" name="ICV">
    <vt:lpwstr>7F159FF140EC4CA6B71AC3B67723C8AF_13</vt:lpwstr>
  </property>
</Properties>
</file>